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Calibri" w:cs="Calibri" w:eastAsia="Calibri" w:hAnsi="Calibri"/>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Calibri" w:cs="Calibri" w:eastAsia="Calibri" w:hAnsi="Calibri"/>
          <w:sz w:val="16"/>
          <w:szCs w:val="16"/>
          <w:b w:val="1"/>
          <w:bCs w:val="1"/>
          <w:color w:val="auto"/>
        </w:rPr>
        <w:t>Washington, D.C. 20549</w:t>
      </w:r>
    </w:p>
    <w:p>
      <w:pPr>
        <w:spacing w:after="0" w:line="34" w:lineRule="exact"/>
        <w:rPr>
          <w:sz w:val="24"/>
          <w:szCs w:val="24"/>
          <w:color w:val="auto"/>
        </w:rPr>
      </w:pPr>
    </w:p>
    <w:p>
      <w:pPr>
        <w:jc w:val="center"/>
        <w:ind w:right="-19"/>
        <w:spacing w:after="0"/>
        <w:rPr>
          <w:sz w:val="20"/>
          <w:szCs w:val="20"/>
          <w:color w:val="auto"/>
        </w:rPr>
      </w:pPr>
      <w:r>
        <w:rPr>
          <w:rFonts w:ascii="Calibri" w:cs="Calibri" w:eastAsia="Calibri" w:hAnsi="Calibri"/>
          <w:sz w:val="20"/>
          <w:szCs w:val="20"/>
          <w:b w:val="1"/>
          <w:bCs w:val="1"/>
          <w:color w:val="auto"/>
        </w:rPr>
        <w:t>Form 10-K</w:t>
      </w:r>
    </w:p>
    <w:p>
      <w:pPr>
        <w:spacing w:after="0" w:line="325" w:lineRule="exact"/>
        <w:rPr>
          <w:sz w:val="24"/>
          <w:szCs w:val="24"/>
          <w:color w:val="auto"/>
        </w:rPr>
      </w:pPr>
    </w:p>
    <w:p>
      <w:pPr>
        <w:jc w:val="right"/>
        <w:ind w:left="4140" w:right="4100" w:hanging="4119"/>
        <w:spacing w:after="0" w:line="312" w:lineRule="auto"/>
        <w:tabs>
          <w:tab w:leader="none" w:pos="490" w:val="left"/>
        </w:tabs>
        <w:numPr>
          <w:ilvl w:val="0"/>
          <w:numId w:val="1"/>
        </w:numPr>
        <w:rPr>
          <w:rFonts w:ascii="MS PGothic" w:cs="MS PGothic" w:eastAsia="MS PGothic" w:hAnsi="MS PGothic"/>
          <w:sz w:val="16"/>
          <w:szCs w:val="16"/>
          <w:color w:val="auto"/>
        </w:rPr>
      </w:pPr>
      <w:r>
        <w:rPr>
          <w:rFonts w:ascii="Calibri" w:cs="Calibri" w:eastAsia="Calibri" w:hAnsi="Calibri"/>
          <w:sz w:val="16"/>
          <w:szCs w:val="16"/>
          <w:b w:val="1"/>
          <w:bCs w:val="1"/>
          <w:color w:val="auto"/>
        </w:rPr>
        <w:t>ANNUAL REPORT PURSUANT TO SECTION 13 OR 15(d) OF THE SECURITIES EXCHANGE ACT OF 1934 For the fscal year ended December 31, 2024</w:t>
      </w:r>
    </w:p>
    <w:p>
      <w:pPr>
        <w:spacing w:after="0" w:line="246"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rPr>
      </w:pPr>
      <w:r>
        <w:rPr>
          <w:rFonts w:ascii="Calibri" w:cs="Calibri" w:eastAsia="Calibri" w:hAnsi="Calibri"/>
          <w:sz w:val="16"/>
          <w:szCs w:val="16"/>
          <w:b w:val="1"/>
          <w:bCs w:val="1"/>
          <w:color w:val="auto"/>
        </w:rPr>
        <w:t>TRANSITION REPORT PURSUANT TO SECTION 13 OR 15(d) OF THE SECURITIES EXCHANGE ACT OF 1934</w:t>
      </w:r>
    </w:p>
    <w:p>
      <w:pPr>
        <w:spacing w:after="0" w:line="61" w:lineRule="exact"/>
        <w:rPr>
          <w:sz w:val="24"/>
          <w:szCs w:val="24"/>
          <w:color w:val="auto"/>
        </w:rPr>
      </w:pPr>
    </w:p>
    <w:p>
      <w:pPr>
        <w:jc w:val="center"/>
        <w:ind w:right="-19"/>
        <w:spacing w:after="0"/>
        <w:tabs>
          <w:tab w:leader="none" w:pos="220" w:val="left"/>
        </w:tabs>
        <w:rPr>
          <w:sz w:val="20"/>
          <w:szCs w:val="20"/>
          <w:color w:val="auto"/>
        </w:rPr>
      </w:pPr>
      <w:r>
        <w:rPr>
          <w:rFonts w:ascii="Calibri" w:cs="Calibri" w:eastAsia="Calibri" w:hAnsi="Calibri"/>
          <w:sz w:val="16"/>
          <w:szCs w:val="16"/>
          <w:b w:val="1"/>
          <w:bCs w:val="1"/>
          <w:color w:val="auto"/>
        </w:rPr>
        <w:t>For the transiton period from</w:t>
      </w:r>
      <w:r>
        <w:rPr>
          <w:sz w:val="20"/>
          <w:szCs w:val="20"/>
          <w:color w:val="auto"/>
        </w:rPr>
        <w:tab/>
      </w:r>
      <w:r>
        <w:rPr>
          <w:rFonts w:ascii="Calibri" w:cs="Calibri" w:eastAsia="Calibri" w:hAnsi="Calibri"/>
          <w:sz w:val="15"/>
          <w:szCs w:val="15"/>
          <w:b w:val="1"/>
          <w:bCs w:val="1"/>
          <w:color w:val="auto"/>
        </w:rPr>
        <w:t>to</w:t>
      </w:r>
    </w:p>
    <w:p>
      <w:pPr>
        <w:spacing w:after="0" w:line="48" w:lineRule="exact"/>
        <w:rPr>
          <w:sz w:val="24"/>
          <w:szCs w:val="24"/>
          <w:color w:val="auto"/>
        </w:rPr>
      </w:pPr>
    </w:p>
    <w:p>
      <w:pPr>
        <w:jc w:val="center"/>
        <w:ind w:right="-39"/>
        <w:spacing w:after="0"/>
        <w:rPr>
          <w:sz w:val="20"/>
          <w:szCs w:val="20"/>
          <w:color w:val="auto"/>
        </w:rPr>
      </w:pPr>
      <w:r>
        <w:rPr>
          <w:rFonts w:ascii="Calibri" w:cs="Calibri" w:eastAsia="Calibri" w:hAnsi="Calibri"/>
          <w:sz w:val="16"/>
          <w:szCs w:val="16"/>
          <w:b w:val="1"/>
          <w:bCs w:val="1"/>
          <w:color w:val="auto"/>
        </w:rPr>
        <w:t>Commission File No. 001-36276</w:t>
      </w:r>
    </w:p>
    <w:p>
      <w:pPr>
        <w:spacing w:after="0" w:line="40" w:lineRule="exact"/>
        <w:rPr>
          <w:sz w:val="24"/>
          <w:szCs w:val="24"/>
          <w:color w:val="auto"/>
        </w:rPr>
      </w:pPr>
    </w:p>
    <w:tbl>
      <w:tblPr>
        <w:tblLayout w:type="fixed"/>
        <w:tblInd w:w="520" w:type="dxa"/>
        <w:tblCellMar>
          <w:top w:w="0" w:type="dxa"/>
          <w:left w:w="0" w:type="dxa"/>
          <w:bottom w:w="0" w:type="dxa"/>
          <w:right w:w="0" w:type="dxa"/>
        </w:tblCellMar>
      </w:tblPr>
      <w:tr>
        <w:trPr>
          <w:trHeight w:val="354"/>
        </w:trPr>
        <w:tc>
          <w:tcPr>
            <w:tcW w:w="1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900" w:type="dxa"/>
            <w:vAlign w:val="bottom"/>
            <w:gridSpan w:val="5"/>
          </w:tcPr>
          <w:p>
            <w:pPr>
              <w:jc w:val="center"/>
              <w:ind w:right="3088"/>
              <w:spacing w:after="0"/>
              <w:rPr>
                <w:sz w:val="20"/>
                <w:szCs w:val="20"/>
                <w:color w:val="auto"/>
              </w:rPr>
            </w:pPr>
            <w:r>
              <w:rPr>
                <w:rFonts w:ascii="Calibri" w:cs="Calibri" w:eastAsia="Calibri" w:hAnsi="Calibri"/>
                <w:sz w:val="29"/>
                <w:szCs w:val="29"/>
                <w:b w:val="1"/>
                <w:bCs w:val="1"/>
                <w:color w:val="auto"/>
              </w:rPr>
              <w:t>Ultragenyx Pharmaceutcal Inc.</w:t>
            </w:r>
          </w:p>
        </w:tc>
      </w:tr>
      <w:tr>
        <w:trPr>
          <w:trHeight w:val="227"/>
        </w:trPr>
        <w:tc>
          <w:tcPr>
            <w:tcW w:w="1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3640" w:type="dxa"/>
            <w:vAlign w:val="bottom"/>
            <w:gridSpan w:val="4"/>
          </w:tcPr>
          <w:p>
            <w:pPr>
              <w:jc w:val="center"/>
              <w:ind w:left="28"/>
              <w:spacing w:after="0"/>
              <w:rPr>
                <w:sz w:val="20"/>
                <w:szCs w:val="20"/>
                <w:color w:val="auto"/>
              </w:rPr>
            </w:pPr>
            <w:r>
              <w:rPr>
                <w:rFonts w:ascii="Calibri" w:cs="Calibri" w:eastAsia="Calibri" w:hAnsi="Calibri"/>
                <w:sz w:val="16"/>
                <w:szCs w:val="16"/>
                <w:i w:val="1"/>
                <w:iCs w:val="1"/>
                <w:color w:val="auto"/>
              </w:rPr>
              <w:t>(Exact name of registrant as specifed in its charter)</w:t>
            </w:r>
          </w:p>
        </w:tc>
        <w:tc>
          <w:tcPr>
            <w:tcW w:w="3260" w:type="dxa"/>
            <w:vAlign w:val="bottom"/>
          </w:tcPr>
          <w:p>
            <w:pPr>
              <w:spacing w:after="0"/>
              <w:rPr>
                <w:sz w:val="19"/>
                <w:szCs w:val="19"/>
                <w:color w:val="auto"/>
              </w:rPr>
            </w:pPr>
          </w:p>
        </w:tc>
      </w:tr>
      <w:tr>
        <w:trPr>
          <w:trHeight w:val="251"/>
        </w:trPr>
        <w:tc>
          <w:tcPr>
            <w:tcW w:w="120" w:type="dxa"/>
            <w:vAlign w:val="bottom"/>
          </w:tcPr>
          <w:p>
            <w:pPr>
              <w:spacing w:after="0"/>
              <w:rPr>
                <w:sz w:val="21"/>
                <w:szCs w:val="21"/>
                <w:color w:val="auto"/>
              </w:rPr>
            </w:pPr>
          </w:p>
        </w:tc>
        <w:tc>
          <w:tcPr>
            <w:tcW w:w="3080" w:type="dxa"/>
            <w:vAlign w:val="bottom"/>
          </w:tcPr>
          <w:p>
            <w:pPr>
              <w:jc w:val="center"/>
              <w:ind w:left="1208"/>
              <w:spacing w:after="0"/>
              <w:rPr>
                <w:sz w:val="20"/>
                <w:szCs w:val="20"/>
                <w:color w:val="auto"/>
              </w:rPr>
            </w:pPr>
            <w:r>
              <w:rPr>
                <w:rFonts w:ascii="Calibri" w:cs="Calibri" w:eastAsia="Calibri" w:hAnsi="Calibri"/>
                <w:sz w:val="14"/>
                <w:szCs w:val="14"/>
                <w:b w:val="1"/>
                <w:bCs w:val="1"/>
                <w:color w:val="auto"/>
              </w:rPr>
              <w:t>Delaware</w:t>
            </w:r>
          </w:p>
        </w:tc>
        <w:tc>
          <w:tcPr>
            <w:tcW w:w="9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60" w:type="dxa"/>
            <w:vAlign w:val="bottom"/>
          </w:tcPr>
          <w:p>
            <w:pPr>
              <w:jc w:val="right"/>
              <w:ind w:right="1768"/>
              <w:spacing w:after="0"/>
              <w:rPr>
                <w:sz w:val="20"/>
                <w:szCs w:val="20"/>
                <w:color w:val="auto"/>
              </w:rPr>
            </w:pPr>
            <w:r>
              <w:rPr>
                <w:rFonts w:ascii="Calibri" w:cs="Calibri" w:eastAsia="Calibri" w:hAnsi="Calibri"/>
                <w:sz w:val="14"/>
                <w:szCs w:val="14"/>
                <w:b w:val="1"/>
                <w:bCs w:val="1"/>
                <w:color w:val="auto"/>
              </w:rPr>
              <w:t>27-2546083</w:t>
            </w:r>
          </w:p>
        </w:tc>
      </w:tr>
      <w:tr>
        <w:trPr>
          <w:trHeight w:val="175"/>
        </w:trPr>
        <w:tc>
          <w:tcPr>
            <w:tcW w:w="120" w:type="dxa"/>
            <w:vAlign w:val="bottom"/>
          </w:tcPr>
          <w:p>
            <w:pPr>
              <w:spacing w:after="0"/>
              <w:rPr>
                <w:sz w:val="15"/>
                <w:szCs w:val="15"/>
                <w:color w:val="auto"/>
              </w:rPr>
            </w:pPr>
          </w:p>
        </w:tc>
        <w:tc>
          <w:tcPr>
            <w:tcW w:w="3080" w:type="dxa"/>
            <w:vAlign w:val="bottom"/>
          </w:tcPr>
          <w:p>
            <w:pPr>
              <w:jc w:val="center"/>
              <w:ind w:left="1208"/>
              <w:spacing w:after="0"/>
              <w:rPr>
                <w:sz w:val="20"/>
                <w:szCs w:val="20"/>
                <w:color w:val="auto"/>
              </w:rPr>
            </w:pPr>
            <w:r>
              <w:rPr>
                <w:rFonts w:ascii="Calibri" w:cs="Calibri" w:eastAsia="Calibri" w:hAnsi="Calibri"/>
                <w:sz w:val="14"/>
                <w:szCs w:val="14"/>
                <w:i w:val="1"/>
                <w:iCs w:val="1"/>
                <w:color w:val="auto"/>
              </w:rPr>
              <w:t>(State or other jurisdicton of</w:t>
            </w:r>
          </w:p>
        </w:tc>
        <w:tc>
          <w:tcPr>
            <w:tcW w:w="9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60" w:type="dxa"/>
            <w:vAlign w:val="bottom"/>
          </w:tcPr>
          <w:p>
            <w:pPr>
              <w:ind w:left="80"/>
              <w:spacing w:after="0"/>
              <w:rPr>
                <w:sz w:val="20"/>
                <w:szCs w:val="20"/>
                <w:color w:val="auto"/>
              </w:rPr>
            </w:pPr>
            <w:r>
              <w:rPr>
                <w:rFonts w:ascii="Calibri" w:cs="Calibri" w:eastAsia="Calibri" w:hAnsi="Calibri"/>
                <w:sz w:val="14"/>
                <w:szCs w:val="14"/>
                <w:i w:val="1"/>
                <w:iCs w:val="1"/>
                <w:color w:val="auto"/>
              </w:rPr>
              <w:t>(I.R.S. Employer Identfcaton No.)</w:t>
            </w:r>
          </w:p>
        </w:tc>
      </w:tr>
      <w:tr>
        <w:trPr>
          <w:trHeight w:val="176"/>
        </w:trPr>
        <w:tc>
          <w:tcPr>
            <w:tcW w:w="120" w:type="dxa"/>
            <w:vAlign w:val="bottom"/>
          </w:tcPr>
          <w:p>
            <w:pPr>
              <w:spacing w:after="0"/>
              <w:rPr>
                <w:sz w:val="15"/>
                <w:szCs w:val="15"/>
                <w:color w:val="auto"/>
              </w:rPr>
            </w:pPr>
          </w:p>
        </w:tc>
        <w:tc>
          <w:tcPr>
            <w:tcW w:w="3080" w:type="dxa"/>
            <w:vAlign w:val="bottom"/>
          </w:tcPr>
          <w:p>
            <w:pPr>
              <w:jc w:val="center"/>
              <w:ind w:left="1208"/>
              <w:spacing w:after="0"/>
              <w:rPr>
                <w:sz w:val="20"/>
                <w:szCs w:val="20"/>
                <w:color w:val="auto"/>
              </w:rPr>
            </w:pPr>
            <w:r>
              <w:rPr>
                <w:rFonts w:ascii="Calibri" w:cs="Calibri" w:eastAsia="Calibri" w:hAnsi="Calibri"/>
                <w:sz w:val="14"/>
                <w:szCs w:val="14"/>
                <w:i w:val="1"/>
                <w:iCs w:val="1"/>
                <w:color w:val="auto"/>
              </w:rPr>
              <w:t>incorporaton or organizaton)</w:t>
            </w:r>
          </w:p>
        </w:tc>
        <w:tc>
          <w:tcPr>
            <w:tcW w:w="9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60" w:type="dxa"/>
            <w:vAlign w:val="bottom"/>
          </w:tcPr>
          <w:p>
            <w:pPr>
              <w:spacing w:after="0"/>
              <w:rPr>
                <w:sz w:val="15"/>
                <w:szCs w:val="15"/>
                <w:color w:val="auto"/>
              </w:rPr>
            </w:pPr>
          </w:p>
        </w:tc>
      </w:tr>
      <w:tr>
        <w:trPr>
          <w:trHeight w:val="364"/>
        </w:trPr>
        <w:tc>
          <w:tcPr>
            <w:tcW w:w="120" w:type="dxa"/>
            <w:vAlign w:val="bottom"/>
          </w:tcPr>
          <w:p>
            <w:pPr>
              <w:spacing w:after="0"/>
              <w:rPr>
                <w:sz w:val="24"/>
                <w:szCs w:val="24"/>
                <w:color w:val="auto"/>
              </w:rPr>
            </w:pPr>
          </w:p>
        </w:tc>
        <w:tc>
          <w:tcPr>
            <w:tcW w:w="3080" w:type="dxa"/>
            <w:vAlign w:val="bottom"/>
          </w:tcPr>
          <w:p>
            <w:pPr>
              <w:jc w:val="center"/>
              <w:ind w:left="1188"/>
              <w:spacing w:after="0"/>
              <w:rPr>
                <w:sz w:val="20"/>
                <w:szCs w:val="20"/>
                <w:color w:val="auto"/>
              </w:rPr>
            </w:pPr>
            <w:r>
              <w:rPr>
                <w:rFonts w:ascii="Calibri" w:cs="Calibri" w:eastAsia="Calibri" w:hAnsi="Calibri"/>
                <w:sz w:val="14"/>
                <w:szCs w:val="14"/>
                <w:b w:val="1"/>
                <w:bCs w:val="1"/>
                <w:color w:val="auto"/>
              </w:rPr>
              <w:t>60 Leveroni Court</w:t>
            </w: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189"/>
        </w:trPr>
        <w:tc>
          <w:tcPr>
            <w:tcW w:w="120" w:type="dxa"/>
            <w:vAlign w:val="bottom"/>
          </w:tcPr>
          <w:p>
            <w:pPr>
              <w:spacing w:after="0"/>
              <w:rPr>
                <w:sz w:val="16"/>
                <w:szCs w:val="16"/>
                <w:color w:val="auto"/>
              </w:rPr>
            </w:pPr>
          </w:p>
        </w:tc>
        <w:tc>
          <w:tcPr>
            <w:tcW w:w="3080" w:type="dxa"/>
            <w:vAlign w:val="bottom"/>
          </w:tcPr>
          <w:p>
            <w:pPr>
              <w:jc w:val="center"/>
              <w:ind w:left="1208"/>
              <w:spacing w:after="0"/>
              <w:rPr>
                <w:sz w:val="20"/>
                <w:szCs w:val="20"/>
                <w:color w:val="auto"/>
              </w:rPr>
            </w:pPr>
            <w:r>
              <w:rPr>
                <w:rFonts w:ascii="Calibri" w:cs="Calibri" w:eastAsia="Calibri" w:hAnsi="Calibri"/>
                <w:sz w:val="14"/>
                <w:szCs w:val="14"/>
                <w:b w:val="1"/>
                <w:bCs w:val="1"/>
                <w:color w:val="auto"/>
              </w:rPr>
              <w:t>Novato, California</w:t>
            </w:r>
          </w:p>
        </w:tc>
        <w:tc>
          <w:tcPr>
            <w:tcW w:w="9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60" w:type="dxa"/>
            <w:vAlign w:val="bottom"/>
          </w:tcPr>
          <w:p>
            <w:pPr>
              <w:jc w:val="right"/>
              <w:ind w:right="1928"/>
              <w:spacing w:after="0"/>
              <w:rPr>
                <w:sz w:val="20"/>
                <w:szCs w:val="20"/>
                <w:color w:val="auto"/>
              </w:rPr>
            </w:pPr>
            <w:r>
              <w:rPr>
                <w:rFonts w:ascii="Calibri" w:cs="Calibri" w:eastAsia="Calibri" w:hAnsi="Calibri"/>
                <w:sz w:val="14"/>
                <w:szCs w:val="14"/>
                <w:b w:val="1"/>
                <w:bCs w:val="1"/>
                <w:color w:val="auto"/>
              </w:rPr>
              <w:t>94949</w:t>
            </w:r>
          </w:p>
        </w:tc>
      </w:tr>
      <w:tr>
        <w:trPr>
          <w:trHeight w:val="176"/>
        </w:trPr>
        <w:tc>
          <w:tcPr>
            <w:tcW w:w="120" w:type="dxa"/>
            <w:vAlign w:val="bottom"/>
          </w:tcPr>
          <w:p>
            <w:pPr>
              <w:spacing w:after="0"/>
              <w:rPr>
                <w:sz w:val="15"/>
                <w:szCs w:val="15"/>
                <w:color w:val="auto"/>
              </w:rPr>
            </w:pPr>
          </w:p>
        </w:tc>
        <w:tc>
          <w:tcPr>
            <w:tcW w:w="6560" w:type="dxa"/>
            <w:vAlign w:val="bottom"/>
            <w:gridSpan w:val="4"/>
          </w:tcPr>
          <w:p>
            <w:pPr>
              <w:jc w:val="center"/>
              <w:ind w:right="2220"/>
              <w:spacing w:after="0"/>
              <w:rPr>
                <w:sz w:val="20"/>
                <w:szCs w:val="20"/>
                <w:color w:val="auto"/>
              </w:rPr>
            </w:pPr>
            <w:r>
              <w:rPr>
                <w:rFonts w:ascii="Calibri" w:cs="Calibri" w:eastAsia="Calibri" w:hAnsi="Calibri"/>
                <w:sz w:val="14"/>
                <w:szCs w:val="14"/>
                <w:i w:val="1"/>
                <w:iCs w:val="1"/>
                <w:color w:val="auto"/>
              </w:rPr>
              <w:t>(Address of principal executve ofces)</w:t>
            </w:r>
          </w:p>
        </w:tc>
        <w:tc>
          <w:tcPr>
            <w:tcW w:w="160" w:type="dxa"/>
            <w:vAlign w:val="bottom"/>
          </w:tcPr>
          <w:p>
            <w:pPr>
              <w:spacing w:after="0"/>
              <w:rPr>
                <w:sz w:val="15"/>
                <w:szCs w:val="15"/>
                <w:color w:val="auto"/>
              </w:rPr>
            </w:pPr>
          </w:p>
        </w:tc>
        <w:tc>
          <w:tcPr>
            <w:tcW w:w="3260" w:type="dxa"/>
            <w:vAlign w:val="bottom"/>
          </w:tcPr>
          <w:p>
            <w:pPr>
              <w:ind w:left="780"/>
              <w:spacing w:after="0"/>
              <w:rPr>
                <w:sz w:val="20"/>
                <w:szCs w:val="20"/>
                <w:color w:val="auto"/>
              </w:rPr>
            </w:pPr>
            <w:r>
              <w:rPr>
                <w:rFonts w:ascii="Calibri" w:cs="Calibri" w:eastAsia="Calibri" w:hAnsi="Calibri"/>
                <w:sz w:val="14"/>
                <w:szCs w:val="14"/>
                <w:i w:val="1"/>
                <w:iCs w:val="1"/>
                <w:color w:val="auto"/>
              </w:rPr>
              <w:t>(Zip Code)</w:t>
            </w:r>
          </w:p>
        </w:tc>
      </w:tr>
      <w:tr>
        <w:trPr>
          <w:trHeight w:val="229"/>
        </w:trPr>
        <w:tc>
          <w:tcPr>
            <w:tcW w:w="1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760" w:type="dxa"/>
            <w:vAlign w:val="bottom"/>
            <w:gridSpan w:val="2"/>
          </w:tcPr>
          <w:p>
            <w:pPr>
              <w:jc w:val="center"/>
              <w:ind w:left="928"/>
              <w:spacing w:after="0"/>
              <w:rPr>
                <w:sz w:val="20"/>
                <w:szCs w:val="20"/>
                <w:color w:val="auto"/>
              </w:rPr>
            </w:pPr>
            <w:r>
              <w:rPr>
                <w:rFonts w:ascii="Calibri" w:cs="Calibri" w:eastAsia="Calibri" w:hAnsi="Calibri"/>
                <w:sz w:val="14"/>
                <w:szCs w:val="14"/>
                <w:b w:val="1"/>
                <w:bCs w:val="1"/>
                <w:color w:val="auto"/>
              </w:rPr>
              <w:t>(415) 483-8800</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176"/>
        </w:trPr>
        <w:tc>
          <w:tcPr>
            <w:tcW w:w="1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3480" w:type="dxa"/>
            <w:vAlign w:val="bottom"/>
            <w:gridSpan w:val="3"/>
          </w:tcPr>
          <w:p>
            <w:pPr>
              <w:jc w:val="center"/>
              <w:ind w:left="208"/>
              <w:spacing w:after="0"/>
              <w:rPr>
                <w:sz w:val="20"/>
                <w:szCs w:val="20"/>
                <w:color w:val="auto"/>
              </w:rPr>
            </w:pPr>
            <w:r>
              <w:rPr>
                <w:rFonts w:ascii="Calibri" w:cs="Calibri" w:eastAsia="Calibri" w:hAnsi="Calibri"/>
                <w:sz w:val="14"/>
                <w:szCs w:val="14"/>
                <w:i w:val="1"/>
                <w:iCs w:val="1"/>
                <w:color w:val="auto"/>
              </w:rPr>
              <w:t>(Registrant’s telephone number, including area code)</w:t>
            </w:r>
          </w:p>
        </w:tc>
        <w:tc>
          <w:tcPr>
            <w:tcW w:w="160" w:type="dxa"/>
            <w:vAlign w:val="bottom"/>
          </w:tcPr>
          <w:p>
            <w:pPr>
              <w:spacing w:after="0"/>
              <w:rPr>
                <w:sz w:val="15"/>
                <w:szCs w:val="15"/>
                <w:color w:val="auto"/>
              </w:rPr>
            </w:pPr>
          </w:p>
        </w:tc>
        <w:tc>
          <w:tcPr>
            <w:tcW w:w="3260" w:type="dxa"/>
            <w:vAlign w:val="bottom"/>
          </w:tcPr>
          <w:p>
            <w:pPr>
              <w:spacing w:after="0"/>
              <w:rPr>
                <w:sz w:val="15"/>
                <w:szCs w:val="15"/>
                <w:color w:val="auto"/>
              </w:rPr>
            </w:pPr>
          </w:p>
        </w:tc>
      </w:tr>
      <w:tr>
        <w:trPr>
          <w:trHeight w:val="216"/>
        </w:trPr>
        <w:tc>
          <w:tcPr>
            <w:tcW w:w="120" w:type="dxa"/>
            <w:vAlign w:val="bottom"/>
          </w:tcPr>
          <w:p>
            <w:pPr>
              <w:spacing w:after="0"/>
              <w:rPr>
                <w:sz w:val="18"/>
                <w:szCs w:val="18"/>
                <w:color w:val="auto"/>
              </w:rPr>
            </w:pPr>
          </w:p>
        </w:tc>
        <w:tc>
          <w:tcPr>
            <w:tcW w:w="9980" w:type="dxa"/>
            <w:vAlign w:val="bottom"/>
            <w:gridSpan w:val="6"/>
          </w:tcPr>
          <w:p>
            <w:pPr>
              <w:jc w:val="center"/>
              <w:spacing w:after="0"/>
              <w:rPr>
                <w:sz w:val="20"/>
                <w:szCs w:val="20"/>
                <w:color w:val="auto"/>
              </w:rPr>
            </w:pPr>
            <w:r>
              <w:rPr>
                <w:rFonts w:ascii="Calibri" w:cs="Calibri" w:eastAsia="Calibri" w:hAnsi="Calibri"/>
                <w:sz w:val="14"/>
                <w:szCs w:val="14"/>
                <w:b w:val="1"/>
                <w:bCs w:val="1"/>
                <w:color w:val="auto"/>
              </w:rPr>
              <w:t>Securites registered pursuant to Secton 12(b) of the Exchange Act:</w:t>
            </w:r>
          </w:p>
        </w:tc>
      </w:tr>
      <w:tr>
        <w:trPr>
          <w:trHeight w:val="104"/>
        </w:trPr>
        <w:tc>
          <w:tcPr>
            <w:tcW w:w="120" w:type="dxa"/>
            <w:vAlign w:val="bottom"/>
          </w:tcPr>
          <w:p>
            <w:pPr>
              <w:spacing w:after="0"/>
              <w:rPr>
                <w:sz w:val="9"/>
                <w:szCs w:val="9"/>
                <w:color w:val="auto"/>
              </w:rPr>
            </w:pPr>
          </w:p>
        </w:tc>
        <w:tc>
          <w:tcPr>
            <w:tcW w:w="30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20" w:type="dxa"/>
            <w:vAlign w:val="bottom"/>
            <w:tcBorders>
              <w:bottom w:val="single" w:sz="8" w:color="auto"/>
            </w:tcBorders>
            <w:gridSpan w:val="2"/>
          </w:tcPr>
          <w:p>
            <w:pPr>
              <w:spacing w:after="0"/>
              <w:rPr>
                <w:sz w:val="9"/>
                <w:szCs w:val="9"/>
                <w:color w:val="auto"/>
              </w:rPr>
            </w:pPr>
          </w:p>
        </w:tc>
      </w:tr>
      <w:tr>
        <w:trPr>
          <w:trHeight w:val="150"/>
        </w:trPr>
        <w:tc>
          <w:tcPr>
            <w:tcW w:w="120" w:type="dxa"/>
            <w:vAlign w:val="bottom"/>
            <w:tcBorders>
              <w:right w:val="single" w:sz="8" w:color="auto"/>
            </w:tcBorders>
          </w:tcPr>
          <w:p>
            <w:pPr>
              <w:spacing w:after="0"/>
              <w:rPr>
                <w:sz w:val="13"/>
                <w:szCs w:val="13"/>
                <w:color w:val="auto"/>
              </w:rPr>
            </w:pPr>
          </w:p>
        </w:tc>
        <w:tc>
          <w:tcPr>
            <w:tcW w:w="3080" w:type="dxa"/>
            <w:vAlign w:val="bottom"/>
          </w:tcPr>
          <w:p>
            <w:pPr>
              <w:jc w:val="center"/>
              <w:ind w:left="788"/>
              <w:spacing w:after="0" w:line="150" w:lineRule="exact"/>
              <w:rPr>
                <w:sz w:val="20"/>
                <w:szCs w:val="20"/>
                <w:color w:val="auto"/>
              </w:rPr>
            </w:pPr>
            <w:r>
              <w:rPr>
                <w:rFonts w:ascii="Calibri" w:cs="Calibri" w:eastAsia="Calibri" w:hAnsi="Calibri"/>
                <w:sz w:val="14"/>
                <w:szCs w:val="14"/>
                <w:color w:val="auto"/>
              </w:rPr>
              <w:t>Title of each class</w:t>
            </w:r>
          </w:p>
        </w:tc>
        <w:tc>
          <w:tcPr>
            <w:tcW w:w="92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jc w:val="center"/>
              <w:spacing w:after="0" w:line="150" w:lineRule="exact"/>
              <w:rPr>
                <w:sz w:val="20"/>
                <w:szCs w:val="20"/>
                <w:color w:val="auto"/>
              </w:rPr>
            </w:pPr>
            <w:r>
              <w:rPr>
                <w:rFonts w:ascii="Calibri" w:cs="Calibri" w:eastAsia="Calibri" w:hAnsi="Calibri"/>
                <w:sz w:val="14"/>
                <w:szCs w:val="14"/>
                <w:color w:val="auto"/>
              </w:rPr>
              <w:t>Trading Symbol(s)</w:t>
            </w:r>
          </w:p>
        </w:tc>
        <w:tc>
          <w:tcPr>
            <w:tcW w:w="720" w:type="dxa"/>
            <w:vAlign w:val="bottom"/>
          </w:tcPr>
          <w:p>
            <w:pPr>
              <w:spacing w:after="0"/>
              <w:rPr>
                <w:sz w:val="13"/>
                <w:szCs w:val="13"/>
                <w:color w:val="auto"/>
              </w:rPr>
            </w:pPr>
          </w:p>
        </w:tc>
        <w:tc>
          <w:tcPr>
            <w:tcW w:w="3420" w:type="dxa"/>
            <w:vAlign w:val="bottom"/>
            <w:tcBorders>
              <w:right w:val="single" w:sz="8" w:color="auto"/>
            </w:tcBorders>
            <w:gridSpan w:val="2"/>
          </w:tcPr>
          <w:p>
            <w:pPr>
              <w:jc w:val="center"/>
              <w:ind w:right="668"/>
              <w:spacing w:after="0" w:line="150" w:lineRule="exact"/>
              <w:rPr>
                <w:sz w:val="20"/>
                <w:szCs w:val="20"/>
                <w:color w:val="auto"/>
              </w:rPr>
            </w:pPr>
            <w:r>
              <w:rPr>
                <w:rFonts w:ascii="Calibri" w:cs="Calibri" w:eastAsia="Calibri" w:hAnsi="Calibri"/>
                <w:sz w:val="14"/>
                <w:szCs w:val="14"/>
                <w:color w:val="auto"/>
              </w:rPr>
              <w:t>Name of each exchange on which registered</w:t>
            </w:r>
          </w:p>
        </w:tc>
      </w:tr>
      <w:tr>
        <w:trPr>
          <w:trHeight w:val="60"/>
        </w:trPr>
        <w:tc>
          <w:tcPr>
            <w:tcW w:w="120" w:type="dxa"/>
            <w:vAlign w:val="bottom"/>
            <w:tcBorders>
              <w:right w:val="single" w:sz="8" w:color="auto"/>
            </w:tcBorders>
          </w:tcPr>
          <w:p>
            <w:pPr>
              <w:spacing w:after="0"/>
              <w:rPr>
                <w:sz w:val="5"/>
                <w:szCs w:val="5"/>
                <w:color w:val="auto"/>
              </w:rPr>
            </w:pPr>
          </w:p>
        </w:tc>
        <w:tc>
          <w:tcPr>
            <w:tcW w:w="308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18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3260" w:type="dxa"/>
            <w:vAlign w:val="bottom"/>
            <w:tcBorders>
              <w:bottom w:val="single" w:sz="8" w:color="auto"/>
              <w:right w:val="single" w:sz="8" w:color="auto"/>
            </w:tcBorders>
          </w:tcPr>
          <w:p>
            <w:pPr>
              <w:spacing w:after="0"/>
              <w:rPr>
                <w:sz w:val="5"/>
                <w:szCs w:val="5"/>
                <w:color w:val="auto"/>
              </w:rPr>
            </w:pPr>
          </w:p>
        </w:tc>
      </w:tr>
      <w:tr>
        <w:trPr>
          <w:trHeight w:val="150"/>
        </w:trPr>
        <w:tc>
          <w:tcPr>
            <w:tcW w:w="120" w:type="dxa"/>
            <w:vAlign w:val="bottom"/>
            <w:tcBorders>
              <w:right w:val="single" w:sz="8" w:color="auto"/>
            </w:tcBorders>
          </w:tcPr>
          <w:p>
            <w:pPr>
              <w:spacing w:after="0"/>
              <w:rPr>
                <w:sz w:val="13"/>
                <w:szCs w:val="13"/>
                <w:color w:val="auto"/>
              </w:rPr>
            </w:pPr>
          </w:p>
        </w:tc>
        <w:tc>
          <w:tcPr>
            <w:tcW w:w="3080" w:type="dxa"/>
            <w:vAlign w:val="bottom"/>
          </w:tcPr>
          <w:p>
            <w:pPr>
              <w:jc w:val="center"/>
              <w:ind w:left="808"/>
              <w:spacing w:after="0" w:line="150" w:lineRule="exact"/>
              <w:rPr>
                <w:sz w:val="20"/>
                <w:szCs w:val="20"/>
                <w:color w:val="auto"/>
              </w:rPr>
            </w:pPr>
            <w:r>
              <w:rPr>
                <w:rFonts w:ascii="Calibri" w:cs="Calibri" w:eastAsia="Calibri" w:hAnsi="Calibri"/>
                <w:sz w:val="14"/>
                <w:szCs w:val="14"/>
                <w:b w:val="1"/>
                <w:bCs w:val="1"/>
                <w:color w:val="auto"/>
              </w:rPr>
              <w:t>Common Stock, $0.001 par value</w:t>
            </w:r>
          </w:p>
        </w:tc>
        <w:tc>
          <w:tcPr>
            <w:tcW w:w="92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jc w:val="center"/>
              <w:ind w:right="8"/>
              <w:spacing w:after="0" w:line="150" w:lineRule="exact"/>
              <w:rPr>
                <w:sz w:val="20"/>
                <w:szCs w:val="20"/>
                <w:color w:val="auto"/>
              </w:rPr>
            </w:pPr>
            <w:r>
              <w:rPr>
                <w:rFonts w:ascii="Calibri" w:cs="Calibri" w:eastAsia="Calibri" w:hAnsi="Calibri"/>
                <w:sz w:val="14"/>
                <w:szCs w:val="14"/>
                <w:b w:val="1"/>
                <w:bCs w:val="1"/>
                <w:color w:val="auto"/>
              </w:rPr>
              <w:t>RARE</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60" w:type="dxa"/>
            <w:vAlign w:val="bottom"/>
            <w:tcBorders>
              <w:right w:val="single" w:sz="8" w:color="auto"/>
            </w:tcBorders>
          </w:tcPr>
          <w:p>
            <w:pPr>
              <w:jc w:val="center"/>
              <w:ind w:right="828"/>
              <w:spacing w:after="0" w:line="150" w:lineRule="exact"/>
              <w:rPr>
                <w:sz w:val="20"/>
                <w:szCs w:val="20"/>
                <w:color w:val="auto"/>
              </w:rPr>
            </w:pPr>
            <w:r>
              <w:rPr>
                <w:rFonts w:ascii="Calibri" w:cs="Calibri" w:eastAsia="Calibri" w:hAnsi="Calibri"/>
                <w:sz w:val="14"/>
                <w:szCs w:val="14"/>
                <w:b w:val="1"/>
                <w:bCs w:val="1"/>
                <w:color w:val="auto"/>
              </w:rPr>
              <w:t>The Nasdaq Global Select Market</w:t>
            </w:r>
          </w:p>
        </w:tc>
      </w:tr>
      <w:tr>
        <w:trPr>
          <w:trHeight w:val="43"/>
        </w:trPr>
        <w:tc>
          <w:tcPr>
            <w:tcW w:w="120" w:type="dxa"/>
            <w:vAlign w:val="bottom"/>
            <w:tcBorders>
              <w:right w:val="single" w:sz="8" w:color="auto"/>
            </w:tcBorders>
          </w:tcPr>
          <w:p>
            <w:pPr>
              <w:spacing w:after="0"/>
              <w:rPr>
                <w:sz w:val="3"/>
                <w:szCs w:val="3"/>
                <w:color w:val="auto"/>
              </w:rPr>
            </w:pPr>
          </w:p>
        </w:tc>
        <w:tc>
          <w:tcPr>
            <w:tcW w:w="4000" w:type="dxa"/>
            <w:vAlign w:val="bottom"/>
            <w:tcBorders>
              <w:bottom w:val="single" w:sz="8" w:color="auto"/>
              <w:right w:val="single" w:sz="8" w:color="auto"/>
            </w:tcBorders>
            <w:gridSpan w:val="2"/>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4140" w:type="dxa"/>
            <w:vAlign w:val="bottom"/>
            <w:tcBorders>
              <w:bottom w:val="single" w:sz="8" w:color="auto"/>
              <w:right w:val="single" w:sz="8" w:color="auto"/>
            </w:tcBorders>
            <w:gridSpan w:val="3"/>
          </w:tcPr>
          <w:p>
            <w:pPr>
              <w:spacing w:after="0"/>
              <w:rPr>
                <w:sz w:val="3"/>
                <w:szCs w:val="3"/>
                <w:color w:val="auto"/>
              </w:rPr>
            </w:pPr>
          </w:p>
        </w:tc>
      </w:tr>
      <w:tr>
        <w:trPr>
          <w:trHeight w:val="270"/>
        </w:trPr>
        <w:tc>
          <w:tcPr>
            <w:tcW w:w="120" w:type="dxa"/>
            <w:vAlign w:val="bottom"/>
          </w:tcPr>
          <w:p>
            <w:pPr>
              <w:spacing w:after="0"/>
              <w:rPr>
                <w:sz w:val="23"/>
                <w:szCs w:val="23"/>
                <w:color w:val="auto"/>
              </w:rPr>
            </w:pPr>
          </w:p>
        </w:tc>
        <w:tc>
          <w:tcPr>
            <w:tcW w:w="9980" w:type="dxa"/>
            <w:vAlign w:val="bottom"/>
            <w:gridSpan w:val="6"/>
          </w:tcPr>
          <w:p>
            <w:pPr>
              <w:jc w:val="center"/>
              <w:spacing w:after="0"/>
              <w:rPr>
                <w:sz w:val="20"/>
                <w:szCs w:val="20"/>
                <w:color w:val="auto"/>
              </w:rPr>
            </w:pPr>
            <w:r>
              <w:rPr>
                <w:rFonts w:ascii="Calibri" w:cs="Calibri" w:eastAsia="Calibri" w:hAnsi="Calibri"/>
                <w:sz w:val="14"/>
                <w:szCs w:val="14"/>
                <w:b w:val="1"/>
                <w:bCs w:val="1"/>
                <w:color w:val="auto"/>
              </w:rPr>
              <w:t xml:space="preserve">Securites registered pursuant to Secton 12(g) of the Exchange Act: </w:t>
            </w:r>
            <w:r>
              <w:rPr>
                <w:rFonts w:ascii="Calibri" w:cs="Calibri" w:eastAsia="Calibri" w:hAnsi="Calibri"/>
                <w:sz w:val="14"/>
                <w:szCs w:val="14"/>
                <w:color w:val="auto"/>
              </w:rPr>
              <w:t>None.</w:t>
            </w:r>
          </w:p>
        </w:tc>
      </w:tr>
      <w:tr>
        <w:trPr>
          <w:trHeight w:val="249"/>
        </w:trPr>
        <w:tc>
          <w:tcPr>
            <w:tcW w:w="6840" w:type="dxa"/>
            <w:vAlign w:val="bottom"/>
            <w:gridSpan w:val="6"/>
          </w:tcPr>
          <w:p>
            <w:pPr>
              <w:spacing w:after="0"/>
              <w:rPr>
                <w:sz w:val="20"/>
                <w:szCs w:val="20"/>
                <w:color w:val="auto"/>
              </w:rPr>
            </w:pPr>
            <w:r>
              <w:rPr>
                <w:rFonts w:ascii="Calibri" w:cs="Calibri" w:eastAsia="Calibri" w:hAnsi="Calibri"/>
                <w:sz w:val="14"/>
                <w:szCs w:val="14"/>
                <w:color w:val="auto"/>
              </w:rPr>
              <w:t>Indicate by check mark if the registrant is a well-known seasoned issuer, as defned in Rule 405 of the Securites Act.</w:t>
            </w:r>
          </w:p>
        </w:tc>
        <w:tc>
          <w:tcPr>
            <w:tcW w:w="3260" w:type="dxa"/>
            <w:vAlign w:val="bottom"/>
          </w:tcPr>
          <w:p>
            <w:pPr>
              <w:ind w:left="60"/>
              <w:spacing w:after="0" w:line="171" w:lineRule="exact"/>
              <w:rPr>
                <w:sz w:val="20"/>
                <w:szCs w:val="20"/>
                <w:color w:val="auto"/>
              </w:rPr>
            </w:pPr>
            <w:r>
              <w:rPr>
                <w:rFonts w:ascii="Calibri" w:cs="Calibri" w:eastAsia="Calibri" w:hAnsi="Calibri"/>
                <w:sz w:val="14"/>
                <w:szCs w:val="14"/>
                <w:color w:val="auto"/>
              </w:rPr>
              <w:t xml:space="preserve">YES </w:t>
            </w:r>
            <w:r>
              <w:rPr>
                <w:rFonts w:ascii="MS PGothic" w:cs="MS PGothic" w:eastAsia="MS PGothic" w:hAnsi="MS PGothic"/>
                <w:sz w:val="14"/>
                <w:szCs w:val="14"/>
                <w:color w:val="auto"/>
              </w:rPr>
              <w:t>☑</w:t>
            </w:r>
            <w:r>
              <w:rPr>
                <w:rFonts w:ascii="Calibri" w:cs="Calibri" w:eastAsia="Calibri" w:hAnsi="Calibri"/>
                <w:sz w:val="14"/>
                <w:szCs w:val="14"/>
                <w:color w:val="auto"/>
              </w:rPr>
              <w:t xml:space="preserve"> NO </w:t>
            </w:r>
            <w:r>
              <w:rPr>
                <w:rFonts w:ascii="MS PGothic" w:cs="MS PGothic" w:eastAsia="MS PGothic" w:hAnsi="MS PGothic"/>
                <w:sz w:val="14"/>
                <w:szCs w:val="14"/>
                <w:color w:val="auto"/>
              </w:rPr>
              <w:t>☐</w:t>
            </w:r>
          </w:p>
        </w:tc>
      </w:tr>
      <w:tr>
        <w:trPr>
          <w:trHeight w:val="242"/>
        </w:trPr>
        <w:tc>
          <w:tcPr>
            <w:tcW w:w="10100" w:type="dxa"/>
            <w:vAlign w:val="bottom"/>
            <w:gridSpan w:val="7"/>
          </w:tcPr>
          <w:p>
            <w:pPr>
              <w:spacing w:after="0" w:line="171" w:lineRule="exact"/>
              <w:rPr>
                <w:sz w:val="20"/>
                <w:szCs w:val="20"/>
                <w:color w:val="auto"/>
              </w:rPr>
            </w:pPr>
            <w:r>
              <w:rPr>
                <w:rFonts w:ascii="Calibri" w:cs="Calibri" w:eastAsia="Calibri" w:hAnsi="Calibri"/>
                <w:sz w:val="14"/>
                <w:szCs w:val="14"/>
                <w:color w:val="auto"/>
              </w:rPr>
              <w:t xml:space="preserve">Indicate by check mark if the registrant is not required to fle reports pursuant to Secton 13 or Secton 15(d) of the Exchange Act.  YES </w:t>
            </w:r>
            <w:r>
              <w:rPr>
                <w:rFonts w:ascii="MS PGothic" w:cs="MS PGothic" w:eastAsia="MS PGothic" w:hAnsi="MS PGothic"/>
                <w:sz w:val="14"/>
                <w:szCs w:val="14"/>
                <w:color w:val="auto"/>
              </w:rPr>
              <w:t>☐</w:t>
            </w:r>
            <w:r>
              <w:rPr>
                <w:rFonts w:ascii="Calibri" w:cs="Calibri" w:eastAsia="Calibri" w:hAnsi="Calibri"/>
                <w:sz w:val="14"/>
                <w:szCs w:val="14"/>
                <w:color w:val="auto"/>
              </w:rPr>
              <w:t xml:space="preserve"> NO  </w:t>
            </w:r>
            <w:r>
              <w:rPr>
                <w:rFonts w:ascii="MS PGothic" w:cs="MS PGothic" w:eastAsia="MS PGothic" w:hAnsi="MS PGothic"/>
                <w:sz w:val="14"/>
                <w:szCs w:val="14"/>
                <w:color w:val="auto"/>
              </w:rPr>
              <w:t>☑</w:t>
            </w:r>
          </w:p>
        </w:tc>
      </w:tr>
    </w:tbl>
    <w:p>
      <w:pPr>
        <w:spacing w:after="0" w:line="28" w:lineRule="exact"/>
        <w:rPr>
          <w:sz w:val="24"/>
          <w:szCs w:val="24"/>
          <w:color w:val="auto"/>
        </w:rPr>
      </w:pPr>
    </w:p>
    <w:p>
      <w:pPr>
        <w:ind w:right="380" w:firstLine="509"/>
        <w:spacing w:after="0" w:line="196" w:lineRule="exact"/>
        <w:rPr>
          <w:sz w:val="20"/>
          <w:szCs w:val="20"/>
          <w:color w:val="auto"/>
        </w:rPr>
      </w:pPr>
      <w:r>
        <w:rPr>
          <w:rFonts w:ascii="Calibri" w:cs="Calibri" w:eastAsia="Calibri" w:hAnsi="Calibri"/>
          <w:sz w:val="14"/>
          <w:szCs w:val="14"/>
          <w:color w:val="auto"/>
        </w:rPr>
        <w:t xml:space="preserve">Indicate by check mark whether the registrant (1) has fled all reports required to be fled by Secton 13 or 15(d) of the Exchange Act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4"/>
          <w:szCs w:val="14"/>
          <w:color w:val="auto"/>
        </w:rPr>
        <w:t>☑</w:t>
      </w:r>
      <w:r>
        <w:rPr>
          <w:rFonts w:ascii="Calibri" w:cs="Calibri" w:eastAsia="Calibri" w:hAnsi="Calibri"/>
          <w:sz w:val="14"/>
          <w:szCs w:val="14"/>
          <w:color w:val="auto"/>
        </w:rPr>
        <w:t xml:space="preserve"> NO </w:t>
      </w:r>
      <w:r>
        <w:rPr>
          <w:rFonts w:ascii="MS PGothic" w:cs="MS PGothic" w:eastAsia="MS PGothic" w:hAnsi="MS PGothic"/>
          <w:sz w:val="14"/>
          <w:szCs w:val="14"/>
          <w:color w:val="auto"/>
        </w:rPr>
        <w:t>☐</w:t>
      </w:r>
    </w:p>
    <w:p>
      <w:pPr>
        <w:spacing w:after="0" w:line="15" w:lineRule="exact"/>
        <w:rPr>
          <w:sz w:val="24"/>
          <w:szCs w:val="24"/>
          <w:color w:val="auto"/>
        </w:rPr>
      </w:pPr>
    </w:p>
    <w:p>
      <w:pPr>
        <w:ind w:right="220" w:firstLine="509"/>
        <w:spacing w:after="0" w:line="196" w:lineRule="exact"/>
        <w:rPr>
          <w:sz w:val="20"/>
          <w:szCs w:val="20"/>
          <w:color w:val="auto"/>
        </w:rPr>
      </w:pPr>
      <w:r>
        <w:rPr>
          <w:rFonts w:ascii="Calibri" w:cs="Calibri" w:eastAsia="Calibri" w:hAnsi="Calibri"/>
          <w:sz w:val="14"/>
          <w:szCs w:val="14"/>
          <w:color w:val="auto"/>
        </w:rPr>
        <w:t xml:space="preserve">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 Yes </w:t>
      </w:r>
      <w:r>
        <w:rPr>
          <w:rFonts w:ascii="MS PGothic" w:cs="MS PGothic" w:eastAsia="MS PGothic" w:hAnsi="MS PGothic"/>
          <w:sz w:val="14"/>
          <w:szCs w:val="14"/>
          <w:color w:val="auto"/>
        </w:rPr>
        <w:t>☑</w:t>
      </w:r>
      <w:r>
        <w:rPr>
          <w:rFonts w:ascii="Calibri" w:cs="Calibri" w:eastAsia="Calibri" w:hAnsi="Calibri"/>
          <w:sz w:val="14"/>
          <w:szCs w:val="14"/>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ind w:left="520"/>
        <w:spacing w:after="0"/>
        <w:rPr>
          <w:sz w:val="20"/>
          <w:szCs w:val="20"/>
          <w:color w:val="auto"/>
        </w:rPr>
      </w:pPr>
      <w:r>
        <w:rPr>
          <w:rFonts w:ascii="Calibri" w:cs="Calibri" w:eastAsia="Calibri" w:hAnsi="Calibri"/>
          <w:sz w:val="14"/>
          <w:szCs w:val="14"/>
          <w:color w:val="auto"/>
        </w:rPr>
        <w:t>Indicate by check mark whether the registrant is a large accelerated fler, an accelerated fler, a non-accelerated fler, a smaller reportng company, or an emerging growth company.</w:t>
      </w:r>
    </w:p>
    <w:p>
      <w:pPr>
        <w:spacing w:after="0" w:line="5" w:lineRule="exact"/>
        <w:rPr>
          <w:sz w:val="24"/>
          <w:szCs w:val="24"/>
          <w:color w:val="auto"/>
        </w:rPr>
      </w:pPr>
    </w:p>
    <w:p>
      <w:pPr>
        <w:spacing w:after="0"/>
        <w:rPr>
          <w:sz w:val="20"/>
          <w:szCs w:val="20"/>
          <w:color w:val="auto"/>
        </w:rPr>
      </w:pPr>
      <w:r>
        <w:rPr>
          <w:rFonts w:ascii="Calibri" w:cs="Calibri" w:eastAsia="Calibri" w:hAnsi="Calibri"/>
          <w:sz w:val="14"/>
          <w:szCs w:val="14"/>
          <w:color w:val="auto"/>
        </w:rPr>
        <w:t>See the defnitons of “large accelerated fler,” “accelerated fler,” “smaller reportng company,” and “emerging growth company” in Rule 12b-2 of the Exchange Act.</w:t>
      </w:r>
    </w:p>
    <w:p>
      <w:pPr>
        <w:spacing w:after="0" w:line="33" w:lineRule="exact"/>
        <w:rPr>
          <w:sz w:val="24"/>
          <w:szCs w:val="24"/>
          <w:color w:val="auto"/>
        </w:rPr>
      </w:pPr>
    </w:p>
    <w:p>
      <w:pPr>
        <w:ind w:left="400"/>
        <w:spacing w:after="0" w:line="171" w:lineRule="exact"/>
        <w:tabs>
          <w:tab w:leader="none" w:pos="2800" w:val="left"/>
          <w:tab w:leader="none" w:pos="4880" w:val="left"/>
          <w:tab w:leader="none" w:pos="6960" w:val="left"/>
          <w:tab w:leader="none" w:pos="9220" w:val="left"/>
        </w:tabs>
        <w:rPr>
          <w:sz w:val="20"/>
          <w:szCs w:val="20"/>
          <w:color w:val="auto"/>
        </w:rPr>
      </w:pPr>
      <w:r>
        <w:rPr>
          <w:rFonts w:ascii="Calibri" w:cs="Calibri" w:eastAsia="Calibri" w:hAnsi="Calibri"/>
          <w:sz w:val="14"/>
          <w:szCs w:val="14"/>
          <w:color w:val="auto"/>
        </w:rPr>
        <w:t xml:space="preserve">Large accelerated fler </w:t>
      </w:r>
      <w:r>
        <w:rPr>
          <w:rFonts w:ascii="MS PGothic" w:cs="MS PGothic" w:eastAsia="MS PGothic" w:hAnsi="MS PGothic"/>
          <w:sz w:val="14"/>
          <w:szCs w:val="14"/>
          <w:color w:val="auto"/>
        </w:rPr>
        <w:t>☑</w:t>
      </w:r>
      <w:r>
        <w:rPr>
          <w:sz w:val="20"/>
          <w:szCs w:val="20"/>
          <w:color w:val="auto"/>
        </w:rPr>
        <w:tab/>
      </w:r>
      <w:r>
        <w:rPr>
          <w:rFonts w:ascii="Calibri" w:cs="Calibri" w:eastAsia="Calibri" w:hAnsi="Calibri"/>
          <w:sz w:val="14"/>
          <w:szCs w:val="14"/>
          <w:color w:val="auto"/>
        </w:rPr>
        <w:t xml:space="preserve">Accelerated fler </w:t>
      </w:r>
      <w:r>
        <w:rPr>
          <w:rFonts w:ascii="MS PGothic" w:cs="MS PGothic" w:eastAsia="MS PGothic" w:hAnsi="MS PGothic"/>
          <w:sz w:val="14"/>
          <w:szCs w:val="14"/>
          <w:color w:val="auto"/>
        </w:rPr>
        <w:t>☐</w:t>
      </w:r>
      <w:r>
        <w:rPr>
          <w:sz w:val="20"/>
          <w:szCs w:val="20"/>
          <w:color w:val="auto"/>
        </w:rPr>
        <w:tab/>
      </w:r>
      <w:r>
        <w:rPr>
          <w:rFonts w:ascii="Calibri" w:cs="Calibri" w:eastAsia="Calibri" w:hAnsi="Calibri"/>
          <w:sz w:val="14"/>
          <w:szCs w:val="14"/>
          <w:color w:val="auto"/>
        </w:rPr>
        <w:t xml:space="preserve">Non- accelerated fler </w:t>
      </w:r>
      <w:r>
        <w:rPr>
          <w:rFonts w:ascii="MS PGothic" w:cs="MS PGothic" w:eastAsia="MS PGothic" w:hAnsi="MS PGothic"/>
          <w:sz w:val="14"/>
          <w:szCs w:val="14"/>
          <w:color w:val="auto"/>
        </w:rPr>
        <w:t>☐</w:t>
      </w:r>
      <w:r>
        <w:rPr>
          <w:sz w:val="20"/>
          <w:szCs w:val="20"/>
          <w:color w:val="auto"/>
        </w:rPr>
        <w:tab/>
      </w:r>
      <w:r>
        <w:rPr>
          <w:rFonts w:ascii="Calibri" w:cs="Calibri" w:eastAsia="Calibri" w:hAnsi="Calibri"/>
          <w:sz w:val="14"/>
          <w:szCs w:val="14"/>
          <w:color w:val="auto"/>
        </w:rPr>
        <w:t xml:space="preserve">Smaller reportng company </w:t>
      </w:r>
      <w:r>
        <w:rPr>
          <w:rFonts w:ascii="MS PGothic" w:cs="MS PGothic" w:eastAsia="MS PGothic" w:hAnsi="MS PGothic"/>
          <w:sz w:val="14"/>
          <w:szCs w:val="14"/>
          <w:color w:val="auto"/>
        </w:rPr>
        <w:t>☐</w:t>
      </w:r>
      <w:r>
        <w:rPr>
          <w:sz w:val="20"/>
          <w:szCs w:val="20"/>
          <w:color w:val="auto"/>
        </w:rPr>
        <w:tab/>
      </w:r>
      <w:r>
        <w:rPr>
          <w:rFonts w:ascii="Calibri" w:cs="Calibri" w:eastAsia="Calibri" w:hAnsi="Calibri"/>
          <w:sz w:val="14"/>
          <w:szCs w:val="14"/>
          <w:color w:val="auto"/>
        </w:rPr>
        <w:t xml:space="preserve">Emerging growth company </w:t>
      </w:r>
      <w:r>
        <w:rPr>
          <w:rFonts w:ascii="MS PGothic" w:cs="MS PGothic" w:eastAsia="MS PGothic" w:hAnsi="MS PGothic"/>
          <w:sz w:val="14"/>
          <w:szCs w:val="14"/>
          <w:color w:val="auto"/>
        </w:rPr>
        <w:t>☐</w:t>
      </w:r>
    </w:p>
    <w:p>
      <w:pPr>
        <w:spacing w:after="0" w:line="125" w:lineRule="exact"/>
        <w:rPr>
          <w:sz w:val="24"/>
          <w:szCs w:val="24"/>
          <w:color w:val="auto"/>
        </w:rPr>
      </w:pPr>
    </w:p>
    <w:p>
      <w:pPr>
        <w:ind w:right="560" w:firstLine="509"/>
        <w:spacing w:after="0" w:line="196" w:lineRule="exact"/>
        <w:rPr>
          <w:sz w:val="20"/>
          <w:szCs w:val="20"/>
          <w:color w:val="auto"/>
        </w:rPr>
      </w:pPr>
      <w:r>
        <w:rPr>
          <w:rFonts w:ascii="Calibri" w:cs="Calibri" w:eastAsia="Calibri" w:hAnsi="Calibri"/>
          <w:sz w:val="14"/>
          <w:szCs w:val="14"/>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4"/>
          <w:szCs w:val="14"/>
          <w:color w:val="auto"/>
        </w:rPr>
        <w:t>☐</w:t>
      </w:r>
    </w:p>
    <w:p>
      <w:pPr>
        <w:spacing w:after="0" w:line="15" w:lineRule="exact"/>
        <w:rPr>
          <w:sz w:val="24"/>
          <w:szCs w:val="24"/>
          <w:color w:val="auto"/>
        </w:rPr>
      </w:pPr>
    </w:p>
    <w:p>
      <w:pPr>
        <w:ind w:right="100" w:firstLine="509"/>
        <w:spacing w:after="0" w:line="196" w:lineRule="exact"/>
        <w:rPr>
          <w:sz w:val="20"/>
          <w:szCs w:val="20"/>
          <w:color w:val="auto"/>
        </w:rPr>
      </w:pPr>
      <w:r>
        <w:rPr>
          <w:rFonts w:ascii="Calibri" w:cs="Calibri" w:eastAsia="Calibri" w:hAnsi="Calibri"/>
          <w:sz w:val="14"/>
          <w:szCs w:val="14"/>
          <w:color w:val="auto"/>
        </w:rPr>
        <w:t xml:space="preserve">Indicate by check mark whether the registrant has fled a report on and atestaton to its management’s assessment of the efectveness of its internal control over fnancial reportng under Secton 404(b) of the Sarbanes-Oxley Act (15 U.S.C. 7262(b)) by the registered public accountng frm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60"/>
        <w:spacing w:after="0" w:line="182" w:lineRule="exact"/>
        <w:rPr>
          <w:sz w:val="20"/>
          <w:szCs w:val="20"/>
          <w:color w:val="auto"/>
        </w:rPr>
      </w:pPr>
      <w:r>
        <w:rPr>
          <w:rFonts w:ascii="Calibri" w:cs="Calibri" w:eastAsia="Calibri" w:hAnsi="Calibri"/>
          <w:sz w:val="14"/>
          <w:szCs w:val="14"/>
          <w:color w:val="231F20"/>
        </w:rPr>
        <w:t xml:space="preserve">If securites are registered pursuant to Secton 12(b) of the Act, indicate by check mark whether the fnancial statements of the registrant included in the fling refect the correcton of an error to previously issued fnancial statements. </w:t>
      </w:r>
      <w:r>
        <w:rPr>
          <w:rFonts w:ascii="MS PGothic" w:cs="MS PGothic" w:eastAsia="MS PGothic" w:hAnsi="MS PGothic"/>
          <w:sz w:val="14"/>
          <w:szCs w:val="14"/>
          <w:color w:val="000000"/>
        </w:rPr>
        <w:t>☐</w:t>
      </w:r>
    </w:p>
    <w:p>
      <w:pPr>
        <w:spacing w:after="0" w:line="15" w:lineRule="exact"/>
        <w:rPr>
          <w:sz w:val="24"/>
          <w:szCs w:val="24"/>
          <w:color w:val="auto"/>
        </w:rPr>
      </w:pPr>
    </w:p>
    <w:p>
      <w:pPr>
        <w:ind w:right="80" w:firstLine="509"/>
        <w:spacing w:after="0" w:line="196" w:lineRule="exact"/>
        <w:rPr>
          <w:sz w:val="20"/>
          <w:szCs w:val="20"/>
          <w:color w:val="auto"/>
        </w:rPr>
      </w:pPr>
      <w:r>
        <w:rPr>
          <w:rFonts w:ascii="Calibri" w:cs="Calibri" w:eastAsia="Calibri" w:hAnsi="Calibri"/>
          <w:sz w:val="14"/>
          <w:szCs w:val="14"/>
          <w:color w:val="231F20"/>
        </w:rPr>
        <w:t xml:space="preserve">Indicate by check mark whether any of those error correctons are restatements that required a recovery analysis of incentve-based compensaton received by any of the registrant’s executve oﬃcers during the relevant recovery period pursuant to §240.10D-1(b). </w:t>
      </w:r>
      <w:r>
        <w:rPr>
          <w:rFonts w:ascii="MS PGothic" w:cs="MS PGothic" w:eastAsia="MS PGothic" w:hAnsi="MS PGothic"/>
          <w:sz w:val="14"/>
          <w:szCs w:val="14"/>
          <w:color w:val="000000"/>
        </w:rPr>
        <w:t>☐</w:t>
      </w:r>
    </w:p>
    <w:p>
      <w:pPr>
        <w:spacing w:after="0" w:line="1" w:lineRule="exact"/>
        <w:rPr>
          <w:sz w:val="24"/>
          <w:szCs w:val="24"/>
          <w:color w:val="auto"/>
        </w:rPr>
      </w:pPr>
    </w:p>
    <w:p>
      <w:pPr>
        <w:ind w:left="520"/>
        <w:spacing w:after="0" w:line="172" w:lineRule="exact"/>
        <w:tabs>
          <w:tab w:leader="none" w:pos="7180" w:val="left"/>
          <w:tab w:leader="none" w:pos="7720" w:val="left"/>
        </w:tabs>
        <w:rPr>
          <w:sz w:val="20"/>
          <w:szCs w:val="20"/>
          <w:color w:val="auto"/>
        </w:rPr>
      </w:pPr>
      <w:r>
        <w:rPr>
          <w:rFonts w:ascii="Calibri" w:cs="Calibri" w:eastAsia="Calibri" w:hAnsi="Calibri"/>
          <w:sz w:val="14"/>
          <w:szCs w:val="14"/>
          <w:color w:val="auto"/>
        </w:rPr>
        <w:t>Indicate by check mark whether the registrant is a shell company (as defned in Rule 12b-2 of the Exchange Act).</w:t>
        <w:tab/>
        <w:t xml:space="preserve">YES </w:t>
      </w:r>
      <w:r>
        <w:rPr>
          <w:rFonts w:ascii="MS PGothic" w:cs="MS PGothic" w:eastAsia="MS PGothic" w:hAnsi="MS PGothic"/>
          <w:sz w:val="14"/>
          <w:szCs w:val="14"/>
          <w:color w:val="auto"/>
        </w:rPr>
        <w:t>☐</w:t>
      </w:r>
      <w:r>
        <w:rPr>
          <w:rFonts w:ascii="Calibri" w:cs="Calibri" w:eastAsia="Calibri" w:hAnsi="Calibri"/>
          <w:sz w:val="14"/>
          <w:szCs w:val="14"/>
          <w:color w:val="auto"/>
        </w:rPr>
        <w:tab/>
        <w:t xml:space="preserve">NO  </w:t>
      </w:r>
      <w:r>
        <w:rPr>
          <w:rFonts w:ascii="MS PGothic" w:cs="MS PGothic" w:eastAsia="MS PGothic" w:hAnsi="MS PGothic"/>
          <w:sz w:val="14"/>
          <w:szCs w:val="14"/>
          <w:color w:val="auto"/>
        </w:rPr>
        <w:t>☑</w:t>
      </w:r>
    </w:p>
    <w:p>
      <w:pPr>
        <w:spacing w:after="0" w:line="85" w:lineRule="exact"/>
        <w:rPr>
          <w:sz w:val="24"/>
          <w:szCs w:val="24"/>
          <w:color w:val="auto"/>
        </w:rPr>
      </w:pPr>
    </w:p>
    <w:p>
      <w:pPr>
        <w:ind w:right="60" w:firstLine="509"/>
        <w:spacing w:after="0" w:line="246" w:lineRule="auto"/>
        <w:rPr>
          <w:sz w:val="20"/>
          <w:szCs w:val="20"/>
          <w:color w:val="auto"/>
        </w:rPr>
      </w:pPr>
      <w:r>
        <w:rPr>
          <w:rFonts w:ascii="Calibri" w:cs="Calibri" w:eastAsia="Calibri" w:hAnsi="Calibri"/>
          <w:sz w:val="14"/>
          <w:szCs w:val="14"/>
          <w:color w:val="auto"/>
        </w:rPr>
        <w:t>The aggregate market value of the votng and non-votng common equity held by non-afliates of the Company as of June 30, 2024 was approximately $3.7 billion, based upon the closing price on The Nasdaq Global Select Market reported for such date. Shares of common stock held by each executve ofcer and director and by each person who is known to own 10% or more of the outstanding common stock have been excluded as such persons may be deemed afliates of the Company. This determinaton of afliate status is not necessarily a conclusive determinaton for other purposes.</w:t>
      </w:r>
    </w:p>
    <w:p>
      <w:pPr>
        <w:spacing w:after="0" w:line="41" w:lineRule="exact"/>
        <w:rPr>
          <w:sz w:val="24"/>
          <w:szCs w:val="24"/>
          <w:color w:val="auto"/>
        </w:rPr>
      </w:pPr>
    </w:p>
    <w:p>
      <w:pPr>
        <w:ind w:left="520"/>
        <w:spacing w:after="0"/>
        <w:rPr>
          <w:sz w:val="20"/>
          <w:szCs w:val="20"/>
          <w:color w:val="auto"/>
        </w:rPr>
      </w:pPr>
      <w:r>
        <w:rPr>
          <w:rFonts w:ascii="Calibri" w:cs="Calibri" w:eastAsia="Calibri" w:hAnsi="Calibri"/>
          <w:sz w:val="14"/>
          <w:szCs w:val="14"/>
          <w:color w:val="auto"/>
        </w:rPr>
        <w:t>As of February 13, 2025, the Company had 92,501,126 shares of common stock issued and outstanding.</w:t>
      </w:r>
    </w:p>
    <w:p>
      <w:pPr>
        <w:spacing w:after="0" w:line="59" w:lineRule="exact"/>
        <w:rPr>
          <w:sz w:val="24"/>
          <w:szCs w:val="24"/>
          <w:color w:val="auto"/>
        </w:rPr>
      </w:pPr>
    </w:p>
    <w:p>
      <w:pPr>
        <w:ind w:left="4540"/>
        <w:spacing w:after="0"/>
        <w:rPr>
          <w:sz w:val="20"/>
          <w:szCs w:val="20"/>
          <w:color w:val="auto"/>
        </w:rPr>
      </w:pPr>
      <w:r>
        <w:rPr>
          <w:rFonts w:ascii="Calibri" w:cs="Calibri" w:eastAsia="Calibri" w:hAnsi="Calibri"/>
          <w:sz w:val="14"/>
          <w:szCs w:val="14"/>
          <w:b w:val="1"/>
          <w:bCs w:val="1"/>
          <w:color w:val="auto"/>
        </w:rPr>
        <w:t>DOCUMENTS INCORPORATED BY REFERENCE</w:t>
      </w:r>
    </w:p>
    <w:p>
      <w:pPr>
        <w:spacing w:after="0" w:line="46" w:lineRule="exact"/>
        <w:rPr>
          <w:sz w:val="24"/>
          <w:szCs w:val="24"/>
          <w:color w:val="auto"/>
        </w:rPr>
      </w:pPr>
    </w:p>
    <w:p>
      <w:pPr>
        <w:ind w:firstLine="509"/>
        <w:spacing w:after="0" w:line="245" w:lineRule="auto"/>
        <w:rPr>
          <w:sz w:val="20"/>
          <w:szCs w:val="20"/>
          <w:color w:val="auto"/>
        </w:rPr>
      </w:pPr>
      <w:r>
        <w:rPr>
          <w:rFonts w:ascii="Calibri" w:cs="Calibri" w:eastAsia="Calibri" w:hAnsi="Calibri"/>
          <w:sz w:val="14"/>
          <w:szCs w:val="14"/>
          <w:color w:val="auto"/>
        </w:rPr>
        <w:t>Portons of the registrant’s defnitve proxy statement relatng to its 2025 Annual Meetng of Stockholders, to be held on or about May 15, 2025, are incorporated by reference into Part III of this Annual Report on Form 10-K where indicated. Such proxy statement will be fled with the U.S. Securites and Exchange Commission within 120 days afer the end of the fscal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753110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6"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60" w:type="dxa"/>
            <w:vAlign w:val="bottom"/>
            <w:gridSpan w:val="12"/>
          </w:tcPr>
          <w:p>
            <w:pPr>
              <w:ind w:left="140"/>
              <w:spacing w:after="0"/>
              <w:rPr>
                <w:sz w:val="20"/>
                <w:szCs w:val="20"/>
                <w:color w:val="auto"/>
              </w:rPr>
            </w:pPr>
            <w:r>
              <w:rPr>
                <w:rFonts w:ascii="Calibri" w:cs="Calibri" w:eastAsia="Calibri" w:hAnsi="Calibri"/>
                <w:sz w:val="18"/>
                <w:szCs w:val="18"/>
                <w:b w:val="1"/>
                <w:bCs w:val="1"/>
                <w:color w:val="auto"/>
              </w:rPr>
              <w:t>Table of Contents</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alibri" w:cs="Calibri" w:eastAsia="Calibri" w:hAnsi="Calibri"/>
                <w:sz w:val="14"/>
                <w:szCs w:val="14"/>
                <w:b w:val="1"/>
                <w:bCs w:val="1"/>
                <w:color w:val="auto"/>
              </w:rPr>
              <w:t>Page</w:t>
            </w:r>
          </w:p>
        </w:tc>
        <w:tc>
          <w:tcPr>
            <w:tcW w:w="0" w:type="dxa"/>
            <w:vAlign w:val="bottom"/>
          </w:tcPr>
          <w:p>
            <w:pPr>
              <w:spacing w:after="0"/>
              <w:rPr>
                <w:sz w:val="1"/>
                <w:szCs w:val="1"/>
                <w:color w:val="auto"/>
              </w:rPr>
            </w:pPr>
          </w:p>
        </w:tc>
      </w:tr>
      <w:tr>
        <w:trPr>
          <w:trHeight w:val="47"/>
        </w:trPr>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vMerge w:val="restart"/>
          </w:tcPr>
          <w:p>
            <w:pPr>
              <w:spacing w:after="0"/>
              <w:rPr>
                <w:sz w:val="4"/>
                <w:szCs w:val="4"/>
                <w:color w:val="auto"/>
              </w:rPr>
            </w:pPr>
          </w:p>
        </w:tc>
        <w:tc>
          <w:tcPr>
            <w:tcW w:w="120" w:type="dxa"/>
            <w:vAlign w:val="bottom"/>
            <w:vMerge w:val="restart"/>
          </w:tcPr>
          <w:p>
            <w:pPr>
              <w:spacing w:after="0"/>
              <w:rPr>
                <w:sz w:val="4"/>
                <w:szCs w:val="4"/>
                <w:color w:val="auto"/>
              </w:rPr>
            </w:pPr>
          </w:p>
        </w:tc>
        <w:tc>
          <w:tcPr>
            <w:tcW w:w="100" w:type="dxa"/>
            <w:vAlign w:val="bottom"/>
            <w:vMerge w:val="restart"/>
          </w:tcPr>
          <w:p>
            <w:pPr>
              <w:spacing w:after="0"/>
              <w:rPr>
                <w:sz w:val="4"/>
                <w:szCs w:val="4"/>
                <w:color w:val="auto"/>
              </w:rPr>
            </w:pPr>
          </w:p>
        </w:tc>
        <w:tc>
          <w:tcPr>
            <w:tcW w:w="120" w:type="dxa"/>
            <w:vAlign w:val="bottom"/>
            <w:vMerge w:val="restart"/>
          </w:tcPr>
          <w:p>
            <w:pPr>
              <w:spacing w:after="0"/>
              <w:rPr>
                <w:sz w:val="4"/>
                <w:szCs w:val="4"/>
                <w:color w:val="auto"/>
              </w:rPr>
            </w:pPr>
          </w:p>
        </w:tc>
        <w:tc>
          <w:tcPr>
            <w:tcW w:w="28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140" w:type="dxa"/>
            <w:vAlign w:val="bottom"/>
            <w:vMerge w:val="restart"/>
          </w:tcPr>
          <w:p>
            <w:pPr>
              <w:spacing w:after="0"/>
              <w:rPr>
                <w:sz w:val="4"/>
                <w:szCs w:val="4"/>
                <w:color w:val="auto"/>
              </w:rPr>
            </w:pPr>
          </w:p>
        </w:tc>
        <w:tc>
          <w:tcPr>
            <w:tcW w:w="22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200" w:type="dxa"/>
            <w:vAlign w:val="bottom"/>
            <w:vMerge w:val="restart"/>
          </w:tcPr>
          <w:p>
            <w:pPr>
              <w:spacing w:after="0"/>
              <w:rPr>
                <w:sz w:val="4"/>
                <w:szCs w:val="4"/>
                <w:color w:val="auto"/>
              </w:rPr>
            </w:pPr>
          </w:p>
        </w:tc>
        <w:tc>
          <w:tcPr>
            <w:tcW w:w="720" w:type="dxa"/>
            <w:vAlign w:val="bottom"/>
            <w:vMerge w:val="restart"/>
          </w:tcPr>
          <w:p>
            <w:pPr>
              <w:spacing w:after="0"/>
              <w:rPr>
                <w:sz w:val="4"/>
                <w:szCs w:val="4"/>
                <w:color w:val="auto"/>
              </w:rPr>
            </w:pPr>
          </w:p>
        </w:tc>
        <w:tc>
          <w:tcPr>
            <w:tcW w:w="280" w:type="dxa"/>
            <w:vAlign w:val="bottom"/>
            <w:vMerge w:val="restart"/>
          </w:tcPr>
          <w:p>
            <w:pPr>
              <w:spacing w:after="0"/>
              <w:rPr>
                <w:sz w:val="4"/>
                <w:szCs w:val="4"/>
                <w:color w:val="auto"/>
              </w:rPr>
            </w:pPr>
          </w:p>
        </w:tc>
        <w:tc>
          <w:tcPr>
            <w:tcW w:w="200" w:type="dxa"/>
            <w:vAlign w:val="bottom"/>
            <w:vMerge w:val="restart"/>
          </w:tcPr>
          <w:p>
            <w:pPr>
              <w:spacing w:after="0"/>
              <w:rPr>
                <w:sz w:val="4"/>
                <w:szCs w:val="4"/>
                <w:color w:val="auto"/>
              </w:rPr>
            </w:pPr>
          </w:p>
        </w:tc>
        <w:tc>
          <w:tcPr>
            <w:tcW w:w="640" w:type="dxa"/>
            <w:vAlign w:val="bottom"/>
            <w:vMerge w:val="restart"/>
          </w:tcPr>
          <w:p>
            <w:pPr>
              <w:spacing w:after="0"/>
              <w:rPr>
                <w:sz w:val="4"/>
                <w:szCs w:val="4"/>
                <w:color w:val="auto"/>
              </w:rPr>
            </w:pPr>
          </w:p>
        </w:tc>
        <w:tc>
          <w:tcPr>
            <w:tcW w:w="220" w:type="dxa"/>
            <w:vAlign w:val="bottom"/>
            <w:vMerge w:val="restart"/>
          </w:tcPr>
          <w:p>
            <w:pPr>
              <w:spacing w:after="0"/>
              <w:rPr>
                <w:sz w:val="4"/>
                <w:szCs w:val="4"/>
                <w:color w:val="auto"/>
              </w:rPr>
            </w:pPr>
          </w:p>
        </w:tc>
        <w:tc>
          <w:tcPr>
            <w:tcW w:w="540" w:type="dxa"/>
            <w:vAlign w:val="bottom"/>
            <w:vMerge w:val="restart"/>
          </w:tcPr>
          <w:p>
            <w:pPr>
              <w:spacing w:after="0"/>
              <w:rPr>
                <w:sz w:val="4"/>
                <w:szCs w:val="4"/>
                <w:color w:val="auto"/>
              </w:rPr>
            </w:pPr>
          </w:p>
        </w:tc>
        <w:tc>
          <w:tcPr>
            <w:tcW w:w="16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480" w:type="dxa"/>
            <w:vAlign w:val="bottom"/>
            <w:gridSpan w:val="2"/>
            <w:vMerge w:val="restart"/>
          </w:tcPr>
          <w:p>
            <w:pPr>
              <w:jc w:val="center"/>
              <w:spacing w:after="0"/>
              <w:rPr>
                <w:sz w:val="20"/>
                <w:szCs w:val="20"/>
                <w:color w:val="auto"/>
              </w:rPr>
            </w:pPr>
            <w:r>
              <w:rPr>
                <w:rFonts w:ascii="Calibri" w:cs="Calibri" w:eastAsia="Calibri" w:hAnsi="Calibri"/>
                <w:sz w:val="18"/>
                <w:szCs w:val="18"/>
                <w:b w:val="1"/>
                <w:bCs w:val="1"/>
                <w:color w:val="0000FF"/>
                <w:w w:val="99"/>
              </w:rPr>
              <w:t>PART I</w:t>
            </w:r>
          </w:p>
        </w:tc>
        <w:tc>
          <w:tcPr>
            <w:tcW w:w="4640" w:type="dxa"/>
            <w:vAlign w:val="bottom"/>
            <w:gridSpan w:val="6"/>
            <w:vMerge w:val="restart"/>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1140" w:type="dxa"/>
            <w:vAlign w:val="bottom"/>
            <w:gridSpan w:val="3"/>
            <w:vMerge w:val="restart"/>
          </w:tcPr>
          <w:p>
            <w:pPr>
              <w:ind w:left="20"/>
              <w:spacing w:after="0"/>
              <w:rPr>
                <w:sz w:val="20"/>
                <w:szCs w:val="20"/>
                <w:color w:val="auto"/>
              </w:rPr>
            </w:pPr>
            <w:r>
              <w:rPr>
                <w:rFonts w:ascii="Calibri" w:cs="Calibri" w:eastAsia="Calibri" w:hAnsi="Calibri"/>
                <w:sz w:val="16"/>
                <w:szCs w:val="16"/>
                <w:color w:val="auto"/>
              </w:rPr>
              <w:t>Item 1.</w:t>
            </w:r>
          </w:p>
        </w:tc>
        <w:tc>
          <w:tcPr>
            <w:tcW w:w="56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80" w:type="dxa"/>
            <w:vAlign w:val="bottom"/>
            <w:tcBorders>
              <w:bottom w:val="single" w:sz="8" w:color="0000EE"/>
            </w:tcBorders>
            <w:gridSpan w:val="2"/>
            <w:vMerge w:val="continue"/>
          </w:tcPr>
          <w:p>
            <w:pPr>
              <w:spacing w:after="0"/>
              <w:rPr>
                <w:sz w:val="13"/>
                <w:szCs w:val="13"/>
                <w:color w:val="auto"/>
              </w:rPr>
            </w:pPr>
          </w:p>
        </w:tc>
        <w:tc>
          <w:tcPr>
            <w:tcW w:w="4640" w:type="dxa"/>
            <w:vAlign w:val="bottom"/>
            <w:gridSpan w:val="6"/>
            <w:vMerge w:val="continue"/>
          </w:tcPr>
          <w:p>
            <w:pPr>
              <w:spacing w:after="0"/>
              <w:rPr>
                <w:sz w:val="13"/>
                <w:szCs w:val="13"/>
                <w:color w:val="auto"/>
              </w:rPr>
            </w:pPr>
          </w:p>
        </w:tc>
        <w:tc>
          <w:tcPr>
            <w:tcW w:w="360" w:type="dxa"/>
            <w:vAlign w:val="bottom"/>
            <w:vMerge w:val="restart"/>
          </w:tcPr>
          <w:p>
            <w:pPr>
              <w:jc w:val="right"/>
              <w:spacing w:after="0"/>
              <w:rPr>
                <w:sz w:val="20"/>
                <w:szCs w:val="20"/>
                <w:color w:val="auto"/>
              </w:rPr>
            </w:pPr>
            <w:r>
              <w:rPr>
                <w:rFonts w:ascii="Calibri" w:cs="Calibri" w:eastAsia="Calibri" w:hAnsi="Calibri"/>
                <w:sz w:val="18"/>
                <w:szCs w:val="18"/>
                <w:color w:val="auto"/>
              </w:rPr>
              <w:t>4</w:t>
            </w:r>
          </w:p>
        </w:tc>
        <w:tc>
          <w:tcPr>
            <w:tcW w:w="0" w:type="dxa"/>
            <w:vAlign w:val="bottom"/>
          </w:tcPr>
          <w:p>
            <w:pPr>
              <w:spacing w:after="0"/>
              <w:rPr>
                <w:sz w:val="1"/>
                <w:szCs w:val="1"/>
                <w:color w:val="auto"/>
              </w:rPr>
            </w:pPr>
          </w:p>
        </w:tc>
      </w:tr>
      <w:tr>
        <w:trPr>
          <w:trHeight w:val="304"/>
        </w:trPr>
        <w:tc>
          <w:tcPr>
            <w:tcW w:w="1140" w:type="dxa"/>
            <w:vAlign w:val="bottom"/>
            <w:gridSpan w:val="3"/>
            <w:vMerge w:val="continue"/>
          </w:tcPr>
          <w:p>
            <w:pPr>
              <w:spacing w:after="0"/>
              <w:rPr>
                <w:sz w:val="24"/>
                <w:szCs w:val="24"/>
                <w:color w:val="auto"/>
              </w:rPr>
            </w:pPr>
          </w:p>
        </w:tc>
        <w:tc>
          <w:tcPr>
            <w:tcW w:w="9740" w:type="dxa"/>
            <w:vAlign w:val="bottom"/>
            <w:gridSpan w:val="27"/>
          </w:tcPr>
          <w:p>
            <w:pPr>
              <w:spacing w:after="0"/>
              <w:rPr>
                <w:sz w:val="20"/>
                <w:szCs w:val="20"/>
                <w:color w:val="auto"/>
              </w:rPr>
            </w:pPr>
            <w:r>
              <w:rPr>
                <w:rFonts w:ascii="Calibri" w:cs="Calibri" w:eastAsia="Calibri" w:hAnsi="Calibri"/>
                <w:sz w:val="16"/>
                <w:szCs w:val="16"/>
                <w:color w:val="0000FF"/>
              </w:rPr>
              <w:t>Business</w:t>
            </w:r>
          </w:p>
        </w:tc>
        <w:tc>
          <w:tcPr>
            <w:tcW w:w="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60" w:type="dxa"/>
            <w:vAlign w:val="bottom"/>
            <w:vMerge w:val="restart"/>
          </w:tcPr>
          <w:p>
            <w:pPr>
              <w:jc w:val="right"/>
              <w:spacing w:after="0"/>
              <w:rPr>
                <w:sz w:val="20"/>
                <w:szCs w:val="20"/>
                <w:color w:val="auto"/>
              </w:rPr>
            </w:pPr>
            <w:r>
              <w:rPr>
                <w:rFonts w:ascii="Calibri" w:cs="Calibri" w:eastAsia="Calibri" w:hAnsi="Calibri"/>
                <w:sz w:val="18"/>
                <w:szCs w:val="18"/>
                <w:color w:val="auto"/>
              </w:rPr>
              <w:t>29</w:t>
            </w:r>
          </w:p>
        </w:tc>
        <w:tc>
          <w:tcPr>
            <w:tcW w:w="0" w:type="dxa"/>
            <w:vAlign w:val="bottom"/>
          </w:tcPr>
          <w:p>
            <w:pPr>
              <w:spacing w:after="0" w:line="20" w:lineRule="exact"/>
              <w:rPr>
                <w:sz w:val="1"/>
                <w:szCs w:val="1"/>
                <w:color w:val="auto"/>
              </w:rPr>
            </w:pPr>
          </w:p>
        </w:tc>
      </w:tr>
      <w:tr>
        <w:trPr>
          <w:trHeight w:val="304"/>
        </w:trPr>
        <w:tc>
          <w:tcPr>
            <w:tcW w:w="1140" w:type="dxa"/>
            <w:vAlign w:val="bottom"/>
            <w:gridSpan w:val="3"/>
          </w:tcPr>
          <w:p>
            <w:pPr>
              <w:ind w:left="20"/>
              <w:spacing w:after="0"/>
              <w:rPr>
                <w:sz w:val="20"/>
                <w:szCs w:val="20"/>
                <w:color w:val="auto"/>
              </w:rPr>
            </w:pPr>
            <w:r>
              <w:rPr>
                <w:rFonts w:ascii="Calibri" w:cs="Calibri" w:eastAsia="Calibri" w:hAnsi="Calibri"/>
                <w:sz w:val="16"/>
                <w:szCs w:val="16"/>
                <w:color w:val="auto"/>
              </w:rPr>
              <w:t>Item 1A.</w:t>
            </w:r>
          </w:p>
        </w:tc>
        <w:tc>
          <w:tcPr>
            <w:tcW w:w="9740" w:type="dxa"/>
            <w:vAlign w:val="bottom"/>
            <w:gridSpan w:val="27"/>
          </w:tcPr>
          <w:p>
            <w:pPr>
              <w:spacing w:after="0"/>
              <w:rPr>
                <w:sz w:val="20"/>
                <w:szCs w:val="20"/>
                <w:color w:val="auto"/>
              </w:rPr>
            </w:pPr>
            <w:r>
              <w:rPr>
                <w:rFonts w:ascii="Calibri" w:cs="Calibri" w:eastAsia="Calibri" w:hAnsi="Calibri"/>
                <w:sz w:val="16"/>
                <w:szCs w:val="16"/>
                <w:color w:val="0000FF"/>
              </w:rPr>
              <w:t>Risk Factors</w:t>
            </w:r>
          </w:p>
        </w:tc>
        <w:tc>
          <w:tcPr>
            <w:tcW w:w="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60" w:type="dxa"/>
            <w:vAlign w:val="bottom"/>
            <w:vMerge w:val="restart"/>
          </w:tcPr>
          <w:p>
            <w:pPr>
              <w:jc w:val="right"/>
              <w:spacing w:after="0"/>
              <w:rPr>
                <w:sz w:val="20"/>
                <w:szCs w:val="20"/>
                <w:color w:val="auto"/>
              </w:rPr>
            </w:pPr>
            <w:r>
              <w:rPr>
                <w:rFonts w:ascii="Calibri" w:cs="Calibri" w:eastAsia="Calibri" w:hAnsi="Calibri"/>
                <w:sz w:val="18"/>
                <w:szCs w:val="18"/>
                <w:color w:val="auto"/>
              </w:rPr>
              <w:t>67</w:t>
            </w: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Calibri" w:cs="Calibri" w:eastAsia="Calibri" w:hAnsi="Calibri"/>
                <w:sz w:val="16"/>
                <w:szCs w:val="16"/>
                <w:color w:val="auto"/>
              </w:rPr>
              <w:t>Item 1B.</w:t>
            </w:r>
          </w:p>
        </w:tc>
        <w:tc>
          <w:tcPr>
            <w:tcW w:w="9740" w:type="dxa"/>
            <w:vAlign w:val="bottom"/>
            <w:gridSpan w:val="27"/>
          </w:tcPr>
          <w:p>
            <w:pPr>
              <w:spacing w:after="0"/>
              <w:rPr>
                <w:sz w:val="20"/>
                <w:szCs w:val="20"/>
                <w:color w:val="auto"/>
              </w:rPr>
            </w:pPr>
            <w:r>
              <w:rPr>
                <w:rFonts w:ascii="Calibri" w:cs="Calibri" w:eastAsia="Calibri" w:hAnsi="Calibri"/>
                <w:sz w:val="16"/>
                <w:szCs w:val="16"/>
                <w:color w:val="0000FF"/>
              </w:rPr>
              <w:t>Unresolved Staf Comments</w:t>
            </w:r>
          </w:p>
        </w:tc>
        <w:tc>
          <w:tcPr>
            <w:tcW w:w="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40" w:type="dxa"/>
            <w:vAlign w:val="bottom"/>
            <w:gridSpan w:val="3"/>
          </w:tcPr>
          <w:p>
            <w:pPr>
              <w:ind w:left="20"/>
              <w:spacing w:after="0"/>
              <w:rPr>
                <w:sz w:val="20"/>
                <w:szCs w:val="20"/>
                <w:color w:val="auto"/>
              </w:rPr>
            </w:pPr>
            <w:r>
              <w:rPr>
                <w:rFonts w:ascii="Calibri" w:cs="Calibri" w:eastAsia="Calibri" w:hAnsi="Calibri"/>
                <w:sz w:val="16"/>
                <w:szCs w:val="16"/>
                <w:color w:val="auto"/>
              </w:rPr>
              <w:t>Item 1C.</w:t>
            </w:r>
          </w:p>
        </w:tc>
        <w:tc>
          <w:tcPr>
            <w:tcW w:w="1840" w:type="dxa"/>
            <w:vAlign w:val="bottom"/>
            <w:tcBorders>
              <w:top w:val="single" w:sz="8" w:color="0000EE"/>
            </w:tcBorders>
            <w:gridSpan w:val="11"/>
          </w:tcPr>
          <w:p>
            <w:pPr>
              <w:spacing w:after="0"/>
              <w:rPr>
                <w:sz w:val="20"/>
                <w:szCs w:val="20"/>
                <w:color w:val="auto"/>
              </w:rPr>
            </w:pPr>
            <w:r>
              <w:rPr>
                <w:rFonts w:ascii="Calibri" w:cs="Calibri" w:eastAsia="Calibri" w:hAnsi="Calibri"/>
                <w:sz w:val="16"/>
                <w:szCs w:val="16"/>
                <w:color w:val="0000FF"/>
              </w:rPr>
              <w:t>Cybersecurity</w:t>
            </w:r>
          </w:p>
        </w:tc>
        <w:tc>
          <w:tcPr>
            <w:tcW w:w="7900" w:type="dxa"/>
            <w:vAlign w:val="bottom"/>
            <w:gridSpan w:val="16"/>
          </w:tcPr>
          <w:p>
            <w:pPr>
              <w:spacing w:after="0"/>
              <w:rPr>
                <w:sz w:val="24"/>
                <w:szCs w:val="24"/>
                <w:color w:val="auto"/>
              </w:rPr>
            </w:pPr>
          </w:p>
        </w:tc>
        <w:tc>
          <w:tcPr>
            <w:tcW w:w="360" w:type="dxa"/>
            <w:vAlign w:val="bottom"/>
          </w:tcPr>
          <w:p>
            <w:pPr>
              <w:jc w:val="right"/>
              <w:spacing w:after="0"/>
              <w:rPr>
                <w:sz w:val="20"/>
                <w:szCs w:val="20"/>
                <w:color w:val="auto"/>
              </w:rPr>
            </w:pPr>
            <w:r>
              <w:rPr>
                <w:rFonts w:ascii="Calibri" w:cs="Calibri" w:eastAsia="Calibri" w:hAnsi="Calibri"/>
                <w:sz w:val="18"/>
                <w:szCs w:val="18"/>
                <w:color w:val="auto"/>
              </w:rPr>
              <w:t>67</w:t>
            </w: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Calibri" w:cs="Calibri" w:eastAsia="Calibri" w:hAnsi="Calibri"/>
                <w:sz w:val="16"/>
                <w:szCs w:val="16"/>
                <w:color w:val="auto"/>
              </w:rPr>
              <w:t>Item 2.</w:t>
            </w:r>
          </w:p>
        </w:tc>
        <w:tc>
          <w:tcPr>
            <w:tcW w:w="900" w:type="dxa"/>
            <w:vAlign w:val="bottom"/>
            <w:tcBorders>
              <w:top w:val="single" w:sz="8" w:color="0000EE"/>
            </w:tcBorders>
            <w:gridSpan w:val="4"/>
          </w:tcPr>
          <w:p>
            <w:pPr>
              <w:spacing w:after="0"/>
              <w:rPr>
                <w:sz w:val="20"/>
                <w:szCs w:val="20"/>
                <w:color w:val="auto"/>
              </w:rPr>
            </w:pPr>
            <w:r>
              <w:rPr>
                <w:rFonts w:ascii="Calibri" w:cs="Calibri" w:eastAsia="Calibri" w:hAnsi="Calibri"/>
                <w:sz w:val="16"/>
                <w:szCs w:val="16"/>
                <w:color w:val="0000FF"/>
              </w:rPr>
              <w:t>Propertes</w:t>
            </w:r>
          </w:p>
        </w:tc>
        <w:tc>
          <w:tcPr>
            <w:tcW w:w="8840" w:type="dxa"/>
            <w:vAlign w:val="bottom"/>
            <w:gridSpan w:val="23"/>
          </w:tcPr>
          <w:p>
            <w:pPr>
              <w:spacing w:after="0"/>
              <w:rPr>
                <w:sz w:val="24"/>
                <w:szCs w:val="24"/>
                <w:color w:val="auto"/>
              </w:rPr>
            </w:pPr>
          </w:p>
        </w:tc>
        <w:tc>
          <w:tcPr>
            <w:tcW w:w="360" w:type="dxa"/>
            <w:vAlign w:val="bottom"/>
          </w:tcPr>
          <w:p>
            <w:pPr>
              <w:jc w:val="right"/>
              <w:spacing w:after="0"/>
              <w:rPr>
                <w:sz w:val="20"/>
                <w:szCs w:val="20"/>
                <w:color w:val="auto"/>
              </w:rPr>
            </w:pPr>
            <w:r>
              <w:rPr>
                <w:rFonts w:ascii="Calibri" w:cs="Calibri" w:eastAsia="Calibri" w:hAnsi="Calibri"/>
                <w:sz w:val="18"/>
                <w:szCs w:val="18"/>
                <w:color w:val="auto"/>
              </w:rPr>
              <w:t>67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60" w:type="dxa"/>
            <w:vAlign w:val="bottom"/>
            <w:vMerge w:val="restart"/>
          </w:tcPr>
          <w:p>
            <w:pPr>
              <w:jc w:val="right"/>
              <w:spacing w:after="0"/>
              <w:rPr>
                <w:sz w:val="20"/>
                <w:szCs w:val="20"/>
                <w:color w:val="auto"/>
              </w:rPr>
            </w:pPr>
            <w:r>
              <w:rPr>
                <w:rFonts w:ascii="Calibri" w:cs="Calibri" w:eastAsia="Calibri" w:hAnsi="Calibri"/>
                <w:sz w:val="18"/>
                <w:szCs w:val="18"/>
                <w:color w:val="auto"/>
              </w:rPr>
              <w:t>68</w:t>
            </w: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Calibri" w:cs="Calibri" w:eastAsia="Calibri" w:hAnsi="Calibri"/>
                <w:sz w:val="16"/>
                <w:szCs w:val="16"/>
                <w:color w:val="auto"/>
              </w:rPr>
              <w:t>Item 3.</w:t>
            </w:r>
          </w:p>
        </w:tc>
        <w:tc>
          <w:tcPr>
            <w:tcW w:w="9740" w:type="dxa"/>
            <w:vAlign w:val="bottom"/>
            <w:gridSpan w:val="27"/>
          </w:tcPr>
          <w:p>
            <w:pPr>
              <w:spacing w:after="0"/>
              <w:rPr>
                <w:sz w:val="20"/>
                <w:szCs w:val="20"/>
                <w:color w:val="auto"/>
              </w:rPr>
            </w:pPr>
            <w:r>
              <w:rPr>
                <w:rFonts w:ascii="Calibri" w:cs="Calibri" w:eastAsia="Calibri" w:hAnsi="Calibri"/>
                <w:sz w:val="16"/>
                <w:szCs w:val="16"/>
                <w:color w:val="0000FF"/>
              </w:rPr>
              <w:t>Legal Proceedings</w:t>
            </w:r>
          </w:p>
        </w:tc>
        <w:tc>
          <w:tcPr>
            <w:tcW w:w="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60" w:type="dxa"/>
            <w:vAlign w:val="bottom"/>
            <w:vMerge w:val="restart"/>
          </w:tcPr>
          <w:p>
            <w:pPr>
              <w:jc w:val="right"/>
              <w:spacing w:after="0"/>
              <w:rPr>
                <w:sz w:val="20"/>
                <w:szCs w:val="20"/>
                <w:color w:val="auto"/>
              </w:rPr>
            </w:pPr>
            <w:r>
              <w:rPr>
                <w:rFonts w:ascii="Calibri" w:cs="Calibri" w:eastAsia="Calibri" w:hAnsi="Calibri"/>
                <w:sz w:val="18"/>
                <w:szCs w:val="18"/>
                <w:color w:val="auto"/>
              </w:rPr>
              <w:t>68</w:t>
            </w: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Calibri" w:cs="Calibri" w:eastAsia="Calibri" w:hAnsi="Calibri"/>
                <w:sz w:val="16"/>
                <w:szCs w:val="16"/>
                <w:color w:val="auto"/>
              </w:rPr>
              <w:t>Item 4.</w:t>
            </w:r>
          </w:p>
        </w:tc>
        <w:tc>
          <w:tcPr>
            <w:tcW w:w="9740" w:type="dxa"/>
            <w:vAlign w:val="bottom"/>
            <w:gridSpan w:val="27"/>
          </w:tcPr>
          <w:p>
            <w:pPr>
              <w:spacing w:after="0"/>
              <w:rPr>
                <w:sz w:val="20"/>
                <w:szCs w:val="20"/>
                <w:color w:val="auto"/>
              </w:rPr>
            </w:pPr>
            <w:r>
              <w:rPr>
                <w:rFonts w:ascii="Calibri" w:cs="Calibri" w:eastAsia="Calibri" w:hAnsi="Calibri"/>
                <w:sz w:val="16"/>
                <w:szCs w:val="16"/>
                <w:color w:val="0000FF"/>
              </w:rPr>
              <w:t>Mine Safety Disclosures</w:t>
            </w:r>
          </w:p>
        </w:tc>
        <w:tc>
          <w:tcPr>
            <w:tcW w:w="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20" w:type="dxa"/>
            <w:vAlign w:val="bottom"/>
            <w:gridSpan w:val="8"/>
          </w:tcPr>
          <w:p>
            <w:pPr>
              <w:jc w:val="center"/>
              <w:ind w:right="4640"/>
              <w:spacing w:after="0"/>
              <w:rPr>
                <w:sz w:val="20"/>
                <w:szCs w:val="20"/>
                <w:color w:val="auto"/>
              </w:rPr>
            </w:pPr>
            <w:r>
              <w:rPr>
                <w:rFonts w:ascii="Calibri" w:cs="Calibri" w:eastAsia="Calibri" w:hAnsi="Calibri"/>
                <w:sz w:val="16"/>
                <w:szCs w:val="16"/>
                <w:b w:val="1"/>
                <w:bCs w:val="1"/>
                <w:color w:val="0000FF"/>
              </w:rPr>
              <w:t>PART II</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60" w:type="dxa"/>
            <w:vAlign w:val="bottom"/>
            <w:vMerge w:val="restart"/>
          </w:tcPr>
          <w:p>
            <w:pPr>
              <w:jc w:val="right"/>
              <w:spacing w:after="0"/>
              <w:rPr>
                <w:sz w:val="20"/>
                <w:szCs w:val="20"/>
                <w:color w:val="auto"/>
              </w:rPr>
            </w:pPr>
            <w:r>
              <w:rPr>
                <w:rFonts w:ascii="Calibri" w:cs="Calibri" w:eastAsia="Calibri" w:hAnsi="Calibri"/>
                <w:sz w:val="18"/>
                <w:szCs w:val="18"/>
                <w:color w:val="auto"/>
              </w:rPr>
              <w:t>69</w:t>
            </w: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Calibri" w:cs="Calibri" w:eastAsia="Calibri" w:hAnsi="Calibri"/>
                <w:sz w:val="16"/>
                <w:szCs w:val="16"/>
                <w:color w:val="auto"/>
              </w:rPr>
              <w:t>Item 5.</w:t>
            </w:r>
          </w:p>
        </w:tc>
        <w:tc>
          <w:tcPr>
            <w:tcW w:w="7280" w:type="dxa"/>
            <w:vAlign w:val="bottom"/>
            <w:tcBorders>
              <w:bottom w:val="single" w:sz="8" w:color="0000EE"/>
            </w:tcBorders>
            <w:gridSpan w:val="26"/>
          </w:tcPr>
          <w:p>
            <w:pPr>
              <w:spacing w:after="0"/>
              <w:rPr>
                <w:sz w:val="20"/>
                <w:szCs w:val="20"/>
                <w:color w:val="auto"/>
              </w:rPr>
            </w:pPr>
            <w:r>
              <w:rPr>
                <w:rFonts w:ascii="Calibri" w:cs="Calibri" w:eastAsia="Calibri" w:hAnsi="Calibri"/>
                <w:sz w:val="16"/>
                <w:szCs w:val="16"/>
                <w:color w:val="0000FF"/>
              </w:rPr>
              <w:t>Market for Registrant’s Common Equity, Related Stockholder Maters and Issuer Purchases of Equity Securites</w:t>
            </w:r>
          </w:p>
        </w:tc>
        <w:tc>
          <w:tcPr>
            <w:tcW w:w="246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Calibri" w:cs="Calibri" w:eastAsia="Calibri" w:hAnsi="Calibri"/>
                <w:sz w:val="16"/>
                <w:szCs w:val="16"/>
                <w:color w:val="auto"/>
              </w:rPr>
              <w:t>Item 6.</w:t>
            </w:r>
          </w:p>
        </w:tc>
        <w:tc>
          <w:tcPr>
            <w:tcW w:w="680" w:type="dxa"/>
            <w:vAlign w:val="bottom"/>
            <w:tcBorders>
              <w:bottom w:val="single" w:sz="8" w:color="0000EE"/>
            </w:tcBorders>
            <w:gridSpan w:val="2"/>
          </w:tcPr>
          <w:p>
            <w:pPr>
              <w:spacing w:after="0"/>
              <w:rPr>
                <w:sz w:val="20"/>
                <w:szCs w:val="20"/>
                <w:color w:val="auto"/>
              </w:rPr>
            </w:pPr>
            <w:r>
              <w:rPr>
                <w:rFonts w:ascii="Calibri" w:cs="Calibri" w:eastAsia="Calibri" w:hAnsi="Calibri"/>
                <w:sz w:val="16"/>
                <w:szCs w:val="16"/>
                <w:color w:val="0000FF"/>
              </w:rPr>
              <w:t>Reserved</w:t>
            </w:r>
          </w:p>
        </w:tc>
        <w:tc>
          <w:tcPr>
            <w:tcW w:w="9060" w:type="dxa"/>
            <w:vAlign w:val="bottom"/>
            <w:gridSpan w:val="25"/>
          </w:tcPr>
          <w:p>
            <w:pPr>
              <w:spacing w:after="0"/>
              <w:rPr>
                <w:sz w:val="24"/>
                <w:szCs w:val="24"/>
                <w:color w:val="auto"/>
              </w:rPr>
            </w:pPr>
          </w:p>
        </w:tc>
        <w:tc>
          <w:tcPr>
            <w:tcW w:w="360" w:type="dxa"/>
            <w:vAlign w:val="bottom"/>
          </w:tcPr>
          <w:p>
            <w:pPr>
              <w:jc w:val="right"/>
              <w:spacing w:after="0"/>
              <w:rPr>
                <w:sz w:val="20"/>
                <w:szCs w:val="20"/>
                <w:color w:val="auto"/>
              </w:rPr>
            </w:pPr>
            <w:r>
              <w:rPr>
                <w:rFonts w:ascii="Calibri" w:cs="Calibri" w:eastAsia="Calibri" w:hAnsi="Calibri"/>
                <w:sz w:val="18"/>
                <w:szCs w:val="18"/>
                <w:color w:val="auto"/>
              </w:rPr>
              <w:t>70</w:t>
            </w: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Calibri" w:cs="Calibri" w:eastAsia="Calibri" w:hAnsi="Calibri"/>
                <w:sz w:val="16"/>
                <w:szCs w:val="16"/>
                <w:color w:val="auto"/>
              </w:rPr>
              <w:t>Item 7.</w:t>
            </w:r>
          </w:p>
        </w:tc>
        <w:tc>
          <w:tcPr>
            <w:tcW w:w="9740" w:type="dxa"/>
            <w:vAlign w:val="bottom"/>
            <w:gridSpan w:val="27"/>
          </w:tcPr>
          <w:p>
            <w:pPr>
              <w:spacing w:after="0"/>
              <w:rPr>
                <w:sz w:val="20"/>
                <w:szCs w:val="20"/>
                <w:color w:val="auto"/>
              </w:rPr>
            </w:pPr>
            <w:r>
              <w:rPr>
                <w:rFonts w:ascii="Calibri" w:cs="Calibri" w:eastAsia="Calibri" w:hAnsi="Calibri"/>
                <w:sz w:val="16"/>
                <w:szCs w:val="16"/>
                <w:color w:val="0000FF"/>
              </w:rPr>
              <w:t>Management’s Discussion and Analysis of Financial Conditon and Results of Operatons</w:t>
            </w:r>
          </w:p>
        </w:tc>
        <w:tc>
          <w:tcPr>
            <w:tcW w:w="360" w:type="dxa"/>
            <w:vAlign w:val="bottom"/>
          </w:tcPr>
          <w:p>
            <w:pPr>
              <w:jc w:val="right"/>
              <w:spacing w:after="0"/>
              <w:rPr>
                <w:sz w:val="20"/>
                <w:szCs w:val="20"/>
                <w:color w:val="auto"/>
              </w:rPr>
            </w:pPr>
            <w:r>
              <w:rPr>
                <w:rFonts w:ascii="Calibri" w:cs="Calibri" w:eastAsia="Calibri" w:hAnsi="Calibri"/>
                <w:sz w:val="18"/>
                <w:szCs w:val="18"/>
                <w:color w:val="auto"/>
              </w:rPr>
              <w:t>71</w:t>
            </w: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Calibri" w:cs="Calibri" w:eastAsia="Calibri" w:hAnsi="Calibri"/>
                <w:sz w:val="16"/>
                <w:szCs w:val="16"/>
                <w:color w:val="auto"/>
              </w:rPr>
              <w:t>Item 7A.</w:t>
            </w:r>
          </w:p>
        </w:tc>
        <w:tc>
          <w:tcPr>
            <w:tcW w:w="5760" w:type="dxa"/>
            <w:vAlign w:val="bottom"/>
            <w:tcBorders>
              <w:top w:val="single" w:sz="8" w:color="0000EE"/>
            </w:tcBorders>
            <w:gridSpan w:val="23"/>
          </w:tcPr>
          <w:p>
            <w:pPr>
              <w:spacing w:after="0"/>
              <w:rPr>
                <w:sz w:val="20"/>
                <w:szCs w:val="20"/>
                <w:color w:val="auto"/>
              </w:rPr>
            </w:pPr>
            <w:r>
              <w:rPr>
                <w:rFonts w:ascii="Calibri" w:cs="Calibri" w:eastAsia="Calibri" w:hAnsi="Calibri"/>
                <w:sz w:val="16"/>
                <w:szCs w:val="16"/>
                <w:color w:val="0000FF"/>
              </w:rPr>
              <w:t>Quanttatve and Qualitatve Disclosures About Market Risk</w:t>
            </w:r>
          </w:p>
        </w:tc>
        <w:tc>
          <w:tcPr>
            <w:tcW w:w="3980" w:type="dxa"/>
            <w:vAlign w:val="bottom"/>
            <w:gridSpan w:val="4"/>
          </w:tcPr>
          <w:p>
            <w:pPr>
              <w:spacing w:after="0"/>
              <w:rPr>
                <w:sz w:val="24"/>
                <w:szCs w:val="24"/>
                <w:color w:val="auto"/>
              </w:rPr>
            </w:pPr>
          </w:p>
        </w:tc>
        <w:tc>
          <w:tcPr>
            <w:tcW w:w="360" w:type="dxa"/>
            <w:vAlign w:val="bottom"/>
          </w:tcPr>
          <w:p>
            <w:pPr>
              <w:jc w:val="right"/>
              <w:spacing w:after="0"/>
              <w:rPr>
                <w:sz w:val="20"/>
                <w:szCs w:val="20"/>
                <w:color w:val="auto"/>
              </w:rPr>
            </w:pPr>
            <w:r>
              <w:rPr>
                <w:rFonts w:ascii="Calibri" w:cs="Calibri" w:eastAsia="Calibri" w:hAnsi="Calibri"/>
                <w:sz w:val="18"/>
                <w:szCs w:val="18"/>
                <w:color w:val="auto"/>
              </w:rPr>
              <w:t>81</w:t>
            </w: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Calibri" w:cs="Calibri" w:eastAsia="Calibri" w:hAnsi="Calibri"/>
                <w:sz w:val="16"/>
                <w:szCs w:val="16"/>
                <w:color w:val="auto"/>
              </w:rPr>
              <w:t>Item 8.</w:t>
            </w:r>
          </w:p>
        </w:tc>
        <w:tc>
          <w:tcPr>
            <w:tcW w:w="3900" w:type="dxa"/>
            <w:vAlign w:val="bottom"/>
            <w:tcBorders>
              <w:top w:val="single" w:sz="8" w:color="0000EE"/>
            </w:tcBorders>
            <w:gridSpan w:val="16"/>
          </w:tcPr>
          <w:p>
            <w:pPr>
              <w:spacing w:after="0"/>
              <w:rPr>
                <w:sz w:val="20"/>
                <w:szCs w:val="20"/>
                <w:color w:val="auto"/>
              </w:rPr>
            </w:pPr>
            <w:r>
              <w:rPr>
                <w:rFonts w:ascii="Calibri" w:cs="Calibri" w:eastAsia="Calibri" w:hAnsi="Calibri"/>
                <w:sz w:val="16"/>
                <w:szCs w:val="16"/>
                <w:color w:val="0000FF"/>
              </w:rPr>
              <w:t>Financial Statements and Supplementary Data</w:t>
            </w:r>
          </w:p>
        </w:tc>
        <w:tc>
          <w:tcPr>
            <w:tcW w:w="5840" w:type="dxa"/>
            <w:vAlign w:val="bottom"/>
            <w:gridSpan w:val="11"/>
          </w:tcPr>
          <w:p>
            <w:pPr>
              <w:spacing w:after="0"/>
              <w:rPr>
                <w:sz w:val="24"/>
                <w:szCs w:val="24"/>
                <w:color w:val="auto"/>
              </w:rPr>
            </w:pPr>
          </w:p>
        </w:tc>
        <w:tc>
          <w:tcPr>
            <w:tcW w:w="360" w:type="dxa"/>
            <w:vAlign w:val="bottom"/>
          </w:tcPr>
          <w:p>
            <w:pPr>
              <w:jc w:val="right"/>
              <w:spacing w:after="0"/>
              <w:rPr>
                <w:sz w:val="20"/>
                <w:szCs w:val="20"/>
                <w:color w:val="auto"/>
              </w:rPr>
            </w:pPr>
            <w:r>
              <w:rPr>
                <w:rFonts w:ascii="Calibri" w:cs="Calibri" w:eastAsia="Calibri" w:hAnsi="Calibri"/>
                <w:sz w:val="18"/>
                <w:szCs w:val="18"/>
                <w:color w:val="auto"/>
              </w:rPr>
              <w:t>82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360" w:type="dxa"/>
            <w:vAlign w:val="bottom"/>
            <w:vMerge w:val="restart"/>
          </w:tcPr>
          <w:p>
            <w:pPr>
              <w:jc w:val="right"/>
              <w:spacing w:after="0"/>
              <w:rPr>
                <w:sz w:val="20"/>
                <w:szCs w:val="20"/>
                <w:color w:val="auto"/>
              </w:rPr>
            </w:pPr>
            <w:r>
              <w:rPr>
                <w:rFonts w:ascii="Calibri" w:cs="Calibri" w:eastAsia="Calibri" w:hAnsi="Calibri"/>
                <w:sz w:val="18"/>
                <w:szCs w:val="18"/>
                <w:color w:val="auto"/>
              </w:rPr>
              <w:t>82</w:t>
            </w: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Calibri" w:cs="Calibri" w:eastAsia="Calibri" w:hAnsi="Calibri"/>
                <w:sz w:val="16"/>
                <w:szCs w:val="16"/>
                <w:color w:val="auto"/>
              </w:rPr>
              <w:t>Item 9.</w:t>
            </w:r>
          </w:p>
        </w:tc>
        <w:tc>
          <w:tcPr>
            <w:tcW w:w="5840" w:type="dxa"/>
            <w:vAlign w:val="bottom"/>
            <w:tcBorders>
              <w:bottom w:val="single" w:sz="8" w:color="0000EE"/>
            </w:tcBorders>
            <w:gridSpan w:val="24"/>
          </w:tcPr>
          <w:p>
            <w:pPr>
              <w:spacing w:after="0"/>
              <w:rPr>
                <w:sz w:val="20"/>
                <w:szCs w:val="20"/>
                <w:color w:val="auto"/>
              </w:rPr>
            </w:pPr>
            <w:r>
              <w:rPr>
                <w:rFonts w:ascii="Calibri" w:cs="Calibri" w:eastAsia="Calibri" w:hAnsi="Calibri"/>
                <w:sz w:val="16"/>
                <w:szCs w:val="16"/>
                <w:color w:val="0000FF"/>
              </w:rPr>
              <w:t>Changes in and Disagreements With Accountants on Accountng and Financial Disclosure</w:t>
            </w:r>
          </w:p>
        </w:tc>
        <w:tc>
          <w:tcPr>
            <w:tcW w:w="3900" w:type="dxa"/>
            <w:vAlign w:val="bottom"/>
            <w:gridSpan w:val="3"/>
          </w:tcPr>
          <w:p>
            <w:pPr>
              <w:spacing w:after="0"/>
              <w:rPr>
                <w:sz w:val="24"/>
                <w:szCs w:val="24"/>
                <w:color w:val="auto"/>
              </w:rPr>
            </w:pPr>
          </w:p>
        </w:tc>
        <w:tc>
          <w:tcPr>
            <w:tcW w:w="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Calibri" w:cs="Calibri" w:eastAsia="Calibri" w:hAnsi="Calibri"/>
                <w:sz w:val="16"/>
                <w:szCs w:val="16"/>
                <w:color w:val="auto"/>
              </w:rPr>
              <w:t>Item 9A.</w:t>
            </w:r>
          </w:p>
        </w:tc>
        <w:tc>
          <w:tcPr>
            <w:tcW w:w="1640" w:type="dxa"/>
            <w:vAlign w:val="bottom"/>
            <w:tcBorders>
              <w:bottom w:val="single" w:sz="8" w:color="0000EE"/>
            </w:tcBorders>
            <w:gridSpan w:val="10"/>
          </w:tcPr>
          <w:p>
            <w:pPr>
              <w:spacing w:after="0"/>
              <w:rPr>
                <w:sz w:val="20"/>
                <w:szCs w:val="20"/>
                <w:color w:val="auto"/>
              </w:rPr>
            </w:pPr>
            <w:r>
              <w:rPr>
                <w:rFonts w:ascii="Calibri" w:cs="Calibri" w:eastAsia="Calibri" w:hAnsi="Calibri"/>
                <w:sz w:val="16"/>
                <w:szCs w:val="16"/>
                <w:color w:val="0000FF"/>
              </w:rPr>
              <w:t>Controls and Procedures</w:t>
            </w:r>
          </w:p>
        </w:tc>
        <w:tc>
          <w:tcPr>
            <w:tcW w:w="8100" w:type="dxa"/>
            <w:vAlign w:val="bottom"/>
            <w:gridSpan w:val="17"/>
          </w:tcPr>
          <w:p>
            <w:pPr>
              <w:spacing w:after="0"/>
              <w:rPr>
                <w:sz w:val="24"/>
                <w:szCs w:val="24"/>
                <w:color w:val="auto"/>
              </w:rPr>
            </w:pPr>
          </w:p>
        </w:tc>
        <w:tc>
          <w:tcPr>
            <w:tcW w:w="360" w:type="dxa"/>
            <w:vAlign w:val="bottom"/>
          </w:tcPr>
          <w:p>
            <w:pPr>
              <w:jc w:val="right"/>
              <w:spacing w:after="0"/>
              <w:rPr>
                <w:sz w:val="20"/>
                <w:szCs w:val="20"/>
                <w:color w:val="auto"/>
              </w:rPr>
            </w:pPr>
            <w:r>
              <w:rPr>
                <w:rFonts w:ascii="Calibri" w:cs="Calibri" w:eastAsia="Calibri" w:hAnsi="Calibri"/>
                <w:sz w:val="18"/>
                <w:szCs w:val="18"/>
                <w:color w:val="auto"/>
              </w:rPr>
              <w:t>82</w:t>
            </w: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Calibri" w:cs="Calibri" w:eastAsia="Calibri" w:hAnsi="Calibri"/>
                <w:sz w:val="16"/>
                <w:szCs w:val="16"/>
                <w:color w:val="auto"/>
              </w:rPr>
              <w:t>Item 9B.</w:t>
            </w:r>
          </w:p>
        </w:tc>
        <w:tc>
          <w:tcPr>
            <w:tcW w:w="9740" w:type="dxa"/>
            <w:vAlign w:val="bottom"/>
            <w:gridSpan w:val="27"/>
          </w:tcPr>
          <w:p>
            <w:pPr>
              <w:spacing w:after="0"/>
              <w:rPr>
                <w:sz w:val="20"/>
                <w:szCs w:val="20"/>
                <w:color w:val="auto"/>
              </w:rPr>
            </w:pPr>
            <w:r>
              <w:rPr>
                <w:rFonts w:ascii="Calibri" w:cs="Calibri" w:eastAsia="Calibri" w:hAnsi="Calibri"/>
                <w:sz w:val="16"/>
                <w:szCs w:val="16"/>
                <w:color w:val="0000FF"/>
              </w:rPr>
              <w:t>Other Informaton</w:t>
            </w:r>
          </w:p>
        </w:tc>
        <w:tc>
          <w:tcPr>
            <w:tcW w:w="360" w:type="dxa"/>
            <w:vAlign w:val="bottom"/>
          </w:tcPr>
          <w:p>
            <w:pPr>
              <w:jc w:val="right"/>
              <w:spacing w:after="0"/>
              <w:rPr>
                <w:sz w:val="20"/>
                <w:szCs w:val="20"/>
                <w:color w:val="auto"/>
              </w:rPr>
            </w:pPr>
            <w:r>
              <w:rPr>
                <w:rFonts w:ascii="Calibri" w:cs="Calibri" w:eastAsia="Calibri" w:hAnsi="Calibri"/>
                <w:sz w:val="18"/>
                <w:szCs w:val="18"/>
                <w:color w:val="auto"/>
              </w:rPr>
              <w:t>84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360" w:type="dxa"/>
            <w:vAlign w:val="bottom"/>
            <w:vMerge w:val="restart"/>
          </w:tcPr>
          <w:p>
            <w:pPr>
              <w:jc w:val="right"/>
              <w:spacing w:after="0"/>
              <w:rPr>
                <w:sz w:val="20"/>
                <w:szCs w:val="20"/>
                <w:color w:val="auto"/>
              </w:rPr>
            </w:pPr>
            <w:r>
              <w:rPr>
                <w:rFonts w:ascii="Calibri" w:cs="Calibri" w:eastAsia="Calibri" w:hAnsi="Calibri"/>
                <w:sz w:val="18"/>
                <w:szCs w:val="18"/>
                <w:color w:val="auto"/>
              </w:rPr>
              <w:t>85</w:t>
            </w:r>
          </w:p>
        </w:tc>
        <w:tc>
          <w:tcPr>
            <w:tcW w:w="0" w:type="dxa"/>
            <w:vAlign w:val="bottom"/>
          </w:tcPr>
          <w:p>
            <w:pPr>
              <w:spacing w:after="0" w:line="20" w:lineRule="exact"/>
              <w:rPr>
                <w:sz w:val="1"/>
                <w:szCs w:val="1"/>
                <w:color w:val="auto"/>
              </w:rPr>
            </w:pPr>
          </w:p>
        </w:tc>
      </w:tr>
      <w:tr>
        <w:trPr>
          <w:trHeight w:val="304"/>
        </w:trPr>
        <w:tc>
          <w:tcPr>
            <w:tcW w:w="1140" w:type="dxa"/>
            <w:vAlign w:val="bottom"/>
            <w:gridSpan w:val="3"/>
          </w:tcPr>
          <w:p>
            <w:pPr>
              <w:ind w:left="20"/>
              <w:spacing w:after="0"/>
              <w:rPr>
                <w:sz w:val="20"/>
                <w:szCs w:val="20"/>
                <w:color w:val="auto"/>
              </w:rPr>
            </w:pPr>
            <w:r>
              <w:rPr>
                <w:rFonts w:ascii="Calibri" w:cs="Calibri" w:eastAsia="Calibri" w:hAnsi="Calibri"/>
                <w:sz w:val="16"/>
                <w:szCs w:val="16"/>
                <w:color w:val="auto"/>
              </w:rPr>
              <w:t>Item 9C.</w:t>
            </w:r>
          </w:p>
        </w:tc>
        <w:tc>
          <w:tcPr>
            <w:tcW w:w="9740" w:type="dxa"/>
            <w:vAlign w:val="bottom"/>
            <w:gridSpan w:val="27"/>
          </w:tcPr>
          <w:p>
            <w:pPr>
              <w:spacing w:after="0"/>
              <w:rPr>
                <w:sz w:val="20"/>
                <w:szCs w:val="20"/>
                <w:color w:val="auto"/>
              </w:rPr>
            </w:pPr>
            <w:r>
              <w:rPr>
                <w:rFonts w:ascii="Calibri" w:cs="Calibri" w:eastAsia="Calibri" w:hAnsi="Calibri"/>
                <w:sz w:val="16"/>
                <w:szCs w:val="16"/>
                <w:color w:val="0000FF"/>
              </w:rPr>
              <w:t>Disclosure Regarding Foreign Jurisdictons that Prevent Inspectons</w:t>
            </w:r>
          </w:p>
        </w:tc>
        <w:tc>
          <w:tcPr>
            <w:tcW w:w="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5140" w:type="dxa"/>
            <w:vAlign w:val="bottom"/>
            <w:gridSpan w:val="9"/>
          </w:tcPr>
          <w:p>
            <w:pPr>
              <w:jc w:val="center"/>
              <w:ind w:right="4620"/>
              <w:spacing w:after="0"/>
              <w:rPr>
                <w:sz w:val="20"/>
                <w:szCs w:val="20"/>
                <w:color w:val="auto"/>
              </w:rPr>
            </w:pPr>
            <w:r>
              <w:rPr>
                <w:rFonts w:ascii="Calibri" w:cs="Calibri" w:eastAsia="Calibri" w:hAnsi="Calibri"/>
                <w:sz w:val="16"/>
                <w:szCs w:val="16"/>
                <w:b w:val="1"/>
                <w:bCs w:val="1"/>
                <w:color w:val="0000FF"/>
              </w:rPr>
              <w:t>PART III</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Calibri" w:cs="Calibri" w:eastAsia="Calibri" w:hAnsi="Calibri"/>
                <w:sz w:val="16"/>
                <w:szCs w:val="16"/>
                <w:color w:val="auto"/>
              </w:rPr>
              <w:t>Item 10.</w:t>
            </w:r>
          </w:p>
        </w:tc>
        <w:tc>
          <w:tcPr>
            <w:tcW w:w="3680" w:type="dxa"/>
            <w:vAlign w:val="bottom"/>
            <w:tcBorders>
              <w:bottom w:val="single" w:sz="8" w:color="0000EE"/>
            </w:tcBorders>
            <w:gridSpan w:val="15"/>
          </w:tcPr>
          <w:p>
            <w:pPr>
              <w:spacing w:after="0"/>
              <w:rPr>
                <w:sz w:val="20"/>
                <w:szCs w:val="20"/>
                <w:color w:val="auto"/>
              </w:rPr>
            </w:pPr>
            <w:r>
              <w:rPr>
                <w:rFonts w:ascii="Calibri" w:cs="Calibri" w:eastAsia="Calibri" w:hAnsi="Calibri"/>
                <w:sz w:val="16"/>
                <w:szCs w:val="16"/>
                <w:color w:val="0000FF"/>
              </w:rPr>
              <w:t>Directors, Executve Ofcers and Corporate Governance</w:t>
            </w:r>
          </w:p>
        </w:tc>
        <w:tc>
          <w:tcPr>
            <w:tcW w:w="920" w:type="dxa"/>
            <w:vAlign w:val="bottom"/>
            <w:gridSpan w:val="3"/>
          </w:tcPr>
          <w:p>
            <w:pPr>
              <w:spacing w:after="0"/>
              <w:rPr>
                <w:sz w:val="24"/>
                <w:szCs w:val="24"/>
                <w:color w:val="auto"/>
              </w:rPr>
            </w:pPr>
          </w:p>
        </w:tc>
        <w:tc>
          <w:tcPr>
            <w:tcW w:w="520" w:type="dxa"/>
            <w:vAlign w:val="bottom"/>
            <w:tcBorders>
              <w:top w:val="single" w:sz="8" w:color="0000EE"/>
            </w:tcBorders>
            <w:gridSpan w:val="4"/>
          </w:tcPr>
          <w:p>
            <w:pPr>
              <w:spacing w:after="0"/>
              <w:rPr>
                <w:sz w:val="24"/>
                <w:szCs w:val="24"/>
                <w:color w:val="auto"/>
              </w:rPr>
            </w:pPr>
          </w:p>
        </w:tc>
        <w:tc>
          <w:tcPr>
            <w:tcW w:w="4620" w:type="dxa"/>
            <w:vAlign w:val="bottom"/>
            <w:gridSpan w:val="5"/>
          </w:tcPr>
          <w:p>
            <w:pPr>
              <w:spacing w:after="0"/>
              <w:rPr>
                <w:sz w:val="24"/>
                <w:szCs w:val="24"/>
                <w:color w:val="auto"/>
              </w:rPr>
            </w:pPr>
          </w:p>
        </w:tc>
        <w:tc>
          <w:tcPr>
            <w:tcW w:w="360" w:type="dxa"/>
            <w:vAlign w:val="bottom"/>
          </w:tcPr>
          <w:p>
            <w:pPr>
              <w:jc w:val="right"/>
              <w:spacing w:after="0"/>
              <w:rPr>
                <w:sz w:val="20"/>
                <w:szCs w:val="20"/>
                <w:color w:val="auto"/>
              </w:rPr>
            </w:pPr>
            <w:r>
              <w:rPr>
                <w:rFonts w:ascii="Calibri" w:cs="Calibri" w:eastAsia="Calibri" w:hAnsi="Calibri"/>
                <w:sz w:val="18"/>
                <w:szCs w:val="18"/>
                <w:color w:val="auto"/>
              </w:rPr>
              <w:t>86</w:t>
            </w: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Calibri" w:cs="Calibri" w:eastAsia="Calibri" w:hAnsi="Calibri"/>
                <w:sz w:val="16"/>
                <w:szCs w:val="16"/>
                <w:color w:val="auto"/>
              </w:rPr>
              <w:t>Item 11.</w:t>
            </w:r>
          </w:p>
        </w:tc>
        <w:tc>
          <w:tcPr>
            <w:tcW w:w="1620" w:type="dxa"/>
            <w:vAlign w:val="bottom"/>
            <w:tcBorders>
              <w:bottom w:val="single" w:sz="8" w:color="0000EE"/>
            </w:tcBorders>
            <w:gridSpan w:val="9"/>
          </w:tcPr>
          <w:p>
            <w:pPr>
              <w:spacing w:after="0"/>
              <w:rPr>
                <w:sz w:val="20"/>
                <w:szCs w:val="20"/>
                <w:color w:val="auto"/>
              </w:rPr>
            </w:pPr>
            <w:r>
              <w:rPr>
                <w:rFonts w:ascii="Calibri" w:cs="Calibri" w:eastAsia="Calibri" w:hAnsi="Calibri"/>
                <w:sz w:val="16"/>
                <w:szCs w:val="16"/>
                <w:color w:val="0000FF"/>
              </w:rPr>
              <w:t>Executve Compensaton</w:t>
            </w:r>
          </w:p>
        </w:tc>
        <w:tc>
          <w:tcPr>
            <w:tcW w:w="8120" w:type="dxa"/>
            <w:vAlign w:val="bottom"/>
            <w:gridSpan w:val="18"/>
          </w:tcPr>
          <w:p>
            <w:pPr>
              <w:spacing w:after="0"/>
              <w:rPr>
                <w:sz w:val="24"/>
                <w:szCs w:val="24"/>
                <w:color w:val="auto"/>
              </w:rPr>
            </w:pPr>
          </w:p>
        </w:tc>
        <w:tc>
          <w:tcPr>
            <w:tcW w:w="360" w:type="dxa"/>
            <w:vAlign w:val="bottom"/>
          </w:tcPr>
          <w:p>
            <w:pPr>
              <w:jc w:val="right"/>
              <w:spacing w:after="0"/>
              <w:rPr>
                <w:sz w:val="20"/>
                <w:szCs w:val="20"/>
                <w:color w:val="auto"/>
              </w:rPr>
            </w:pPr>
            <w:r>
              <w:rPr>
                <w:rFonts w:ascii="Calibri" w:cs="Calibri" w:eastAsia="Calibri" w:hAnsi="Calibri"/>
                <w:sz w:val="18"/>
                <w:szCs w:val="18"/>
                <w:color w:val="auto"/>
              </w:rPr>
              <w:t>86</w:t>
            </w: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Calibri" w:cs="Calibri" w:eastAsia="Calibri" w:hAnsi="Calibri"/>
                <w:sz w:val="16"/>
                <w:szCs w:val="16"/>
                <w:color w:val="auto"/>
              </w:rPr>
              <w:t>Item 12.</w:t>
            </w:r>
          </w:p>
        </w:tc>
        <w:tc>
          <w:tcPr>
            <w:tcW w:w="9740" w:type="dxa"/>
            <w:vAlign w:val="bottom"/>
            <w:gridSpan w:val="27"/>
          </w:tcPr>
          <w:p>
            <w:pPr>
              <w:spacing w:after="0"/>
              <w:rPr>
                <w:sz w:val="20"/>
                <w:szCs w:val="20"/>
                <w:color w:val="auto"/>
              </w:rPr>
            </w:pPr>
            <w:r>
              <w:rPr>
                <w:rFonts w:ascii="Calibri" w:cs="Calibri" w:eastAsia="Calibri" w:hAnsi="Calibri"/>
                <w:sz w:val="16"/>
                <w:szCs w:val="16"/>
                <w:color w:val="0000FF"/>
              </w:rPr>
              <w:t>Security Ownership of Certain Benefcial Owners and Management and Related Stockholder Maters</w:t>
            </w:r>
          </w:p>
        </w:tc>
        <w:tc>
          <w:tcPr>
            <w:tcW w:w="360" w:type="dxa"/>
            <w:vAlign w:val="bottom"/>
          </w:tcPr>
          <w:p>
            <w:pPr>
              <w:jc w:val="right"/>
              <w:spacing w:after="0"/>
              <w:rPr>
                <w:sz w:val="20"/>
                <w:szCs w:val="20"/>
                <w:color w:val="auto"/>
              </w:rPr>
            </w:pPr>
            <w:r>
              <w:rPr>
                <w:rFonts w:ascii="Calibri" w:cs="Calibri" w:eastAsia="Calibri" w:hAnsi="Calibri"/>
                <w:sz w:val="18"/>
                <w:szCs w:val="18"/>
                <w:color w:val="auto"/>
              </w:rPr>
              <w:t>86</w:t>
            </w: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Calibri" w:cs="Calibri" w:eastAsia="Calibri" w:hAnsi="Calibri"/>
                <w:sz w:val="16"/>
                <w:szCs w:val="16"/>
                <w:color w:val="auto"/>
              </w:rPr>
              <w:t>Item 13.</w:t>
            </w:r>
          </w:p>
        </w:tc>
        <w:tc>
          <w:tcPr>
            <w:tcW w:w="6600" w:type="dxa"/>
            <w:vAlign w:val="bottom"/>
            <w:tcBorders>
              <w:top w:val="single" w:sz="8" w:color="0000EE"/>
            </w:tcBorders>
            <w:gridSpan w:val="25"/>
          </w:tcPr>
          <w:p>
            <w:pPr>
              <w:spacing w:after="0"/>
              <w:rPr>
                <w:sz w:val="20"/>
                <w:szCs w:val="20"/>
                <w:color w:val="auto"/>
              </w:rPr>
            </w:pPr>
            <w:r>
              <w:rPr>
                <w:rFonts w:ascii="Calibri" w:cs="Calibri" w:eastAsia="Calibri" w:hAnsi="Calibri"/>
                <w:sz w:val="16"/>
                <w:szCs w:val="16"/>
                <w:color w:val="0000FF"/>
              </w:rPr>
              <w:t>Certain Relatonships and Related Transactons, and Director Independence</w:t>
            </w:r>
          </w:p>
        </w:tc>
        <w:tc>
          <w:tcPr>
            <w:tcW w:w="3140" w:type="dxa"/>
            <w:vAlign w:val="bottom"/>
            <w:gridSpan w:val="2"/>
          </w:tcPr>
          <w:p>
            <w:pPr>
              <w:spacing w:after="0"/>
              <w:rPr>
                <w:sz w:val="24"/>
                <w:szCs w:val="24"/>
                <w:color w:val="auto"/>
              </w:rPr>
            </w:pPr>
          </w:p>
        </w:tc>
        <w:tc>
          <w:tcPr>
            <w:tcW w:w="360" w:type="dxa"/>
            <w:vAlign w:val="bottom"/>
          </w:tcPr>
          <w:p>
            <w:pPr>
              <w:jc w:val="right"/>
              <w:spacing w:after="0"/>
              <w:rPr>
                <w:sz w:val="20"/>
                <w:szCs w:val="20"/>
                <w:color w:val="auto"/>
              </w:rPr>
            </w:pPr>
            <w:r>
              <w:rPr>
                <w:rFonts w:ascii="Calibri" w:cs="Calibri" w:eastAsia="Calibri" w:hAnsi="Calibri"/>
                <w:sz w:val="18"/>
                <w:szCs w:val="18"/>
                <w:color w:val="auto"/>
              </w:rPr>
              <w:t>86</w:t>
            </w: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Calibri" w:cs="Calibri" w:eastAsia="Calibri" w:hAnsi="Calibri"/>
                <w:sz w:val="16"/>
                <w:szCs w:val="16"/>
                <w:color w:val="auto"/>
              </w:rPr>
              <w:t>Item 14.</w:t>
            </w:r>
          </w:p>
        </w:tc>
        <w:tc>
          <w:tcPr>
            <w:tcW w:w="4960" w:type="dxa"/>
            <w:vAlign w:val="bottom"/>
            <w:tcBorders>
              <w:top w:val="single" w:sz="8" w:color="0000EE"/>
            </w:tcBorders>
            <w:gridSpan w:val="20"/>
          </w:tcPr>
          <w:p>
            <w:pPr>
              <w:spacing w:after="0"/>
              <w:rPr>
                <w:sz w:val="20"/>
                <w:szCs w:val="20"/>
                <w:color w:val="auto"/>
              </w:rPr>
            </w:pPr>
            <w:r>
              <w:rPr>
                <w:rFonts w:ascii="Calibri" w:cs="Calibri" w:eastAsia="Calibri" w:hAnsi="Calibri"/>
                <w:sz w:val="16"/>
                <w:szCs w:val="16"/>
                <w:color w:val="0000FF"/>
              </w:rPr>
              <w:t>Principal Accountant Fees and Services</w:t>
            </w:r>
          </w:p>
        </w:tc>
        <w:tc>
          <w:tcPr>
            <w:tcW w:w="4780" w:type="dxa"/>
            <w:vAlign w:val="bottom"/>
            <w:gridSpan w:val="7"/>
          </w:tcPr>
          <w:p>
            <w:pPr>
              <w:spacing w:after="0"/>
              <w:rPr>
                <w:sz w:val="24"/>
                <w:szCs w:val="24"/>
                <w:color w:val="auto"/>
              </w:rPr>
            </w:pPr>
          </w:p>
        </w:tc>
        <w:tc>
          <w:tcPr>
            <w:tcW w:w="360" w:type="dxa"/>
            <w:vAlign w:val="bottom"/>
          </w:tcPr>
          <w:p>
            <w:pPr>
              <w:jc w:val="right"/>
              <w:spacing w:after="0"/>
              <w:rPr>
                <w:sz w:val="20"/>
                <w:szCs w:val="20"/>
                <w:color w:val="auto"/>
              </w:rPr>
            </w:pPr>
            <w:r>
              <w:rPr>
                <w:rFonts w:ascii="Calibri" w:cs="Calibri" w:eastAsia="Calibri" w:hAnsi="Calibri"/>
                <w:sz w:val="18"/>
                <w:szCs w:val="18"/>
                <w:color w:val="auto"/>
              </w:rPr>
              <w:t>86</w:t>
            </w: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00" w:type="dxa"/>
            <w:vAlign w:val="bottom"/>
            <w:gridSpan w:val="10"/>
          </w:tcPr>
          <w:p>
            <w:pPr>
              <w:jc w:val="center"/>
              <w:ind w:right="4460"/>
              <w:spacing w:after="0"/>
              <w:rPr>
                <w:sz w:val="20"/>
                <w:szCs w:val="20"/>
                <w:color w:val="auto"/>
              </w:rPr>
            </w:pPr>
            <w:r>
              <w:rPr>
                <w:rFonts w:ascii="Calibri" w:cs="Calibri" w:eastAsia="Calibri" w:hAnsi="Calibri"/>
                <w:sz w:val="16"/>
                <w:szCs w:val="16"/>
                <w:b w:val="1"/>
                <w:bCs w:val="1"/>
                <w:color w:val="0000FF"/>
                <w:w w:val="98"/>
              </w:rPr>
              <w:t>PART IV</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Calibri" w:cs="Calibri" w:eastAsia="Calibri" w:hAnsi="Calibri"/>
                <w:sz w:val="16"/>
                <w:szCs w:val="16"/>
                <w:color w:val="auto"/>
              </w:rPr>
              <w:t>Item 15.</w:t>
            </w:r>
          </w:p>
        </w:tc>
        <w:tc>
          <w:tcPr>
            <w:tcW w:w="2840" w:type="dxa"/>
            <w:vAlign w:val="bottom"/>
            <w:tcBorders>
              <w:bottom w:val="single" w:sz="8" w:color="0000EE"/>
            </w:tcBorders>
            <w:gridSpan w:val="13"/>
          </w:tcPr>
          <w:p>
            <w:pPr>
              <w:spacing w:after="0"/>
              <w:rPr>
                <w:sz w:val="20"/>
                <w:szCs w:val="20"/>
                <w:color w:val="auto"/>
              </w:rPr>
            </w:pPr>
            <w:r>
              <w:rPr>
                <w:rFonts w:ascii="Calibri" w:cs="Calibri" w:eastAsia="Calibri" w:hAnsi="Calibri"/>
                <w:sz w:val="16"/>
                <w:szCs w:val="16"/>
                <w:color w:val="0000FF"/>
              </w:rPr>
              <w:t>Exhibits and Financial Statement Schedules</w:t>
            </w:r>
          </w:p>
        </w:tc>
        <w:tc>
          <w:tcPr>
            <w:tcW w:w="1760" w:type="dxa"/>
            <w:vAlign w:val="bottom"/>
            <w:gridSpan w:val="5"/>
          </w:tcPr>
          <w:p>
            <w:pPr>
              <w:spacing w:after="0"/>
              <w:rPr>
                <w:sz w:val="24"/>
                <w:szCs w:val="24"/>
                <w:color w:val="auto"/>
              </w:rPr>
            </w:pPr>
          </w:p>
        </w:tc>
        <w:tc>
          <w:tcPr>
            <w:tcW w:w="520" w:type="dxa"/>
            <w:vAlign w:val="bottom"/>
            <w:tcBorders>
              <w:top w:val="single" w:sz="8" w:color="0000EE"/>
            </w:tcBorders>
            <w:gridSpan w:val="4"/>
          </w:tcPr>
          <w:p>
            <w:pPr>
              <w:spacing w:after="0"/>
              <w:rPr>
                <w:sz w:val="24"/>
                <w:szCs w:val="24"/>
                <w:color w:val="auto"/>
              </w:rPr>
            </w:pPr>
          </w:p>
        </w:tc>
        <w:tc>
          <w:tcPr>
            <w:tcW w:w="4620" w:type="dxa"/>
            <w:vAlign w:val="bottom"/>
            <w:gridSpan w:val="5"/>
          </w:tcPr>
          <w:p>
            <w:pPr>
              <w:spacing w:after="0"/>
              <w:rPr>
                <w:sz w:val="24"/>
                <w:szCs w:val="24"/>
                <w:color w:val="auto"/>
              </w:rPr>
            </w:pPr>
          </w:p>
        </w:tc>
        <w:tc>
          <w:tcPr>
            <w:tcW w:w="360" w:type="dxa"/>
            <w:vAlign w:val="bottom"/>
          </w:tcPr>
          <w:p>
            <w:pPr>
              <w:jc w:val="right"/>
              <w:spacing w:after="0"/>
              <w:rPr>
                <w:sz w:val="20"/>
                <w:szCs w:val="20"/>
                <w:color w:val="auto"/>
              </w:rPr>
            </w:pPr>
            <w:r>
              <w:rPr>
                <w:rFonts w:ascii="Calibri" w:cs="Calibri" w:eastAsia="Calibri" w:hAnsi="Calibri"/>
                <w:sz w:val="18"/>
                <w:szCs w:val="18"/>
                <w:color w:val="auto"/>
              </w:rPr>
              <w:t>87</w:t>
            </w: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Calibri" w:cs="Calibri" w:eastAsia="Calibri" w:hAnsi="Calibri"/>
                <w:sz w:val="16"/>
                <w:szCs w:val="16"/>
                <w:color w:val="auto"/>
              </w:rPr>
              <w:t>Item 16.</w:t>
            </w:r>
          </w:p>
        </w:tc>
        <w:tc>
          <w:tcPr>
            <w:tcW w:w="9740" w:type="dxa"/>
            <w:vAlign w:val="bottom"/>
            <w:gridSpan w:val="27"/>
          </w:tcPr>
          <w:p>
            <w:pPr>
              <w:spacing w:after="0"/>
              <w:rPr>
                <w:sz w:val="20"/>
                <w:szCs w:val="20"/>
                <w:color w:val="auto"/>
              </w:rPr>
            </w:pPr>
            <w:r>
              <w:rPr>
                <w:rFonts w:ascii="Calibri" w:cs="Calibri" w:eastAsia="Calibri" w:hAnsi="Calibri"/>
                <w:sz w:val="16"/>
                <w:szCs w:val="16"/>
                <w:color w:val="0000FF"/>
              </w:rPr>
              <w:t>Form 10-K Summary</w:t>
            </w:r>
          </w:p>
        </w:tc>
        <w:tc>
          <w:tcPr>
            <w:tcW w:w="360" w:type="dxa"/>
            <w:vAlign w:val="bottom"/>
          </w:tcPr>
          <w:p>
            <w:pPr>
              <w:jc w:val="right"/>
              <w:spacing w:after="0"/>
              <w:rPr>
                <w:sz w:val="20"/>
                <w:szCs w:val="20"/>
                <w:color w:val="auto"/>
              </w:rPr>
            </w:pPr>
            <w:r>
              <w:rPr>
                <w:rFonts w:ascii="Calibri" w:cs="Calibri" w:eastAsia="Calibri" w:hAnsi="Calibri"/>
                <w:sz w:val="18"/>
                <w:szCs w:val="18"/>
                <w:color w:val="auto"/>
              </w:rPr>
              <w:t>93</w:t>
            </w: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Calibri" w:cs="Calibri" w:eastAsia="Calibri" w:hAnsi="Calibri"/>
                <w:sz w:val="16"/>
                <w:szCs w:val="16"/>
                <w:color w:val="0000FF"/>
              </w:rPr>
              <w:t>SIGNATURES</w:t>
            </w:r>
          </w:p>
        </w:tc>
        <w:tc>
          <w:tcPr>
            <w:tcW w:w="5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alibri" w:cs="Calibri" w:eastAsia="Calibri" w:hAnsi="Calibri"/>
                <w:sz w:val="18"/>
                <w:szCs w:val="18"/>
                <w:color w:val="auto"/>
              </w:rPr>
              <w:t>94</w:t>
            </w:r>
          </w:p>
        </w:tc>
        <w:tc>
          <w:tcPr>
            <w:tcW w:w="0" w:type="dxa"/>
            <w:vAlign w:val="bottom"/>
          </w:tcPr>
          <w:p>
            <w:pPr>
              <w:spacing w:after="0"/>
              <w:rPr>
                <w:sz w:val="1"/>
                <w:szCs w:val="1"/>
                <w:color w:val="auto"/>
              </w:rPr>
            </w:pPr>
          </w:p>
        </w:tc>
      </w:tr>
      <w:tr>
        <w:trPr>
          <w:trHeight w:val="1229"/>
        </w:trPr>
        <w:tc>
          <w:tcPr>
            <w:tcW w:w="60" w:type="dxa"/>
            <w:vAlign w:val="bottom"/>
            <w:tcBorders>
              <w:bottom w:val="single" w:sz="8" w:color="9A9A9A"/>
            </w:tcBorders>
          </w:tcPr>
          <w:p>
            <w:pPr>
              <w:spacing w:after="0"/>
              <w:rPr>
                <w:sz w:val="24"/>
                <w:szCs w:val="24"/>
                <w:color w:val="auto"/>
              </w:rPr>
            </w:pPr>
          </w:p>
        </w:tc>
        <w:tc>
          <w:tcPr>
            <w:tcW w:w="840" w:type="dxa"/>
            <w:vAlign w:val="bottom"/>
            <w:tcBorders>
              <w:top w:val="single" w:sz="8" w:color="0000EE"/>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 w:name="page3"/>
    <w:bookmarkEnd w:id="2"/>
    <w:p>
      <w:pPr>
        <w:jc w:val="center"/>
        <w:ind w:right="-39"/>
        <w:spacing w:after="0"/>
        <w:rPr>
          <w:sz w:val="20"/>
          <w:szCs w:val="20"/>
          <w:color w:val="auto"/>
        </w:rPr>
      </w:pPr>
      <w:r>
        <w:rPr>
          <w:rFonts w:ascii="Calibri" w:cs="Calibri" w:eastAsia="Calibri" w:hAnsi="Calibri"/>
          <w:sz w:val="18"/>
          <w:szCs w:val="18"/>
          <w:b w:val="1"/>
          <w:bCs w:val="1"/>
          <w:color w:val="auto"/>
        </w:rPr>
        <w:t>CAUTIONARY NOTE REGARDING FORWARD-LOOKING STATEMENTS</w:t>
      </w:r>
    </w:p>
    <w:p>
      <w:pPr>
        <w:spacing w:after="0" w:line="16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This Annual Report on Form 10-K, or Annual Report, contains forward-looking statements that involve risks and uncertaintes. We make such forward-looking statements pursuant to the safe harbor provisions of the Private Securites Litgaton Reform Act of 1995 and other federal securites laws. All statements other than statements of historical fact contained in this Annual Report are forward-looking statements. In some cases, you can identfy forward-looking statements by words such as "aim", “antcipate,” “believe,” “contnue,” “could,” “estmate,” “expect,” “forecast,” “intend,” “may,” “plan,” “potental,” “predict,” “project,” “seek,” “should,” “target,” “will,” “would,” or the negatve of these words, or other comparable terminology. These forward-looking statements include, but are not limited to, statements about:</w:t>
      </w:r>
    </w:p>
    <w:p>
      <w:pPr>
        <w:spacing w:after="0" w:line="95"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commercializaton, marketng, and manufacturing capabilites and strategy;</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expectatons regarding the tming of clinical study commencements and reportng results from same;</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tming and likelihood of regulatory approvals for, or commercializaton of, our product candidates;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antcipated indicatons for our product candidates, if approved;</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potental market opportunites for commercializing our products and product candidates;</w:t>
      </w:r>
    </w:p>
    <w:p>
      <w:pPr>
        <w:spacing w:after="0" w:line="95" w:lineRule="exact"/>
        <w:rPr>
          <w:rFonts w:ascii="Times New Roman" w:cs="Times New Roman" w:eastAsia="Times New Roman" w:hAnsi="Times New Roman"/>
          <w:sz w:val="18"/>
          <w:szCs w:val="18"/>
          <w:color w:val="auto"/>
        </w:rPr>
      </w:pPr>
    </w:p>
    <w:p>
      <w:pPr>
        <w:ind w:left="1020" w:right="560" w:hanging="503"/>
        <w:spacing w:after="0" w:line="235" w:lineRule="auto"/>
        <w:tabs>
          <w:tab w:leader="none" w:pos="102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expectatons regarding the potental market size and the size of the patent populatons for our products and product candidates, if approved for commercial use;</w:t>
      </w:r>
    </w:p>
    <w:p>
      <w:pPr>
        <w:spacing w:after="0" w:line="9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estmates of our expenses, revenue, capital requirements, and our needs for additonal fnancing;</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ability to develop, acquire, and advance product candidates into, and successfully complete, clinical studies;</w:t>
      </w:r>
    </w:p>
    <w:p>
      <w:pPr>
        <w:spacing w:after="0" w:line="95" w:lineRule="exact"/>
        <w:rPr>
          <w:rFonts w:ascii="Times New Roman" w:cs="Times New Roman" w:eastAsia="Times New Roman" w:hAnsi="Times New Roman"/>
          <w:sz w:val="18"/>
          <w:szCs w:val="18"/>
          <w:color w:val="auto"/>
        </w:rPr>
      </w:pPr>
    </w:p>
    <w:p>
      <w:pPr>
        <w:ind w:left="1020" w:right="420" w:hanging="503"/>
        <w:spacing w:after="0" w:line="235" w:lineRule="auto"/>
        <w:tabs>
          <w:tab w:leader="none" w:pos="102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implementaton of our business model and strategic plans for our business, products and product candidates and the integraton and performance of any businesses we have acquired or may acquire;</w:t>
      </w:r>
    </w:p>
    <w:p>
      <w:pPr>
        <w:spacing w:after="0" w:line="9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7"/>
          <w:szCs w:val="17"/>
          <w:color w:val="auto"/>
        </w:rPr>
      </w:pPr>
      <w:r>
        <w:rPr>
          <w:rFonts w:ascii="Calibri" w:cs="Calibri" w:eastAsia="Calibri" w:hAnsi="Calibri"/>
          <w:sz w:val="17"/>
          <w:szCs w:val="17"/>
          <w:color w:val="auto"/>
        </w:rPr>
        <w:t>the initaton, tming, progress, and results of ongoing and future preclinical and clinical studies, and our research and development programs;</w:t>
      </w:r>
    </w:p>
    <w:p>
      <w:pPr>
        <w:spacing w:after="0" w:line="98"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scope of protecton we are able to establish and maintain for intellectual property rights covering our products and product candidates;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ability to maintain and establish collaboratons or strategic relatonships or obtain additonal funding;</w:t>
      </w:r>
    </w:p>
    <w:p>
      <w:pPr>
        <w:spacing w:after="0" w:line="95" w:lineRule="exact"/>
        <w:rPr>
          <w:rFonts w:ascii="Times New Roman" w:cs="Times New Roman" w:eastAsia="Times New Roman" w:hAnsi="Times New Roman"/>
          <w:sz w:val="18"/>
          <w:szCs w:val="18"/>
          <w:color w:val="auto"/>
        </w:rPr>
      </w:pPr>
    </w:p>
    <w:p>
      <w:pPr>
        <w:ind w:left="1020" w:right="740" w:hanging="503"/>
        <w:spacing w:after="0" w:line="235" w:lineRule="auto"/>
        <w:tabs>
          <w:tab w:leader="none" w:pos="102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ability to maintain and establish relatonships with third partes, such as contract research organizatons, contract manufacturing organizatons, suppliers, and distributors;</w:t>
      </w:r>
    </w:p>
    <w:p>
      <w:pPr>
        <w:spacing w:after="0" w:line="9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fnancial performance, including our expectatons for proftability for 2027, and the expansion of our organizaton;</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ability to obtain supply of our products and product candidates;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scalability and commercial viability of our manufacturing methods and processes;</w:t>
      </w:r>
    </w:p>
    <w:p>
      <w:pPr>
        <w:spacing w:after="0" w:line="9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developments and projectons relatng to our compettors and our industry;</w:t>
      </w:r>
    </w:p>
    <w:p>
      <w:pPr>
        <w:spacing w:after="0" w:line="95" w:lineRule="exact"/>
        <w:rPr>
          <w:rFonts w:ascii="Times New Roman" w:cs="Times New Roman" w:eastAsia="Times New Roman" w:hAnsi="Times New Roman"/>
          <w:sz w:val="18"/>
          <w:szCs w:val="18"/>
          <w:color w:val="auto"/>
        </w:rPr>
      </w:pPr>
    </w:p>
    <w:p>
      <w:pPr>
        <w:ind w:left="1020" w:right="400" w:hanging="503"/>
        <w:spacing w:after="0" w:line="235" w:lineRule="auto"/>
        <w:tabs>
          <w:tab w:leader="none" w:pos="102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stagnatng or worsening business and economic conditons and increasing geopolitcal instability, including infatonary pressures, general economic slowdown or a recession, high interest rates, foreign exchange rate volatlity, fnancial insttuton instability, and changes in monetary policy;</w:t>
      </w:r>
    </w:p>
    <w:p>
      <w:pPr>
        <w:spacing w:after="0" w:line="97" w:lineRule="exact"/>
        <w:rPr>
          <w:rFonts w:ascii="Times New Roman" w:cs="Times New Roman" w:eastAsia="Times New Roman" w:hAnsi="Times New Roman"/>
          <w:sz w:val="18"/>
          <w:szCs w:val="18"/>
          <w:color w:val="auto"/>
        </w:rPr>
      </w:pPr>
    </w:p>
    <w:p>
      <w:pPr>
        <w:ind w:left="1020" w:right="140" w:hanging="503"/>
        <w:spacing w:after="0" w:line="235" w:lineRule="auto"/>
        <w:tabs>
          <w:tab w:leader="none" w:pos="102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impact of market conditons and volatlity on unrealized gains or losses on our nonqualifed deferred compensaton plan investments and our fnancial results; and</w:t>
      </w:r>
    </w:p>
    <w:p>
      <w:pPr>
        <w:spacing w:after="0" w:line="9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other risks and uncertaintes, including those listed under “Part I, Item 1A. Risk Factors.”</w:t>
      </w:r>
    </w:p>
    <w:p>
      <w:pPr>
        <w:spacing w:after="0" w:line="82" w:lineRule="exact"/>
        <w:rPr>
          <w:sz w:val="20"/>
          <w:szCs w:val="20"/>
          <w:color w:val="auto"/>
        </w:rPr>
      </w:pPr>
    </w:p>
    <w:p>
      <w:pPr>
        <w:ind w:right="140" w:firstLine="509"/>
        <w:spacing w:after="0" w:line="249" w:lineRule="auto"/>
        <w:rPr>
          <w:sz w:val="20"/>
          <w:szCs w:val="20"/>
          <w:color w:val="auto"/>
        </w:rPr>
      </w:pPr>
      <w:r>
        <w:rPr>
          <w:rFonts w:ascii="Calibri" w:cs="Calibri" w:eastAsia="Calibri" w:hAnsi="Calibri"/>
          <w:sz w:val="17"/>
          <w:szCs w:val="17"/>
          <w:color w:val="auto"/>
        </w:rPr>
        <w:t>Any forward-looking statements in this Annual Report refect our current views with respect to future events or to our future fnancial performance and involve known and unknown risks, uncertaintes, and other factors that may cause our actual results, performance, or achievements to be materially diferent from any future results, performance, or achievements expressed or implied by these forward-looking statements. Factors that may cause actual results to difer materially from current expectatons include, among other things, those discussed under Part I, Item 1A. Risk Factors and elsewhere in this Annual Report. Given these uncertaintes, you should not place undue reliance on these forward-looking statements. Except as required by law, we assume no obligaton to update or revise these forward-looking statements for any reason, even if new informaton becomes available in the future.</w:t>
      </w:r>
    </w:p>
    <w:p>
      <w:pPr>
        <w:jc w:val="center"/>
        <w:ind w:right="-39"/>
        <w:spacing w:after="0"/>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 w:name="page4"/>
    <w:bookmarkEnd w:id="3"/>
    <w:p>
      <w:pPr>
        <w:ind w:right="220" w:firstLine="509"/>
        <w:spacing w:after="0" w:line="235" w:lineRule="auto"/>
        <w:rPr>
          <w:sz w:val="20"/>
          <w:szCs w:val="20"/>
          <w:color w:val="auto"/>
        </w:rPr>
      </w:pPr>
      <w:r>
        <w:rPr>
          <w:rFonts w:ascii="Calibri" w:cs="Calibri" w:eastAsia="Calibri" w:hAnsi="Calibri"/>
          <w:sz w:val="18"/>
          <w:szCs w:val="18"/>
          <w:color w:val="auto"/>
        </w:rPr>
        <w:t>This Annual Report also contains estmates, projectons, and other informaton concerning our industry, our business, and the markets for certain diseases, including data regarding the estmated size of those markets, and the incidence and prevalence of certain medical conditons. Informaton that is based on estmates, forecasts, projectons, market research, or similar methodologies is inherently subject to uncertaintes and actual events or circumstances may difer materially from events and circumstances refected in this informaton. Unless otherwise expressly stated, we obtained such industry, business, market, and other data from reports, research surveys, studies, and similar data prepared by market research frms and other third partes, industry, medical and general publicatons, government data, and similar sources.</w:t>
      </w:r>
    </w:p>
    <w:p>
      <w:pPr>
        <w:spacing w:after="0" w:line="86" w:lineRule="exact"/>
        <w:rPr>
          <w:sz w:val="20"/>
          <w:szCs w:val="20"/>
          <w:color w:val="auto"/>
        </w:rPr>
      </w:pPr>
    </w:p>
    <w:p>
      <w:pPr>
        <w:ind w:right="320" w:firstLine="509"/>
        <w:spacing w:after="0" w:line="235" w:lineRule="auto"/>
        <w:rPr>
          <w:sz w:val="20"/>
          <w:szCs w:val="20"/>
          <w:color w:val="auto"/>
        </w:rPr>
      </w:pPr>
      <w:r>
        <w:rPr>
          <w:rFonts w:ascii="Calibri" w:cs="Calibri" w:eastAsia="Calibri" w:hAnsi="Calibri"/>
          <w:sz w:val="18"/>
          <w:szCs w:val="18"/>
          <w:color w:val="auto"/>
        </w:rPr>
        <w:t>As used in this Annual Report, “Ultragenyx,” “we,” “our,” and similar terms refer to Ultragenyx Pharmaceutcal Inc. and its subsidiaries, unless the context indicates otherwise.</w:t>
      </w:r>
    </w:p>
    <w:p>
      <w:pPr>
        <w:spacing w:after="0" w:line="294"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auto"/>
        </w:rPr>
        <w:t>PART I</w:t>
      </w:r>
    </w:p>
    <w:p>
      <w:pPr>
        <w:spacing w:after="0" w:line="26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 </w:t>
      </w:r>
      <w:r>
        <w:rPr>
          <w:rFonts w:ascii="Calibri" w:cs="Calibri" w:eastAsia="Calibri" w:hAnsi="Calibri"/>
          <w:sz w:val="18"/>
          <w:szCs w:val="18"/>
          <w:b w:val="1"/>
          <w:bCs w:val="1"/>
          <w:i w:val="1"/>
          <w:iCs w:val="1"/>
          <w:color w:val="auto"/>
        </w:rPr>
        <w:t>Business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Overview</w:t>
      </w:r>
    </w:p>
    <w:p>
      <w:pPr>
        <w:spacing w:after="0" w:line="82"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We are a biopharmaceutcal company commited to bringing novel products to patents for the treatment of serious rare and ultrarare genetc diseases. We have built a diverse portolio of approved therapies and product candidates aimed at addressing diseases with high unmet medical need and clear biology for treatment, for which there are typically no approved therapies treatng the underlying disease.</w:t>
      </w:r>
    </w:p>
    <w:p>
      <w:pPr>
        <w:spacing w:after="0" w:line="84"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We were founded in April 2010 by our President and Chief Executve Ofcer, Emil Kakkis, M.D., Ph.D., and are led by a management team experienced in the development and commercializaton of rare disease therapeutcs. Our strategy is predicated upon tme- and cost-efcient drug development, with the goal of delivering safe and efectve therapies to patents with the utmost urgency.</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Our Strategy</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critcal components of our business strategy include the following:</w:t>
      </w:r>
    </w:p>
    <w:p>
      <w:pPr>
        <w:spacing w:after="0" w:line="96" w:lineRule="exact"/>
        <w:rPr>
          <w:sz w:val="20"/>
          <w:szCs w:val="20"/>
          <w:color w:val="auto"/>
        </w:rPr>
      </w:pPr>
    </w:p>
    <w:p>
      <w:pPr>
        <w:ind w:left="760" w:hanging="378"/>
        <w:spacing w:after="0" w:line="235" w:lineRule="auto"/>
        <w:tabs>
          <w:tab w:leader="none" w:pos="76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 xml:space="preserve">Focus on rare and ultrarare genetc diseases with signifcant unmet medical need and clear biology. </w:t>
      </w:r>
      <w:r>
        <w:rPr>
          <w:rFonts w:ascii="Calibri" w:cs="Calibri" w:eastAsia="Calibri" w:hAnsi="Calibri"/>
          <w:sz w:val="18"/>
          <w:szCs w:val="18"/>
          <w:color w:val="auto"/>
        </w:rPr>
        <w:t>There are numerous rare and ultrarare</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genetc diseases that currently have no drug therapy approved that treat the underlying disease. Patents sufering from these diseases ofen have a signifcant morbidity and/or mortality. We focus on developing and commercializing therapies for multple such indicatons with the utmost urgency. We also focus on diseases that have biology that is well understood. We believe that developing drugs that directly impact known disease pathways will increase the probability of success of our development programs. Our modalites of biologics, small molecules, adeno-associated virus, or AAV, gene therapy, and nucleic acids provide us with what we believe is an optmal set of optons to treat genetc diseases by selectng the best treatment strategy available for each disease.</w:t>
      </w:r>
    </w:p>
    <w:p>
      <w:pPr>
        <w:spacing w:after="0" w:line="100" w:lineRule="exact"/>
        <w:rPr>
          <w:rFonts w:ascii="Times New Roman" w:cs="Times New Roman" w:eastAsia="Times New Roman" w:hAnsi="Times New Roman"/>
          <w:sz w:val="18"/>
          <w:szCs w:val="18"/>
          <w:color w:val="auto"/>
        </w:rPr>
      </w:pPr>
    </w:p>
    <w:p>
      <w:pPr>
        <w:ind w:left="760" w:right="100" w:hanging="378"/>
        <w:spacing w:after="0" w:line="235" w:lineRule="auto"/>
        <w:tabs>
          <w:tab w:leader="none" w:pos="76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 xml:space="preserve">In-license promising product candidates; retain global commercializaton rights to product candidates. </w:t>
      </w:r>
      <w:r>
        <w:rPr>
          <w:rFonts w:ascii="Calibri" w:cs="Calibri" w:eastAsia="Calibri" w:hAnsi="Calibri"/>
          <w:sz w:val="18"/>
          <w:szCs w:val="18"/>
          <w:color w:val="auto"/>
        </w:rPr>
        <w:t>Our current product candidates are</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generally in-licensed from academic insttutons or derived from partnerships with other pharmaceutcal companies. We believe partes agree to license product candidates to us because they are confdent in our team’s expertse in rare disease drug development and commercializaton. We generally intend to retain global commercializaton rights to our products and product candidates whenever possible to maximize the potental value of our product portolio.</w:t>
      </w:r>
    </w:p>
    <w:p>
      <w:pPr>
        <w:spacing w:after="0" w:line="98" w:lineRule="exact"/>
        <w:rPr>
          <w:rFonts w:ascii="Times New Roman" w:cs="Times New Roman" w:eastAsia="Times New Roman" w:hAnsi="Times New Roman"/>
          <w:sz w:val="18"/>
          <w:szCs w:val="18"/>
          <w:color w:val="auto"/>
        </w:rPr>
      </w:pPr>
    </w:p>
    <w:p>
      <w:pPr>
        <w:ind w:left="760" w:right="20" w:hanging="378"/>
        <w:spacing w:after="0" w:line="235" w:lineRule="auto"/>
        <w:tabs>
          <w:tab w:leader="none" w:pos="76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 xml:space="preserve">Focus on excellent, rapid, and efcient clinical and regulatory executon on multple programs in parallel. </w:t>
      </w:r>
      <w:r>
        <w:rPr>
          <w:rFonts w:ascii="Calibri" w:cs="Calibri" w:eastAsia="Calibri" w:hAnsi="Calibri"/>
          <w:sz w:val="18"/>
          <w:szCs w:val="18"/>
          <w:color w:val="auto"/>
        </w:rPr>
        <w:t>We believe that building a successful</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and sustainable rare disease-focused company requires very specifc expertse in the areas of patent identfcaton, clinical study design and conduct, and regulatory strategy. Because rare disease programs involve fewer patents and may have accelerated paths to market, we are able to feasibly develop multple clinical-stage product candidates in parallel, resultng in a more diversifed portolio that provides multple opportunites to create value, with some economies of scale.</w:t>
      </w:r>
    </w:p>
    <w:p>
      <w:pPr>
        <w:spacing w:after="0" w:line="98" w:lineRule="exact"/>
        <w:rPr>
          <w:rFonts w:ascii="Times New Roman" w:cs="Times New Roman" w:eastAsia="Times New Roman" w:hAnsi="Times New Roman"/>
          <w:sz w:val="18"/>
          <w:szCs w:val="18"/>
          <w:color w:val="auto"/>
        </w:rPr>
      </w:pPr>
    </w:p>
    <w:p>
      <w:pPr>
        <w:jc w:val="both"/>
        <w:ind w:left="760" w:right="140" w:hanging="378"/>
        <w:spacing w:after="0" w:line="249" w:lineRule="auto"/>
        <w:tabs>
          <w:tab w:leader="none" w:pos="760" w:val="left"/>
        </w:tabs>
        <w:numPr>
          <w:ilvl w:val="0"/>
          <w:numId w:val="4"/>
        </w:numPr>
        <w:rPr>
          <w:rFonts w:ascii="Times New Roman" w:cs="Times New Roman" w:eastAsia="Times New Roman" w:hAnsi="Times New Roman"/>
          <w:sz w:val="17"/>
          <w:szCs w:val="17"/>
          <w:color w:val="auto"/>
        </w:rPr>
      </w:pPr>
      <w:r>
        <w:rPr>
          <w:rFonts w:ascii="Calibri" w:cs="Calibri" w:eastAsia="Calibri" w:hAnsi="Calibri"/>
          <w:sz w:val="17"/>
          <w:szCs w:val="17"/>
          <w:b w:val="1"/>
          <w:bCs w:val="1"/>
          <w:i w:val="1"/>
          <w:iCs w:val="1"/>
          <w:color w:val="auto"/>
        </w:rPr>
        <w:t xml:space="preserve">Commercialize through patent-focused global organizaton. </w:t>
      </w:r>
      <w:r>
        <w:rPr>
          <w:rFonts w:ascii="Calibri" w:cs="Calibri" w:eastAsia="Calibri" w:hAnsi="Calibri"/>
          <w:sz w:val="17"/>
          <w:szCs w:val="17"/>
          <w:color w:val="auto"/>
        </w:rPr>
        <w:t>We seek to commercialize our products throughout the developed world, in North</w:t>
      </w:r>
      <w:r>
        <w:rPr>
          <w:rFonts w:ascii="Calibri" w:cs="Calibri" w:eastAsia="Calibri" w:hAnsi="Calibri"/>
          <w:sz w:val="17"/>
          <w:szCs w:val="17"/>
          <w:b w:val="1"/>
          <w:bCs w:val="1"/>
          <w:i w:val="1"/>
          <w:iCs w:val="1"/>
          <w:color w:val="auto"/>
        </w:rPr>
        <w:t xml:space="preserve"> </w:t>
      </w:r>
      <w:r>
        <w:rPr>
          <w:rFonts w:ascii="Calibri" w:cs="Calibri" w:eastAsia="Calibri" w:hAnsi="Calibri"/>
          <w:sz w:val="17"/>
          <w:szCs w:val="17"/>
          <w:color w:val="auto"/>
        </w:rPr>
        <w:t>America, the European Union, or the EU, the United Kingdom, or the U.K., Latn America, Turkey, Asia, and select internatonal markets. We have established our own commercial organizaton in these markets and a network of third-party distributors in smaller markets. We believe our</w:t>
      </w:r>
    </w:p>
    <w:p>
      <w:pPr>
        <w:ind w:left="760"/>
        <w:spacing w:after="0" w:line="237" w:lineRule="auto"/>
        <w:rPr>
          <w:sz w:val="20"/>
          <w:szCs w:val="20"/>
          <w:color w:val="auto"/>
        </w:rPr>
      </w:pPr>
      <w:r>
        <w:rPr>
          <w:rFonts w:ascii="Calibri" w:cs="Calibri" w:eastAsia="Calibri" w:hAnsi="Calibri"/>
          <w:sz w:val="18"/>
          <w:szCs w:val="18"/>
          <w:color w:val="auto"/>
        </w:rPr>
        <w:t>commercial organizaton is highly specialized and focused, due to the nature of rare disease treatment.</w:t>
      </w:r>
    </w:p>
    <w:p>
      <w:pPr>
        <w:ind w:left="5580"/>
        <w:spacing w:after="0" w:line="236" w:lineRule="auto"/>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 w:name="page5"/>
    <w:bookmarkEnd w:id="4"/>
    <w:p>
      <w:pPr>
        <w:spacing w:after="0"/>
        <w:rPr>
          <w:sz w:val="20"/>
          <w:szCs w:val="20"/>
          <w:color w:val="auto"/>
        </w:rPr>
      </w:pPr>
      <w:r>
        <w:rPr>
          <w:rFonts w:ascii="Calibri" w:cs="Calibri" w:eastAsia="Calibri" w:hAnsi="Calibri"/>
          <w:sz w:val="18"/>
          <w:szCs w:val="18"/>
          <w:b w:val="1"/>
          <w:bCs w:val="1"/>
          <w:color w:val="auto"/>
        </w:rPr>
        <w:t>Approved Products and Clinical Product Candidates</w:t>
      </w:r>
    </w:p>
    <w:p>
      <w:pPr>
        <w:spacing w:after="0" w:line="82" w:lineRule="exact"/>
        <w:rPr>
          <w:sz w:val="20"/>
          <w:szCs w:val="20"/>
          <w:color w:val="auto"/>
        </w:rPr>
      </w:pPr>
    </w:p>
    <w:p>
      <w:pPr>
        <w:ind w:right="340" w:firstLine="509"/>
        <w:spacing w:after="0" w:line="235" w:lineRule="auto"/>
        <w:rPr>
          <w:sz w:val="20"/>
          <w:szCs w:val="20"/>
          <w:color w:val="auto"/>
        </w:rPr>
      </w:pPr>
      <w:r>
        <w:rPr>
          <w:rFonts w:ascii="Calibri" w:cs="Calibri" w:eastAsia="Calibri" w:hAnsi="Calibri"/>
          <w:sz w:val="18"/>
          <w:szCs w:val="18"/>
          <w:color w:val="auto"/>
        </w:rPr>
        <w:t>Our current approved therapies and clinical-stage pipeline consist of four product categories: biologics, small molecules, AAV gene therapy, and nucleic acid product candidates.</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have four commercially approved products, Crysvita® (burosumab) for the treatment of X-linked hypophosphatemia, or XLH, and tumor-induced osteomalacia, or TIO, Mepsevii® (vestronidase alfa) for the treatment of mucopolysaccharidosis VII, or MPSVII or Sly Syndrome, Dojolvi® (triheptanoin) for the treatment of long-chain faty acid oxidaton disorders, or LC-FAOD, and Evkeeza® (evinacumab) for the treatment of homozygous familial hypercholesterolemia, or HoFH. The following table summarizes our approved products and pipeline of clinical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67945</wp:posOffset>
            </wp:positionV>
            <wp:extent cx="5306060" cy="6643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06060" cy="6643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59"/>
        <w:spacing w:after="0"/>
        <w:rPr>
          <w:sz w:val="20"/>
          <w:szCs w:val="20"/>
          <w:color w:val="auto"/>
        </w:rPr>
      </w:pPr>
      <w:r>
        <w:rPr>
          <w:rFonts w:ascii="Calibri" w:cs="Calibri" w:eastAsia="Calibri" w:hAnsi="Calibri"/>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46" w:right="479" w:bottom="1440" w:gutter="0" w:footer="0" w:header="0"/>
        </w:sectPr>
      </w:pPr>
    </w:p>
    <w:bookmarkStart w:id="5" w:name="page6"/>
    <w:bookmarkEnd w:id="5"/>
    <w:p>
      <w:pPr>
        <w:spacing w:after="0"/>
        <w:rPr>
          <w:sz w:val="20"/>
          <w:szCs w:val="20"/>
          <w:color w:val="auto"/>
        </w:rPr>
      </w:pPr>
      <w:r>
        <w:rPr>
          <w:rFonts w:ascii="Calibri" w:cs="Calibri" w:eastAsia="Calibri" w:hAnsi="Calibri"/>
          <w:sz w:val="18"/>
          <w:szCs w:val="18"/>
          <w:b w:val="1"/>
          <w:bCs w:val="1"/>
          <w:color w:val="auto"/>
        </w:rPr>
        <w:t>Approved Products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Crysvita for the treatment of X-Linked Hypophosphatemia, or XLH, and Tumor-Induced Osteomalacia, or TIO</w:t>
      </w:r>
    </w:p>
    <w:p>
      <w:pPr>
        <w:spacing w:after="0" w:line="8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Crysvita is a fully human monoclonal antbody administered via subcutaneous injecton, that targets fbroblast growth factor 23, or FGF23, developed for the treatment of XLH. XLH is a rare, hereditary, progressive, and lifelong musculoskeletal disorder characterized by renal phosphate wastng caused by excess FGF23 producton. There are approximately 48,000 patents with XLH in the developed world, including approximately 36,000 adults and 12,000 children. Crysvita is the only approved treatment that addresses the underlying cause of XLH. Crysvita is approved in the U.S., the EU and certain other regions for the treatment of XLH in adult and pediatric patents one year of age and older.</w:t>
      </w:r>
    </w:p>
    <w:p>
      <w:pPr>
        <w:spacing w:after="0" w:line="85"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Crysvita is also approved in the U.S. and certain other regions for the treatment of FGF23-related hypophosphatemia in TIO, associated with phosphaturic mesenchymal tumors that cannot be curatvely resected or localized in adults and pediatric patents 2 years of age and older. There are approximately 2,000 to 4,000 patents with TIO in the developed world. TIO can lead to severe hypophosphatemia, osteomalacia, fractures, fatgue, bone and muscle pain, and muscle weakness.</w:t>
      </w:r>
    </w:p>
    <w:p>
      <w:pPr>
        <w:spacing w:after="0" w:line="84" w:lineRule="exact"/>
        <w:rPr>
          <w:sz w:val="20"/>
          <w:szCs w:val="20"/>
          <w:color w:val="auto"/>
        </w:rPr>
      </w:pPr>
    </w:p>
    <w:p>
      <w:pPr>
        <w:ind w:right="1280" w:firstLine="509"/>
        <w:spacing w:after="0" w:line="235" w:lineRule="auto"/>
        <w:rPr>
          <w:sz w:val="20"/>
          <w:szCs w:val="20"/>
          <w:color w:val="auto"/>
        </w:rPr>
      </w:pPr>
      <w:r>
        <w:rPr>
          <w:rFonts w:ascii="Calibri" w:cs="Calibri" w:eastAsia="Calibri" w:hAnsi="Calibri"/>
          <w:sz w:val="18"/>
          <w:szCs w:val="18"/>
          <w:color w:val="auto"/>
        </w:rPr>
        <w:t>We are collaboratng with Kyowa Kirin Co., Ltd., or KKC, and Kyowa Kirin, a wholly owned subsidiary of KKC, on the development and commercializaton of Crysvita globally.</w:t>
      </w:r>
    </w:p>
    <w:p>
      <w:pPr>
        <w:spacing w:after="0" w:line="83"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Please see “—License and Collaboraton Agreements—Approved Products— Kyowa Kirin Co., Ltd.” for a descripton of our collaboraton and license agreement with KKC.</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Mepsevii for the treatment of Mucopolysaccharidosis VII, or MPS VII</w:t>
      </w:r>
    </w:p>
    <w:p>
      <w:pPr>
        <w:spacing w:after="0" w:line="69"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Mepsevii is an enzyme replacement therapy administered intravenously, or IV, that replaces the missing enzyme (beta-glucuronidase), developed for the treatment of MPS VII or Sly syndrome. MPS VII is a rare lysosomal storage disease that ofen leads to mult-organ dysfuncton, pervasive skeletal disease, and death. MPS VII is one of the rarest MPS disorders, afectng an estmated 200 patents in the developed world. Mepsevii is approved in the U.S., the EU and certain other regions for the treatment of children and adults with MPS VII.</w:t>
      </w:r>
    </w:p>
    <w:p>
      <w:pPr>
        <w:spacing w:after="0" w:line="84" w:lineRule="exact"/>
        <w:rPr>
          <w:sz w:val="20"/>
          <w:szCs w:val="20"/>
          <w:color w:val="auto"/>
        </w:rPr>
      </w:pPr>
    </w:p>
    <w:p>
      <w:pPr>
        <w:ind w:right="300" w:firstLine="509"/>
        <w:spacing w:after="0" w:line="235" w:lineRule="auto"/>
        <w:rPr>
          <w:sz w:val="20"/>
          <w:szCs w:val="20"/>
          <w:color w:val="auto"/>
        </w:rPr>
      </w:pPr>
      <w:r>
        <w:rPr>
          <w:rFonts w:ascii="Calibri" w:cs="Calibri" w:eastAsia="Calibri" w:hAnsi="Calibri"/>
          <w:sz w:val="18"/>
          <w:szCs w:val="18"/>
          <w:color w:val="auto"/>
        </w:rPr>
        <w:t>Please see “—License and Collaboraton Agreements—Approved Products—Saint Louis University” for a descripton of our license agreement with Saint Louis University.</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Dojolvi for the treatment of Long-chain Faty Acid Oxidaton Disorders, or LC-FAOD</w:t>
      </w:r>
    </w:p>
    <w:p>
      <w:pPr>
        <w:spacing w:after="0" w:line="69"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Dojolvi is a highly purifed, synthetc, 7-carbon faty acid triglyceride administered orally, designed to provide medium-chain, odd-carbon faty acids as an energy source and metabolite replacement, developed for people with LC-FAOD. LC-FAOD represents a set of rare metabolic diseases that prevents the conversion of fat into energy and can cause low blood sugar, muscle rupture, and heart and liver disease. Dojolvi is approved in the U.S. and certain other regions as a source of calories and faty acids for the treatment of pediatric and adult patents with molecularly confrmed LC-FAOD. There are approximately 8,000 to 14,000 patents in the developed world with LC-FAOD.</w:t>
      </w:r>
    </w:p>
    <w:p>
      <w:pPr>
        <w:spacing w:after="0" w:line="72" w:lineRule="exact"/>
        <w:rPr>
          <w:sz w:val="20"/>
          <w:szCs w:val="20"/>
          <w:color w:val="auto"/>
        </w:rPr>
      </w:pPr>
    </w:p>
    <w:p>
      <w:pPr>
        <w:jc w:val="both"/>
        <w:ind w:right="160" w:firstLine="509"/>
        <w:spacing w:after="0" w:line="235" w:lineRule="auto"/>
        <w:rPr>
          <w:sz w:val="20"/>
          <w:szCs w:val="20"/>
          <w:color w:val="auto"/>
        </w:rPr>
      </w:pPr>
      <w:r>
        <w:rPr>
          <w:rFonts w:ascii="Calibri" w:cs="Calibri" w:eastAsia="Calibri" w:hAnsi="Calibri"/>
          <w:sz w:val="18"/>
          <w:szCs w:val="18"/>
          <w:color w:val="auto"/>
        </w:rPr>
        <w:t>In November 2024, we announced that we had received a positve fnalized assessment report with agreement to fle for Conditonal Early Approval, or CEA, from Japan’s Pharmaceutcals and Medical Devices Agency, or PMDA, based on the currently available global clinical data for the product. With this feedback, we expect to fle a Japan-New Drug Applicaton for CEA in mid-2025.</w:t>
      </w:r>
    </w:p>
    <w:p>
      <w:pPr>
        <w:spacing w:after="0" w:line="84"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Please see “—License and Collaboraton Agreements—Approved Products—Baylor Research Insttute” for a descripton of our license agreement with Baylor Research Insttute.</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Evkeeza for the treatment of Homozygous Familial Hypercholesterolemia, or HoFH</w:t>
      </w:r>
    </w:p>
    <w:p>
      <w:pPr>
        <w:spacing w:after="0" w:line="69"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Evkeeza is a fully human monoclonal antbody administered by IV, that binds to and blocks the functon of angiopoietn-like 3, or ANGPTL3, a protein that plays a key role in lipid metabolism, developed for the treatment of HoFH, a rare inherited conditon. HoFH occurs when two copies of the genes causing familial hypercholesterolemia are inherited, one from each parent, resultng in dangerously high levels (&gt;400 mg/dL) of low-density lipoprotein-cholesterol, or LDL-C, which is bad cholesterol. Patents with HoFH are at risk for premature atherosclerotc disease and cardiac events as early as their teenage years. Evkeeza is approved in the U.S., where it is marketed by our partner Regeneron Pharmaceutcals, or Regeneron. It is also approved in the European Economic Area, or EEA, Brazil and Japan as a frst-in-class therapy for use together with diet and other LDL-C lowering therapies. In these regions, Evkeeza is generally approved to treat adults and adolescents aged fve years and older with clinical HoFH. There are approximately 3,000 to 5,000 patents with HoFH in the developed world outside of the U.S.</w:t>
      </w:r>
    </w:p>
    <w:p>
      <w:pPr>
        <w:spacing w:after="0" w:line="74" w:lineRule="exact"/>
        <w:rPr>
          <w:sz w:val="20"/>
          <w:szCs w:val="20"/>
          <w:color w:val="auto"/>
        </w:rPr>
      </w:pPr>
    </w:p>
    <w:p>
      <w:pPr>
        <w:jc w:val="center"/>
        <w:ind w:left="660" w:right="180"/>
        <w:spacing w:after="0" w:line="235" w:lineRule="auto"/>
        <w:rPr>
          <w:sz w:val="20"/>
          <w:szCs w:val="20"/>
          <w:color w:val="auto"/>
        </w:rPr>
      </w:pPr>
      <w:r>
        <w:rPr>
          <w:rFonts w:ascii="Calibri" w:cs="Calibri" w:eastAsia="Calibri" w:hAnsi="Calibri"/>
          <w:sz w:val="18"/>
          <w:szCs w:val="18"/>
          <w:color w:val="auto"/>
        </w:rPr>
        <w:t>Please see “—License and Collaboraton Agreements—Approved Products—Regeneron” for a descripton of our license agreement with Regeneron.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6" w:name="page7"/>
    <w:bookmarkEnd w:id="6"/>
    <w:p>
      <w:pPr>
        <w:spacing w:after="0"/>
        <w:rPr>
          <w:sz w:val="20"/>
          <w:szCs w:val="20"/>
          <w:color w:val="auto"/>
        </w:rPr>
      </w:pPr>
      <w:r>
        <w:rPr>
          <w:rFonts w:ascii="Calibri" w:cs="Calibri" w:eastAsia="Calibri" w:hAnsi="Calibri"/>
          <w:sz w:val="18"/>
          <w:szCs w:val="18"/>
          <w:b w:val="1"/>
          <w:bCs w:val="1"/>
          <w:color w:val="auto"/>
        </w:rPr>
        <w:t>Clinical Product Candidates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UX143 (setrusumab) for the treatment of Osteogenesis Imperfecta, or OI</w:t>
      </w:r>
    </w:p>
    <w:p>
      <w:pPr>
        <w:spacing w:after="0" w:line="69"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 xml:space="preserve">UX143 (setrusumab) is a fully human monoclonal antbody administered by IV that inhibits sclerostn, a protein that acts on a key bone-signaling pathway by inhibitng the actvity of bone-forming cells and promotng bone resorpton. Setrusumab is being developed for the treatment of OI, or britle bone disease, which is caused by variants in the </w:t>
      </w:r>
      <w:r>
        <w:rPr>
          <w:rFonts w:ascii="Calibri" w:cs="Calibri" w:eastAsia="Calibri" w:hAnsi="Calibri"/>
          <w:sz w:val="18"/>
          <w:szCs w:val="18"/>
          <w:i w:val="1"/>
          <w:iCs w:val="1"/>
          <w:color w:val="auto"/>
        </w:rPr>
        <w:t>COL1A1</w:t>
      </w:r>
      <w:r>
        <w:rPr>
          <w:rFonts w:ascii="Calibri" w:cs="Calibri" w:eastAsia="Calibri" w:hAnsi="Calibri"/>
          <w:sz w:val="18"/>
          <w:szCs w:val="18"/>
          <w:color w:val="auto"/>
        </w:rPr>
        <w:t xml:space="preserve"> or </w:t>
      </w:r>
      <w:r>
        <w:rPr>
          <w:rFonts w:ascii="Calibri" w:cs="Calibri" w:eastAsia="Calibri" w:hAnsi="Calibri"/>
          <w:sz w:val="18"/>
          <w:szCs w:val="18"/>
          <w:i w:val="1"/>
          <w:iCs w:val="1"/>
          <w:color w:val="auto"/>
        </w:rPr>
        <w:t>COL1A2</w:t>
      </w:r>
      <w:r>
        <w:rPr>
          <w:rFonts w:ascii="Calibri" w:cs="Calibri" w:eastAsia="Calibri" w:hAnsi="Calibri"/>
          <w:sz w:val="18"/>
          <w:szCs w:val="18"/>
          <w:color w:val="auto"/>
        </w:rPr>
        <w:t xml:space="preserve"> genes, leading to either reduced or abnormal collagen and changes in bone metabolism. There are an estmated 60,000 patents in the developed world afected by OI. UX143 has received orphan drug designaton from the U.S. Food and Drug Administraton, or FDA, and European Medicines Agency, or EMA, Rare Pediatric Disease designaton and Breakthrough Designaton from the FDA, and was accepted into the EMA’s Priority Medicines, or PRIME, program. Setrusumab is subject to our collaboraton agreement with Mereo and is the lead clinical asset in our bone endocrinology franchise.</w:t>
      </w:r>
    </w:p>
    <w:p>
      <w:pPr>
        <w:spacing w:after="0" w:line="8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 xml:space="preserve">In April 2024, we announced all patents in the Phase 3 </w:t>
      </w:r>
      <w:r>
        <w:rPr>
          <w:rFonts w:ascii="Calibri" w:cs="Calibri" w:eastAsia="Calibri" w:hAnsi="Calibri"/>
          <w:sz w:val="18"/>
          <w:szCs w:val="18"/>
          <w:i w:val="1"/>
          <w:iCs w:val="1"/>
          <w:color w:val="auto"/>
        </w:rPr>
        <w:t>Orbit</w:t>
      </w:r>
      <w:r>
        <w:rPr>
          <w:rFonts w:ascii="Calibri" w:cs="Calibri" w:eastAsia="Calibri" w:hAnsi="Calibri"/>
          <w:sz w:val="18"/>
          <w:szCs w:val="18"/>
          <w:color w:val="auto"/>
        </w:rPr>
        <w:t xml:space="preserve"> and </w:t>
      </w:r>
      <w:r>
        <w:rPr>
          <w:rFonts w:ascii="Calibri" w:cs="Calibri" w:eastAsia="Calibri" w:hAnsi="Calibri"/>
          <w:sz w:val="18"/>
          <w:szCs w:val="18"/>
          <w:i w:val="1"/>
          <w:iCs w:val="1"/>
          <w:color w:val="auto"/>
        </w:rPr>
        <w:t>Cosmic</w:t>
      </w:r>
      <w:r>
        <w:rPr>
          <w:rFonts w:ascii="Calibri" w:cs="Calibri" w:eastAsia="Calibri" w:hAnsi="Calibri"/>
          <w:sz w:val="18"/>
          <w:szCs w:val="18"/>
          <w:color w:val="auto"/>
        </w:rPr>
        <w:t xml:space="preserve"> studies had been enrolled. The Phase 3 porton of </w:t>
      </w:r>
      <w:r>
        <w:rPr>
          <w:rFonts w:ascii="Calibri" w:cs="Calibri" w:eastAsia="Calibri" w:hAnsi="Calibri"/>
          <w:sz w:val="18"/>
          <w:szCs w:val="18"/>
          <w:i w:val="1"/>
          <w:iCs w:val="1"/>
          <w:color w:val="auto"/>
        </w:rPr>
        <w:t>Orbit</w:t>
      </w:r>
      <w:r>
        <w:rPr>
          <w:rFonts w:ascii="Calibri" w:cs="Calibri" w:eastAsia="Calibri" w:hAnsi="Calibri"/>
          <w:sz w:val="18"/>
          <w:szCs w:val="18"/>
          <w:color w:val="auto"/>
        </w:rPr>
        <w:t xml:space="preserve"> enrolled 159 patents and is a randomized placebo-controlled study evaluatng the efect of setrusumab compared to placebo on the rate of annualized clinical fractures in patents aged fve to less than 25 years. </w:t>
      </w:r>
      <w:r>
        <w:rPr>
          <w:rFonts w:ascii="Calibri" w:cs="Calibri" w:eastAsia="Calibri" w:hAnsi="Calibri"/>
          <w:sz w:val="18"/>
          <w:szCs w:val="18"/>
          <w:i w:val="1"/>
          <w:iCs w:val="1"/>
          <w:color w:val="auto"/>
        </w:rPr>
        <w:t>Cosmic</w:t>
      </w:r>
      <w:r>
        <w:rPr>
          <w:rFonts w:ascii="Calibri" w:cs="Calibri" w:eastAsia="Calibri" w:hAnsi="Calibri"/>
          <w:sz w:val="18"/>
          <w:szCs w:val="18"/>
          <w:color w:val="auto"/>
        </w:rPr>
        <w:t xml:space="preserve"> enrolled 69 patents and is an actve-controlled study evaluatng the efect of setrusumab compared to intravenous bisphosphonate, or IV-BP, therapy on annualized total fracture rate in patents aged two to less than seven years.</w:t>
      </w:r>
    </w:p>
    <w:p>
      <w:pPr>
        <w:spacing w:after="0" w:line="71"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 xml:space="preserve">In June 2024, we announced positve 14-month results from the Phase 2 porton of the ongoing Phase 2/3 </w:t>
      </w:r>
      <w:r>
        <w:rPr>
          <w:rFonts w:ascii="Calibri" w:cs="Calibri" w:eastAsia="Calibri" w:hAnsi="Calibri"/>
          <w:sz w:val="18"/>
          <w:szCs w:val="18"/>
          <w:i w:val="1"/>
          <w:iCs w:val="1"/>
          <w:color w:val="auto"/>
        </w:rPr>
        <w:t>Orbit</w:t>
      </w:r>
      <w:r>
        <w:rPr>
          <w:rFonts w:ascii="Calibri" w:cs="Calibri" w:eastAsia="Calibri" w:hAnsi="Calibri"/>
          <w:sz w:val="18"/>
          <w:szCs w:val="18"/>
          <w:color w:val="auto"/>
        </w:rPr>
        <w:t xml:space="preserve"> study demonstratng that, as of a May 24, 2024 data cut-of date, treatment with setrusumab contnued to show statstcally signifcant reductons in the incidence of fractures in patents with OI compared to the pre-treatment period. Treatment with setrusumab also resulted in ongoing and meaningful improvements in lumbar spine bone mineral density, or BMD, at month 12 without evidence of plateau.</w:t>
      </w:r>
    </w:p>
    <w:p>
      <w:pPr>
        <w:spacing w:after="0" w:line="7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As we announced in June 2024, the median annualized rate of radiologically confrmed fractures across all 24 patents in the two years prior to treatment was 0.72. Following a mean treatment duraton period of 16 months, the median annualized fracture rate was reduced 67% to 0.00 (p=0.0014; n=24). The reducton in annualized fracture rates was associated with contnued, clinically meaningful increases in BMD. Tests conducted at the 12-month tmepoint demonstrated that treatment with setrusumab resulted in a mean increase in lumbar spine BMD from baseline of 22% (p&lt;0.0001, n=19) across all age groups (fve to less than 26 years old), a further improvement from 14% observed at six months of treatment. This increase in BMD is refected in the change from the mean baseline lumbar spine BMD Z-score of -1.73 to -0.49 at 12 months across all age groups, a substantal normalizaton in Z-score of +1.25 (p&lt;0.0001, n=18). This is further improved from the mean six-month Z-score change of +0.85. The improvements in BMD and Z-scores were statstcally signifcant and consistent across all OI sub-types studied.</w:t>
      </w:r>
    </w:p>
    <w:p>
      <w:pPr>
        <w:spacing w:after="0" w:line="88"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 xml:space="preserve">As of the May 24, 2024 data cut-of, there were no treatment-related serious adverse events observed in the study. Reported adverse events were generally consistent with those observed in the </w:t>
      </w:r>
      <w:r>
        <w:rPr>
          <w:rFonts w:ascii="Calibri" w:cs="Calibri" w:eastAsia="Calibri" w:hAnsi="Calibri"/>
          <w:sz w:val="18"/>
          <w:szCs w:val="18"/>
          <w:i w:val="1"/>
          <w:iCs w:val="1"/>
          <w:color w:val="auto"/>
        </w:rPr>
        <w:t>Asteroid</w:t>
      </w:r>
      <w:r>
        <w:rPr>
          <w:rFonts w:ascii="Calibri" w:cs="Calibri" w:eastAsia="Calibri" w:hAnsi="Calibri"/>
          <w:sz w:val="18"/>
          <w:szCs w:val="18"/>
          <w:color w:val="auto"/>
        </w:rPr>
        <w:t xml:space="preserve"> study with infusion-related events and headache determined to be the most common adverse events related to the study drug. As of the data cut-of, there were no reported hypersensitvity reactons related to setrusumab.</w:t>
      </w:r>
    </w:p>
    <w:p>
      <w:pPr>
        <w:spacing w:after="0" w:line="70"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 xml:space="preserve">In January 2025, we announced that the Phase 3 </w:t>
      </w:r>
      <w:r>
        <w:rPr>
          <w:rFonts w:ascii="Calibri" w:cs="Calibri" w:eastAsia="Calibri" w:hAnsi="Calibri"/>
          <w:sz w:val="18"/>
          <w:szCs w:val="18"/>
          <w:i w:val="1"/>
          <w:iCs w:val="1"/>
          <w:color w:val="auto"/>
        </w:rPr>
        <w:t>Orbit</w:t>
      </w:r>
      <w:r>
        <w:rPr>
          <w:rFonts w:ascii="Calibri" w:cs="Calibri" w:eastAsia="Calibri" w:hAnsi="Calibri"/>
          <w:sz w:val="18"/>
          <w:szCs w:val="18"/>
          <w:color w:val="auto"/>
        </w:rPr>
        <w:t xml:space="preserve"> study is progressing to the second interim analysis expected in mid-2025. Patents in the </w:t>
      </w:r>
      <w:r>
        <w:rPr>
          <w:rFonts w:ascii="Calibri" w:cs="Calibri" w:eastAsia="Calibri" w:hAnsi="Calibri"/>
          <w:sz w:val="18"/>
          <w:szCs w:val="18"/>
          <w:i w:val="1"/>
          <w:iCs w:val="1"/>
          <w:color w:val="auto"/>
        </w:rPr>
        <w:t xml:space="preserve">Cosmic </w:t>
      </w:r>
      <w:r>
        <w:rPr>
          <w:rFonts w:ascii="Calibri" w:cs="Calibri" w:eastAsia="Calibri" w:hAnsi="Calibri"/>
          <w:sz w:val="18"/>
          <w:szCs w:val="18"/>
          <w:color w:val="auto"/>
        </w:rPr>
        <w:t>study also contnue to be treated with either setrusumab or IV-BP therapy and will be evaluated in parallel with the second</w:t>
      </w:r>
      <w:r>
        <w:rPr>
          <w:rFonts w:ascii="Calibri" w:cs="Calibri" w:eastAsia="Calibri" w:hAnsi="Calibri"/>
          <w:sz w:val="18"/>
          <w:szCs w:val="18"/>
          <w:i w:val="1"/>
          <w:iCs w:val="1"/>
          <w:color w:val="auto"/>
        </w:rPr>
        <w:t xml:space="preserve"> Orbit </w:t>
      </w:r>
      <w:r>
        <w:rPr>
          <w:rFonts w:ascii="Calibri" w:cs="Calibri" w:eastAsia="Calibri" w:hAnsi="Calibri"/>
          <w:sz w:val="18"/>
          <w:szCs w:val="18"/>
          <w:color w:val="auto"/>
        </w:rPr>
        <w:t>interim analysis in</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mid-2025 and fnal analyses, if needed, in the fourth quarter of 2025.</w:t>
      </w:r>
    </w:p>
    <w:p>
      <w:pPr>
        <w:spacing w:after="0" w:line="70" w:lineRule="exact"/>
        <w:rPr>
          <w:sz w:val="20"/>
          <w:szCs w:val="20"/>
          <w:color w:val="auto"/>
        </w:rPr>
      </w:pPr>
    </w:p>
    <w:p>
      <w:pPr>
        <w:ind w:right="660" w:firstLine="509"/>
        <w:spacing w:after="0" w:line="235" w:lineRule="auto"/>
        <w:rPr>
          <w:sz w:val="20"/>
          <w:szCs w:val="20"/>
          <w:color w:val="auto"/>
        </w:rPr>
      </w:pPr>
      <w:r>
        <w:rPr>
          <w:rFonts w:ascii="Calibri" w:cs="Calibri" w:eastAsia="Calibri" w:hAnsi="Calibri"/>
          <w:sz w:val="18"/>
          <w:szCs w:val="18"/>
          <w:color w:val="auto"/>
        </w:rPr>
        <w:t>Please see “—License and Collaboraton Agreements—Clinical Product Candidates—Mereo” for a descripton of our license and collaboraton agreement with Mereo.</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GTX-102 for the treatment of Angelman Syndrome</w:t>
      </w:r>
    </w:p>
    <w:p>
      <w:pPr>
        <w:spacing w:after="0" w:line="82"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 xml:space="preserve">GTX-102 is an antsense oligonucleotde, or ASO, administered by intrathecal injecton that inhibits expression of the paternal </w:t>
      </w:r>
      <w:r>
        <w:rPr>
          <w:rFonts w:ascii="Calibri" w:cs="Calibri" w:eastAsia="Calibri" w:hAnsi="Calibri"/>
          <w:sz w:val="18"/>
          <w:szCs w:val="18"/>
          <w:i w:val="1"/>
          <w:iCs w:val="1"/>
          <w:color w:val="auto"/>
        </w:rPr>
        <w:t>UBE3A</w:t>
      </w:r>
      <w:r>
        <w:rPr>
          <w:rFonts w:ascii="Calibri" w:cs="Calibri" w:eastAsia="Calibri" w:hAnsi="Calibri"/>
          <w:sz w:val="18"/>
          <w:szCs w:val="18"/>
          <w:color w:val="auto"/>
        </w:rPr>
        <w:t xml:space="preserve"> antsense. GTX-102 is being developed for the treatment of Angelman syndrome, a debilitatng and rare neurogenetc disorder caused by loss-of-functon of the maternally inherited allele of the </w:t>
      </w:r>
      <w:r>
        <w:rPr>
          <w:rFonts w:ascii="Calibri" w:cs="Calibri" w:eastAsia="Calibri" w:hAnsi="Calibri"/>
          <w:sz w:val="18"/>
          <w:szCs w:val="18"/>
          <w:i w:val="1"/>
          <w:iCs w:val="1"/>
          <w:color w:val="auto"/>
        </w:rPr>
        <w:t>UBE3A</w:t>
      </w:r>
      <w:r>
        <w:rPr>
          <w:rFonts w:ascii="Calibri" w:cs="Calibri" w:eastAsia="Calibri" w:hAnsi="Calibri"/>
          <w:sz w:val="18"/>
          <w:szCs w:val="18"/>
          <w:color w:val="auto"/>
        </w:rPr>
        <w:t xml:space="preserve"> gene. There are an estmated 60,000 patents in the developed world afected by Angelman syndrome. GTX-102 has received Fast Track Designaton, Orphan Drug Designaton and Rare Pediatric Disease Designaton from the FDA and has been accepted into the EMA’s PRIME program.</w:t>
      </w:r>
    </w:p>
    <w:p>
      <w:pPr>
        <w:spacing w:after="0" w:line="7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In January 2024, we announced that enrollment in the Expansion Cohorts had been completed in the Phase 1/2 study of GTX-102 for the treatment of Angelman syndrome. Across the Phase 1/2, including the Dose Escalaton and Expansion Cohorts, there are a total of 74 patents enrolled in the Phase 1/2 study.</w:t>
      </w:r>
    </w:p>
    <w:p>
      <w:pPr>
        <w:spacing w:after="0" w:line="84"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In April 2024, we presented interim data from the Phase 1/2 study at the 76th Annual American Academy of Neurology Meetng. Patents in Expansion Cohorts A &amp; B treated with GTX-102 showed rapid and clinically meaningful improvement across multple domains consistent with or exceeding Dose Escalaton Cohorts 4-7 data at Day 170. Treatment of the Dose Escalaton Cohorts 4-7 showed long-term increasing and sustained clinical beneft far exceeding Natural History data at Day 758.</w:t>
      </w:r>
    </w:p>
    <w:p>
      <w:pPr>
        <w:jc w:val="center"/>
        <w:spacing w:after="0" w:line="238" w:lineRule="auto"/>
        <w:rPr>
          <w:sz w:val="20"/>
          <w:szCs w:val="20"/>
          <w:color w:val="auto"/>
        </w:rPr>
      </w:pPr>
      <w:r>
        <w:rPr>
          <w:rFonts w:ascii="Calibri" w:cs="Calibri" w:eastAsia="Calibri" w:hAnsi="Calibri"/>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7" w:name="page8"/>
    <w:bookmarkEnd w:id="7"/>
    <w:p>
      <w:pPr>
        <w:ind w:right="40" w:firstLine="509"/>
        <w:spacing w:after="0" w:line="235" w:lineRule="auto"/>
        <w:rPr>
          <w:sz w:val="20"/>
          <w:szCs w:val="20"/>
          <w:color w:val="auto"/>
        </w:rPr>
      </w:pPr>
      <w:r>
        <w:rPr>
          <w:rFonts w:ascii="Calibri" w:cs="Calibri" w:eastAsia="Calibri" w:hAnsi="Calibri"/>
          <w:sz w:val="18"/>
          <w:szCs w:val="18"/>
          <w:color w:val="auto"/>
        </w:rPr>
        <w:t xml:space="preserve">In December 2024, we announced that enrollment began in the global Phase 3 </w:t>
      </w:r>
      <w:r>
        <w:rPr>
          <w:rFonts w:ascii="Calibri" w:cs="Calibri" w:eastAsia="Calibri" w:hAnsi="Calibri"/>
          <w:sz w:val="18"/>
          <w:szCs w:val="18"/>
          <w:i w:val="1"/>
          <w:iCs w:val="1"/>
          <w:color w:val="auto"/>
        </w:rPr>
        <w:t>Aspire</w:t>
      </w:r>
      <w:r>
        <w:rPr>
          <w:rFonts w:ascii="Calibri" w:cs="Calibri" w:eastAsia="Calibri" w:hAnsi="Calibri"/>
          <w:sz w:val="18"/>
          <w:szCs w:val="18"/>
          <w:color w:val="auto"/>
        </w:rPr>
        <w:t xml:space="preserve"> study, which is expected to enroll approximately 120 children ages four to 17 with Angelman syndrome with a genetcally confrmed diagnosis of full maternal UBE3A gene deleton. Partcipants will be randomized 1:1 to receive GTX-102 by intrathecal injecton via lumbar puncture or to the sham comparator group during the 48-week primary efcacy analysis period. The primary endpoint will be improvement in cogniton assessed by Bayley-4 cognitve raw score, and the key secondary endpoint (with a 10% allocaton of alpha) will be the Mult-domain Responder Index across the fve domains of cogniton, receptve communicaton, behavior, gross motor functon, and sleep. Enrollment in the Phase 3 </w:t>
      </w:r>
      <w:r>
        <w:rPr>
          <w:rFonts w:ascii="Calibri" w:cs="Calibri" w:eastAsia="Calibri" w:hAnsi="Calibri"/>
          <w:sz w:val="18"/>
          <w:szCs w:val="18"/>
          <w:i w:val="1"/>
          <w:iCs w:val="1"/>
          <w:color w:val="auto"/>
        </w:rPr>
        <w:t>Aspire</w:t>
      </w:r>
      <w:r>
        <w:rPr>
          <w:rFonts w:ascii="Calibri" w:cs="Calibri" w:eastAsia="Calibri" w:hAnsi="Calibri"/>
          <w:sz w:val="18"/>
          <w:szCs w:val="18"/>
          <w:color w:val="auto"/>
        </w:rPr>
        <w:t xml:space="preserve"> study is expected to complete in the second half of 2025.</w:t>
      </w:r>
    </w:p>
    <w:p>
      <w:pPr>
        <w:spacing w:after="0" w:line="81"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 xml:space="preserve">The Phase 2/3 </w:t>
      </w:r>
      <w:r>
        <w:rPr>
          <w:rFonts w:ascii="Calibri" w:cs="Calibri" w:eastAsia="Calibri" w:hAnsi="Calibri"/>
          <w:sz w:val="18"/>
          <w:szCs w:val="18"/>
          <w:i w:val="1"/>
          <w:iCs w:val="1"/>
          <w:color w:val="auto"/>
        </w:rPr>
        <w:t>Aurora</w:t>
      </w:r>
      <w:r>
        <w:rPr>
          <w:rFonts w:ascii="Calibri" w:cs="Calibri" w:eastAsia="Calibri" w:hAnsi="Calibri"/>
          <w:sz w:val="18"/>
          <w:szCs w:val="18"/>
          <w:color w:val="auto"/>
        </w:rPr>
        <w:t xml:space="preserve"> study, which will evaluate GTX-102 in other Angelman syndrome genotypes and ages, is expected to initate in 2025.</w:t>
      </w:r>
    </w:p>
    <w:p>
      <w:pPr>
        <w:spacing w:after="0" w:line="69"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Please see “—License and Collaboraton Agreements—Clinical Product Candidates—GeneTx” for a descripton of our license agreement with GeneTx Biotherapeutcs LLC, or GeneTx.</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UX111 (rebisufigene etsparvovec) for the treatment of Sanflippo syndrome type A or MPS IIIA</w:t>
      </w:r>
    </w:p>
    <w:p>
      <w:pPr>
        <w:spacing w:after="0" w:line="82"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UX111 (formerly ABO-102) is an adeno-associated virus 9, or AAV9, gene therapy product candidate, administered by a one-tme IV infusion that provides the cross-correctng enzyme that enables the breakdown of Heparan sulfate, or HS. UX111 is being developed for the treatment of patents with Sanflippo syndrome type A, or MPS IIIA, a rare lysosomal storage disease with no approved treatment, which primarily afects the central nervous system. There are an estmated 3,000 to 5,000 patents in the developed world afected by Sanflippo syndrome type A. The program was acquired through an exclusive license agreement with Abeona Therapeutcs, or Abeona, that was announced in May 2022. The UX111 program has received Regeneratve Medicine Advanced Therapy, or RMAT, Fast Track, Rare Pediatric Disease, and Orphan Drug Designatons in the U.S., and PRIME and Orphan Medicinal Product designatons in the EU.</w:t>
      </w:r>
    </w:p>
    <w:p>
      <w:pPr>
        <w:spacing w:after="0" w:line="73"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In December 2024, we submited a BLA to the FDA for UX111 supported by the available data, including from the ongoing pivotal Transpher A study. New clinical data were presented at WORLDSymposium™ 2025 in February 2025, that demonstrated treatment with UX111 led to a statstcally signifcant improvement in the Bayley-III raw scores for the subdomains of cogniton, receptve communicaton and expressive communicaton in patents with MPS IIIA compared to Natural History Data from untreated patents. These clinical endpoints were correlated with substantal and sustained reducton in levels of heparan sulfate in cerebrospinal fuid.</w:t>
      </w:r>
    </w:p>
    <w:p>
      <w:pPr>
        <w:spacing w:after="0" w:line="6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FDA granted the BLA Priority Review with a Prescripton Drug User Fee Act, or PDUFA, acton date of August 18, 2025.</w:t>
      </w:r>
    </w:p>
    <w:p>
      <w:pPr>
        <w:spacing w:after="0" w:line="82"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Please see “—License and Collaboraton Agreements—Clinical Product Candidates—Abeona” for a descripton of our license agreement with Abeona.</w:t>
      </w:r>
    </w:p>
    <w:p>
      <w:pPr>
        <w:spacing w:after="0" w:line="24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DTX401 (pariglasgene brecaparvovec) for the treatment of Glycogen Storage Disease Type Ia, or GSDIa</w:t>
      </w:r>
    </w:p>
    <w:p>
      <w:pPr>
        <w:spacing w:after="0" w:line="69"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DTX401 is an adeno-associated virus 8, or AAV8, gene therapy clinical candidate, administered by a one-tme IV infusion that is designed to deliver stable expression and actvity of G6Pase-α, an essental enzyme in glycogen and glucose metabolism. DTX401 is being developed for the treatment of patents with GSDIa, and is the most common genetcally inherited glycogen storage disease, with an estmated 6,000 patents in the developed world. A Pediatric Investgaton Plan, or PIP, was accepted by the EMA. The DTX401 program has received Rare Pediatric Disease, RMAT, Fast Track, and Orphan Drug designatons in the U.S., and PRIME and Orphan Medicinal Product Designatons in the EU.</w:t>
      </w:r>
    </w:p>
    <w:p>
      <w:pPr>
        <w:spacing w:after="0" w:line="72"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 xml:space="preserve">In May 2024, we announced positve topline results from our Phase 3 </w:t>
      </w:r>
      <w:r>
        <w:rPr>
          <w:rFonts w:ascii="Calibri" w:cs="Calibri" w:eastAsia="Calibri" w:hAnsi="Calibri"/>
          <w:sz w:val="18"/>
          <w:szCs w:val="18"/>
          <w:i w:val="1"/>
          <w:iCs w:val="1"/>
          <w:color w:val="auto"/>
        </w:rPr>
        <w:t>GlucoGene</w:t>
      </w:r>
      <w:r>
        <w:rPr>
          <w:rFonts w:ascii="Calibri" w:cs="Calibri" w:eastAsia="Calibri" w:hAnsi="Calibri"/>
          <w:sz w:val="18"/>
          <w:szCs w:val="18"/>
          <w:color w:val="auto"/>
        </w:rPr>
        <w:t xml:space="preserve"> study for the treatment of patents aged eight years and older. The study achieved its primary endpoint, demonstratng that treatment with DTX401 resulted in a statstcally signifcant and clinically meaningful reducton in daily cornstarch intake compared with placebo at Week 48.</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November 2024, we provided updated, longer-term Phase 3 data. Afer the 48-week primary efcacy analysis period, crossover patents (previously treated with placebo) were eligible to receive DTX401. As of the data cut-of, 12 crossover patents had reached Week 30 post-treatment and had a substantal 61.6% mean reducton of daily cornstarch at this early tmepoint, double the rate of decrease when compared to patents in the original DTX401 treatment arm (n=20) at week 30 and that showed a mean 41.3% reducton at the end of the 48-weeks. Patents from the original DTX401 treatment arm who had reached 78 weeks are contnuing to reduce their daily cornstarch intake, while maintaining glycemic control. DTX401 has demonstrated a consistent and acceptable safety profle with no new safety concerns identfed as of the data cut-of.</w:t>
      </w:r>
    </w:p>
    <w:p>
      <w:pPr>
        <w:spacing w:after="0" w:line="68"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These results have been discussed with regulatory authorites in a pre-BLA meetng and will be included as part of a BLA submission in mid-2025.</w:t>
      </w:r>
    </w:p>
    <w:p>
      <w:pPr>
        <w:spacing w:after="0" w:line="69"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Please see “—License and Collaboraton Agreements—Clinical Product Candidates—REGENXBIO Inc.” for a descripton of our license agreement with REGENXBIO Inc.</w:t>
      </w:r>
    </w:p>
    <w:p>
      <w:pPr>
        <w:jc w:val="center"/>
        <w:ind w:right="-39"/>
        <w:spacing w:after="0" w:line="236" w:lineRule="auto"/>
        <w:rPr>
          <w:sz w:val="20"/>
          <w:szCs w:val="20"/>
          <w:color w:val="auto"/>
        </w:rPr>
      </w:pPr>
      <w:r>
        <w:rPr>
          <w:rFonts w:ascii="Calibri" w:cs="Calibri" w:eastAsia="Calibri" w:hAnsi="Calibri"/>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8" w:name="page9"/>
    <w:bookmarkEnd w:id="8"/>
    <w:p>
      <w:pPr>
        <w:spacing w:after="0"/>
        <w:rPr>
          <w:sz w:val="20"/>
          <w:szCs w:val="20"/>
          <w:color w:val="auto"/>
        </w:rPr>
      </w:pPr>
      <w:r>
        <w:rPr>
          <w:rFonts w:ascii="Calibri" w:cs="Calibri" w:eastAsia="Calibri" w:hAnsi="Calibri"/>
          <w:sz w:val="18"/>
          <w:szCs w:val="18"/>
          <w:b w:val="1"/>
          <w:bCs w:val="1"/>
          <w:i w:val="1"/>
          <w:iCs w:val="1"/>
          <w:color w:val="auto"/>
        </w:rPr>
        <w:t>DTX301 (avalotcagene ontaparvovec) for the treatment of Ornithine Transcarbamylase, or OTC, defciency</w:t>
      </w:r>
    </w:p>
    <w:p>
      <w:pPr>
        <w:spacing w:after="0" w:line="69"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 xml:space="preserve">DTX301 is an AAV8 gene therapy product candidate, administered by a one-tme IV infusion that is designed to deliver stable expression and actvity of the </w:t>
      </w:r>
      <w:r>
        <w:rPr>
          <w:rFonts w:ascii="Calibri" w:cs="Calibri" w:eastAsia="Calibri" w:hAnsi="Calibri"/>
          <w:sz w:val="18"/>
          <w:szCs w:val="18"/>
          <w:i w:val="1"/>
          <w:iCs w:val="1"/>
          <w:color w:val="auto"/>
        </w:rPr>
        <w:t>OTC</w:t>
      </w:r>
      <w:r>
        <w:rPr>
          <w:rFonts w:ascii="Calibri" w:cs="Calibri" w:eastAsia="Calibri" w:hAnsi="Calibri"/>
          <w:sz w:val="18"/>
          <w:szCs w:val="18"/>
          <w:color w:val="auto"/>
        </w:rPr>
        <w:t>, gene. DTX301 is being developed for the treatment of patents with OTC defciency, which is the most common urea cycle disorder, and there are approximately 10,000 patents in the developed world with OTC defciency, of which we estmate approximately 80% are classifed as late-onset, our target populaton. DTX301 has received Orphan Drug Designaton in both the U.S. and in the EU and Fast Track Designaton in the U.S.</w:t>
      </w:r>
    </w:p>
    <w:p>
      <w:pPr>
        <w:spacing w:after="0" w:line="84"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In February 2025, we announced enrollment had been completed in the Phase 3 study of DTX301 for the treatment of OTC defciency with a total of 37 patents randomized 1:1 to DTX301 or placebo. The co-primary endpoints are the percentage of patents who achieve a response as measured by the change in 24-hour plasma ammonia levels and discontnuaton or reducton ammonia-scavenger medicatons and protein-restricted diet. Based on an amended protocol, the change in 24-hour ammonia levels will be measured through Week 36, afer which the study would unblind and patents will be followed for a total of up to 64 weeks to determine the complete responders able to move safely to both ammonia-scavenger medicatons and protein-restricted diet control.</w:t>
      </w:r>
    </w:p>
    <w:p>
      <w:pPr>
        <w:spacing w:after="0" w:line="73"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Please see “—License and Collaboraton Agreements—Clinical Product Candidates—REGENXBIO Inc.” for a descripton of our license agreement with REGENXBIO Inc.</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UX701 (rivunatpagene miziparvovec) for the treatment of Wilson Disease</w:t>
      </w:r>
    </w:p>
    <w:p>
      <w:pPr>
        <w:spacing w:after="0" w:line="69"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 xml:space="preserve">UX701 is an AAV type 9 gene therapy, administered by a one-tme IV infusion that is designed to deliver a truncated form of the </w:t>
      </w:r>
      <w:r>
        <w:rPr>
          <w:rFonts w:ascii="Calibri" w:cs="Calibri" w:eastAsia="Calibri" w:hAnsi="Calibri"/>
          <w:sz w:val="18"/>
          <w:szCs w:val="18"/>
          <w:i w:val="1"/>
          <w:iCs w:val="1"/>
          <w:color w:val="auto"/>
        </w:rPr>
        <w:t>ATP7B</w:t>
      </w:r>
      <w:r>
        <w:rPr>
          <w:rFonts w:ascii="Calibri" w:cs="Calibri" w:eastAsia="Calibri" w:hAnsi="Calibri"/>
          <w:sz w:val="18"/>
          <w:szCs w:val="18"/>
          <w:color w:val="auto"/>
        </w:rPr>
        <w:t xml:space="preserve"> gene. UX701 is being developed for the treatment of patents with Wilson disease, which afects more than 50,000 patents in the developed world. UX701 has received Orphan Drug Designaton in the U.S. and in the EU. UX701 has received a Fast Track Designaton from the FDA.</w:t>
      </w:r>
    </w:p>
    <w:p>
      <w:pPr>
        <w:spacing w:after="0" w:line="84"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 xml:space="preserve">In February 2024, we announced that we enrolled and dosed 15 patents in the three dose escalatng cohorts of the frst, dose-fnding, stage of the pivotal </w:t>
      </w:r>
      <w:r>
        <w:rPr>
          <w:rFonts w:ascii="Calibri" w:cs="Calibri" w:eastAsia="Calibri" w:hAnsi="Calibri"/>
          <w:sz w:val="18"/>
          <w:szCs w:val="18"/>
          <w:i w:val="1"/>
          <w:iCs w:val="1"/>
          <w:color w:val="auto"/>
        </w:rPr>
        <w:t>Cyprus2+</w:t>
      </w:r>
      <w:r>
        <w:rPr>
          <w:rFonts w:ascii="Calibri" w:cs="Calibri" w:eastAsia="Calibri" w:hAnsi="Calibri"/>
          <w:sz w:val="18"/>
          <w:szCs w:val="18"/>
          <w:color w:val="auto"/>
        </w:rPr>
        <w:t xml:space="preserve"> study of UX701 for the treatment of Wilson disease. During Stage 1, the safety and efcacy of UX701 is being evaluated across three, sequental dosing cohorts (Cohort 1: 5.0 x 10^12 GC/kg Cohort 2: 1.0 x 10^13 GC/kg and Cohort 3: 2.0 x 10^13 GC/kg).</w:t>
      </w:r>
    </w:p>
    <w:p>
      <w:pPr>
        <w:spacing w:after="0" w:line="70"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 xml:space="preserve">In October 2024, we shared that UX701 demonstrated clinical actvity in the pivotal </w:t>
      </w:r>
      <w:r>
        <w:rPr>
          <w:rFonts w:ascii="Calibri" w:cs="Calibri" w:eastAsia="Calibri" w:hAnsi="Calibri"/>
          <w:sz w:val="18"/>
          <w:szCs w:val="18"/>
          <w:i w:val="1"/>
          <w:iCs w:val="1"/>
          <w:color w:val="auto"/>
        </w:rPr>
        <w:t>Cyprus2+</w:t>
      </w:r>
      <w:r>
        <w:rPr>
          <w:rFonts w:ascii="Calibri" w:cs="Calibri" w:eastAsia="Calibri" w:hAnsi="Calibri"/>
          <w:sz w:val="18"/>
          <w:szCs w:val="18"/>
          <w:color w:val="auto"/>
        </w:rPr>
        <w:t xml:space="preserve">study as well as improvements in copper metabolism for patents treated in Stage 1. Multple responders had completely tapered of standard-of-care treatment with responses seen in all three dose cohorts. In Stage 1, 15 patents were enrolled into the three sequental dosing cohorts and followed for at least 24 weeks. Six of the patents completely tapered of of standard-of-care treatment with chelators and/or zinc therapy, and a seventh patent had begun tapering as of the data cut-of date in August 2024. In patents who had tapered of standard-of-care, non-ceruloplasmin bound copper (NCC) had stabilized to normal, healthy levels. In some patents, there were increases in ceruloplasmin-copper actvity consistent with improved </w:t>
      </w:r>
      <w:r>
        <w:rPr>
          <w:rFonts w:ascii="Calibri" w:cs="Calibri" w:eastAsia="Calibri" w:hAnsi="Calibri"/>
          <w:sz w:val="18"/>
          <w:szCs w:val="18"/>
          <w:i w:val="1"/>
          <w:iCs w:val="1"/>
          <w:color w:val="auto"/>
        </w:rPr>
        <w:t>ATP7b</w:t>
      </w:r>
      <w:r>
        <w:rPr>
          <w:rFonts w:ascii="Calibri" w:cs="Calibri" w:eastAsia="Calibri" w:hAnsi="Calibri"/>
          <w:sz w:val="18"/>
          <w:szCs w:val="18"/>
          <w:color w:val="auto"/>
        </w:rPr>
        <w:t xml:space="preserve"> functon. UX701 has been well tolerated, with no unexpected related treatment-emergent adverse events and no signifcant immunologic safety events as of the data cut-of.</w:t>
      </w:r>
    </w:p>
    <w:p>
      <w:pPr>
        <w:spacing w:after="0" w:line="73"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We expect to enroll a fourth cohort in Stage 1 at a moderately increased dose and with an optmized immunomodulaton regimen to enhance the efciency and efcacy of the gene therapy, with the objectve of having the majority of patents come of standard-of-care treatment before selectng a dose for the randomized placebo-controlled stage of the study. Enrollment in Cohort 4 is expected to begin in the frst half of 2025 and expected to complete in the second half of 2025.</w:t>
      </w:r>
    </w:p>
    <w:p>
      <w:pPr>
        <w:spacing w:after="0" w:line="84" w:lineRule="exact"/>
        <w:rPr>
          <w:sz w:val="20"/>
          <w:szCs w:val="20"/>
          <w:color w:val="auto"/>
        </w:rPr>
      </w:pPr>
    </w:p>
    <w:p>
      <w:pPr>
        <w:ind w:right="940" w:firstLine="509"/>
        <w:spacing w:after="0" w:line="235" w:lineRule="auto"/>
        <w:rPr>
          <w:sz w:val="20"/>
          <w:szCs w:val="20"/>
          <w:color w:val="auto"/>
        </w:rPr>
      </w:pPr>
      <w:r>
        <w:rPr>
          <w:rFonts w:ascii="Calibri" w:cs="Calibri" w:eastAsia="Calibri" w:hAnsi="Calibri"/>
          <w:sz w:val="18"/>
          <w:szCs w:val="18"/>
          <w:color w:val="auto"/>
        </w:rPr>
        <w:t>Please see “—License and Collaboraton Agreements—Clinical Product Candidates— REGENXBIO Inc.” for a descripton of our license and collaboraton agreement with REGENXBIO Inc.</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Competton</w:t>
      </w:r>
    </w:p>
    <w:p>
      <w:pPr>
        <w:spacing w:after="0" w:line="82"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In the case of indicatons that we are targetng, it is possible that other companies may produce, develop, and commercialize compounds that might treat these diseases.</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With respect to Crysvita, although we are not aware of any other products currently in clinical development by a compettor for the treatment of XLH and TIO, it is possible that compettors may produce, develop, and commercialize therapeutcs, or utlize other approaches such as gene therapy, to treat XLH and TIO. Most pediatric patents with XLH are managed using oral phosphate replacement and/or vitamin D therapy, which is relatvely inexpensive and therefore may adversely afect our ability to commercialize Crysvita, if approved, in some countries.</w:t>
      </w:r>
    </w:p>
    <w:p>
      <w:pPr>
        <w:jc w:val="center"/>
        <w:ind w:right="-19"/>
        <w:spacing w:after="0" w:line="238" w:lineRule="auto"/>
        <w:rPr>
          <w:sz w:val="20"/>
          <w:szCs w:val="20"/>
          <w:color w:val="auto"/>
        </w:rPr>
      </w:pPr>
      <w:r>
        <w:rPr>
          <w:rFonts w:ascii="Calibri" w:cs="Calibri" w:eastAsia="Calibri" w:hAnsi="Calibri"/>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9" w:name="page10"/>
    <w:bookmarkEnd w:id="9"/>
    <w:p>
      <w:pPr>
        <w:ind w:firstLine="509"/>
        <w:spacing w:after="0" w:line="235" w:lineRule="auto"/>
        <w:rPr>
          <w:sz w:val="20"/>
          <w:szCs w:val="20"/>
          <w:color w:val="auto"/>
        </w:rPr>
      </w:pPr>
      <w:r>
        <w:rPr>
          <w:rFonts w:ascii="Calibri" w:cs="Calibri" w:eastAsia="Calibri" w:hAnsi="Calibri"/>
          <w:sz w:val="18"/>
          <w:szCs w:val="18"/>
          <w:color w:val="auto"/>
        </w:rPr>
        <w:t>With respect to Mepsevii, we are not aware of any other compounds currently in clinical development for MPS VII, but it is possible that other companies may produce, develop, and commercialize compounds that might treat this disease. Additonally, gene therapy and other therapeutc approaches may emerge for the treatment of lysosomal diseases. Bone marrow or stem cell transplants have also been used in MPS VII and in other lysosomal storage diseases and represent a potental competng therapy. Stem cell transplants have been efectve in treatng sof tssue storage and in having an impact on brain disease, but have not to date proven efectve in treatng bone and connectve tssue disease. Typically, enzyme replacement therapy has had an impact on bone and connectve tssue disease in other disorders when patents were treated early.</w:t>
      </w:r>
    </w:p>
    <w:p>
      <w:pPr>
        <w:spacing w:after="0" w:line="86" w:lineRule="exact"/>
        <w:rPr>
          <w:sz w:val="20"/>
          <w:szCs w:val="20"/>
          <w:color w:val="auto"/>
        </w:rPr>
      </w:pPr>
    </w:p>
    <w:p>
      <w:pPr>
        <w:ind w:right="80" w:firstLine="509"/>
        <w:spacing w:after="0" w:line="251" w:lineRule="auto"/>
        <w:rPr>
          <w:sz w:val="20"/>
          <w:szCs w:val="20"/>
          <w:color w:val="auto"/>
        </w:rPr>
      </w:pPr>
      <w:r>
        <w:rPr>
          <w:rFonts w:ascii="Calibri" w:cs="Calibri" w:eastAsia="Calibri" w:hAnsi="Calibri"/>
          <w:sz w:val="17"/>
          <w:szCs w:val="17"/>
          <w:color w:val="auto"/>
        </w:rPr>
        <w:t>With respect to Dojolvi, LC-FAOD is commonly treated with diet therapy and MCT oil. Dojolvi may compete with this approach. Although we believe that Dojolvi should be considered a drug and will be regulated that way, it is possible that other companies or individuals may atempt to produce triheptanoin for use in LC-FAOD. Investgators are testng triheptanoin in clinical studies across multple indicatons, including LC-FAOD. Although we are not aware of any other products currently in clinical development for the treatment of LC-FAOD, it is also possible that other companies may produce, develop, and commercialize other medium odd-chain faty acids, or completely diferent compounds, to treat LC-FAOD. Other companies may also utlize other approaches, such as gene therapy, to treat LC-FAOD. Compettors could also enter the market with generic versions of Dojolvi. As described in “Item 3. Legal Proceedings” below, in 2024, Navinta LLC (Navinta), Aurobindo Pharma Limited, Aurobindo Pharma USA, Inc., or collectvely, Aurobindo, Esjay Pharma Private Limited and Esjay Pharma LLC, or collectvely, Esjay, fled ANDAs seeking FDA approval to market a generic version of Dojolvi.</w:t>
      </w:r>
    </w:p>
    <w:p>
      <w:pPr>
        <w:spacing w:after="0" w:line="73"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With respect to Evkeeza, the current treatments for patents with HoFH involve various lipid-lowering agents to reduce serum LDL and total cholesterol levels. Drug therapies include statns (e.g., Rosuvastatn, Simvastatn, etc.), fenofbrate, ezetmibe (Ezetrol), evolocumab (Repatha), and lomitapide (Juxtapid/Lojuxta). Other than lomitapide, these agents rely on an LDL-receptor based mechanism to reduce cholesterol, which may be absent in HoFH patents, partcularly those with LDLR-null mutatons. In additon, we are aware of other clinical development programs that target ANGPTL 3 across various indicatons including HoFH, including from Arrowhead Pharmaceutcals, zodasiran an siRNA, Eli Lilly/Dicerna, solbinsiran an siRNA, Novo Nordisk, NNC0491-6075 an antbody, and CRISPR Therapeutcs, CTX-301 a gene editor.</w:t>
      </w:r>
    </w:p>
    <w:p>
      <w:pPr>
        <w:spacing w:after="0" w:line="86"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With respect to UX143, there are currently no approved drugs for OI. Most pediatric patents with OI are managed with of-label use of bisphosphonates to increase bone density and reduce frequency of bone fracture. We are aware of another ant-sclerostn antbody, romosozumab, that is in Phase 3 clinical testng by Amgen.</w:t>
      </w:r>
    </w:p>
    <w:p>
      <w:pPr>
        <w:spacing w:after="0" w:line="84"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With respect to GTX-102, there are currently no approved drugs for Angelman syndrome. Many patents take general treatments to try to manage specifc symptoms, such as seizures or sleep disturbances, but there are no treatments available that address the underlying biology of the disease. We are aware of other preclinical and clinical development programs for Angelman syndrome, including Phase 2 programs from Ionis, ION582 an ASO, and Neuren Pharmaceutcals, NNZ-2591 an IGF-1 analog.</w:t>
      </w:r>
    </w:p>
    <w:p>
      <w:pPr>
        <w:spacing w:after="0" w:line="84" w:lineRule="exact"/>
        <w:rPr>
          <w:sz w:val="20"/>
          <w:szCs w:val="20"/>
          <w:color w:val="auto"/>
        </w:rPr>
      </w:pPr>
    </w:p>
    <w:p>
      <w:pPr>
        <w:ind w:right="400" w:firstLine="509"/>
        <w:spacing w:after="0" w:line="235" w:lineRule="auto"/>
        <w:rPr>
          <w:sz w:val="20"/>
          <w:szCs w:val="20"/>
          <w:color w:val="auto"/>
        </w:rPr>
      </w:pPr>
      <w:r>
        <w:rPr>
          <w:rFonts w:ascii="Calibri" w:cs="Calibri" w:eastAsia="Calibri" w:hAnsi="Calibri"/>
          <w:sz w:val="18"/>
          <w:szCs w:val="18"/>
          <w:color w:val="auto"/>
        </w:rPr>
        <w:t>With respect to UX111, there are currently no approved pharmacologic treatments for patents with MPS IIIA. Patents receive supportve or symptomatc treatment, but these approaches generally do not prevent functonal decline. We are aware of other gene therapies, including EGT-101, in Phase 1/2 for MPSIIIA by Esteve. In additon, Orchard Therapeutcs is developing OTL-201, an ex-vivo gene therapy in Phase 1/2 for MPSIIIA. We are also aware of enzyme replacement therapies, including DNL126, in Phase 1/2 by Denali, and JR-441, in Phase 1/2 by JCR Pharma.</w:t>
      </w:r>
    </w:p>
    <w:p>
      <w:pPr>
        <w:spacing w:after="0" w:line="84"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With respect to DTX401, there are currently no pharmacologic treatments for patents with GSDIa. We are aware of an mRNA therapy, mRNA-3745, in Phase 1 for GSDIa by Moderna.</w:t>
      </w:r>
    </w:p>
    <w:p>
      <w:pPr>
        <w:spacing w:after="0" w:line="83"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With respect to DTX301, the current treatments for patents with OTC defciency are nitrogen scavenging drugs and severe limitatons in dietary protein. Drug therapy includes sodium phenylbutyrate (Buphenyl) and glycerol phenylbutyrate (Ravict), both nitrogen scavengers that help eliminate excess nitrogen, in the form of ammonia, by facilitatng its excreton. A novel formulaton of sodium phenylbutyrate, ACER-001 by Acer Therapeutcs, was approved in December 2022. During a metabolic crisis, patents routnely receive carbohydrate and lipid rich nutriton, including overnight feeding through a nasogastric tube, to limit bodily protein breakdown and ammonia producton. In acute cases, ammonia must be removed by dialysis or hemofltraton. Liver transplant may also be a soluton for OTC defciency. In additon, we are aware of other clinical development programs for OTC defciency including from Arcturus Therapeutcs, ARCT-810 a mRNA, Bloomsbury, BGT-OTCD a gene therapy, and iECURE, ECUR-506 a gene editor.</w:t>
      </w:r>
    </w:p>
    <w:p>
      <w:pPr>
        <w:spacing w:after="0" w:line="87" w:lineRule="exact"/>
        <w:rPr>
          <w:sz w:val="20"/>
          <w:szCs w:val="20"/>
          <w:color w:val="auto"/>
        </w:rPr>
      </w:pPr>
    </w:p>
    <w:p>
      <w:pPr>
        <w:jc w:val="both"/>
        <w:ind w:right="480" w:firstLine="509"/>
        <w:spacing w:after="0" w:line="235" w:lineRule="auto"/>
        <w:rPr>
          <w:sz w:val="20"/>
          <w:szCs w:val="20"/>
          <w:color w:val="auto"/>
        </w:rPr>
      </w:pPr>
      <w:r>
        <w:rPr>
          <w:rFonts w:ascii="Calibri" w:cs="Calibri" w:eastAsia="Calibri" w:hAnsi="Calibri"/>
          <w:sz w:val="18"/>
          <w:szCs w:val="18"/>
          <w:color w:val="auto"/>
        </w:rPr>
        <w:t>With respect to UX701, there are no currently approved treatments that address the underlying cause of Wilson disease. Many patents are on chelator therapies, but these fail to address the mutated ATP7B copper transporter gene. We are aware of a chelator, ALXN-1840, that is in Phase 3 for Wilson disease by Monopar Therapeutcs.</w:t>
      </w:r>
    </w:p>
    <w:p>
      <w:pPr>
        <w:jc w:val="center"/>
        <w:ind w:right="-19"/>
        <w:spacing w:after="0" w:line="237" w:lineRule="auto"/>
        <w:rPr>
          <w:sz w:val="20"/>
          <w:szCs w:val="20"/>
          <w:color w:val="auto"/>
        </w:rPr>
      </w:pPr>
      <w:r>
        <w:rPr>
          <w:rFonts w:ascii="Calibri" w:cs="Calibri" w:eastAsia="Calibri" w:hAnsi="Calibri"/>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 w:name="page11"/>
    <w:bookmarkEnd w:id="10"/>
    <w:p>
      <w:pPr>
        <w:spacing w:after="0"/>
        <w:rPr>
          <w:sz w:val="20"/>
          <w:szCs w:val="20"/>
          <w:color w:val="auto"/>
        </w:rPr>
      </w:pPr>
      <w:r>
        <w:rPr>
          <w:rFonts w:ascii="Calibri" w:cs="Calibri" w:eastAsia="Calibri" w:hAnsi="Calibri"/>
          <w:sz w:val="18"/>
          <w:szCs w:val="18"/>
          <w:b w:val="1"/>
          <w:bCs w:val="1"/>
          <w:color w:val="auto"/>
        </w:rPr>
        <w:t>License and Collaboraton Agreements</w:t>
      </w:r>
    </w:p>
    <w:p>
      <w:pPr>
        <w:spacing w:after="0" w:line="82"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Our products and some of our current product candidates have been either in-licensed from academic insttutons or derived from partnerships with other pharmaceutcal companies. Following is a descripton of our signifcant license and collaboraton agreements.</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Approved Products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Kyowa Kirin Co., Ltd.</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August 2013, we entered into a collaboraton and license agreement with KKC. Under the terms of this collaboraton and license agreement, as amended, we and KKC collaborate on the development and commercializaton of Crysvita in the feld of orphan diseases in the U.S. and Canada, or the Proft-Share Territory, and in the EU, U.K., and Switzerland, or the European Territory, and we have the right to develop and commercialize such products in the feld of orphan diseases in Mexico and Central and South America, or Latn America. In the feld of orphan diseases, and except for ongoing studies being conducted by KKC, we were the lead party for development actvites in the Proft-Share Territory and in the European Territory untl the applicable transiton date. We shared the costs for development actvites in the Proft-Share Territory and the European Territory conducted pursuant to the development plan before the applicable transiton date equally with KKC. In April 2023, which was the transiton date for the Proft-Share Territory, KKC became the lead party and became responsible for the costs of the development actvites. However, we will contnue to share the costs of the studies commenced prior to the applicable transiton date equally with KKC. Crysvita was approved in the EU and U.K. in February 2018 and was approved by the FDA in April 2018. As described below, we and KKC shared commercial responsibilites and profts in the Proft-Share Territory untl April 2023, KKC has the commercial responsibility in the European Territory, and we are responsible for commercializing Crysvita in Latn America and Turkey.</w:t>
      </w:r>
    </w:p>
    <w:p>
      <w:pPr>
        <w:spacing w:after="0" w:line="90"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In the Proft-Share Territory, KKC booked sales of products and we had the sole right to promote the products, with KKC having the right to increasingly partcipate in the promoton of the products untl the transiton date of April 2023, which was fve years from commercial launch. The partes subsequently agreed that we would have the right to contnue to support KKC in commercial feld actvites in the U.S. through January 31, 2025, as amended. Afer January 31, 2025, our rights to promote Crysvita in the U.S. are limited to medical genetcists and we solely bear our expenses for the promoton of Crysvita in the Proft-Share Territory. See “Item I.A. Risk Factors” for additonal informaton on the risks related to our dependency on KKC for the commercializaton of Crysvita in the Proft-Share Territory. In the European Territory, KKC books sales of products and has the sole right to promote and sell the products, with the excepton of Turkey. In Turkey, we have rights to commercialize Crysvita and KKC has the opton to assume responsibility for such commercializaton eforts. In Latn America, we book sales of products and have the sole right to promote and sell the products.</w:t>
      </w:r>
    </w:p>
    <w:p>
      <w:pPr>
        <w:spacing w:after="0" w:line="88"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Under the collaboraton agreement, KKC manufactures and supplies Crysvita for sales in Latn American territories and we pay KKC a transfer price of 30% of net sales. We also pay KKC a low single-digit royalty on net sales in Latn America. The remaining proft or loss from commercializing products in the Proft-Share Territory was shared between us and KKC on a 50/50 basis untl April 2023. In April 2023, commercializaton responsibilites for Crysvita in the Proft-Share Territory transitoned to KKC and KKC assumed responsibility for the commercializaton of Crysvita in the Proft-Share Territory at and afer April 2023. Thereafer, we are enttled to receive a tered double-digit revenue share from the mid-20% range up to a maximum rate of 30%, intended to approximate the proft-share. Our and KKC’s obligatons to pay royaltes will contnue on a country-by-country basis for so long as we or KKC, as applicable, are selling products in such country.</w:t>
      </w:r>
    </w:p>
    <w:p>
      <w:pPr>
        <w:spacing w:after="0" w:line="8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In July 2022, we sold to OCM LS23 Holdings LP, an investment vehicle for the Ontario Municipal Employees Retrement System, or OMERS, our right to receive 30% of the future royalty payments due to us based on net sales of Crysvita in the U.S. and Canada, subject to a cap, beginning in April 2023. KKC pays us a royalty of up to 10% based on net sales in the European Territory. We sold our interest in the European Territory royalty to RPI Finance Trust, an afliate of Royalty Pharma, in December 2019.</w:t>
      </w:r>
    </w:p>
    <w:p>
      <w:pPr>
        <w:spacing w:after="0" w:line="84" w:lineRule="exact"/>
        <w:rPr>
          <w:sz w:val="20"/>
          <w:szCs w:val="20"/>
          <w:color w:val="auto"/>
        </w:rPr>
      </w:pPr>
    </w:p>
    <w:p>
      <w:pPr>
        <w:ind w:right="360" w:firstLine="509"/>
        <w:spacing w:after="0" w:line="235" w:lineRule="auto"/>
        <w:rPr>
          <w:sz w:val="20"/>
          <w:szCs w:val="20"/>
          <w:color w:val="auto"/>
        </w:rPr>
      </w:pPr>
      <w:r>
        <w:rPr>
          <w:rFonts w:ascii="Calibri" w:cs="Calibri" w:eastAsia="Calibri" w:hAnsi="Calibri"/>
          <w:sz w:val="18"/>
          <w:szCs w:val="18"/>
          <w:color w:val="auto"/>
        </w:rPr>
        <w:t>The collaboraton and license agreement will contnue for as long as products in the feld of orphan diseases are sold in the Proft-Share Territory, European Territory, Turkey, or Latn America, unless the agreement is terminated in accordance with its terms.</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KKC may terminate the agreement in certain countries or territories based upon our failure to meet certain milestones. Furthermore, either party may terminate the agreement for the material breach or bankruptcy of the other party. In any event of terminaton by KKC, unless such terminaton is the result of KKC’s terminaton for certain types of breach of the agreement by us, we may receive low single-digit to low double-digit royaltes on net post-terminaton sales by KKC in one or more countries or territories, the amount of which varies depending on the tming of, and reason for, such terminaton. In any event of terminaton, our rights to Crysvita under the agreement and our obligatons to share development costs will cease, and the program will revert to KKC, worldwide if the agreement is terminated as a whole or solely in the terminated countries if the agreement is terminated solely with respect to certain countries.</w:t>
      </w:r>
    </w:p>
    <w:p>
      <w:pPr>
        <w:spacing w:after="0" w:line="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11" w:name="page12"/>
    <w:bookmarkEnd w:id="11"/>
    <w:p>
      <w:pPr>
        <w:spacing w:after="0"/>
        <w:rPr>
          <w:sz w:val="20"/>
          <w:szCs w:val="20"/>
          <w:color w:val="auto"/>
        </w:rPr>
      </w:pPr>
      <w:r>
        <w:rPr>
          <w:rFonts w:ascii="Calibri" w:cs="Calibri" w:eastAsia="Calibri" w:hAnsi="Calibri"/>
          <w:sz w:val="18"/>
          <w:szCs w:val="18"/>
          <w:b w:val="1"/>
          <w:bCs w:val="1"/>
          <w:i w:val="1"/>
          <w:iCs w:val="1"/>
          <w:color w:val="auto"/>
        </w:rPr>
        <w:t>Saint Louis University</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In November 2010, we entered into a license agreement with Saint Louis University, or SLU, wherein SLU granted us certain exclusive rights to intellectual property related to Mepsevii. Under the terms of the license agreement, SLU granted us an exclusive worldwide license to make, have made, use, import, ofer for sale, and sell therapeutcs related to SLU’s beta-glucuronidase product for use in the treatment of human diseases.</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Under the license agreement, we are obligated to pay to SLU a low single-digit royalty on net sales of the licensed products in Europe and Japan, subject to certain potental deductons. Our obligaton to pay royaltes to SLU in these territories contnues untl the expiraton of any orphan drug exclusivity.</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Baylor Research Insttute</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In September 2012, we entered into a license agreement, which was subsequently amended, with Baylor Research Insttute, or BRI, under which we exclusively licensed certain intellectual property related to Dojolvi. The license includes patents, patent applicatons, know-how, and intellectual property related to the compositon and formulaton of Dojolvi as well as its use in treatng a number of orphan diseases, including LC-FAOD. The license grant includes the sole right to develop, manufacture, and commercialize licensed products for all human and animal uses. Under the license agreement, we are obligated to use commercially reasonable eforts to develop and commercialize licensed products in select orphan indicatons. If we fail to meet our diligence obligatons with respect to a specifed orphan indicaton or set of orphan indicatons, BRI may convert our license to a non-exclusive license with respect to such orphan indicaton or set of orphan indicatons untl we receive regulatory approval for licensed products in the applicable orphan indicaton or set of orphan indicatons.</w:t>
      </w:r>
    </w:p>
    <w:p>
      <w:pPr>
        <w:spacing w:after="0" w:line="88"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We are also obligated to pay a mid- single-digit royalty on net sales to BRI, subject to certain reductons and ofsets. Our obligaton to pay royaltes to BRI contnues on a licensed product-by-licensed product and country-by-country basis untl the later of the expiraton of the frst regulatory exclusivity granted with respect to such product in such country or the expiraton of the last-to-expire licensed patent claiming such product in such country, in each case in connecton with approval in such country for LC-FAOD or an orphan disease covered by our license from BRI.</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Regeneron</w:t>
      </w:r>
    </w:p>
    <w:p>
      <w:pPr>
        <w:spacing w:after="0" w:line="82"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In January 2022, we announced a collaboraton with Regeneron to commercialize Evkeeza for HoFH outside of the U.S. Pursuant to the terms of the agreement, we received the rights to develop, commercialize and distribute the product for HoFH in countries outside of the U.S. The Company paid Regeneron a $30.0 million upfront payment. To date, we have recognized an aggregate of $27.5 million for regulatory and sales milestones and have in aggregate up to $35.5 million of future obligatons for additonal regulatory and sales milestones, if achieved. We may share in certain costs for global trials led by Regeneron and also received the right to opt into other potental indicatons.</w:t>
      </w:r>
    </w:p>
    <w:p>
      <w:pPr>
        <w:spacing w:after="0" w:line="72"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Under the collaboraton agreement, Regeneron supplies the product and charges us a transfer price from the low 20% range up to 40% of net sales.</w:t>
      </w:r>
    </w:p>
    <w:p>
      <w:pPr>
        <w:spacing w:after="0" w:line="24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Clinical Product Candidates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REGENXBIO Inc.</w:t>
      </w:r>
    </w:p>
    <w:p>
      <w:pPr>
        <w:spacing w:after="0" w:line="82" w:lineRule="exact"/>
        <w:rPr>
          <w:sz w:val="20"/>
          <w:szCs w:val="20"/>
          <w:color w:val="auto"/>
        </w:rPr>
      </w:pPr>
    </w:p>
    <w:p>
      <w:pPr>
        <w:ind w:right="160" w:firstLine="509"/>
        <w:spacing w:after="0" w:line="249" w:lineRule="auto"/>
        <w:rPr>
          <w:sz w:val="20"/>
          <w:szCs w:val="20"/>
          <w:color w:val="auto"/>
        </w:rPr>
      </w:pPr>
      <w:r>
        <w:rPr>
          <w:rFonts w:ascii="Calibri" w:cs="Calibri" w:eastAsia="Calibri" w:hAnsi="Calibri"/>
          <w:sz w:val="17"/>
          <w:szCs w:val="17"/>
          <w:color w:val="auto"/>
        </w:rPr>
        <w:t>In October 2013, we entered into an exclusive license agreement with REGENXBIO Inc., or REGENX, under which we were granted an opton to develop products to treat OTC defciency and GSDIa. Under the 2013 license agreement, REGENX granted us an exclusive worldwide license to make, have made, use, import, sell, and ofer for sale licensed products with respect to such disease indicatons, subject to certain exclusions. We do not have the right to control prosecuton of the in-licensed patent applicatons, and our rights to enforce the in-licensed patents are subject to certain limitatons. Under the 2013 license agreement, we pay or will pay REGENX an annual maintenance fee and certain milestone fees per disease indicaton, low to mid- single-digit royalty percentages on net sales of licensed products, and milestone and sublicense fees, if any, owed by REGENX to its licensors as a result of our actvites under the 2013 license agreement. We are required to develop licensed products in accordance with certain milestones. In the event that we fail to meet a partcular milestone within established deadlines, we can extend the relevant deadline by providing a separate payment to REGENX.</w:t>
      </w:r>
    </w:p>
    <w:p>
      <w:pPr>
        <w:spacing w:after="0" w:line="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12" w:name="page13"/>
    <w:bookmarkEnd w:id="12"/>
    <w:p>
      <w:pPr>
        <w:ind w:right="100" w:firstLine="509"/>
        <w:spacing w:after="0" w:line="235" w:lineRule="auto"/>
        <w:rPr>
          <w:sz w:val="20"/>
          <w:szCs w:val="20"/>
          <w:color w:val="auto"/>
        </w:rPr>
      </w:pPr>
      <w:r>
        <w:rPr>
          <w:rFonts w:ascii="Calibri" w:cs="Calibri" w:eastAsia="Calibri" w:hAnsi="Calibri"/>
          <w:sz w:val="18"/>
          <w:szCs w:val="18"/>
          <w:color w:val="auto"/>
        </w:rPr>
        <w:t>In March 2015, we entered into an opton and license agreement with REGENX, which was subsequently amended, pursuant to which we have an exclusive worldwide license to make, have made, use, import, sell, and ofer for sale licensed products to treat Wilson disease and CDKL5 defciency. We do not have the right to control prosecuton of the in-licensed patent applicatons, and our rights to enforce the in-licensed patents are subject to certain limitatons. Under the 2015 opton and license agreement, as amended, we pay or will pay REGENX an annual maintenance fee and certain milestone fees per disease indicaton, mid- to high single-digit royalty percentages on net sales of licensed products, and mid- single to low double-digit percentages of any sublicense fees we receive from sublicenses for the licensed intellectual property rights. We are required to develop licensed products in accordance with certain milestones. In the event that we fail to meet a partcular milestone within established deadlines, we can extend the relevant deadline by providing a separate payment to REGENX.</w:t>
      </w:r>
    </w:p>
    <w:p>
      <w:pPr>
        <w:spacing w:after="0" w:line="88"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In March 2020, we entered into a license agreement with REGENX, for an exclusive, sublicensable, worldwide license to REGENX’s NAV AAV8 and AAV9 vectors for the development and commercializaton of gene therapy treatments for a rare metabolic disorder. In return for these rights, we made an upfront payment and pay or will pay certain annual fees, milestone payments and royaltes on any net sales of products incorporatng the licensed intellectual property that range from a high single-digit to low double-digit.</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University of Pennsylvania</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May 2016, we entered into a research, collaboraton and license agreement with the University of Pennsylvania, or UPENN, under which we are collaboratng on the pre-clinical development of gene therapy products for the treatment of phenylketonuria and Wilson disease, each, a Subfeld. Under the agreement, we were granted an exclusive, worldwide, royalty-bearing right and license to certain patent rights arising out of the research program, and a non-exclusive, worldwide, royalty-bearing right and license to certain University of Pennsylvania intellectual property, in each case to research, develop, make, have made, use, sell, ofer for sale, commercialize and import licensed products in each Subfeld for the term of the agreement. We will fund the cost of the research program and will be responsible for clinical development, manufacturing and commercializaton of each Subfeld. In additon, we are required to make milestone payments (up to a maximum of $5.0 million per Subfeld) if certain development milestones are achieved over tme. We will also make milestone payments of up to $25.0 million per approved product, if certain commercial milestones are achieved, and will pay low to mid- single-digit royaltes on net sales of each Subfeld’s licensed products.</w:t>
      </w:r>
    </w:p>
    <w:p>
      <w:pPr>
        <w:spacing w:after="0" w:line="24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GeneTx</w:t>
      </w:r>
    </w:p>
    <w:p>
      <w:pPr>
        <w:spacing w:after="0" w:line="82" w:lineRule="exact"/>
        <w:rPr>
          <w:sz w:val="20"/>
          <w:szCs w:val="20"/>
          <w:color w:val="auto"/>
        </w:rPr>
      </w:pPr>
    </w:p>
    <w:p>
      <w:pPr>
        <w:ind w:right="40" w:firstLine="509"/>
        <w:spacing w:after="0" w:line="250" w:lineRule="auto"/>
        <w:rPr>
          <w:sz w:val="20"/>
          <w:szCs w:val="20"/>
          <w:color w:val="auto"/>
        </w:rPr>
      </w:pPr>
      <w:r>
        <w:rPr>
          <w:rFonts w:ascii="Calibri" w:cs="Calibri" w:eastAsia="Calibri" w:hAnsi="Calibri"/>
          <w:sz w:val="17"/>
          <w:szCs w:val="17"/>
          <w:color w:val="auto"/>
        </w:rPr>
        <w:t xml:space="preserve">In August 2019, we entered into a Program Agreement and a Unitholder Opton Agreement with GeneTx to collaborate on the development of GeneTx’s GTX-102, an ASO for the treatment of Angelman syndrome. In July 2022, pursuant to the terms of the Unitholder Opton Agreement, as amended, we exercised the Opton to acquire GeneTx and entered into a Unit Purchase Agreement, or the Purchase Agreement, pursuant to which we purchased all the outstanding units of GeneTx. In accordance with the terms of the Purchase Agreement, we paid the opton exercise price of $75.0 million, an additonal $15.6 million to acquire the outstanding cash of GeneTx, and adjustments for working capital and transacton expenses of $0.6 million, for a total purchase consideraton of $91.2 million. During the year ended December 31, 2024, we achieved a $30.0 million regulatory milestone upon the initaton of the Phase 3 </w:t>
      </w:r>
      <w:r>
        <w:rPr>
          <w:rFonts w:ascii="Calibri" w:cs="Calibri" w:eastAsia="Calibri" w:hAnsi="Calibri"/>
          <w:sz w:val="17"/>
          <w:szCs w:val="17"/>
          <w:i w:val="1"/>
          <w:iCs w:val="1"/>
          <w:color w:val="auto"/>
        </w:rPr>
        <w:t>Aspire</w:t>
      </w:r>
      <w:r>
        <w:rPr>
          <w:rFonts w:ascii="Calibri" w:cs="Calibri" w:eastAsia="Calibri" w:hAnsi="Calibri"/>
          <w:sz w:val="17"/>
          <w:szCs w:val="17"/>
          <w:color w:val="auto"/>
        </w:rPr>
        <w:t xml:space="preserve"> clinical study for GTX-102. In additon, we are obligated to pay up to $85.0 million in additonal regulatory approval milestones for the achievement of U.S. and EU product approvals, and up to $75.0 million in commercial milestone payments based on annual worldwide net product sales, contngent upon the achievement of the milestones. We will also pay tered mid- to high single-digit percentage royaltes based on licensed product annual net sales. If we receive and resell an FDA priority review voucher, or PRV, in connecton with a new drug applicaton approval, GeneTx unitholders are enttled to receive a porton of proceeds from the sale of the PRV or a cash payment from us, if we choose to retain the PRV.</w:t>
      </w:r>
    </w:p>
    <w:p>
      <w:pPr>
        <w:spacing w:after="0" w:line="79"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As part of our acquisiton of GeneTx, we assumed a License Agreement with Texas A&amp;M University, or TAMU. To date, we have recognized an aggregate of $0.5 million for clinical milestones under the TAMU agreement, and have in aggregate up to $23.0 million of future obligatons for various future milestones, if achieved, a nominal annual license fee that may increase up to a maximum of $2.0 million, as well as royaltes in the mid-single-digits of net sales.</w:t>
      </w:r>
    </w:p>
    <w:p>
      <w:pPr>
        <w:jc w:val="center"/>
        <w:ind w:right="-19"/>
        <w:spacing w:after="0" w:line="238" w:lineRule="auto"/>
        <w:rPr>
          <w:sz w:val="20"/>
          <w:szCs w:val="20"/>
          <w:color w:val="auto"/>
        </w:rPr>
      </w:pPr>
      <w:r>
        <w:rPr>
          <w:rFonts w:ascii="Calibri" w:cs="Calibri" w:eastAsia="Calibri" w:hAnsi="Calibri"/>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3" w:name="page14"/>
    <w:bookmarkEnd w:id="13"/>
    <w:p>
      <w:pPr>
        <w:spacing w:after="0"/>
        <w:rPr>
          <w:sz w:val="20"/>
          <w:szCs w:val="20"/>
          <w:color w:val="auto"/>
        </w:rPr>
      </w:pPr>
      <w:r>
        <w:rPr>
          <w:rFonts w:ascii="Calibri" w:cs="Calibri" w:eastAsia="Calibri" w:hAnsi="Calibri"/>
          <w:sz w:val="18"/>
          <w:szCs w:val="18"/>
          <w:b w:val="1"/>
          <w:bCs w:val="1"/>
          <w:i w:val="1"/>
          <w:iCs w:val="1"/>
          <w:color w:val="auto"/>
        </w:rPr>
        <w:t>Mereo</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In December 2020, we entered into a License and Collaboraton Agreement with Mereo to collaborate on the development of setrusumab. Under the terms of the agreement, we will lead future global development of setrusumab in both pediatric and adult patents with OI and were granted an exclusive license to develop and commercialize setrusumab in the U.S., Turkey, and the rest of the world, excluding the EEA, UK, and Switzerland, or the Mereo Territory, where Mereo retains commercial rights. Each party will be responsible for post-marketng commitments and commercial supply in their respectve territories.</w:t>
      </w:r>
    </w:p>
    <w:p>
      <w:pPr>
        <w:spacing w:after="0" w:line="85"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Upon the closing of the transactons under the License and Collaboraton Agreement with Mereo in January 2021, we made a payment of $50.0 million to Mereo. To date we have recognized an aggregate $9.0 million for regulatory milestones and have in aggregate up to $245.0 million of future obligatons for additonal regulatory and sales milestones under the agreement, if achieved. We will pay for all global development costs as well as tered double-digit percentage royaltes to Mereo on net sales in the U.S., Turkey, and the rest of the world, and Mereo will pay us a fxed double-digit percentage royalty on net sales in the Mereo Territory. If we receive and resell an FDA PRV in connecton with a new drug applicaton approval, Mereo is enttled to receive a porton of proceeds from the sale of the PRV or a cash payment from us, in the event we choose to retain the PRV.</w:t>
      </w:r>
    </w:p>
    <w:p>
      <w:pPr>
        <w:spacing w:after="0" w:line="86"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In December 2024, we entered into a manufacturing and supply agreement with Mereo where we are responsible for the supply of setrusumab to Mereo in the Mereo territory. Mereo is responsible to reimburse us for a porton of the manufacturing process development costs as well as future commercial supply costs.</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Abeona</w:t>
      </w:r>
    </w:p>
    <w:p>
      <w:pPr>
        <w:spacing w:after="0" w:line="82" w:lineRule="exact"/>
        <w:rPr>
          <w:sz w:val="20"/>
          <w:szCs w:val="20"/>
          <w:color w:val="auto"/>
        </w:rPr>
      </w:pPr>
    </w:p>
    <w:p>
      <w:pPr>
        <w:ind w:right="80" w:firstLine="509"/>
        <w:spacing w:after="0" w:line="242" w:lineRule="auto"/>
        <w:rPr>
          <w:sz w:val="20"/>
          <w:szCs w:val="20"/>
          <w:color w:val="auto"/>
        </w:rPr>
      </w:pPr>
      <w:r>
        <w:rPr>
          <w:rFonts w:ascii="Calibri" w:cs="Calibri" w:eastAsia="Calibri" w:hAnsi="Calibri"/>
          <w:sz w:val="18"/>
          <w:szCs w:val="18"/>
          <w:color w:val="auto"/>
        </w:rPr>
        <w:t>In May 2022, we announced an exclusive License Agreement with Abeona for an AAV gene therapy for the treatment of MPS IIIA, or UX111. Under the terms of the agreement, we assumed responsibility for the UX111 program and in return, we are obligated to pay Abeona certain UX111-related prior development costs and other transiton costs. Abeona is eligible to receive tered royaltes of up to 10% on net sales and commercial milestone payments of up to $30.0 million following regulatory approval of the product. Additonally, we entered into an Assignment and Assumpton Agreement with Abeona to transfer and assign to us the exclusive license agreement between Natonwide Children’s Hospital, or NCH, and Abeona for certain rights related to UX111. Under this agreement, NCH is eligible to receive from us up to $1.0 million in development and regulatory milestones as well as royaltes in the low single-digits of net sales.</w:t>
      </w:r>
    </w:p>
    <w:p>
      <w:pPr>
        <w:spacing w:after="0" w:line="25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Preclinical Pipeline</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Solid Biosciences Inc.</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In October 2020, we entered into a strategic Collaboraton and License Agreement with Solid Biosciences Inc., or Solid, and received an exclusive license for any pharmaceutcal product that expresses Solid’s proprietary microdystrophin construct from AAV8 and variants thereof in clade E for use in the treatment of Duchenne muscular dystrophy and other diseases resultng from lack of functonal dystrophin, including Becker muscular dystrophy. We are collaboratng to develop products that combine Solid’s diferentated microdystrophin construct, our Pinnacle PCLTM producer cell line platorm, or Pinnacle PCL Platorm, manufacturing platorm, and our AAV8 variants. Solid may provide some development support and was granted an exclusive opton to co-invest in products we develop for proft-share partcipaton in certain territories. We also entered into a Stock Purchase Agreement with Solid in October 2020 pursuant to which we purchased 521,719 shares (as adjusted for the October 2022 reverse stock split) of Solid’s common stock for an aggregate price of $40.0 million.</w:t>
      </w:r>
    </w:p>
    <w:p>
      <w:pPr>
        <w:spacing w:after="0" w:line="24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Patents and Proprietary Rights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proprietary nature of, and protecton for, our products, product candidates, processes, and know-how are important to our business. Our success depends in part on our ability to protect our products, product candidates, processes, and know-how, to operate without infringing on the proprietary rights of others, and to prevent others from infringing our proprietary rights. We seek patent protecton in the U.S. and internatonally for our products, product candidates, and processes. Our policy is to patent or in-license the technologies, inventons, and improvements that we consider important to the development of our business. In additon to patent protecton, we rely on trade secrets, know-how, and contnuing innovaton to develop and maintain our compettve positon.</w:t>
      </w:r>
    </w:p>
    <w:p>
      <w:pPr>
        <w:jc w:val="center"/>
        <w:ind w:right="-59"/>
        <w:spacing w:after="0"/>
        <w:rPr>
          <w:sz w:val="20"/>
          <w:szCs w:val="20"/>
          <w:color w:val="auto"/>
        </w:rPr>
      </w:pPr>
      <w:r>
        <w:rPr>
          <w:rFonts w:ascii="Calibri" w:cs="Calibri" w:eastAsia="Calibri" w:hAnsi="Calibri"/>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6" w:right="379" w:bottom="1440" w:gutter="0" w:footer="0" w:header="0"/>
        </w:sectPr>
      </w:pPr>
    </w:p>
    <w:bookmarkStart w:id="14" w:name="page15"/>
    <w:bookmarkEnd w:id="14"/>
    <w:p>
      <w:pPr>
        <w:ind w:right="20" w:firstLine="509"/>
        <w:spacing w:after="0" w:line="235" w:lineRule="auto"/>
        <w:rPr>
          <w:sz w:val="20"/>
          <w:szCs w:val="20"/>
          <w:color w:val="auto"/>
        </w:rPr>
      </w:pPr>
      <w:r>
        <w:rPr>
          <w:rFonts w:ascii="Calibri" w:cs="Calibri" w:eastAsia="Calibri" w:hAnsi="Calibri"/>
          <w:sz w:val="18"/>
          <w:szCs w:val="18"/>
          <w:color w:val="auto"/>
        </w:rPr>
        <w:t>We also use other means to protect our products and product candidates, including the pursuit of marketng or data exclusivity periods, orphan drug status, and similar rights that are available under regulatory provisions in certain countries, including the U.S., Europe, Japan, and China. See “Government Regulaton—U.S. Government Regulaton — Orphan Designaton and Exclusivity,” “Government Regulaton—U.S. Government Regulaton — Pediatric Studies and Exclusivity,” “Government Regulaton—U.S. Government Regulaton — Biosimilars and Exclusivity,” “Government Regulaton—U.S. Government Regulaton — Abbreviated New Drug Applicatons for Generic Drugs and New Chemical Entty Exclusivity,” “Government Regulaton—U.S. Government Regulaton — Patent Term Restoraton,” “Government Regulaton—EU Regulaton — Orphan Designaton and Exclusivity,” and “Government Regulaton—EU Regulaton — New Chemical Entty Exclusivity” below for additonal informaton.</w:t>
      </w:r>
    </w:p>
    <w:p>
      <w:pPr>
        <w:spacing w:after="0" w:line="87"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We seek regulatory approval for our products and product candidates in disease areas with high unmet medical need, signifcant market potental, and where we expect to have a proprietary positon through patents covering various aspects of our product candidates, such as compositon, dosage, formulaton, use, and manufacturing process, among others. Our success depends in part on an intellectual property portolio that supports our future revenue streams and erects barriers to our compettors. We are maintaining and building our patent portolio by fling new patent applicatons, prosecutng existng applicatons, and licensing and acquiring new patents and patent applicatons.</w:t>
      </w:r>
    </w:p>
    <w:p>
      <w:pPr>
        <w:spacing w:after="0" w:line="85"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Despite these measures, any of our intellectual property and proprietary rights could be challenged, invalidated, circumvented, infringed, or misappropriated, or such intellectual property and proprietary rights may not be sufcient to achieve or maintain market exclusivity or otherwise to provide compettve advantages. We also cannot be certain that patents will be granted with respect to any of our pending patent applicatons or with respect to any patent applicatons fled by us in the future, nor can we be sure that any of our existng patents or any patents granted to us in the future will be commercially useful in protectng our products, product candidates, or processes. For more informaton, please see “Item I.A. Risk Factors Risks Related to Our Intellectual Property.”</w:t>
      </w:r>
    </w:p>
    <w:p>
      <w:pPr>
        <w:spacing w:after="0" w:line="86"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As of December 31, 2024, we own, jointly own, or have exclusive rights to more than 275 issued and in-force patents (not including individually validated natonal patents in European Patent Conventon member countries) that cover one or more of our products or product candidates, methods of their use, or methods of their manufacture, including more than 50 in-force patents issued by the U.S. Patent and Trademark Ofce, or the USPTO. Furthermore, as of December 31, 2024, we own, jointly own, or have exclusive rights to more than 325 pending patent applicatons, including more than 50 pending U.S. applicatons.</w:t>
      </w:r>
    </w:p>
    <w:p>
      <w:pPr>
        <w:spacing w:after="0" w:line="85"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With respect to our owned or in-licensed issued patents in the U.S. and Europe, we may be enttled to obtain an extension of patent term to extend the patent expiraton date. For example, in the U.S., this extended coverage period is known as patent term extension, or PTE, and can only be obtained provided we apply for and receive a marketng authorizaton for a product. The period of extension may be up to fve years beyond the expiraton of the patent, but cannot extend the remaining term of a patent beyond a total of 14 years from the date of product approval. Only one patent among those eligible for an extension may be extended. In Europe, a Supplementary Protecton Certfcate, or SPC, may be available to extend the term of certain European patents covering our products; this requires applicaton for an SPC in individual European Patent Conventon, or EPC, member countries following product approval. However, there is no guarantee that the applicable authorites, including the FDA, will agree with our assessment of whether such extensions should be granted, and even if granted, the length of such extensions. In the U.S., the exact duraton of the extension depends on the tme we spend in clinical studies as well as getng marketng approval from the FDA.</w:t>
      </w:r>
    </w:p>
    <w:p>
      <w:pPr>
        <w:spacing w:after="0" w:line="84"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exclusivity positons for our commercial products and our clinical-stage product candidates as of December 31, 2024, are summarized below.</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Crysvita Exclusivity</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have in-licensed rights from KKC to patents and patent applicatons relatng to Crysvita and its use for the treatment of XLH, TIO, and various other hypophosphatemic conditons. Pursuant to this license, we have rights to six issued U.S. patents, as well as issued patents and patent applicatons in other jurisdictons. The U.S. patents expire between 2028 and 2035. In additon to the foregoing patent protectons, Crysvita is protected in the U.S. by regulatory exclusivity untl 2030 and by orphan drug exclusivity for treatng XLH and TIO untl 2025 and 2027, respectvely.</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Mepsevii Exclusivity</w:t>
      </w:r>
    </w:p>
    <w:p>
      <w:pPr>
        <w:spacing w:after="0" w:line="82" w:lineRule="exact"/>
        <w:rPr>
          <w:sz w:val="20"/>
          <w:szCs w:val="20"/>
          <w:color w:val="auto"/>
        </w:rPr>
      </w:pPr>
    </w:p>
    <w:p>
      <w:pPr>
        <w:ind w:right="540" w:firstLine="509"/>
        <w:spacing w:after="0" w:line="235" w:lineRule="auto"/>
        <w:rPr>
          <w:sz w:val="20"/>
          <w:szCs w:val="20"/>
          <w:color w:val="auto"/>
        </w:rPr>
      </w:pPr>
      <w:r>
        <w:rPr>
          <w:rFonts w:ascii="Calibri" w:cs="Calibri" w:eastAsia="Calibri" w:hAnsi="Calibri"/>
          <w:sz w:val="18"/>
          <w:szCs w:val="18"/>
          <w:color w:val="auto"/>
        </w:rPr>
        <w:t>We own four issued U.S. patents and corresponding issued foreign patents covering Mepsevii and its use in the treatment of lysosomal storage disorders such as MPS VII. These patents expire in 2035. Mepsevii is also protected in the U.S. by regulatory exclusivity untl 2029.</w:t>
      </w:r>
    </w:p>
    <w:p>
      <w:pPr>
        <w:jc w:val="center"/>
        <w:ind w:right="-19"/>
        <w:spacing w:after="0" w:line="236" w:lineRule="auto"/>
        <w:rPr>
          <w:sz w:val="20"/>
          <w:szCs w:val="20"/>
          <w:color w:val="auto"/>
        </w:rPr>
      </w:pPr>
      <w:r>
        <w:rPr>
          <w:rFonts w:ascii="Calibri" w:cs="Calibri" w:eastAsia="Calibri" w:hAnsi="Calibri"/>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5" w:name="page16"/>
    <w:bookmarkEnd w:id="15"/>
    <w:p>
      <w:pPr>
        <w:spacing w:after="0"/>
        <w:rPr>
          <w:sz w:val="20"/>
          <w:szCs w:val="20"/>
          <w:color w:val="auto"/>
        </w:rPr>
      </w:pPr>
      <w:r>
        <w:rPr>
          <w:rFonts w:ascii="Calibri" w:cs="Calibri" w:eastAsia="Calibri" w:hAnsi="Calibri"/>
          <w:sz w:val="18"/>
          <w:szCs w:val="18"/>
          <w:i w:val="1"/>
          <w:iCs w:val="1"/>
          <w:color w:val="auto"/>
        </w:rPr>
        <w:t>Dojolvi Exclusivity</w:t>
      </w:r>
    </w:p>
    <w:p>
      <w:pPr>
        <w:spacing w:after="0" w:line="82"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We have an exclusive license from BRI to patents and patent applicatons relatng to Dojolvi and its use for the treatment of FAOD. Pursuant to this license, we have rights to two issued U.S. patents covering Dojolvi which expire in 2025 and 2029. Beyond the patent portolio in-licensed from BRI, we own four pending U.S. patent applicatons, corresponding foreign patent applicatons, and issued patents in Australia, Brazil, Canada, Israel, Korea, Malaysia, Taiwan, and Thailand relatng to our pharmaceutcal-grade Dojolvi compositon; these owned patents and any additonal patents issuing from these owned applicatons are expected to expire in 2034. Dojolvi is also protected in the U.S. by regulatory exclusivity untl 2025 and orphan drug exclusivity for treatng FAOD untl 2027.</w:t>
      </w: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Evkeeza Exclusivity</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have an exclusive license from Regeneron to certain Regeneron patents for the development and commercializaton of Evkeeza outside of the U.S. for the treatment of HoFH and other hyperlipidemia and hypercholesterolemia indicatons. The in-licensed Regeneron patent portolio includes a patent family containing several issued foreign patents that expire in 2032 and cover the Evkeeza antbody; Regeneron has fled supplementary protecton certfcates to extend the rights associated with the European patent within this family untl 2036 in certain countries. The in-licensed Regeneron patent portolio contains fve other patent families, one of which includes several pending patent applicatons directed to a stabilized pharmaceutcal formulaton comprising Evkeeza; we expect any patents emanatng from this patent family to expire in 2040. In additon to the foregoing patent protectons, Evkeeza is protected in Europe by data exclusivity untl 2029 and marketng exclusivity untl 2031.</w:t>
      </w:r>
    </w:p>
    <w:p>
      <w:pPr>
        <w:spacing w:after="0" w:line="24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DTX401 (Pariglasgene Brecaparvovec) Exclusivity</w:t>
      </w:r>
    </w:p>
    <w:p>
      <w:pPr>
        <w:spacing w:after="0" w:line="82"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We have a non-exclusive license from the Natonal Insttutes of Health, or NIH, to an issued U.S. patent expiring in 2034 (not accountng for any available PTE) and corresponding foreign patents covering a recombinant nucleic acid construct used in DTX401 that includes a codon-optmized version of the G6Pase gene.</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DTX301 (Avalotcagene Ontaparvovec) Exclusivity</w:t>
      </w:r>
    </w:p>
    <w:p>
      <w:pPr>
        <w:spacing w:after="0" w:line="82" w:lineRule="exact"/>
        <w:rPr>
          <w:sz w:val="20"/>
          <w:szCs w:val="20"/>
          <w:color w:val="auto"/>
        </w:rPr>
      </w:pPr>
    </w:p>
    <w:p>
      <w:pPr>
        <w:jc w:val="both"/>
        <w:ind w:right="60" w:firstLine="509"/>
        <w:spacing w:after="0" w:line="235" w:lineRule="auto"/>
        <w:rPr>
          <w:sz w:val="20"/>
          <w:szCs w:val="20"/>
          <w:color w:val="auto"/>
        </w:rPr>
      </w:pPr>
      <w:r>
        <w:rPr>
          <w:rFonts w:ascii="Calibri" w:cs="Calibri" w:eastAsia="Calibri" w:hAnsi="Calibri"/>
          <w:sz w:val="18"/>
          <w:szCs w:val="18"/>
          <w:color w:val="auto"/>
        </w:rPr>
        <w:t>We have an exclusive sub-license to a patent family that includes three issued U.S. patents expiring in 2035 (not accountng for any available PTE) and corresponding foreign patents and patent applicatons covering the codon-optmized version of the OTC gene used in DTX301; this patent family is owned by UPENN and sublicensed to us by REGENX.</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UX143 (Setrusumab) Exclusivity</w:t>
      </w:r>
    </w:p>
    <w:p>
      <w:pPr>
        <w:spacing w:after="0" w:line="82"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We have in-licensed rights from Mereo to patents and patent applicatons relatng to setrusumab and its use for the treatment of OI. Pursuant to our license from Mereo, we have exclusive rights outside of Europe to a Mereo patent family that includes three issued U.S. patents and corresponding issued foreign patents that relate to the setrusumab antbody, nucleic acids encoding setrusumab, processes for producing setrusumab, and setrusumab’s use as a medicament. Patents emanatng from this patent family expire in 2028 (not accountng for any available PTE). We also have exclusive rights outside of Europe to two additonal Mereo patent families, including two issued U.S. patents expiring in 2037 (not accountng for any available PTE), relatng to methods of using ant-sclerostn antbodies including setrusumab for the treatment of OI. Beyond these Mereo patents and patent applicatons, we jointly own with Mereo a patent family relatng to dosing regimens for the use of ant-sclerostn antbodies including setrusumab in the treatment of OI; we expect any patents emanatng from this patent family to expire in 2042 (not accountng for any available PTE).</w:t>
      </w:r>
    </w:p>
    <w:p>
      <w:pPr>
        <w:spacing w:after="0" w:line="24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UX111 (Rebisufigene Etsparvovec) Exclusivity</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have an exclusive license from Natonwide Children’s Hospital, or NCH, to a pending U.S. patent applicaton covering a method of treatng MPS IIIA by intravenously administering a recombinant AAV9 vector comprising a U1a promoter and a polynucleotde sequence encoding N-sulfoglucosamine sulfohydrolase, or SGSH; we expect any patent emanatng from this applicaton to expire in 2032 (not accountng for any available PTE).</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GTX-102 (Antsense Oligonucleotde) Exclusivity</w:t>
      </w:r>
    </w:p>
    <w:p>
      <w:pPr>
        <w:spacing w:after="0" w:line="82"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We have an exclusive license from TAMU to a patent family fled in the U.S. and several foreign jurisdictons relatng to UBE3A antsense oligonucleotdes including GTX-102 and their use for the treatment of Angelman syndrome. The in-licensed TAMU patent family includes four issued U.S. patents expiring in 2038 (not accountng for any available PTE). Beyond the patent estate licensed from TAMU, we own a pending patent family relatng to dosing regimens for the use of UBE3A antsense oligonucleotdes including</w:t>
      </w:r>
    </w:p>
    <w:p>
      <w:pPr>
        <w:jc w:val="center"/>
        <w:spacing w:after="0" w:line="238" w:lineRule="auto"/>
        <w:rPr>
          <w:sz w:val="20"/>
          <w:szCs w:val="20"/>
          <w:color w:val="auto"/>
        </w:rPr>
      </w:pPr>
      <w:r>
        <w:rPr>
          <w:rFonts w:ascii="Calibri" w:cs="Calibri" w:eastAsia="Calibri" w:hAnsi="Calibri"/>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16" w:name="page17"/>
    <w:bookmarkEnd w:id="16"/>
    <w:p>
      <w:pPr>
        <w:ind w:right="600"/>
        <w:spacing w:after="0" w:line="235" w:lineRule="auto"/>
        <w:rPr>
          <w:sz w:val="20"/>
          <w:szCs w:val="20"/>
          <w:color w:val="auto"/>
        </w:rPr>
      </w:pPr>
      <w:r>
        <w:rPr>
          <w:rFonts w:ascii="Calibri" w:cs="Calibri" w:eastAsia="Calibri" w:hAnsi="Calibri"/>
          <w:sz w:val="18"/>
          <w:szCs w:val="18"/>
          <w:color w:val="auto"/>
        </w:rPr>
        <w:t>GTX-102 in the treatment of Angelman syndrome; we expect any patents emanatng from this patent family to expire in 2045 (not accountng for any available PTE).</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UX701 (Rivunatpagene Miziparvovec) Exclusivity</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We have two licenses to patents and patent applicatons covering elements of our UX701 product candidate. First, we have a license to a U.S. patent expiring in January 2026 which relates to the AAV9 capsid used in UX701; this patent is owned by UPENN and sublicensed to us by REGENX. Second, we have an exclusive license from UPENN to a patent family fled in the U.S. and several foreign jurisdictons relatng to AAV vectors containing certain regulatory and coding sequences packaged in UX701; this patent family includes an issued U.S. patent expiring in 2039 (not accountng for any available PTE). Beyond these in-licenses, we own a patent family covering AAV vectors expressing a novel truncated version of the ATP7B protein produced by UX701; we expect any patents emanatng from this patent family to expire in 2040 (not accountng for any available PTE).</w:t>
      </w: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Trademarks</w:t>
      </w:r>
    </w:p>
    <w:p>
      <w:pPr>
        <w:spacing w:after="0" w:line="82" w:lineRule="exact"/>
        <w:rPr>
          <w:sz w:val="20"/>
          <w:szCs w:val="20"/>
          <w:color w:val="auto"/>
        </w:rPr>
      </w:pPr>
    </w:p>
    <w:p>
      <w:pPr>
        <w:ind w:right="20" w:firstLine="509"/>
        <w:spacing w:after="0" w:line="252" w:lineRule="auto"/>
        <w:rPr>
          <w:sz w:val="20"/>
          <w:szCs w:val="20"/>
          <w:color w:val="auto"/>
        </w:rPr>
      </w:pPr>
      <w:r>
        <w:rPr>
          <w:rFonts w:ascii="Calibri" w:cs="Calibri" w:eastAsia="Calibri" w:hAnsi="Calibri"/>
          <w:sz w:val="17"/>
          <w:szCs w:val="17"/>
          <w:color w:val="auto"/>
        </w:rPr>
        <w:t>We own registered trademarks covering the Ultragenyx word mark in the U.S. and multple other jurisdictons. In additon, we have a pending trademark applicaton in the U.S. covering a stylized design of our Ultragenyx logo. We also own registered trademarks in the U.S. and other territories relatng to our Mepsevii and Dojolvi brand names for vestronidase alfa and triheptanoin, respectvely. We additonally have licenses from KKC and Regeneron to registered trademarks covering the Crysvita and Evkeeza brand names, respectvely, in territories where we have rights to commercialize these products.</w:t>
      </w:r>
    </w:p>
    <w:p>
      <w:pPr>
        <w:spacing w:after="0" w:line="23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Other</w:t>
      </w:r>
    </w:p>
    <w:p>
      <w:pPr>
        <w:spacing w:after="0" w:line="82" w:lineRule="exact"/>
        <w:rPr>
          <w:sz w:val="20"/>
          <w:szCs w:val="20"/>
          <w:color w:val="auto"/>
        </w:rPr>
      </w:pPr>
    </w:p>
    <w:p>
      <w:pPr>
        <w:ind w:right="240" w:firstLine="509"/>
        <w:spacing w:after="0" w:line="235" w:lineRule="auto"/>
        <w:rPr>
          <w:sz w:val="20"/>
          <w:szCs w:val="20"/>
          <w:color w:val="auto"/>
        </w:rPr>
      </w:pPr>
      <w:r>
        <w:rPr>
          <w:rFonts w:ascii="Calibri" w:cs="Calibri" w:eastAsia="Calibri" w:hAnsi="Calibri"/>
          <w:sz w:val="18"/>
          <w:szCs w:val="18"/>
          <w:color w:val="auto"/>
        </w:rPr>
        <w:t>We rely upon unpatented trade secrets, know-how, and contnuing technological innovaton to develop and maintain our compettve positon. We seek to protect our ownership of know-how and trade secrets through an actve program of legal mechanisms including assignments, confdentality agreements, material transfer agreements, research collaboratons, and licenses.</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Manufacturing</w:t>
      </w:r>
    </w:p>
    <w:p>
      <w:pPr>
        <w:spacing w:after="0" w:line="82" w:lineRule="exact"/>
        <w:rPr>
          <w:sz w:val="20"/>
          <w:szCs w:val="20"/>
          <w:color w:val="auto"/>
        </w:rPr>
      </w:pPr>
    </w:p>
    <w:p>
      <w:pPr>
        <w:ind w:right="40" w:firstLine="509"/>
        <w:spacing w:after="0" w:line="251" w:lineRule="auto"/>
        <w:rPr>
          <w:sz w:val="20"/>
          <w:szCs w:val="20"/>
          <w:color w:val="auto"/>
        </w:rPr>
      </w:pPr>
      <w:r>
        <w:rPr>
          <w:rFonts w:ascii="Calibri" w:cs="Calibri" w:eastAsia="Calibri" w:hAnsi="Calibri"/>
          <w:sz w:val="17"/>
          <w:szCs w:val="17"/>
          <w:color w:val="auto"/>
        </w:rPr>
        <w:t>While we currently contract with third partes for the manufacturing and testng of most of our products and product candidates for use in preclinical, clinical, and commercial applicatons, 2024 was the frst full year of Good Manufacturing Practces, or GMP, operaton for our Gene Therapy Manufacturing Facility in Bedford, Massachusets. This facility is focused on drug substance and drug product manufacturing of AAV gene therapy products and will support our clinical and commercial pipeline. This new capability combines with our existng gene therapy process and analytcal development and QC lab capabilites in nearby Woburn, Massachusets to form a fully integrated gene therapy development, manufacturing, and testng unit.</w:t>
      </w:r>
    </w:p>
    <w:p>
      <w:pPr>
        <w:spacing w:after="0" w:line="76"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use of contracted manufacturing and reliance on collaboraton partners has historically minimized our direct investment in manufacturing facilites and additonal staf early in development. Although we rely on contract manufacturers, we have personnel with extensive manufacturing experience to oversee our contract manufacturers. All of our third-party manufacturers are subject to periodic audits to confrm compliance with applicable regulatons and must pass inspecton before we can manufacture our drugs for commercial sales.</w:t>
      </w:r>
    </w:p>
    <w:p>
      <w:pPr>
        <w:spacing w:after="0" w:line="84"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For the other non-gene therapy modalites, we primarily use third-party manufacturers to meet our projected needs for commercial manufacturing. Third partes with whom we currently work might need to increase their scale of producton, or we will need to secure alternate suppliers. We believe that there are alternate sources of supply that can satsfy our clinical and commercial requirements, although we cannot be certain that identfying and establishing relatonships with such sources, if necessary, would not result in signifcant delay or material additonal costs.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Products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Mepsevii</w:t>
      </w:r>
    </w:p>
    <w:p>
      <w:pPr>
        <w:spacing w:after="0" w:line="82"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The Mepsevii drug substance is manufactured by Rentschler Biopharma SE, or Rentschler, under non-exclusive commercial supply and services agreements. The cell line to produce Mepsevii is specifc for this product and is in our control and stored in multple secure locatons. All other raw materials are commercially available.</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Crysvita</w:t>
      </w:r>
    </w:p>
    <w:p>
      <w:pPr>
        <w:spacing w:after="0" w:line="82" w:lineRule="exact"/>
        <w:rPr>
          <w:sz w:val="20"/>
          <w:szCs w:val="20"/>
          <w:color w:val="auto"/>
        </w:rPr>
      </w:pPr>
    </w:p>
    <w:p>
      <w:pPr>
        <w:ind w:firstLine="509"/>
        <w:spacing w:after="0" w:line="249" w:lineRule="auto"/>
        <w:rPr>
          <w:sz w:val="20"/>
          <w:szCs w:val="20"/>
          <w:color w:val="auto"/>
        </w:rPr>
      </w:pPr>
      <w:r>
        <w:rPr>
          <w:rFonts w:ascii="Calibri" w:cs="Calibri" w:eastAsia="Calibri" w:hAnsi="Calibri"/>
          <w:sz w:val="17"/>
          <w:szCs w:val="17"/>
          <w:color w:val="auto"/>
        </w:rPr>
        <w:t>The drug substance and drug product for burosumab are made by KKC in Japan under the collaboraton and license agreement and supply agreements with KKC. The cell line to produce burosumab is specifc for this product and is in KKC’s control. All other raw materials are commercially available.</w:t>
      </w:r>
    </w:p>
    <w:p>
      <w:pPr>
        <w:jc w:val="center"/>
        <w:spacing w:after="0" w:line="236" w:lineRule="auto"/>
        <w:rPr>
          <w:sz w:val="20"/>
          <w:szCs w:val="20"/>
          <w:color w:val="auto"/>
        </w:rPr>
      </w:pPr>
      <w:r>
        <w:rPr>
          <w:rFonts w:ascii="Calibri" w:cs="Calibri" w:eastAsia="Calibri" w:hAnsi="Calibri"/>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7" w:name="page18"/>
    <w:bookmarkEnd w:id="17"/>
    <w:p>
      <w:pPr>
        <w:spacing w:after="0"/>
        <w:rPr>
          <w:sz w:val="20"/>
          <w:szCs w:val="20"/>
          <w:color w:val="auto"/>
        </w:rPr>
      </w:pPr>
      <w:r>
        <w:rPr>
          <w:rFonts w:ascii="Calibri" w:cs="Calibri" w:eastAsia="Calibri" w:hAnsi="Calibri"/>
          <w:sz w:val="18"/>
          <w:szCs w:val="18"/>
          <w:i w:val="1"/>
          <w:iCs w:val="1"/>
          <w:color w:val="auto"/>
        </w:rPr>
        <w:t>Dojolvi</w:t>
      </w:r>
    </w:p>
    <w:p>
      <w:pPr>
        <w:spacing w:after="0" w:line="82" w:lineRule="exact"/>
        <w:rPr>
          <w:sz w:val="20"/>
          <w:szCs w:val="20"/>
          <w:color w:val="auto"/>
        </w:rPr>
      </w:pPr>
    </w:p>
    <w:p>
      <w:pPr>
        <w:ind w:right="440" w:firstLine="509"/>
        <w:spacing w:after="0" w:line="235" w:lineRule="auto"/>
        <w:rPr>
          <w:sz w:val="20"/>
          <w:szCs w:val="20"/>
          <w:color w:val="auto"/>
        </w:rPr>
      </w:pPr>
      <w:r>
        <w:rPr>
          <w:rFonts w:ascii="Calibri" w:cs="Calibri" w:eastAsia="Calibri" w:hAnsi="Calibri"/>
          <w:sz w:val="18"/>
          <w:szCs w:val="18"/>
          <w:color w:val="auto"/>
        </w:rPr>
        <w:t>The pharmaceutcal-grade drug substance for Dojolvi is manufactured by IOI Oleo GmbH, or IOI Oleo, in Germany under an exclusive worldwide supply agreement.</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March 2023, the Dojolvi drug product manufacturer Aenova Haupt Pharma Wolfratshausen GmbH notfed us of their intent to close the facility by the end of 2023. In response to this informaton, we produced additonal DP batches prior to the facility closure at the end of 2023 and have identfed a new DP manufacturer. We have completed the process performance validaton actvites and plan to submit the regulatory change in early 2025. Our current DP inventories are expected to support demand through at least the end of 2025.</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Evkeeza</w:t>
      </w:r>
    </w:p>
    <w:p>
      <w:pPr>
        <w:spacing w:after="0" w:line="82"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On January 7, 2022, we announced a license and collaboraton agreement with Regeneron for us to clinically develop, commercialize and distribute Evkeeza in countries outside of the U.S. Evkeeza is a fully human monoclonal antbody that binds to and blocks the functon of angiopoietn-like 3, or ANGPTL3, a protein that plays a key role in lipid metabolism.</w:t>
      </w:r>
    </w:p>
    <w:p>
      <w:pPr>
        <w:spacing w:after="0" w:line="84" w:lineRule="exact"/>
        <w:rPr>
          <w:sz w:val="20"/>
          <w:szCs w:val="20"/>
          <w:color w:val="auto"/>
        </w:rPr>
      </w:pPr>
    </w:p>
    <w:p>
      <w:pPr>
        <w:ind w:right="660" w:firstLine="509"/>
        <w:spacing w:after="0" w:line="235" w:lineRule="auto"/>
        <w:rPr>
          <w:sz w:val="20"/>
          <w:szCs w:val="20"/>
          <w:color w:val="auto"/>
        </w:rPr>
      </w:pPr>
      <w:r>
        <w:rPr>
          <w:rFonts w:ascii="Calibri" w:cs="Calibri" w:eastAsia="Calibri" w:hAnsi="Calibri"/>
          <w:sz w:val="18"/>
          <w:szCs w:val="18"/>
          <w:color w:val="auto"/>
        </w:rPr>
        <w:t>The Evkeeza drug substance is manufactured by Regeneron at their manufacturing facility in Rensselaer, New York and the drug product is manufactured by Baxter Pharmaceutcal Solutons, LLC at their manufacturing facility in Bloomington, Indiana. Release testng of the drug product is performed by Regeneron and third-party suppliers.</w:t>
      </w:r>
    </w:p>
    <w:p>
      <w:pPr>
        <w:spacing w:after="0" w:line="79"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We utlize third-party suppliers to perform packaging, labelling, distributon, and testng as needed for Evkeeza.</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Product Candidates</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The drug substances and drug products for our product candidates are manufactured using our network of GMP contract manufacturing organizatons, or CMOs, which are carefully selected and actvely managed for high quality, reliable clinical supply. The CMOs are located in Western Europe or North America.</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Commercializaton and Product Support</w:t>
      </w:r>
    </w:p>
    <w:p>
      <w:pPr>
        <w:spacing w:after="0" w:line="8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We have built our own commercial organizatons in North America, Europe, Latn America and Japan to efectvely support the commercializaton of our products and product candidates, if approved. Our intenton is to expand our product portolio and its geographic accessibility through the contnued development of our proprietary pipeline or through strategic partnerships. We may elect to utlize strategic partners, distributors, or contract management organizatons to assist in the commercializaton of our products in certain geographies. The commercial infrastructure for rare disease products typically consists of a targeted, specialty feld organizaton that educates a limited and focused group of physicians supported by feld management and internal support teams, which includes marketng, patent support services, distributon, and market access. One challenge, unique to commercializing therapies for rare diseases, is the difculty in identfying eligible patents due to the very small and sometmes heterogeneous patent populatons along with ofen undefned clinical or genetc tests to confrm diagnosis. Our commercial and medical afairs teams focus on maximizing patent identfcaton for both clinical development and commercializaton purposes in rare diseases.</w:t>
      </w:r>
    </w:p>
    <w:p>
      <w:pPr>
        <w:spacing w:after="0" w:line="89"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Additonal capabilites important to the rare disease marketplace in the U.S. include the management of key stakeholders such as managed care organizatons, specialty pharmacies, specialty distributors, and government payers. In many countries outside the U.S. single natonal payers are critcal to providing reimbursement access. To develop the appropriate commercial infrastructure, we will have to invest a signifcant amount of fnancial and management resources, some of which will be commited prior to regulatory approval of the products that they are intended to support.</w:t>
      </w:r>
    </w:p>
    <w:p>
      <w:pPr>
        <w:spacing w:after="0" w:line="84" w:lineRule="exact"/>
        <w:rPr>
          <w:sz w:val="20"/>
          <w:szCs w:val="20"/>
          <w:color w:val="auto"/>
        </w:rPr>
      </w:pPr>
    </w:p>
    <w:p>
      <w:pPr>
        <w:jc w:val="both"/>
        <w:ind w:right="160" w:firstLine="509"/>
        <w:spacing w:after="0" w:line="235" w:lineRule="auto"/>
        <w:rPr>
          <w:sz w:val="20"/>
          <w:szCs w:val="20"/>
          <w:color w:val="auto"/>
        </w:rPr>
      </w:pPr>
      <w:r>
        <w:rPr>
          <w:rFonts w:ascii="Calibri" w:cs="Calibri" w:eastAsia="Calibri" w:hAnsi="Calibri"/>
          <w:sz w:val="18"/>
          <w:szCs w:val="18"/>
          <w:color w:val="auto"/>
        </w:rPr>
        <w:t>We contnue to support commercial and medical afairs organizatons as well as other capabilites across North America, Europe, Latn America, and Japan to meet the educatonal needs of the healthcare providers and patents in the rare disease community, focusing on providing accurate disease state informaton and balanced product informaton across our portolio for appropriate management of patents with rare disorders.</w:t>
      </w:r>
    </w:p>
    <w:p>
      <w:pPr>
        <w:spacing w:after="0" w:line="84" w:lineRule="exact"/>
        <w:rPr>
          <w:sz w:val="20"/>
          <w:szCs w:val="20"/>
          <w:color w:val="auto"/>
        </w:rPr>
      </w:pPr>
    </w:p>
    <w:p>
      <w:pPr>
        <w:jc w:val="both"/>
        <w:ind w:right="140" w:firstLine="509"/>
        <w:spacing w:after="0" w:line="235" w:lineRule="auto"/>
        <w:rPr>
          <w:sz w:val="20"/>
          <w:szCs w:val="20"/>
          <w:color w:val="auto"/>
        </w:rPr>
      </w:pPr>
      <w:r>
        <w:rPr>
          <w:rFonts w:ascii="Calibri" w:cs="Calibri" w:eastAsia="Calibri" w:hAnsi="Calibri"/>
          <w:sz w:val="18"/>
          <w:szCs w:val="18"/>
          <w:color w:val="auto"/>
        </w:rPr>
        <w:t>Medical afairs is comprised of the following capabilites in support of our mission: medical informaton, patent advocacy, patent diagnosis liaisons, medical science liaisons, research and educatonal grants. Medical afairs will engage as early as Phase 1 and will contnue work throughout the lifecycle of each product and product candidate as dictated by the specifc scientfc needs in each therapeutc area.</w:t>
      </w:r>
    </w:p>
    <w:p>
      <w:pPr>
        <w:jc w:val="center"/>
        <w:ind w:right="-59"/>
        <w:spacing w:after="0" w:line="237" w:lineRule="auto"/>
        <w:rPr>
          <w:sz w:val="20"/>
          <w:szCs w:val="20"/>
          <w:color w:val="auto"/>
        </w:rPr>
      </w:pPr>
      <w:r>
        <w:rPr>
          <w:rFonts w:ascii="Calibri" w:cs="Calibri" w:eastAsia="Calibri" w:hAnsi="Calibri"/>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6" w:right="379" w:bottom="1440" w:gutter="0" w:footer="0" w:header="0"/>
        </w:sectPr>
      </w:pPr>
    </w:p>
    <w:bookmarkStart w:id="18" w:name="page19"/>
    <w:bookmarkEnd w:id="18"/>
    <w:p>
      <w:pPr>
        <w:spacing w:after="0"/>
        <w:rPr>
          <w:sz w:val="20"/>
          <w:szCs w:val="20"/>
          <w:color w:val="auto"/>
        </w:rPr>
      </w:pPr>
      <w:r>
        <w:rPr>
          <w:rFonts w:ascii="Calibri" w:cs="Calibri" w:eastAsia="Calibri" w:hAnsi="Calibri"/>
          <w:sz w:val="18"/>
          <w:szCs w:val="18"/>
          <w:b w:val="1"/>
          <w:bCs w:val="1"/>
          <w:color w:val="auto"/>
        </w:rPr>
        <w:t>Government Regulaton</w:t>
      </w:r>
    </w:p>
    <w:p>
      <w:pPr>
        <w:spacing w:after="0" w:line="82" w:lineRule="exact"/>
        <w:rPr>
          <w:sz w:val="20"/>
          <w:szCs w:val="20"/>
          <w:color w:val="auto"/>
        </w:rPr>
      </w:pPr>
    </w:p>
    <w:p>
      <w:pPr>
        <w:ind w:right="80" w:firstLine="509"/>
        <w:spacing w:after="0" w:line="251" w:lineRule="auto"/>
        <w:rPr>
          <w:sz w:val="20"/>
          <w:szCs w:val="20"/>
          <w:color w:val="auto"/>
        </w:rPr>
      </w:pPr>
      <w:r>
        <w:rPr>
          <w:rFonts w:ascii="Calibri" w:cs="Calibri" w:eastAsia="Calibri" w:hAnsi="Calibri"/>
          <w:sz w:val="17"/>
          <w:szCs w:val="17"/>
          <w:color w:val="auto"/>
        </w:rPr>
        <w:t>Government authorites in the U.S. (including federal, state, and local authorites) and in other countries, extensively regulate, among other things, the manufacturing, research and clinical development, marketng, labeling and packaging, storage, distributon, post-approval monitoring and reportng, advertsing and promoton, pricing, and export and import of pharmaceutcal products, such as those we are developing. We must obtain the requisite approvals from regulatory authorites in the U.S. and foreign countries prior to the commencement of clinical studies or marketng of the product in those countries. Accordingly, our operatons are and will be subject to a variety of regulatons and other requirements, which vary from country to country. The process of obtaining regulatory approvals and the subsequent compliance with appropriate federal, state, local, and foreign statutes and regulatons require the expenditure of substantal tme and fnancial resources that has a signifcant impact on our capital expenditures and results of operatons.</w:t>
      </w:r>
    </w:p>
    <w:p>
      <w:pPr>
        <w:spacing w:after="0" w:line="23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Global Regulaton of Clinical Studies</w:t>
      </w:r>
    </w:p>
    <w:p>
      <w:pPr>
        <w:spacing w:after="0" w:line="82" w:lineRule="exact"/>
        <w:rPr>
          <w:sz w:val="20"/>
          <w:szCs w:val="20"/>
          <w:color w:val="auto"/>
        </w:rPr>
      </w:pPr>
    </w:p>
    <w:p>
      <w:pPr>
        <w:ind w:right="20" w:firstLine="509"/>
        <w:spacing w:after="0" w:line="251" w:lineRule="auto"/>
        <w:rPr>
          <w:sz w:val="20"/>
          <w:szCs w:val="20"/>
          <w:color w:val="auto"/>
        </w:rPr>
      </w:pPr>
      <w:r>
        <w:rPr>
          <w:rFonts w:ascii="Calibri" w:cs="Calibri" w:eastAsia="Calibri" w:hAnsi="Calibri"/>
          <w:sz w:val="17"/>
          <w:szCs w:val="17"/>
          <w:color w:val="auto"/>
        </w:rPr>
        <w:t>Clinical studies involve the administraton of an investgatonal medicinal product to human subjects under the supervision of qualifed investgators in accordance with protocols, Good Clinical Practces, or GCP, the ethical principles that have their origin in the Declaraton of Helsinki and applicable regulatory requirements. A protocol for each clinical study and any subsequent protocol amendments are typically submited to the FDA or other applicable regulatory authorites as part of an investgatonal new drug applicaton, or IND, or clinical trial applicaton, or CTA. Additonally, approval must also be obtained from each clinical study site’s insttutonal review board, or IRB, or Ethics Commitee, or EC, before the studies may be initated, and the IRB or EC must monitor the study untl completed. There are also requirements governing the reportng of ongoing clinical studies and clinical study results to public registries.</w:t>
      </w:r>
    </w:p>
    <w:p>
      <w:pPr>
        <w:spacing w:after="0" w:line="75"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The clinical investgaton of a drug is generally divided into three or four phases. Although the phases are usually conducted sequentally, they may overlap or be combined.</w:t>
      </w:r>
    </w:p>
    <w:p>
      <w:pPr>
        <w:spacing w:after="0" w:line="96" w:lineRule="exact"/>
        <w:rPr>
          <w:sz w:val="20"/>
          <w:szCs w:val="20"/>
          <w:color w:val="auto"/>
        </w:rPr>
      </w:pPr>
    </w:p>
    <w:p>
      <w:pPr>
        <w:ind w:left="900" w:right="80" w:hanging="383"/>
        <w:spacing w:after="0" w:line="235" w:lineRule="auto"/>
        <w:tabs>
          <w:tab w:leader="none" w:pos="90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 xml:space="preserve">Phase 1. </w:t>
      </w:r>
      <w:r>
        <w:rPr>
          <w:rFonts w:ascii="Calibri" w:cs="Calibri" w:eastAsia="Calibri" w:hAnsi="Calibri"/>
          <w:sz w:val="18"/>
          <w:szCs w:val="18"/>
          <w:color w:val="auto"/>
        </w:rPr>
        <w:t>The drug is initally introduced into healthy human subjects or patents with the target disease or conditon. These studies are designed</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to evaluate the safety, dosage tolerance, pharmacokinetcs, and pharmacologic actons of the investgatonal new drug in humans, and if possible, to gain early evidence on efectveness.</w:t>
      </w:r>
    </w:p>
    <w:p>
      <w:pPr>
        <w:spacing w:after="0" w:line="97" w:lineRule="exact"/>
        <w:rPr>
          <w:rFonts w:ascii="Times New Roman" w:cs="Times New Roman" w:eastAsia="Times New Roman" w:hAnsi="Times New Roman"/>
          <w:sz w:val="18"/>
          <w:szCs w:val="18"/>
          <w:color w:val="auto"/>
        </w:rPr>
      </w:pPr>
    </w:p>
    <w:p>
      <w:pPr>
        <w:ind w:left="900" w:right="320" w:hanging="383"/>
        <w:spacing w:after="0" w:line="235" w:lineRule="auto"/>
        <w:tabs>
          <w:tab w:leader="none" w:pos="90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 xml:space="preserve">Phase 2. </w:t>
      </w:r>
      <w:r>
        <w:rPr>
          <w:rFonts w:ascii="Calibri" w:cs="Calibri" w:eastAsia="Calibri" w:hAnsi="Calibri"/>
          <w:sz w:val="18"/>
          <w:szCs w:val="18"/>
          <w:color w:val="auto"/>
        </w:rPr>
        <w:t>The drug is administered to a limited patent populaton to evaluate dosage tolerance and optmal dosage, identfy possible adverse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side efects and safety risks, and preliminarily evaluate efcacy.</w:t>
      </w:r>
    </w:p>
    <w:p>
      <w:pPr>
        <w:spacing w:after="0" w:line="96" w:lineRule="exact"/>
        <w:rPr>
          <w:rFonts w:ascii="Times New Roman" w:cs="Times New Roman" w:eastAsia="Times New Roman" w:hAnsi="Times New Roman"/>
          <w:sz w:val="18"/>
          <w:szCs w:val="18"/>
          <w:color w:val="auto"/>
        </w:rPr>
      </w:pPr>
    </w:p>
    <w:p>
      <w:pPr>
        <w:ind w:left="900" w:right="520" w:hanging="383"/>
        <w:spacing w:after="0" w:line="235" w:lineRule="auto"/>
        <w:tabs>
          <w:tab w:leader="none" w:pos="90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 xml:space="preserve">Phase 3. </w:t>
      </w:r>
      <w:r>
        <w:rPr>
          <w:rFonts w:ascii="Calibri" w:cs="Calibri" w:eastAsia="Calibri" w:hAnsi="Calibri"/>
          <w:sz w:val="18"/>
          <w:szCs w:val="18"/>
          <w:color w:val="auto"/>
        </w:rPr>
        <w:t>The drug is administered to an expanded patent populaton, generally at geographically dispersed clinical study sites to generate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enough data to statstcally evaluate dosage, clinical efectveness, and safety, to establish the overall beneft-risk relatonship of the investgatonal new drug product, and to provide an adequate basis for product approval.</w:t>
      </w:r>
    </w:p>
    <w:p>
      <w:pPr>
        <w:spacing w:after="0" w:line="97" w:lineRule="exact"/>
        <w:rPr>
          <w:rFonts w:ascii="Times New Roman" w:cs="Times New Roman" w:eastAsia="Times New Roman" w:hAnsi="Times New Roman"/>
          <w:sz w:val="18"/>
          <w:szCs w:val="18"/>
          <w:color w:val="auto"/>
        </w:rPr>
      </w:pPr>
    </w:p>
    <w:p>
      <w:pPr>
        <w:ind w:left="900" w:hanging="383"/>
        <w:spacing w:after="0" w:line="235" w:lineRule="auto"/>
        <w:tabs>
          <w:tab w:leader="none" w:pos="90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Phase 4</w:t>
      </w:r>
      <w:r>
        <w:rPr>
          <w:rFonts w:ascii="Calibri" w:cs="Calibri" w:eastAsia="Calibri" w:hAnsi="Calibri"/>
          <w:sz w:val="18"/>
          <w:szCs w:val="18"/>
          <w:color w:val="auto"/>
        </w:rPr>
        <w:t>. In some cases, additonal studies and patent follow-up are conducted to gain experience from the treatment of patents in the intended</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therapeutc indicaton. Regulatory authorites may conditon approval of a marketng applicaton for a product candidate on the sponsor’s agreement to conduct additonal clinical studies afer approval. In other cases, a sponsor may voluntarily conduct additonal clinical studies afer approval to gain more informaton about the drug. Such post-approval studies are typically referred to as Phase 4 clinical studies.</w:t>
      </w:r>
    </w:p>
    <w:p>
      <w:pPr>
        <w:spacing w:after="0" w:line="84"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A pivotal study is a clinical study that adequately meets regulatory authority requirements for the evaluaton of a drug candidate’s efcacy and safety such that it can be used to justfy the approval of the product. Generally, pivotal studies are Phase 3 studies, but regulatory authorites may accept results from Phase 2 studies if the study design provides a well-controlled and reliable assessment of clinical beneft, partcularly in situatons where there is an unmet medical need and the results are sufciently robust.</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U.S. Government Regulaton</w:t>
      </w:r>
    </w:p>
    <w:p>
      <w:pPr>
        <w:spacing w:after="0" w:line="8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In the U.S., the FDA regulates drugs under the Federal Food, Drug, and Cosmetc Act, or FDCA, and its implementng regulatons, and biologics under the FDCA and the Public Health Service Act, or PHSA, and its implementng regulatons. FDA approval is required before any new drug or dosage form, including a new use of a previously approved drug, can be marketed in the U.S. Drugs and biologics are also subject to other federal, state, and local statutes and regulatons.</w:t>
      </w:r>
    </w:p>
    <w:p>
      <w:pPr>
        <w:spacing w:after="0" w:line="80"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process required by the FDA before product candidates may be marketed or sold in the U.S. generally involves the following:</w:t>
      </w:r>
    </w:p>
    <w:p>
      <w:pPr>
        <w:spacing w:after="0" w:line="96" w:lineRule="exact"/>
        <w:rPr>
          <w:sz w:val="20"/>
          <w:szCs w:val="20"/>
          <w:color w:val="auto"/>
        </w:rPr>
      </w:pPr>
    </w:p>
    <w:p>
      <w:pPr>
        <w:ind w:left="900" w:right="120" w:hanging="383"/>
        <w:spacing w:after="0" w:line="235" w:lineRule="auto"/>
        <w:tabs>
          <w:tab w:leader="none" w:pos="90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completon of extensive preclinical laboratory tests and preclinical animal studies performed in accordance with the Good Laboratory Practces, or GLP, regulatons and the U.S. Department of Agriculture’s Animal Welfare Act;</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submission to the FDA of an IND, which must become efectve before human clinical studies may begin and must be updated annually;</w:t>
      </w:r>
    </w:p>
    <w:p>
      <w:pPr>
        <w:jc w:val="center"/>
        <w:spacing w:after="0" w:line="235" w:lineRule="auto"/>
        <w:rPr>
          <w:sz w:val="20"/>
          <w:szCs w:val="20"/>
          <w:color w:val="auto"/>
        </w:rPr>
      </w:pPr>
      <w:r>
        <w:rPr>
          <w:rFonts w:ascii="Calibri" w:cs="Calibri" w:eastAsia="Calibri" w:hAnsi="Calibri"/>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19" w:name="page20"/>
    <w:bookmarkEnd w:id="19"/>
    <w:p>
      <w:pPr>
        <w:ind w:left="900" w:right="400" w:hanging="383"/>
        <w:spacing w:after="0" w:line="235" w:lineRule="auto"/>
        <w:tabs>
          <w:tab w:leader="none" w:pos="9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conductng adequate and well-controlled human clinical studies that generally follow the three- to four-phase design described above to establish the safety and efcacy, or for BLA products, the safety, purity, and potency, of the product candidate for each proposed indicaton under an actve IND and approved by an independent IRB representng each clinical site;</w:t>
      </w:r>
    </w:p>
    <w:p>
      <w:pPr>
        <w:spacing w:after="0" w:line="97" w:lineRule="exact"/>
        <w:rPr>
          <w:rFonts w:ascii="Times New Roman" w:cs="Times New Roman" w:eastAsia="Times New Roman" w:hAnsi="Times New Roman"/>
          <w:sz w:val="18"/>
          <w:szCs w:val="18"/>
          <w:color w:val="auto"/>
        </w:rPr>
      </w:pPr>
    </w:p>
    <w:p>
      <w:pPr>
        <w:ind w:left="900" w:right="460" w:hanging="383"/>
        <w:spacing w:after="0" w:line="235" w:lineRule="auto"/>
        <w:tabs>
          <w:tab w:leader="none" w:pos="9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preparaton of and submission to the FDA of a new drug applicaton, or NDA, or biologics license applicaton, or BLA, afer completon of all pivotal clinical studies;</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potental review of the product applicaton by an FDA advisory commitee, where appropriate and if applicable;</w:t>
      </w:r>
    </w:p>
    <w:p>
      <w:pPr>
        <w:spacing w:after="0" w:line="95" w:lineRule="exact"/>
        <w:rPr>
          <w:rFonts w:ascii="Times New Roman" w:cs="Times New Roman" w:eastAsia="Times New Roman" w:hAnsi="Times New Roman"/>
          <w:sz w:val="18"/>
          <w:szCs w:val="18"/>
          <w:color w:val="auto"/>
        </w:rPr>
      </w:pPr>
    </w:p>
    <w:p>
      <w:pPr>
        <w:ind w:left="900" w:right="140" w:hanging="383"/>
        <w:spacing w:after="0" w:line="235" w:lineRule="auto"/>
        <w:tabs>
          <w:tab w:leader="none" w:pos="9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satsfactory completon of an FDA pre-approval inspecton of the manufacturing facilites where the proposed drug substance and drug product are produced to assess compliance with GMP;</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FDA inspecton of one or more clinical sites to assure compliance with GCP; and</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FDA review and approval of an NDA or BLA.</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Submission of an NDA or BLA to the FDA</w:t>
      </w:r>
    </w:p>
    <w:p>
      <w:pPr>
        <w:spacing w:after="0" w:line="82"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Assuming successful completon of all required testng in accordance with all applicable regulatory requirements, detailed investgatonal new drug product informaton is submited to the FDA in the form of an NDA or BLA requestng approval to market the product for one or more indicatons. Under federal law, the submission of most NDAs and BLAs is subject to a signifcant applicaton user fee, unless waived.</w:t>
      </w:r>
    </w:p>
    <w:p>
      <w:pPr>
        <w:spacing w:after="0" w:line="84"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Pursuant to Title 21 of the Code of Federal Regulatons, the FDA conducts a preliminary review of an NDA within 60 days of receipt. FDA procedures provide that the FDA will inform the sponsor by the 74th day afer the FDA’s receipt of submission to determine whether the applicaton is sufciently complete to permit substantve review. The FDA may request additonal informaton rather than accept an NDA for fling, in which case the applicaton must be resubmited with the requested additonal informaton. The resubmited applicaton is also subject to review before it is accepted for fling. Once the submission is accepted for fling, the FDA begins an in-depth substantve review.</w:t>
      </w:r>
    </w:p>
    <w:p>
      <w:pPr>
        <w:spacing w:after="0" w:line="85"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Once an NDA or BLA has been accepted, the FDA’s goal is to review the applicaton within ten months afer it accepts the applicaton for fling, or, if the applicaton relates to an unmet medical need in the treatment of a serious or life-threatening conditon, six months afer the FDA accepts the applicaton for fling. The review process can be signifcantly extended by FDA requests for additonal informaton or clarifcaton.</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The FDA’s Decision on an NDA or BLA</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FDA may issue an approval leter if it fnds the applicaton has adequate support for commercial marketng. An approval leter authorizes commercial marketng of the drug with specifc prescribing informaton for specifc indicatons. As a conditon of NDA or BLA approval, the FDA may impose additonal requirements, such as post-marketng studies and/or a Risk Evaluaton and Mitgaton Strategy, or REMS, to help ensure that the benefts of the drug outweigh the potental risks. A REMS can include medicaton guides, assessment plans, communicaton plans for healthcare professionals, and elements to assure safe use. The FDA may also issue a Complete Response Leter, which indicates that the review cycle of the applicaton is complete but the applicaton is not ready for approval. A Complete Response Leter may require additonal clinical data and/or an additonal pivotal Phase 3 clinical study(ies), and/or other signifcant, expensive and tme-consuming requirements related to clinical studies, preclinical studies or manufacturing. If the conditons set forth in the Complete Response Leter are met, the FDA may approve the product for marketng.</w:t>
      </w:r>
    </w:p>
    <w:p>
      <w:pPr>
        <w:spacing w:after="0" w:line="24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Expedited Review and Accelerated Approval Programs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 sponsor may seek approval of its product candidate under programs designed to accelerate the FDA’s review and approval of NDAs and BLAs. For example, Fast Track Designaton may be granted to a drug intended for treatment of a serious or life-threatening disease or conditon and data demonstrate its potental to address unmet medical needs for the disease or conditon. The key benefts of fast-track designaton are the eligibility for priority review, rolling review (submission of portons of an applicaton before the complete marketng applicaton is submited), and accelerated approval, if relevant criteria are met. The FDA may grant the NDA or BLA a priority review designaton, which sets the target date for FDA acton on the applicaton at six months afer the FDA accepts the applicaton for fling. Priority review is granted where there is evidence that the proposed product would be a signifcant improvement in the safety or efectveness of the treatment, diagnosis, or preventon of a serious conditon. Priority review designaton does not change the scientfc/medical standard for approval or the quality of evidence necessary to support approval.</w:t>
      </w:r>
    </w:p>
    <w:p>
      <w:pPr>
        <w:spacing w:after="0" w:line="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0" w:name="page21"/>
    <w:bookmarkEnd w:id="20"/>
    <w:p>
      <w:pPr>
        <w:ind w:right="40" w:firstLine="509"/>
        <w:spacing w:after="0" w:line="250" w:lineRule="auto"/>
        <w:rPr>
          <w:sz w:val="20"/>
          <w:szCs w:val="20"/>
          <w:color w:val="auto"/>
        </w:rPr>
      </w:pPr>
      <w:r>
        <w:rPr>
          <w:rFonts w:ascii="Calibri" w:cs="Calibri" w:eastAsia="Calibri" w:hAnsi="Calibri"/>
          <w:sz w:val="17"/>
          <w:szCs w:val="17"/>
          <w:color w:val="auto"/>
        </w:rPr>
        <w:t>The FDA may approve an NDA or BLA under the accelerated approval program if the drug treats a serious conditon, provides a meaningful advantage over available therapies, and demonstrates an efect on either (1) a surrogate endpoint that is reasonably likely to predict clinical beneft, or (2) on a clinical endpoint that can be measured earlier than irreversible morbidity or mortality, that is reasonably likely to predict an efect on irreversible morbidity or mortality or other clinical beneft, taking into account the severity, rarity, or prevalence of the conditon and the availability or lack of alternatve treatments. Post-marketng studies or completon of ongoing studies afer marketng approval are generally required to verify the drug’s clinical beneft in relatonship to the surrogate endpoint or ultmate outcome in relatonship to the clinical beneft. The FDA may require, as appropriate, that such studies be underway prior to approval or within a specifc tme period afer the date of approval for a product that has been granted accelerated approval. The FDA also has authority for expedited procedures to withdraw approval of a product or indicaton that was initally approved under accelerated approval if the sponsor fails to conduct the required post-marketng studies or if such studies fail to verify the predicted clinical beneft. In additon, as a conditon for accelerated approval, the FDA currently also requires pre-approval of promotonal materials, which could adversely impact the tming of the commercial launch of the product.</w:t>
      </w:r>
    </w:p>
    <w:p>
      <w:pPr>
        <w:spacing w:after="0" w:line="79" w:lineRule="exact"/>
        <w:rPr>
          <w:sz w:val="20"/>
          <w:szCs w:val="20"/>
          <w:color w:val="auto"/>
        </w:rPr>
      </w:pPr>
    </w:p>
    <w:p>
      <w:pPr>
        <w:ind w:firstLine="509"/>
        <w:spacing w:after="0" w:line="251" w:lineRule="auto"/>
        <w:rPr>
          <w:sz w:val="20"/>
          <w:szCs w:val="20"/>
          <w:color w:val="auto"/>
        </w:rPr>
      </w:pPr>
      <w:r>
        <w:rPr>
          <w:rFonts w:ascii="Calibri" w:cs="Calibri" w:eastAsia="Calibri" w:hAnsi="Calibri"/>
          <w:sz w:val="17"/>
          <w:szCs w:val="17"/>
          <w:color w:val="auto"/>
        </w:rPr>
        <w:t>In additon, the Food and Drug Administraton Safety and Innovaton Act, or FDASIA, established the Breakthrough Therapy designaton. A sponsor may seek FDA designaton of its product candidate as a breakthrough therapy if the drug is intended, alone or in combinaton with one or more other drugs, to treat a serious or life-threatening disease or conditon and preliminary clinical evidence indicates that the drug may demonstrate substantal improvement over existng therapies on one or more clinically signifcant endpoints, such as substantal treatment efects observed early in clinical development. If a drug is designated as a breakthrough therapy, the FDA will provide more intensive guidance on the drug development program and expedite its review.</w:t>
      </w:r>
    </w:p>
    <w:p>
      <w:pPr>
        <w:spacing w:after="0" w:line="76"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Furthermore, the FDA has made available expedited programs to sponsors of regeneratve medicine therapies that have been granted designaton as a regeneratve medicine advanced therapy, or RMAT. Regeneratve medicine therapies include cell therapies, therapeutc tssue engineering products and human cell and tssue products. A sponsor may seek RMAT designaton if its regeneratve medicine product is intended to treat, modify, reverse, or cure a serious or life-threatening conditon and preliminary clinical evidence indicates that the regeneratve medicine therapy has the potental to address unmet medical needs for such conditon. Advantages of the RMAT designaton include early interactons with the FDA to discuss the development plan for the product candidate, including potental surrogate or intermediate endpoints, and eligibility for rolling and priority review. Products granted RMAT designaton may also be eligible for accelerated approval on the basis of a surrogate or intermediate endpoint reasonably likely to predict long-term clinical beneft, or reliance upon data obtained from a meaningful number of sites, including through expansion to additonal sites. RMAT-designated products that receive accelerated approval may, as appropriate, fulfll their post-approval requirements through the submission of clinical evidence, clinical studies, patent registries, or other sources of real-world evidence (such as electronic health records); through the collecton of larger confrmatory data sets; or via post-approval monitoring of all patents treated with such therapy prior to approval of the therapy.</w:t>
      </w:r>
    </w:p>
    <w:p>
      <w:pPr>
        <w:spacing w:after="0" w:line="24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Orphan Designaton and Exclusivity</w:t>
      </w:r>
    </w:p>
    <w:p>
      <w:pPr>
        <w:spacing w:after="0" w:line="8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Under the Orphan Drug Act, the FDA may grant orphan drug designaton to drugs intended to treat a rare disease or conditon that afects fewer than 200,000 individuals in the U.S., or if it afects more than 200,000 individuals in the U.S. and there is no reasonable expectaton that the cost of developing and making the drug for this type of disease or conditon will be recovered from sales in the U.S. Orphan drug designaton must be requested before submitng an NDA or BLA. Afer the FDA grants orphan drug designaton, the identty of the therapeutc agent and its potental orphan use are publicly disclosed by the FDA.</w:t>
      </w:r>
    </w:p>
    <w:p>
      <w:pPr>
        <w:spacing w:after="0" w:line="85"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Orphan drug designaton enttles a party to fnancial incentves such as opportunites for grant funding towards clinical study costs, tax advantages, and user-fee waivers. Orphan drug designaton does not convey any advantage in, or shorten the duraton of, the regulatory review and approval process. In additon, the frst NDA or BLA applicant to receive orphan drug designaton for a partcular drug is enttled to orphan drug exclusivity, which means the FDA may not approve any other applicaton to market the same drug for the same indicaton for a period of seven years in the U.S., except in limited circumstances. Orphan drug exclusivity does not prevent the FDA from approving a diferent drug for the same disease or conditon, or the same drug for a diferent disease or conditon.</w:t>
      </w:r>
    </w:p>
    <w:p>
      <w:pPr>
        <w:spacing w:after="0" w:line="86"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There is some uncertainty with respect to the FDA’s interpretaton of the scope of orphan drug exclusivity. Historically, exclusivity was specifc to the orphan indicaton for which the drug was approved. As a result, the scope of exclusivity was interpreted as preventng approval of a competng product. However, in 2021, the federal court in Catalyst Pharmaceutcals, Inc. v. Becerra, suggested that orphan drug exclusivity covers the full scope of the orphan-designated “disease or conditon” regardless of whether a drug obtained approval for a narrower use.</w:t>
      </w:r>
    </w:p>
    <w:p>
      <w:pPr>
        <w:jc w:val="center"/>
        <w:ind w:right="-39"/>
        <w:spacing w:after="0" w:line="238" w:lineRule="auto"/>
        <w:rPr>
          <w:sz w:val="20"/>
          <w:szCs w:val="20"/>
          <w:color w:val="auto"/>
        </w:rPr>
      </w:pPr>
      <w:r>
        <w:rPr>
          <w:rFonts w:ascii="Calibri" w:cs="Calibri" w:eastAsia="Calibri" w:hAnsi="Calibri"/>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1" w:name="page22"/>
    <w:bookmarkEnd w:id="21"/>
    <w:p>
      <w:pPr>
        <w:spacing w:after="0"/>
        <w:rPr>
          <w:sz w:val="20"/>
          <w:szCs w:val="20"/>
          <w:color w:val="auto"/>
        </w:rPr>
      </w:pPr>
      <w:r>
        <w:rPr>
          <w:rFonts w:ascii="Calibri" w:cs="Calibri" w:eastAsia="Calibri" w:hAnsi="Calibri"/>
          <w:sz w:val="18"/>
          <w:szCs w:val="18"/>
          <w:i w:val="1"/>
          <w:iCs w:val="1"/>
          <w:color w:val="auto"/>
        </w:rPr>
        <w:t>Pediatric Studies and Exclusivity</w:t>
      </w:r>
    </w:p>
    <w:p>
      <w:pPr>
        <w:spacing w:after="0" w:line="82"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NDAs and BLAs must contain data to assess the safety and efectveness of an investgatonal new drug product for the claimed indicatons in all relevant pediatric populatons in order to support dosing and administraton for each pediatric subpopulaton for which the drug is safe and efectve. The FDA may, on its own initatve or at the request of the applicant, grant deferrals for submission of some or all pediatric data untl afer approval of the product for use in adults or full or partal waivers if certain criteria are met. Pediatric development plans can be discussed with the FDA at any tme, but usually occur any tme between the end-of-Phase 2 meetng and submission of the NDA or BLA. Unless otherwise required by regulaton, the requirements for pediatric data do not apply to any drug for an indicaton for which orphan designaton has been granted.</w:t>
      </w:r>
    </w:p>
    <w:p>
      <w:pPr>
        <w:spacing w:after="0" w:line="86" w:lineRule="exact"/>
        <w:rPr>
          <w:sz w:val="20"/>
          <w:szCs w:val="20"/>
          <w:color w:val="auto"/>
        </w:rPr>
      </w:pPr>
    </w:p>
    <w:p>
      <w:pPr>
        <w:ind w:right="360" w:firstLine="509"/>
        <w:spacing w:after="0" w:line="235" w:lineRule="auto"/>
        <w:rPr>
          <w:sz w:val="20"/>
          <w:szCs w:val="20"/>
          <w:color w:val="auto"/>
        </w:rPr>
      </w:pPr>
      <w:r>
        <w:rPr>
          <w:rFonts w:ascii="Calibri" w:cs="Calibri" w:eastAsia="Calibri" w:hAnsi="Calibri"/>
          <w:sz w:val="18"/>
          <w:szCs w:val="18"/>
          <w:color w:val="auto"/>
        </w:rPr>
        <w:t>Pediatric exclusivity is another type of non-patent exclusivity in the U.S. that may be granted if certain FDA requirements are met, such as FDA’s determinaton that informaton relatng to the use of a new drug in the pediatric populaton may produce health benefts, and the applicant agrees to perform and report on FDA-requested studies within a certain tme frame. Pediatric exclusivity adds a period of six months of exclusivity to the end of all existng marketng exclusivity and patents held by the sponsor for that actve moiety. This is not a patent term extension, but it efectvely extends the regulatory period during which the FDA cannot accept or approve another applicaton relying on the NDA or BLA sponsor’s data.</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Biosimilars and Exclusivity</w:t>
      </w:r>
    </w:p>
    <w:p>
      <w:pPr>
        <w:spacing w:after="0" w:line="82"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The Patent Protecton and Afordable Care Act of 2010, or Afordable Care Act, includes a subttle called the Biologics Price Competton and Innovaton Act of 2009, or BPCI Act, which created an abbreviated approval pathway for biological products shown to be similar to, or interchangeable with, an FDA-licensed reference biological product.</w:t>
      </w:r>
    </w:p>
    <w:p>
      <w:pPr>
        <w:spacing w:after="0" w:line="84" w:lineRule="exact"/>
        <w:rPr>
          <w:sz w:val="20"/>
          <w:szCs w:val="20"/>
          <w:color w:val="auto"/>
        </w:rPr>
      </w:pPr>
    </w:p>
    <w:p>
      <w:pPr>
        <w:ind w:right="300" w:firstLine="509"/>
        <w:spacing w:after="0" w:line="235" w:lineRule="auto"/>
        <w:rPr>
          <w:sz w:val="20"/>
          <w:szCs w:val="20"/>
          <w:color w:val="auto"/>
        </w:rPr>
      </w:pPr>
      <w:r>
        <w:rPr>
          <w:rFonts w:ascii="Calibri" w:cs="Calibri" w:eastAsia="Calibri" w:hAnsi="Calibri"/>
          <w:sz w:val="18"/>
          <w:szCs w:val="18"/>
          <w:color w:val="auto"/>
        </w:rPr>
        <w:t>A reference biologic is granted twelve years of exclusivity from the tme of frst licensure of the reference product. The frst biologic product submited under the abbreviated approval pathway that is determined to be interchangeable with the reference product has exclusivity against other biologics submited under the abbreviated approval pathway for the lesser of (i) one year afer the frst commercial marketng, (ii) eighteen months afer approval if there is no legal challenge, (iii) eighteen months afer the resoluton in the applicant’s favor of a lawsuit challenging the biologics’ patents if an applicaton has been submited, or (iv) 42 months afer the applicaton has been approved if a lawsuit is ongoing within the 42-month period.</w:t>
      </w:r>
    </w:p>
    <w:p>
      <w:pPr>
        <w:spacing w:after="0" w:line="85"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Infaton Reducton Act of 2022, or the IRA, is intended to foster generic and biosimilar competton and to lower drug and biologic costs. The IRA provides the Centers for Medicare &amp; Medicaid Services, or CMS, with signifcant new authorites. CMS is able to directly negotate prescripton drug prices and to cap out-of-pocket costs. Each year, CMS will select and negotate a preset number of high-spend drugs and biologics covered under Medicare Parts B and D that lack generic or biosimilar competton. Price negotatons began in 2023. Efectve from 2023, the IRA provides a new “infaton rebate” that covers Medicare patents and is intended to counter certain price increases in prescripton drugs. The infaton rebate requires drug manufacturers to pay a rebate to the federal government if the price for a drug or biologic under Medicare Parts B or D increases faster than the rate of infaton. To support biosimilar competton, qualifying biosimilars may receive a Medicare Part B payment increase for a period of fve years, beginning in October 2022. Separately, if a biologic drug for which no biosimilar exists delays a biosimilar’s market entry beyond two years, CMS will be authorized to subject the biologics manufacturer to price negotatons intended to ensure fair competton. Notwithstanding these provisions, the IRA’s impact on competton and commercializaton remains largely uncertain.</w:t>
      </w:r>
    </w:p>
    <w:p>
      <w:pPr>
        <w:spacing w:after="0" w:line="24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Abbreviated New Drug Applicatons for Generic Drugs and New Chemical Entty Exclusivity</w:t>
      </w:r>
    </w:p>
    <w:p>
      <w:pPr>
        <w:spacing w:after="0" w:line="82"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The Drug Price Competton and Patent Term Restoraton Act of 1984, or the Hatch-Waxman Amendments, authorized the FDA to approve generic drugs that are bioequivalent (i.e. identcal) to previously approved branded drugs. To obtain approval of a generic drug, an applicant must submit an abbreviated new drug applicaton, or ANDA, to the FDA. In support of such applicatons, a generic manufacturer may rely on the preclinical and clinical testng conducted for a drug product previously approved under an NDA, known as the reference listed drug, or RLD.</w:t>
      </w:r>
    </w:p>
    <w:p>
      <w:pPr>
        <w:spacing w:after="0" w:line="84" w:lineRule="exact"/>
        <w:rPr>
          <w:sz w:val="20"/>
          <w:szCs w:val="20"/>
          <w:color w:val="auto"/>
        </w:rPr>
      </w:pPr>
    </w:p>
    <w:p>
      <w:pPr>
        <w:ind w:right="320" w:firstLine="509"/>
        <w:spacing w:after="0" w:line="235" w:lineRule="auto"/>
        <w:rPr>
          <w:sz w:val="20"/>
          <w:szCs w:val="20"/>
          <w:color w:val="auto"/>
        </w:rPr>
      </w:pPr>
      <w:r>
        <w:rPr>
          <w:rFonts w:ascii="Calibri" w:cs="Calibri" w:eastAsia="Calibri" w:hAnsi="Calibri"/>
          <w:sz w:val="18"/>
          <w:szCs w:val="18"/>
          <w:color w:val="auto"/>
        </w:rPr>
        <w:t>Specifcally, in order for an ANDA to be approved, the FDA must fnd that the generic version is bioequivalent to the RLD with respect to the actve ingredients, the route of administraton, the dosage form, quality and performance characteristcs, the strength of the drug, and intended use.</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FDCA provides a period of fve years of non-patent exclusivity for a new drug containing a new chemical entty. In cases where such exclusivity has been granted, an ANDA may not be fled with the FDA untl the expiraton of fve years unless the submission is accompanied by a Paragraph IV certfcaton, in which case the applicant may submit its applicaton four years following the original product approval. The FDCA also provides for a period of three years of exclusivity if an NDA or supplement includes reports of one or more new clinical investgatons, other than bioavailability or bioequivalence studies, that were conducted by or for the applicant and are essental to the approval of the applicaton. This three-year exclusivity period ofen protects changes to a previously approved drug product, such as a new dosage form, route of administraton, combinaton or indicaton.</w:t>
      </w:r>
    </w:p>
    <w:p>
      <w:pPr>
        <w:jc w:val="center"/>
        <w:ind w:right="-19"/>
        <w:spacing w:after="0"/>
        <w:rPr>
          <w:sz w:val="20"/>
          <w:szCs w:val="20"/>
          <w:color w:val="auto"/>
        </w:rPr>
      </w:pPr>
      <w:r>
        <w:rPr>
          <w:rFonts w:ascii="Calibri" w:cs="Calibri" w:eastAsia="Calibri" w:hAnsi="Calibri"/>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22" w:name="page23"/>
    <w:bookmarkEnd w:id="22"/>
    <w:p>
      <w:pPr>
        <w:ind w:right="60" w:firstLine="509"/>
        <w:spacing w:after="0" w:line="251" w:lineRule="auto"/>
        <w:rPr>
          <w:sz w:val="20"/>
          <w:szCs w:val="20"/>
          <w:color w:val="auto"/>
        </w:rPr>
      </w:pPr>
      <w:r>
        <w:rPr>
          <w:rFonts w:ascii="Calibri" w:cs="Calibri" w:eastAsia="Calibri" w:hAnsi="Calibri"/>
          <w:sz w:val="17"/>
          <w:szCs w:val="17"/>
          <w:color w:val="auto"/>
        </w:rPr>
        <w:t>When an ANDA applicant fles its applicaton with the FDA, it must certfy, among other things, that the new product will not infringe the already approved product’s listed patents or that such patents are invalid or unenforceable, which is called a Paragraph IV certfcaton. If the applicant does not challenge the listed patents or indicates that it is not seeking approval of a patented method of use, the ANDA applicaton will not be approved untl all the listed patents claiming the referenced product have expired. If the ANDA applicant has provided a Paragraph IV certfcaton to the FDA, the applicant must also send notce of the Paragraph IV certfcaton to the NDA and patent holders once the ANDA has been accepted for fling by the FDA. The NDA and patent holders may then initate a patent infringement lawsuit in response to the notce of the Paragraph IV certfcaton. The fling of a patent infringement lawsuit within 45 days afer the receipt of a Paragraph IV certfcaton automatcally prevents the FDA from approving the ANDA untl the earlier of 30 months afer the receipt of the Paragraph IV notce, expiraton of the patent, or a decision in the infringement case that is favorable to the ANDA applicant.</w:t>
      </w:r>
    </w:p>
    <w:p>
      <w:pPr>
        <w:spacing w:after="0" w:line="23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Secton 505(b)(2) New Drug Applicatons</w:t>
      </w:r>
    </w:p>
    <w:p>
      <w:pPr>
        <w:spacing w:after="0" w:line="82" w:lineRule="exact"/>
        <w:rPr>
          <w:sz w:val="20"/>
          <w:szCs w:val="20"/>
          <w:color w:val="auto"/>
        </w:rPr>
      </w:pPr>
    </w:p>
    <w:p>
      <w:pPr>
        <w:jc w:val="both"/>
        <w:ind w:right="100" w:firstLine="509"/>
        <w:spacing w:after="0" w:line="235" w:lineRule="auto"/>
        <w:rPr>
          <w:sz w:val="20"/>
          <w:szCs w:val="20"/>
          <w:color w:val="auto"/>
        </w:rPr>
      </w:pPr>
      <w:r>
        <w:rPr>
          <w:rFonts w:ascii="Calibri" w:cs="Calibri" w:eastAsia="Calibri" w:hAnsi="Calibri"/>
          <w:sz w:val="18"/>
          <w:szCs w:val="18"/>
          <w:color w:val="auto"/>
        </w:rPr>
        <w:t>As an alternatve path to FDA approval for modifcatons to formulatons or uses of products previously approved by the FDA pursuant to an NDA, an applicant may submit an NDA under Secton 505(b)(2) of the FDCA. Secton 505(b)(2) was enacted as part of the Hatch-Waxman Amendments and permits the fling of an NDA where at least some of the informaton required for approval comes from studies not conducted by, or for, the applicant, and for which the applicant has not obtained a right of reference. If the Secton 505(b)(2) applicant can establish that reliance on the FDA’s previous fndings of safety and efectveness is scientfcally and legally appropriate, it may eliminate the need to conduct certain preclinical studies or clinical trials of the new product. The FDA may also require companies to perform additonal bridging studies or measurements, including clinical trials, to support the change from the previously approved reference drug. The FDA may then approve the new drug candidate for all, or some, of the label indicatons for which the reference drug has been approved, as well as for any new indicaton sought by the Secton 505(b)(2) applicant.</w:t>
      </w:r>
    </w:p>
    <w:p>
      <w:pPr>
        <w:spacing w:after="0" w:line="88"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To the extent that a Secton 505(b)(2) applicant is relying on studies conducted for an already approved product, the applicant is required to certfy to the FDA concerning any patents listed for the approved product in the Orange Book to the same extent that an ANDA applicant would. As a result, approval of a Secton 505(b)(2) NDA can be stalled untl all the listed patents claiming the referenced product have expired, untl any non-patent exclusivity (such as exclusivity for obtaining approval of a new chemical entty) listed in the Orange Book for the referenced product has expired and, in the case of a Paragraph IV certfcaton and subsequent patent infringement suit, untl the earlier of 30 months, setlement of the lawsuit, or a decision in the infringement case that is favorable to the Secton 505(b)(2) applicant.</w:t>
      </w: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Patent Term Restoraton</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Some of our U.S. patents may be eligible for limited patent term extension under the Hatch-Waxman Amendments. The Hatch-Waxman Amendments permit a patent restoraton term of up to fve years as compensaton for patent term lost during product development and the FDA regulatory review process. However, patent term restoraton cannot extend the remaining term of a patent beyond a total of 14 years from the product’s approval date. The patent term restoraton period is generally one-half the tme between the efectve date of an IND and the submission date of an NDA or BLA, plus the tme between the submission date and the approval of that applicaton. Only one patent applicable to an approved product is eligible for the extension and the applicaton for the extension must be submited prior to the expiraton of the patent. The USPTO, in consultaton with the FDA, reviews and approves the applicaton for any patent term extension or restoraton. Thus, for each approved product, we may apply for restoraton of patent term for one of our related owned or licensed patents to add patent life beyond the original expiraton date, depending on the expected length of the clinical studies and other factors involved in the fling of the relevant NDA or BLA.</w:t>
      </w:r>
    </w:p>
    <w:p>
      <w:pPr>
        <w:spacing w:after="0" w:line="24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EU Regulaton</w:t>
      </w:r>
    </w:p>
    <w:p>
      <w:pPr>
        <w:spacing w:after="0" w:line="82"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In the EU and in Iceland, Norway and Liechtenstein, together the European Economic Area or EEA, afer completon of all required clinical testng, pharmaceutcal products may only be placed on the market afer obtaining a Marketng Authorizaton, or MA. To obtain a MA, we must submit a marketng authorizaton applicaton, or MAA. The content of the MAA is similar to that of an NDA or BLA fled in the U.S., with the excepton of, among other things, country-specifc document requirements.</w:t>
      </w:r>
    </w:p>
    <w:p>
      <w:pPr>
        <w:jc w:val="center"/>
        <w:ind w:right="-19"/>
        <w:spacing w:after="0" w:line="238" w:lineRule="auto"/>
        <w:rPr>
          <w:sz w:val="20"/>
          <w:szCs w:val="20"/>
          <w:color w:val="auto"/>
        </w:rPr>
      </w:pPr>
      <w:r>
        <w:rPr>
          <w:rFonts w:ascii="Calibri" w:cs="Calibri" w:eastAsia="Calibri" w:hAnsi="Calibri"/>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3" w:name="page24"/>
    <w:bookmarkEnd w:id="23"/>
    <w:p>
      <w:pPr>
        <w:spacing w:after="0"/>
        <w:rPr>
          <w:sz w:val="20"/>
          <w:szCs w:val="20"/>
          <w:color w:val="auto"/>
        </w:rPr>
      </w:pPr>
      <w:r>
        <w:rPr>
          <w:rFonts w:ascii="Calibri" w:cs="Calibri" w:eastAsia="Calibri" w:hAnsi="Calibri"/>
          <w:sz w:val="18"/>
          <w:szCs w:val="18"/>
          <w:i w:val="1"/>
          <w:iCs w:val="1"/>
          <w:color w:val="auto"/>
        </w:rPr>
        <w:t>Authorizaton Procedures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Medicines can be authorized by using, among other things, a centralized or decentralized procedure. The centralized authorizaton procedure results in a single marketng authorizaton issued by the European Commission, or EC, following the scientfc assessment of the applicaton by the European Medicines Agency, or EMA, that is valid across the EEA. The centralized procedure is compulsory for specifc medicinal products, including medicines developed by means of certain biotechnological processes, products designated as orphan medicinal products, advanced therapy medicinal products, or ATMPs, and medicinal products with a new actve substance indicated for the treatment of certain diseases (for instance, AIDS, cancer, neurodegeneratve disorders, diabetes, auto-immune and viral diseases). Medicines that fall outside the mandatory scope of the centralized procedure have three routes to authorizaton: (i) they can be authorized under the centralized procedure if they concern a signifcant therapeutc, scientfc or technical innovaton, or if their authorizaton would be in the interest of public health; (ii) they can be authorized under a decentralized procedure where an applicant applies for simultaneous authorizaton in more than one EU country; or (iii) they can be authorized in a EU member state in accordance with that state’s natonal procedures and then be authorized in other EU countries by a procedure whereby the countries concerned agree to recognize the validity of the original, natonal marketng authorizaton (mutual recogniton procedure).</w:t>
      </w:r>
    </w:p>
    <w:p>
      <w:pPr>
        <w:spacing w:after="0" w:line="90"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All new MAAs must include a Risk Management Plan, or RMP, describing the risk management system that the Company will put in place and documentng measures to prevent or minimize the risks associated with the product. RMPs are contnually modifed and updated throughout the lifetme of the medicine as new informaton becomes available. We need to submit an updated RMP: (i) at the request of EMA or a natonal competent authority, or (ii) whenever the risk-management system is modifed, especially as the result of new informaton being received that may lead to a signifcant change to the beneft-risk profle or as a result of an important pharmacovigilance or risk-minimizaton milestone being reached. The regulatory authorites may also impose specifc obligatons as a conditon of the MA. RMPs and Periodic Safety Update Reports, or PSURs, are routnely available to third partes requestng access, subject to limited redactons.</w:t>
      </w:r>
    </w:p>
    <w:p>
      <w:pPr>
        <w:spacing w:after="0" w:line="8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Special rules apply in part for ATMPs. ATMPs comprise gene therapy products, somatc cell therapy products and tssue engineered products, which are genes, cells or tssues that have undergone substantal manipulaton and that are administered to human beings in order to cure, diagnose or prevent diseases or regenerate, repair or replace a human tssue. Pursuant to the ATMP Regulaton, the Commitee on Advanced Therapies, or CAT, is responsible in conjuncton with the CHMP for the evaluaton of ATMPs. The CHMP and CAT are also responsible for providing guidelines on ATMPs. These guidelines provide additonal guidance on the factors that the EMA will consider in relaton to the development and evaluaton of ATMPs and include, among other things, the preclinical studies required to characterize ATMPs. The manufacturing and control informaton that should be submited in a MAA; and post-approval measures required to monitor patents and evaluate the long- term efcacy and potental adverse reactons of ATMPs. Although such guidelines are not legally binding, compliance with them is ofen necessary to gain and maintain approval for product candidates. In additon to the mandatory RMP, the holder of a MA for an ATMP must put in place and maintain a system to ensure that each individual product and its startng and raw materials, including all substances coming into contact with the cells or tssues it may contain, can be traced through the sourcing, manufacturing, packaging, storage, transport and delivery to the relevant healthcare insttuton where the product is used.</w:t>
      </w:r>
    </w:p>
    <w:p>
      <w:pPr>
        <w:spacing w:after="0" w:line="90" w:lineRule="exact"/>
        <w:rPr>
          <w:sz w:val="20"/>
          <w:szCs w:val="20"/>
          <w:color w:val="auto"/>
        </w:rPr>
      </w:pPr>
    </w:p>
    <w:p>
      <w:pPr>
        <w:ind w:right="240" w:firstLine="509"/>
        <w:spacing w:after="0" w:line="235" w:lineRule="auto"/>
        <w:rPr>
          <w:sz w:val="20"/>
          <w:szCs w:val="20"/>
          <w:color w:val="auto"/>
        </w:rPr>
      </w:pPr>
      <w:r>
        <w:rPr>
          <w:rFonts w:ascii="Calibri" w:cs="Calibri" w:eastAsia="Calibri" w:hAnsi="Calibri"/>
          <w:sz w:val="18"/>
          <w:szCs w:val="18"/>
          <w:color w:val="auto"/>
        </w:rPr>
        <w:t>A Pediatric Investgaton Plan, or PIP, and/or a request for waiver (for example, because the relevant disease or conditon occurs only in adults) or deferral (for example, untl enough informaton to demonstrate its efectveness and safety in adults is available), is required for submission prior to submitng an MAA. A PIP describes, among other things, proposed pediatric studies and their tming relatve to clinical studies in adults and an MAA must comply with the PIP to be validated.</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MAA Review and Approval Timeframe and Accelerated Assessment</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Under the centralized procedure in the EU, the Commitee for Medicinal Products for Human Use, or CHMP, established at the EMA, is responsible for conductng the inital assessment of a drug. In principle, the maximum tmeframe for the evaluaton of an MAA by the CHMP is 210 days from receipt of a valid MAA. However, this tmeline excludes clock stops, when additonal writen or oral informaton is to be provided by the applicant in response to questons asked by the CHMP, so the overall process typically takes a year or more. A favorable opinion on the applicaton by the CHMP will typically result in the grantng of the marketng authorizaton within 67 days of receipt of the opinion. Accelerated evaluaton might be granted by the CHMP in exceptonal cases, when a medicinal product is expected to be of a major public health interest, partcularly from the point of view of therapeutc innovaton. In this circumstance, and upon request by the applicant, the CHMP’s evaluaton tme frame is reduced to 150 days, excluding tme taken by an applicant to respond to questons.</w:t>
      </w:r>
    </w:p>
    <w:p>
      <w:pPr>
        <w:spacing w:after="0" w:line="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6" w:right="359" w:bottom="1440" w:gutter="0" w:footer="0" w:header="0"/>
        </w:sectPr>
      </w:pPr>
    </w:p>
    <w:bookmarkStart w:id="24" w:name="page25"/>
    <w:bookmarkEnd w:id="24"/>
    <w:p>
      <w:pPr>
        <w:spacing w:after="0"/>
        <w:rPr>
          <w:sz w:val="20"/>
          <w:szCs w:val="20"/>
          <w:color w:val="auto"/>
        </w:rPr>
      </w:pPr>
      <w:r>
        <w:rPr>
          <w:rFonts w:ascii="Calibri" w:cs="Calibri" w:eastAsia="Calibri" w:hAnsi="Calibri"/>
          <w:sz w:val="18"/>
          <w:szCs w:val="18"/>
          <w:i w:val="1"/>
          <w:iCs w:val="1"/>
          <w:color w:val="auto"/>
        </w:rPr>
        <w:t>MA Validity Period</w:t>
      </w:r>
    </w:p>
    <w:p>
      <w:pPr>
        <w:spacing w:after="0" w:line="82"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MAs have an inital duraton of fve years. Afer fve years, the authorizaton may subsequently be renewed on the basis of a reevaluaton of the risk-beneft balance. Once renewed, the MA is valid for an unlimited period unless the EC or the natonal competent authority decides, on justfed grounds relatng to pharmacovigilance, to proceed with only one additonal fve-year renewal. Applicatons for renewal must be made to the EMA at least nine months before the fve-year period expires.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Conduct of Clinical Trials</w:t>
      </w:r>
    </w:p>
    <w:p>
      <w:pPr>
        <w:spacing w:after="0" w:line="8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Clinical trials are studies intended to discover or verify the efects of one or more investgatonal medicines. The regulaton of clinical trials aims to promote the protecton of the rights, safety and well-being of trial partcipants and the credibility of the results of clinical trials. Regardless of where they are conducted, all clinical trials included in applicatons for marketng authorizaton for human medicines in the EU or EEA must have been carried out in accordance with EU regulatons (such as, among others, the Clinical Trials Regulaton (Regulaton (EU) No 536/2014) and the Clinical Trials Directve (EC) No 2001/20/EC). This means that clinical trials conducted in the EU or EEA have to comply with EU clinical trial legislaton and that clinical trials conducted outside the EU or EEA have to comply with ethical principles equivalent to those set out in the EEA, including adhering to internatonal good clinical practce and the Declaraton of Helsinki.</w:t>
      </w:r>
    </w:p>
    <w:p>
      <w:pPr>
        <w:spacing w:after="0" w:line="24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Exceptonal Circumstances/Conditonal Approval</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Orphan drugs or drugs with unmet medical needs may be eligible for EU approval under exceptonal circumstances or with conditonal approval. Approval under exceptonal circumstances is applicable to orphan products and is used when an applicant is unable to provide comprehensive data on the efcacy and safety under normal conditons of use because the indicaton for which the product is intended is encountered so rarely that the applicant cannot reasonably be expected to provide comprehensive evidence, when the present state of scientfc knowledge does not allow comprehensive informaton to be provided, or when it is medically unethical to collect such informaton. A conditonal MA is applicable to orphan medicinal products, medicinal products for seriously debilitatng or life-threatening diseases, or medicinal products to be used in emergency situatons in response to recognized public threats. Conditonal MAs can be granted for medicinal products where, although comprehensive clinical data referring to the safety and efcacy of the medicinal product have not been supplied, a number of criteria are fulflled: (i) the beneft/risk balance of the product is positve, (ii) it is likely that the applicant will be in a positon to provide the comprehensive clinical data, (iii) unmet medical needs will be fulflled by the grant of the MA and (iv) the beneft to public health of the immediate availability on the market of the medicinal product concerned outweighs the risk inherent in the fact that additonal data are stll required. Conditonal MAs are valid for only one year and must be reviewed annually subject to certain specifc obligatons.</w:t>
      </w:r>
    </w:p>
    <w:p>
      <w:pPr>
        <w:spacing w:after="0" w:line="24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PRIME Program</w:t>
      </w:r>
    </w:p>
    <w:p>
      <w:pPr>
        <w:spacing w:after="0" w:line="82" w:lineRule="exact"/>
        <w:rPr>
          <w:sz w:val="20"/>
          <w:szCs w:val="20"/>
          <w:color w:val="auto"/>
        </w:rPr>
      </w:pPr>
    </w:p>
    <w:p>
      <w:pPr>
        <w:ind w:firstLine="509"/>
        <w:spacing w:after="0" w:line="249" w:lineRule="auto"/>
        <w:rPr>
          <w:sz w:val="20"/>
          <w:szCs w:val="20"/>
          <w:color w:val="auto"/>
        </w:rPr>
      </w:pPr>
      <w:r>
        <w:rPr>
          <w:rFonts w:ascii="Calibri" w:cs="Calibri" w:eastAsia="Calibri" w:hAnsi="Calibri"/>
          <w:sz w:val="17"/>
          <w:szCs w:val="17"/>
          <w:color w:val="auto"/>
        </w:rPr>
        <w:t>PRIME is a program launched by the EMA to enhance support for the development of medicines that target an unmet medical need. The program focuses on medicines that may ofer a major therapeutc advantage over existng treatments, or beneft patents without treatment optons. These medicines are considered priority medicines by EMA. To be accepted for PRIME, a medicine has to show its potental to beneft patents with unmet medical needs based on early clinical data. Through PRIME, the EMA ofers early and proactve support to medicine developers to optmize development plans and the generaton of robust data on a medicine’s benefts and risks and enables accelerated assessment of medicines applicatons. PRIME eligibility does not change the standards for product approval, and there is no assurance that any such designaton or eligibility will result in expedited review or approval.</w:t>
      </w:r>
    </w:p>
    <w:p>
      <w:pPr>
        <w:jc w:val="center"/>
        <w:ind w:right="-19"/>
        <w:spacing w:after="0"/>
        <w:rPr>
          <w:sz w:val="20"/>
          <w:szCs w:val="20"/>
          <w:color w:val="auto"/>
        </w:rPr>
      </w:pPr>
      <w:r>
        <w:rPr>
          <w:rFonts w:ascii="Calibri" w:cs="Calibri" w:eastAsia="Calibri" w:hAnsi="Calibri"/>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6" w:right="359" w:bottom="1440" w:gutter="0" w:footer="0" w:header="0"/>
        </w:sectPr>
      </w:pPr>
    </w:p>
    <w:bookmarkStart w:id="25" w:name="page26"/>
    <w:bookmarkEnd w:id="25"/>
    <w:p>
      <w:pPr>
        <w:spacing w:after="0"/>
        <w:rPr>
          <w:sz w:val="20"/>
          <w:szCs w:val="20"/>
          <w:color w:val="auto"/>
        </w:rPr>
      </w:pPr>
      <w:r>
        <w:rPr>
          <w:rFonts w:ascii="Calibri" w:cs="Calibri" w:eastAsia="Calibri" w:hAnsi="Calibri"/>
          <w:sz w:val="18"/>
          <w:szCs w:val="18"/>
          <w:i w:val="1"/>
          <w:iCs w:val="1"/>
          <w:color w:val="auto"/>
        </w:rPr>
        <w:t>Orphan Designaton and Exclusivity</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As in the U.S., we may apply for designaton of a product as an orphan drug for the treatment of a specifc indicaton in the EU before the applicaton for marketng authorizaton is made. The EMA’s Commitee for Orphan Medicinal Products, or COMP, grants orphan drug designaton to promote the development of products that are intended for the diagnosis, preventon, or treatment of life-threatening or chronically debilitatng conditons afectng not more than 5 in 10,000 persons in the EU Community and for which no satsfactory method of diagnosis, preventon, or treatment has been authorized (or the product would be a signifcant beneft to those afected). Additonally, designaton is granted for products intended for the diagnosis, preventon, or treatment of a life-threatening, seriously debilitatng, or serious and chronic conditon when, without incentves, it is unlikely that sales of the drug in the EU would be sufcient to justfy the necessary investment in developing the medicinal product. Orphan drug designaton enttles a party to fnancial incentves such as reducton of fees or fee waivers and 10 years of market exclusivity is granted following medicinal product approval. This period may be reduced to six years if the orphan drug designaton criteria are no longer met, including where it is shown that the product is sufciently proftable not to justfy maintenance of market exclusivity. The applicant will receive a fee reducton for the MAA if the orphan drug designaton has been granted, but not if the designaton is stll pending at the tme the marketng authorizaton is submited, and sponsors must submit an annual report to EMA summarizing the status of development of the medicine. Orphan drug designaton does not convey any advantage in, or shorten the duraton of, the regulatory review and approval process.</w:t>
      </w:r>
    </w:p>
    <w:p>
      <w:pPr>
        <w:spacing w:after="0" w:line="24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New Chemical Entty Exclusivity</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In the EU, new chemical enttes, or NCEs, sometmes referred to as new actve substances, qualify for eight years of data exclusivity upon the product’s frst MA in the EU and an additonal two years of market exclusivity. This data exclusivity, if granted, prevents regulatory authorites in the EU from referencing the innovator’s data to assess a generic (abbreviated) applicaton for eight years, afer which generic marketng authorizaton can be submited, and the innovator’s data may be referenced, but not approved for two years. The overall ten-year period will be extended to a maximum of eleven years if, during the frst eight of those ten years, the marketng authorizaton holder obtains an authorizaton for one or more new therapeutc indicatons which, during the scientfc evaluaton prior to their authorizaton, are held to bring a signifcant clinical beneft in comparison with existng therapies. Products may not be granted data exclusivity since there is no guarantee that a product will be considered by the EU’s regulatory authorites to include an NCE. Even if a compound is considered to be a NCE and the MA applicant is able to gain the prescribed period of data exclusivity, another company could market a version of the medicinal product if such company can complete a full MAA with its own complete database of pharmaceutcal tests, preclinical studies and clinical trials and obtain MA of its product.</w:t>
      </w:r>
    </w:p>
    <w:p>
      <w:pPr>
        <w:spacing w:after="0" w:line="24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Post-Approval Requirements</w:t>
      </w:r>
    </w:p>
    <w:p>
      <w:pPr>
        <w:spacing w:after="0" w:line="8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Drugs manufactured or distributed pursuant to regulatory approvals are subject to pervasive and contnuing regulaton by the regulatory authorites, including, among other things, requirements relatng to formal commitments for post approval clinical trials and studies, manufacturing, recordkeeping, periodic reportng, product sampling and distributon, marketng, labeling, advertsing and promoton and reportng of adverse experiences with the product. Afer approval, most changes to the approved product, such as adding new indicatons or other labeling claims are subject to prior regulatory authority review and approval.</w:t>
      </w:r>
    </w:p>
    <w:p>
      <w:pPr>
        <w:spacing w:after="0" w:line="85" w:lineRule="exact"/>
        <w:rPr>
          <w:sz w:val="20"/>
          <w:szCs w:val="20"/>
          <w:color w:val="auto"/>
        </w:rPr>
      </w:pPr>
    </w:p>
    <w:p>
      <w:pPr>
        <w:ind w:right="40" w:firstLine="509"/>
        <w:spacing w:after="0" w:line="251" w:lineRule="auto"/>
        <w:rPr>
          <w:sz w:val="20"/>
          <w:szCs w:val="20"/>
          <w:color w:val="auto"/>
        </w:rPr>
      </w:pPr>
      <w:r>
        <w:rPr>
          <w:rFonts w:ascii="Calibri" w:cs="Calibri" w:eastAsia="Calibri" w:hAnsi="Calibri"/>
          <w:sz w:val="17"/>
          <w:szCs w:val="17"/>
          <w:color w:val="auto"/>
        </w:rPr>
        <w:t>Drug manufacturers are subject to periodic unannounced inspectons by regulatory authorites and country or state agencies for compliance with GMP and other requirements. Changes to the manufacturing process are strictly regulated, and, depending on the signifcance of the change, may require prior regulatory approval before being implemented. Regulatons also require investgaton and correcton of any deviatons from GMP and impose reportng and documentaton requirements upon us and any third-party manufacturers that we may decide to use. Accordingly, manufacturers must contnue to expend tme, money, and efort in the area of producton and quality control to maintain compliance with GMP and other aspects of regulatory compliance.</w:t>
      </w:r>
    </w:p>
    <w:p>
      <w:pPr>
        <w:spacing w:after="0" w:line="23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Pharmaceutcal Coverage, Pricing and Reimbursement</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In the U.S. and markets in other countries, sales of any products for which we receive regulatory approval for commercial sale will depend in part on the availability of coverage and reimbursement from third-party payors. Third-party payors include government authorites, managed care providers, private health insurers and other organizatons. The process for determining whether a payor will provide coverage for a drug product may be separate from the process for setng the reimbursement rate that the payor will pay for the drug product. Third-party payors may limit coverage to specifc drug products on an approved list, or formulary, which might not include all of the approved drugs for a partcular indicaton. Moreover, a payor’s decision to provide coverage for a drug product does not imply that an adequate reimbursement rate will be approved. Adequate third-party reimbursement may not be available to enable us to maintain price levels sufcient to realize an appropriate return on our investment in product development.</w:t>
      </w:r>
    </w:p>
    <w:p>
      <w:pPr>
        <w:spacing w:after="0" w:line="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26" w:name="page27"/>
    <w:bookmarkEnd w:id="26"/>
    <w:p>
      <w:pPr>
        <w:ind w:right="20" w:firstLine="509"/>
        <w:spacing w:after="0" w:line="235" w:lineRule="auto"/>
        <w:rPr>
          <w:sz w:val="20"/>
          <w:szCs w:val="20"/>
          <w:color w:val="auto"/>
        </w:rPr>
      </w:pPr>
      <w:r>
        <w:rPr>
          <w:rFonts w:ascii="Calibri" w:cs="Calibri" w:eastAsia="Calibri" w:hAnsi="Calibri"/>
          <w:sz w:val="18"/>
          <w:szCs w:val="18"/>
          <w:color w:val="auto"/>
        </w:rPr>
        <w:t>In the EU, governments infuence the price of pharmaceutcal products through their pricing and reimbursement rules and control of natonal health care systems that fund a large part of the cost of those products to patents. Some jurisdictons operate positve and negatve list systems under which products may only be marketed once a reimbursement price has been agreed to by the government. Other member states allow companies to fx their own prices for medicines, but monitor and control company profts, including volume-based arrangements, caps and reference pricing mechanisms. In additon, in some countries, cross-border imports from low-priced markets exert a commercial pressure on pricing within a country.</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Other Healthcare, Privacy, and Cybersecurity Laws and Compliance Requirements</w:t>
      </w:r>
    </w:p>
    <w:p>
      <w:pPr>
        <w:spacing w:after="0" w:line="82"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We are subject to various laws targetng, among other things, fraud and abuse in the healthcare industry, and privacy and protecton of personal informaton, including health informaton. These laws may impact, among other things, our proposed sales, marketng, and educaton programs. The laws that may afect our ability to operate include:</w:t>
      </w:r>
    </w:p>
    <w:p>
      <w:pPr>
        <w:spacing w:after="0" w:line="97" w:lineRule="exact"/>
        <w:rPr>
          <w:sz w:val="20"/>
          <w:szCs w:val="20"/>
          <w:color w:val="auto"/>
        </w:rPr>
      </w:pPr>
    </w:p>
    <w:p>
      <w:pPr>
        <w:ind w:left="900" w:right="60" w:hanging="383"/>
        <w:spacing w:after="0" w:line="235" w:lineRule="auto"/>
        <w:tabs>
          <w:tab w:leader="none" w:pos="90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federal Ant-Kickback Statute, which prohibits, among other things, persons from knowingly and willfully solicitng or receiving renumeraton in return for, and from knowingly and willfully ofering or paying remuneraton to induce, referrals of federal healthcare program patents and the purchase or recommendaton of an item or service reimbursable under a federal healthcare program, such as the Medicare and Medicaid programs;</w:t>
      </w:r>
    </w:p>
    <w:p>
      <w:pPr>
        <w:spacing w:after="0" w:line="97" w:lineRule="exact"/>
        <w:rPr>
          <w:rFonts w:ascii="Times New Roman" w:cs="Times New Roman" w:eastAsia="Times New Roman" w:hAnsi="Times New Roman"/>
          <w:sz w:val="18"/>
          <w:szCs w:val="18"/>
          <w:color w:val="auto"/>
        </w:rPr>
      </w:pPr>
    </w:p>
    <w:p>
      <w:pPr>
        <w:ind w:left="900" w:right="420" w:hanging="383"/>
        <w:spacing w:after="0" w:line="235" w:lineRule="auto"/>
        <w:tabs>
          <w:tab w:leader="none" w:pos="90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federal, civil, and criminal false claims laws and civil monetary penalty laws, which prohibit, among other things, individuals or enttes from knowingly presentng, or causing to be presented to Medicare, Medicaid, or other third-party payers, claims for payment that are false or fraudulent;</w:t>
      </w:r>
    </w:p>
    <w:p>
      <w:pPr>
        <w:spacing w:after="0" w:line="97" w:lineRule="exact"/>
        <w:rPr>
          <w:rFonts w:ascii="Times New Roman" w:cs="Times New Roman" w:eastAsia="Times New Roman" w:hAnsi="Times New Roman"/>
          <w:sz w:val="18"/>
          <w:szCs w:val="18"/>
          <w:color w:val="auto"/>
        </w:rPr>
      </w:pPr>
    </w:p>
    <w:p>
      <w:pPr>
        <w:ind w:left="900" w:right="420" w:hanging="383"/>
        <w:spacing w:after="0" w:line="235" w:lineRule="auto"/>
        <w:tabs>
          <w:tab w:leader="none" w:pos="90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federal, civil, and criminal false claims laws and civil monetary penalty laws, which prohibit, among other things, individuals or enttes from knowingly presentng, or causing to be presented to Medicare, Medicaid, or other third-party payers, claims for payment that are false or fraudulent;</w:t>
      </w:r>
    </w:p>
    <w:p>
      <w:pPr>
        <w:spacing w:after="0" w:line="97" w:lineRule="exact"/>
        <w:rPr>
          <w:rFonts w:ascii="Times New Roman" w:cs="Times New Roman" w:eastAsia="Times New Roman" w:hAnsi="Times New Roman"/>
          <w:sz w:val="18"/>
          <w:szCs w:val="18"/>
          <w:color w:val="auto"/>
        </w:rPr>
      </w:pPr>
    </w:p>
    <w:p>
      <w:pPr>
        <w:ind w:left="900" w:hanging="383"/>
        <w:spacing w:after="0" w:line="251" w:lineRule="auto"/>
        <w:tabs>
          <w:tab w:leader="none" w:pos="900" w:val="left"/>
        </w:tabs>
        <w:numPr>
          <w:ilvl w:val="0"/>
          <w:numId w:val="8"/>
        </w:numPr>
        <w:rPr>
          <w:rFonts w:ascii="Times New Roman" w:cs="Times New Roman" w:eastAsia="Times New Roman" w:hAnsi="Times New Roman"/>
          <w:sz w:val="17"/>
          <w:szCs w:val="17"/>
          <w:color w:val="auto"/>
        </w:rPr>
      </w:pPr>
      <w:r>
        <w:rPr>
          <w:rFonts w:ascii="Calibri" w:cs="Calibri" w:eastAsia="Calibri" w:hAnsi="Calibri"/>
          <w:sz w:val="17"/>
          <w:szCs w:val="17"/>
          <w:color w:val="auto"/>
        </w:rPr>
        <w:t>internatonal data protecton laws and regulatons, including, but not limited, to the EU General Data Protecton Regulaton, or GDPR, which apply to processing of personal data in the context of the actvites of an entty established in a respectve country, and to processing by an entty not established in a partcular country, but where such processing is related to the ofering of goods or services to, or the monitoring of the behavior of individuals located therein, and imposes requirements and limitatons relatng to the processing, storage, purpose of collecton, accuracy, security, sharing and transfer of personal data, in partcular with respect to special categories of personal data like health data, and the notfcaton of supervisory authorites about data breaches, accompanied by sanctoning mechanisms—in additon to the GDPR, EU member states may also impose additonal requirements in relaton to health, genetc and biometric data through their natonal implementng legislaton;</w:t>
      </w:r>
    </w:p>
    <w:p>
      <w:pPr>
        <w:spacing w:after="0" w:line="87" w:lineRule="exact"/>
        <w:rPr>
          <w:rFonts w:ascii="Times New Roman" w:cs="Times New Roman" w:eastAsia="Times New Roman" w:hAnsi="Times New Roman"/>
          <w:sz w:val="17"/>
          <w:szCs w:val="17"/>
          <w:color w:val="auto"/>
        </w:rPr>
      </w:pPr>
    </w:p>
    <w:p>
      <w:pPr>
        <w:ind w:left="900" w:right="200" w:hanging="383"/>
        <w:spacing w:after="0" w:line="235" w:lineRule="auto"/>
        <w:tabs>
          <w:tab w:leader="none" w:pos="90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21st Century Cures Act, or the Cures Act, which introduced a wide range of reforms, such as broadening the types of data required to support drug approval, extending protectons for generic competton, acceleratng approval of breakthrough therapies, expanding the orphan drug product program, requiring disclosures about compassionate care programs, and clarifying how manufacturers communicate about their products;</w:t>
      </w:r>
    </w:p>
    <w:p>
      <w:pPr>
        <w:spacing w:after="0" w:line="97" w:lineRule="exact"/>
        <w:rPr>
          <w:rFonts w:ascii="Times New Roman" w:cs="Times New Roman" w:eastAsia="Times New Roman" w:hAnsi="Times New Roman"/>
          <w:sz w:val="18"/>
          <w:szCs w:val="18"/>
          <w:color w:val="auto"/>
        </w:rPr>
      </w:pPr>
    </w:p>
    <w:p>
      <w:pPr>
        <w:ind w:left="900" w:right="40" w:hanging="383"/>
        <w:spacing w:after="0" w:line="235" w:lineRule="auto"/>
        <w:tabs>
          <w:tab w:leader="none" w:pos="90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federal transparency laws, including the federal Physician Payment Sunshine Act, that requires drug manufacturers to disclose payments and other transfers of value provided to various healthcare professionals and teaching hospitals; and</w:t>
      </w:r>
    </w:p>
    <w:p>
      <w:pPr>
        <w:spacing w:after="0" w:line="96" w:lineRule="exact"/>
        <w:rPr>
          <w:rFonts w:ascii="Times New Roman" w:cs="Times New Roman" w:eastAsia="Times New Roman" w:hAnsi="Times New Roman"/>
          <w:sz w:val="18"/>
          <w:szCs w:val="18"/>
          <w:color w:val="auto"/>
        </w:rPr>
      </w:pPr>
    </w:p>
    <w:p>
      <w:pPr>
        <w:ind w:left="900" w:right="300" w:hanging="383"/>
        <w:spacing w:after="0" w:line="235" w:lineRule="auto"/>
        <w:tabs>
          <w:tab w:leader="none" w:pos="90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state and foreign law equivalents, or similar, of each of the above federal laws, such as transparency laws, ant-kickback and false claims laws which may apply to items or services reimbursed by any third-party payer, including commercial insurers, and privacy and security of health informaton laws, including comprehensive privacy and security laws in California.</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Additonal Regulaton</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The U.S. Foreign Corrupt Practces Act or FCPA, to which we are subject, prohibits corporatons and individuals from engaging in certain actvites to obtain or retain business or to infuence a person working in an ofcial capacity. It is illegal to pay, ofer to pay or authorize the payment of anything of value to any foreign government ofcial, government staf member, politcal party, or politcal candidate in an atempt to obtain or retain business or to otherwise infuence a person working in an ofcial capacity. Similar laws exist in other countries, such as the UK or in EU member states, that restrict improper payments to public and private partes. Many countries have laws prohibitng these types of payments within the respectve country. In additon to these ant-corrupton laws, we are subject to import and export control laws, tarifs, trade barriers, economic sanctons, and regulatory limitatons on our ability to operate in certain foreign markets.</w:t>
      </w:r>
    </w:p>
    <w:p>
      <w:pPr>
        <w:spacing w:after="0" w:line="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7" w:name="page28"/>
    <w:bookmarkEnd w:id="27"/>
    <w:p>
      <w:pPr>
        <w:ind w:right="200" w:firstLine="509"/>
        <w:spacing w:after="0" w:line="235" w:lineRule="auto"/>
        <w:rPr>
          <w:sz w:val="20"/>
          <w:szCs w:val="20"/>
          <w:color w:val="auto"/>
        </w:rPr>
      </w:pPr>
      <w:r>
        <w:rPr>
          <w:rFonts w:ascii="Calibri" w:cs="Calibri" w:eastAsia="Calibri" w:hAnsi="Calibri"/>
          <w:sz w:val="18"/>
          <w:szCs w:val="18"/>
          <w:color w:val="auto"/>
        </w:rPr>
        <w:t>In additon, federal, state, and foreign government bodies and agencies have adopted, are considering adoptng, or may adopt laws and regulatons regarding the collecton, use, storage and disclosure of personally identfable informaton or other informaton treated as confdental obtained from consumers and individuals.</w:t>
      </w:r>
    </w:p>
    <w:p>
      <w:pPr>
        <w:spacing w:after="0" w:line="84"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We are also subject to regulaton under the Occupatonal Safety and Health Act, the Environmental Protecton Act, the Toxic Substances Control Act, the Resource Conservaton and Recovery Act and other present and potental federal, state, or local regulatons. These and other laws govern our use, handling and disposal of various biological and chemical substances used in, and waste generated by, our operatons. Complying with these requirements may have a signifcant impact on our capital expenditures and results of operatons.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Customers</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Our customers include collaboraton partners, drug wholesalers, and retail pharmacy distributors. For the year ended December 31, 2024, 49% of our total revenues were generated by our collaboraton partner KKC.</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Human Capital</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General Informaton</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As of December 31, 2024, we had 1,294 total employees, of which 875 are in research and development and 419 are in sales, general, and administratve. Further, 1,081 employees are based in the U.S., including at our facilites in Novato, California, Brisbane, California, Cambridge, Massachusets, and Woburn, Massachusets, and 213 employees are based at our internatonal locatons. The majority of new employees hired during the year ended December 31, 2024 were to support and extend our clinical and preclinical pipeline, our in-house manufacturing capacites for our GTMF, as well as our commercializaton actvites, with hires in commercial, clinical development and operatons, research, manufacturing, and general and administratve functons. We believe our relatonship with our employees to be generally good. We have not experienced any material employment-related issues or interruptons of services due to labor disagreements and are not a party to any collectve bargaining agreements.</w:t>
      </w:r>
    </w:p>
    <w:p>
      <w:pPr>
        <w:spacing w:after="0" w:line="8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expect to contnue to strategically add employees in 2025 with a focus on increasing our commercial expertse and bandwidth for antcipated new product launches and expanding our geographic reach in connecton with the global launches of our approved products. We contnually evaluate our business need and opportunity and balances in-house expertse and capacity with outsourced expertse and capacity. Currently, we outsource substantal clinical trial work to clinical research organizatons and certain drug manufacturing to contract manufacturers.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Workforce Safety and Employee Wellbeing</w:t>
      </w:r>
    </w:p>
    <w:p>
      <w:pPr>
        <w:spacing w:after="0" w:line="82" w:lineRule="exact"/>
        <w:rPr>
          <w:sz w:val="20"/>
          <w:szCs w:val="20"/>
          <w:color w:val="auto"/>
        </w:rPr>
      </w:pPr>
    </w:p>
    <w:p>
      <w:pPr>
        <w:ind w:firstLine="509"/>
        <w:spacing w:after="0" w:line="251" w:lineRule="auto"/>
        <w:rPr>
          <w:sz w:val="20"/>
          <w:szCs w:val="20"/>
          <w:color w:val="auto"/>
        </w:rPr>
      </w:pPr>
      <w:r>
        <w:rPr>
          <w:rFonts w:ascii="Calibri" w:cs="Calibri" w:eastAsia="Calibri" w:hAnsi="Calibri"/>
          <w:sz w:val="17"/>
          <w:szCs w:val="17"/>
          <w:color w:val="auto"/>
        </w:rPr>
        <w:t>We maintain a safety culture grounded on the premise of eliminatng workplace incidents, risks and hazards. Our health and safety management system includes several elements, such as incorporaton of Global Environmental, Health, Safety and Sustainability standards, site-specifc standard operatng procedures, incident and safety observaton reportng, hazard identfcaton and risk assessments, job safety analyses, ergonomic assessments and industrial hygiene evaluatons. We have adopted a fexible, hybrid working arrangement for our employees, which allows some of our employees to work remotely during certain days of the week. We provide our employees with wellness oferings to support their physical and mental health including our “Caring For U” program, a global reimbursement program ofering employees up to $1,200 annually (in local currency) for wellness and caregiving actvites.</w:t>
      </w:r>
    </w:p>
    <w:p>
      <w:pPr>
        <w:spacing w:after="0" w:line="23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Employee Retenton and Engagement</w:t>
      </w:r>
    </w:p>
    <w:p>
      <w:pPr>
        <w:spacing w:after="0" w:line="8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The biotechnology industry is an extremely compettve labor market and we believe our company’s success depends on our ability to atract, develop, and retain key personnel. We invest in the growth and development of our employees through various training and development programs that build and strengthen employees’ leadership and professional skills, including leadership development programs tailored for new leaders as well as for more senior leaders, six sigma certfcaton, as well as a mentoring program. We also have a talent management framework and processes in place that includes regularly conducted actvites such as performance management, succession, and workforce planning in order to support our employees in their growth and development and to provide learning opportunites. We ofer on-demand career coaching services through an external network of professional executve coaches. We encourage all employees to have an individual development plan to identfy focus areas for learning and growth.</w:t>
      </w:r>
    </w:p>
    <w:p>
      <w:pPr>
        <w:spacing w:after="0" w:line="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8" w:name="page29"/>
    <w:bookmarkEnd w:id="28"/>
    <w:p>
      <w:pPr>
        <w:jc w:val="both"/>
        <w:ind w:right="180" w:firstLine="509"/>
        <w:spacing w:after="0" w:line="235" w:lineRule="auto"/>
        <w:rPr>
          <w:sz w:val="20"/>
          <w:szCs w:val="20"/>
          <w:color w:val="auto"/>
        </w:rPr>
      </w:pPr>
      <w:r>
        <w:rPr>
          <w:rFonts w:ascii="Calibri" w:cs="Calibri" w:eastAsia="Calibri" w:hAnsi="Calibri"/>
          <w:sz w:val="18"/>
          <w:szCs w:val="18"/>
          <w:color w:val="auto"/>
        </w:rPr>
        <w:t>To regularly assess and improve our employee retenton and engagement, we conduct an engagement survey approximately every 18 months, with "pulse" surveys in between, the results of which are discussed with our board of directors, at all hands employee meetngs and in individual functons. We take actons to address areas of employment concern and follow-up routnely to share with employees what we are doing.</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Culture</w:t>
      </w:r>
    </w:p>
    <w:p>
      <w:pPr>
        <w:spacing w:after="0" w:line="82"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We are commited to fostering a healthy, inclusive environment while nurturing a culture of belonging where all employees have equal opportunites.</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We strive to create an environment where everyone we work with, serve, and engage with feels valued, respected, and empowered.</w:t>
      </w:r>
    </w:p>
    <w:p>
      <w:pPr>
        <w:spacing w:after="0" w:line="8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We have included questons in our engagement survey to measure employee percepton of our inclusive culture, with the results from such survey on inclusion included in our corporate goals. Our business units review data related to hiring, promotons, and retenton on an ongoing basis in order to promote inclusivity while maintaining our commitment to equal employment opportunites through merit-based decisions.</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Benefts and Compensaton</w:t>
      </w:r>
    </w:p>
    <w:p>
      <w:pPr>
        <w:spacing w:after="0" w:line="82"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We are dedicated to fostering a workplace environment that keeps our employees inspired, including providing a comprehensive benefts program that supports the health care, family, and fnancial needs of our employees. All of our full-tme employees are eligible for cash bonuses and equity awards in additon to other benefts including comprehensive health insurance, life and disability insurance, 401(k) matching, paid tme of for volunteering, wellness programs, and tuiton reimbursement. We benchmark and te compensaton to market data as well as to an employee’s experience, functon and performance. Our compensaton structure includes performance-based elements, with the goal of recognizing and rewarding exceptonal performance. We regularly review our compensaton policies and practces in an efort to identfy and address any disparites or inequites.</w:t>
      </w: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General Informaton</w:t>
      </w:r>
    </w:p>
    <w:p>
      <w:pPr>
        <w:spacing w:after="0" w:line="82" w:lineRule="exact"/>
        <w:rPr>
          <w:sz w:val="20"/>
          <w:szCs w:val="20"/>
          <w:color w:val="auto"/>
        </w:rPr>
      </w:pPr>
    </w:p>
    <w:p>
      <w:pPr>
        <w:ind w:right="340" w:firstLine="509"/>
        <w:spacing w:after="0" w:line="235" w:lineRule="auto"/>
        <w:rPr>
          <w:sz w:val="20"/>
          <w:szCs w:val="20"/>
          <w:color w:val="auto"/>
        </w:rPr>
      </w:pPr>
      <w:r>
        <w:rPr>
          <w:rFonts w:ascii="Calibri" w:cs="Calibri" w:eastAsia="Calibri" w:hAnsi="Calibri"/>
          <w:sz w:val="18"/>
          <w:szCs w:val="18"/>
          <w:color w:val="auto"/>
        </w:rPr>
        <w:t xml:space="preserve">Our Internet website address is </w:t>
      </w:r>
      <w:r>
        <w:rPr>
          <w:rFonts w:ascii="Calibri" w:cs="Calibri" w:eastAsia="Calibri" w:hAnsi="Calibri"/>
          <w:sz w:val="18"/>
          <w:szCs w:val="18"/>
          <w:i w:val="1"/>
          <w:iCs w:val="1"/>
          <w:color w:val="auto"/>
        </w:rPr>
        <w:t>www.ultragenyx.com.</w:t>
      </w:r>
      <w:r>
        <w:rPr>
          <w:rFonts w:ascii="Calibri" w:cs="Calibri" w:eastAsia="Calibri" w:hAnsi="Calibri"/>
          <w:sz w:val="18"/>
          <w:szCs w:val="18"/>
          <w:color w:val="auto"/>
        </w:rPr>
        <w:t xml:space="preserve"> No porton of our website, or any other website that may be referenced, is incorporated by reference into this Annual Report.</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You are advised to read this Annual Report in conjuncton with other reports and documents that we fle from tme to tme with the Securites and Exchange Commission, or the SEC. In partcular, please read our defnitve proxy statements, our Annual Reports on Form 10-K, our Quarterly Reports on Form 10-Q and any Current Reports on Form 8-K that we may fle from tme to tme. The SEC maintains informaton for electronic flers (including Ultragenyx) at its website at </w:t>
      </w:r>
      <w:r>
        <w:rPr>
          <w:rFonts w:ascii="Calibri" w:cs="Calibri" w:eastAsia="Calibri" w:hAnsi="Calibri"/>
          <w:sz w:val="18"/>
          <w:szCs w:val="18"/>
          <w:i w:val="1"/>
          <w:iCs w:val="1"/>
          <w:color w:val="auto"/>
        </w:rPr>
        <w:t>www.sec.gov</w:t>
      </w:r>
      <w:r>
        <w:rPr>
          <w:rFonts w:ascii="Calibri" w:cs="Calibri" w:eastAsia="Calibri" w:hAnsi="Calibri"/>
          <w:sz w:val="18"/>
          <w:szCs w:val="18"/>
          <w:color w:val="auto"/>
        </w:rPr>
        <w:t>. We make our annual reports on Form 10-K, our quarterly reports on Form 10-Q, and our current reports on Form 8-K, and amendments to those reports, available on our internet website, free of charge, as soon as reasonably practcable afer such material is electronically fled with, or furnished to, the SEC.</w:t>
      </w:r>
    </w:p>
    <w:p>
      <w:pPr>
        <w:spacing w:after="0" w:line="29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1A. </w:t>
      </w:r>
      <w:r>
        <w:rPr>
          <w:rFonts w:ascii="Calibri" w:cs="Calibri" w:eastAsia="Calibri" w:hAnsi="Calibri"/>
          <w:sz w:val="18"/>
          <w:szCs w:val="18"/>
          <w:b w:val="1"/>
          <w:bCs w:val="1"/>
          <w:i w:val="1"/>
          <w:iCs w:val="1"/>
          <w:color w:val="auto"/>
        </w:rPr>
        <w:t>Risk Factors</w:t>
      </w:r>
    </w:p>
    <w:p>
      <w:pPr>
        <w:spacing w:after="0" w:line="82" w:lineRule="exact"/>
        <w:rPr>
          <w:sz w:val="20"/>
          <w:szCs w:val="20"/>
          <w:color w:val="auto"/>
        </w:rPr>
      </w:pPr>
    </w:p>
    <w:p>
      <w:pPr>
        <w:ind w:right="20"/>
        <w:spacing w:after="0" w:line="252" w:lineRule="auto"/>
        <w:rPr>
          <w:sz w:val="20"/>
          <w:szCs w:val="20"/>
          <w:color w:val="auto"/>
        </w:rPr>
      </w:pPr>
      <w:r>
        <w:rPr>
          <w:rFonts w:ascii="Calibri" w:cs="Calibri" w:eastAsia="Calibri" w:hAnsi="Calibri"/>
          <w:sz w:val="17"/>
          <w:szCs w:val="17"/>
          <w:i w:val="1"/>
          <w:iCs w:val="1"/>
          <w:color w:val="auto"/>
        </w:rPr>
        <w:t>Investng in our common stock involves a high degree of risk. You should carefully consider the following material risks, together with all the other informaton in this Annual Report, including our fnancial statements and notes thereto, before deciding to invest in our common stock. The risks and uncertaintes described below are not the only ones we face. Moreover, some of the factors, events and contngencies discussed below may have occurred in the past, but the disclosures below are not representatons as to whether or not the factors, events or contngencies have occurred in the past, and instead refect our beliefs and opinions as to the factors, events, or contngencies that could materially and adversely afect us in the future. Additonal risk and uncertaintes not presently known to us or that we presently deem less signifcant may also impair our business operatons. If any of the following risks actually materialize, our operatng results, fnancial conditon, and liquidity could be materially adversely afected. As a result, the trading price of our common stock could decline and you could lose part or all of your investment. Our company’s business, fnancial conditon and operatng results can be afected by a number of factors, whether currently known or unknown, including but not limited to those described below, any one or more of which could, directly or indirectly, cause our actual fnancial conditon and operatng results to vary materially from past, or from antcipated future, fnancial conditon and operatng results. Any of these factors, in whole or in part, could materially and adversely afect our business, prospects, fnancial conditon, operatng results and stock price.</w:t>
      </w:r>
    </w:p>
    <w:p>
      <w:pPr>
        <w:spacing w:after="0" w:line="371" w:lineRule="exact"/>
        <w:rPr>
          <w:sz w:val="20"/>
          <w:szCs w:val="20"/>
          <w:color w:val="auto"/>
        </w:rPr>
      </w:pPr>
    </w:p>
    <w:p>
      <w:pPr>
        <w:jc w:val="both"/>
        <w:ind w:right="380"/>
        <w:spacing w:after="0" w:line="249" w:lineRule="auto"/>
        <w:rPr>
          <w:sz w:val="20"/>
          <w:szCs w:val="20"/>
          <w:color w:val="auto"/>
        </w:rPr>
      </w:pPr>
      <w:r>
        <w:rPr>
          <w:rFonts w:ascii="Calibri" w:cs="Calibri" w:eastAsia="Calibri" w:hAnsi="Calibri"/>
          <w:sz w:val="17"/>
          <w:szCs w:val="17"/>
          <w:i w:val="1"/>
          <w:iCs w:val="1"/>
          <w:color w:val="auto"/>
        </w:rPr>
        <w:t>Because of the following factors, as well as other factors afectng our fnancial conditon and operatng results, past fnancial performance should not be considered to be a reliable indicator of future performance, and investors should not use historical trends to antcipate results or trends in future periods.</w:t>
      </w:r>
    </w:p>
    <w:p>
      <w:pPr>
        <w:jc w:val="center"/>
        <w:ind w:right="-19"/>
        <w:spacing w:after="0" w:line="236" w:lineRule="auto"/>
        <w:rPr>
          <w:sz w:val="20"/>
          <w:szCs w:val="20"/>
          <w:color w:val="auto"/>
        </w:rPr>
      </w:pPr>
      <w:r>
        <w:rPr>
          <w:rFonts w:ascii="Calibri" w:cs="Calibri" w:eastAsia="Calibri" w:hAnsi="Calibri"/>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9" w:name="page30"/>
    <w:bookmarkEnd w:id="29"/>
    <w:p>
      <w:pPr>
        <w:spacing w:after="0"/>
        <w:rPr>
          <w:sz w:val="20"/>
          <w:szCs w:val="20"/>
          <w:color w:val="auto"/>
        </w:rPr>
      </w:pPr>
      <w:r>
        <w:rPr>
          <w:rFonts w:ascii="Calibri" w:cs="Calibri" w:eastAsia="Calibri" w:hAnsi="Calibri"/>
          <w:sz w:val="18"/>
          <w:szCs w:val="18"/>
          <w:b w:val="1"/>
          <w:bCs w:val="1"/>
          <w:color w:val="auto"/>
        </w:rPr>
        <w:t>Risk Factor Summary</w:t>
      </w:r>
    </w:p>
    <w:p>
      <w:pPr>
        <w:spacing w:after="0" w:line="118"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have a history of operatng losses and expect to contnue to incur operatng losses in the near term.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have limited experience in generatng revenue from product sales.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need to raise additonal capital to fund our actvites.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Clinical drug development is a lengthy, complex, and expensive process with uncertain outcomes.</w:t>
      </w:r>
    </w:p>
    <w:p>
      <w:pPr>
        <w:spacing w:after="0" w:line="122" w:lineRule="exact"/>
        <w:rPr>
          <w:rFonts w:ascii="Times New Roman" w:cs="Times New Roman" w:eastAsia="Times New Roman" w:hAnsi="Times New Roman"/>
          <w:sz w:val="18"/>
          <w:szCs w:val="18"/>
          <w:color w:val="auto"/>
        </w:rPr>
      </w:pPr>
    </w:p>
    <w:p>
      <w:pPr>
        <w:ind w:left="1020" w:right="260" w:hanging="503"/>
        <w:spacing w:after="0" w:line="235" w:lineRule="auto"/>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experience delays in commercializaton of our products and other adverse efects if we do not achieve our projected development goals in the tme frames we announce and expect.</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experience difculty in enrolling patents.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regulatory approval processes of the FDA and comparable foreign authorites are lengthy and inherently unpredictable.</w:t>
      </w:r>
    </w:p>
    <w:p>
      <w:pPr>
        <w:spacing w:after="0" w:line="122" w:lineRule="exact"/>
        <w:rPr>
          <w:rFonts w:ascii="Times New Roman" w:cs="Times New Roman" w:eastAsia="Times New Roman" w:hAnsi="Times New Roman"/>
          <w:sz w:val="18"/>
          <w:szCs w:val="18"/>
          <w:color w:val="auto"/>
        </w:rPr>
      </w:pPr>
    </w:p>
    <w:p>
      <w:pPr>
        <w:ind w:left="1020" w:right="80" w:hanging="503"/>
        <w:spacing w:after="0" w:line="235" w:lineRule="auto"/>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Fast Track Product, Breakthrough Therapy, Priority Review or RMAT designatons by the FDA, and analogous designatons by the EMA, for our product candidates may not lead to faster development or approval.</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product candidates may cause undesirable or serious side efects.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face a multtude of manufacturing risks, partcularly with respect to our gene therapy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products remain subject to regulatory scrutny even if we obtain regulatory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Product liability lawsuits against us could cause us to incur substantal liabilites.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not realize the full commercial potental of our product candidates if we are unable to source and develop efectve biomarkers.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rely on third partes to conduct our nonclinical and clinical studies and perform other tasks for us.</w:t>
      </w:r>
    </w:p>
    <w:p>
      <w:pPr>
        <w:spacing w:after="0" w:line="122" w:lineRule="exact"/>
        <w:rPr>
          <w:rFonts w:ascii="Times New Roman" w:cs="Times New Roman" w:eastAsia="Times New Roman" w:hAnsi="Times New Roman"/>
          <w:sz w:val="18"/>
          <w:szCs w:val="18"/>
          <w:color w:val="auto"/>
        </w:rPr>
      </w:pPr>
    </w:p>
    <w:p>
      <w:pPr>
        <w:ind w:left="1020" w:right="60" w:hanging="503"/>
        <w:spacing w:after="0" w:line="235" w:lineRule="auto"/>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are dependent on KKC for the commercializaton of Crysvita in certain major markets, including the U.S. and Canada, and for our supply of Crysvita in our markets.</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rely on third partes to manufacture our products and product candidates.</w:t>
      </w:r>
    </w:p>
    <w:p>
      <w:pPr>
        <w:spacing w:after="0" w:line="122" w:lineRule="exact"/>
        <w:rPr>
          <w:rFonts w:ascii="Times New Roman" w:cs="Times New Roman" w:eastAsia="Times New Roman" w:hAnsi="Times New Roman"/>
          <w:sz w:val="18"/>
          <w:szCs w:val="18"/>
          <w:color w:val="auto"/>
        </w:rPr>
      </w:pPr>
    </w:p>
    <w:p>
      <w:pPr>
        <w:ind w:left="1020" w:hanging="503"/>
        <w:spacing w:after="0" w:line="235" w:lineRule="auto"/>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loss of, or failure to supply by, any of any of our single-source suppliers for our drug substance and drug product could adversely afect our business.</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actons of distributors and specialty pharmacies could afect our ability to sell or market products proftably.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revenue may be adversely afected if the market opportunites for our products and product candidates are smaller than expected.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compettors may develop therapies that are similar, more advanced, or more efectve than ours.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not successfully manage expansion of our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Commercial success of our products depends on the degree of market acceptance.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face uncertainty related to insurance coverage and reimbursement status of our newly approved products.</w:t>
      </w:r>
    </w:p>
    <w:p>
      <w:pPr>
        <w:spacing w:after="0" w:line="122" w:lineRule="exact"/>
        <w:rPr>
          <w:rFonts w:ascii="Times New Roman" w:cs="Times New Roman" w:eastAsia="Times New Roman" w:hAnsi="Times New Roman"/>
          <w:sz w:val="18"/>
          <w:szCs w:val="18"/>
          <w:color w:val="auto"/>
        </w:rPr>
      </w:pPr>
    </w:p>
    <w:p>
      <w:pPr>
        <w:ind w:left="1020" w:right="220" w:hanging="503"/>
        <w:spacing w:after="0" w:line="235" w:lineRule="auto"/>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If we, or our third-party partners, are unable to maintain efectve proprietary rights for our products or product candidates, we may not be able to compete efectvely.</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Claims of intellectual property infringement may prevent or delay our development and commercializaton eforts.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not be successful in obtaining or maintaining necessary rights to our product candidates through acquisitons and in-licenses.</w:t>
      </w:r>
    </w:p>
    <w:p>
      <w:pPr>
        <w:spacing w:after="0" w:line="122" w:lineRule="exact"/>
        <w:rPr>
          <w:rFonts w:ascii="Times New Roman" w:cs="Times New Roman" w:eastAsia="Times New Roman" w:hAnsi="Times New Roman"/>
          <w:sz w:val="18"/>
          <w:szCs w:val="18"/>
          <w:color w:val="auto"/>
        </w:rPr>
      </w:pPr>
    </w:p>
    <w:p>
      <w:pPr>
        <w:ind w:left="1020" w:right="240" w:hanging="503"/>
        <w:spacing w:after="0" w:line="235" w:lineRule="auto"/>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face competton from biosimilars of our biologics products and product candidates or from generic versions of our small-molecule products and product candidates, which may result in a material decline in sales of afected products.</w:t>
      </w:r>
    </w:p>
    <w:p>
      <w:pPr>
        <w:spacing w:after="0" w:line="123" w:lineRule="exact"/>
        <w:rPr>
          <w:rFonts w:ascii="Times New Roman" w:cs="Times New Roman" w:eastAsia="Times New Roman" w:hAnsi="Times New Roman"/>
          <w:sz w:val="18"/>
          <w:szCs w:val="18"/>
          <w:color w:val="auto"/>
        </w:rPr>
      </w:pPr>
    </w:p>
    <w:p>
      <w:pPr>
        <w:ind w:left="1020" w:right="320" w:hanging="503"/>
        <w:spacing w:after="0" w:line="235" w:lineRule="auto"/>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could lose license rights that are important to our business if we fail to comply with our obligatons in the agreements under which we license intellectual property and other rights from third partes.</w:t>
      </w:r>
    </w:p>
    <w:p>
      <w:pPr>
        <w:jc w:val="center"/>
        <w:ind w:right="-39"/>
        <w:spacing w:after="0" w:line="236" w:lineRule="auto"/>
        <w:rPr>
          <w:sz w:val="20"/>
          <w:szCs w:val="20"/>
          <w:color w:val="auto"/>
        </w:rPr>
      </w:pPr>
      <w:r>
        <w:rPr>
          <w:rFonts w:ascii="Calibri" w:cs="Calibri" w:eastAsia="Calibri" w:hAnsi="Calibri"/>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6" w:right="379" w:bottom="1440" w:gutter="0" w:footer="0" w:header="0"/>
        </w:sectPr>
      </w:pPr>
    </w:p>
    <w:bookmarkStart w:id="30" w:name="page31"/>
    <w:bookmarkEnd w:id="30"/>
    <w:p>
      <w:pPr>
        <w:ind w:left="1020" w:right="220" w:hanging="503"/>
        <w:spacing w:after="0" w:line="235" w:lineRule="auto"/>
        <w:tabs>
          <w:tab w:leader="none" w:pos="102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become involved in lawsuits to protect or enforce our patents or the patents of our licensors, or be subject to claims that challenge the inventorship or ownership of our patents.</w:t>
      </w:r>
    </w:p>
    <w:p>
      <w:pPr>
        <w:spacing w:after="0" w:line="123" w:lineRule="exact"/>
        <w:rPr>
          <w:rFonts w:ascii="Times New Roman" w:cs="Times New Roman" w:eastAsia="Times New Roman" w:hAnsi="Times New Roman"/>
          <w:sz w:val="18"/>
          <w:szCs w:val="18"/>
          <w:color w:val="auto"/>
        </w:rPr>
      </w:pPr>
    </w:p>
    <w:p>
      <w:pPr>
        <w:ind w:left="1020" w:right="520" w:hanging="503"/>
        <w:spacing w:after="0" w:line="235" w:lineRule="auto"/>
        <w:tabs>
          <w:tab w:leader="none" w:pos="102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Changes to patent laws in the U.S. and other jurisdictons could diminish the value of patents in general, thereby impairing our ability to protect our products.</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not be able to protect our intellectual property rights throughout the world.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have limited experience as a company operatng our own manufacturing facility.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success depends in part on our ability to retain our President and Chief Executve Ofcer and other qualifed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revenue may be impacted if we fail to obtain or maintain orphan drug exclusivity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operatng results may be adversely impacted if our intangible assets become impaired.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not be successful in identfying, licensing, developing, or commercializing additonal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fail to comply with laws and regulatons or changes in laws and regulatons could adversely afect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are exposed to risks related to internatonal expansion of our business outside of the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employees or consultants may engage in misconduct which could cause signifcant liability for us.</w:t>
      </w:r>
    </w:p>
    <w:p>
      <w:pPr>
        <w:spacing w:after="0" w:line="122" w:lineRule="exact"/>
        <w:rPr>
          <w:rFonts w:ascii="Times New Roman" w:cs="Times New Roman" w:eastAsia="Times New Roman" w:hAnsi="Times New Roman"/>
          <w:sz w:val="18"/>
          <w:szCs w:val="18"/>
          <w:color w:val="auto"/>
        </w:rPr>
      </w:pPr>
    </w:p>
    <w:p>
      <w:pPr>
        <w:ind w:left="1020" w:right="520" w:hanging="503"/>
        <w:spacing w:after="0" w:line="235" w:lineRule="auto"/>
        <w:tabs>
          <w:tab w:leader="none" w:pos="102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If we are found to have promoted of-label uses for our products, we may become subject to signifcant liability from the FDA and other regulatory agencies.</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business may be adversely afected in the event of computer system failures or security breaches.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or our third-party partners may be adversely afected by earthquakes or other serious natural disasters.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incur various costs and expenses and risks related to acquisiton of companies or products or strategic transactons.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market price of our common stock is highly volatle.</w:t>
      </w:r>
    </w:p>
    <w:p>
      <w:pPr>
        <w:spacing w:after="0" w:line="122" w:lineRule="exact"/>
        <w:rPr>
          <w:rFonts w:ascii="Times New Roman" w:cs="Times New Roman" w:eastAsia="Times New Roman" w:hAnsi="Times New Roman"/>
          <w:sz w:val="18"/>
          <w:szCs w:val="18"/>
          <w:color w:val="auto"/>
        </w:rPr>
      </w:pPr>
    </w:p>
    <w:p>
      <w:pPr>
        <w:ind w:left="1020" w:right="180" w:hanging="503"/>
        <w:spacing w:after="0" w:line="235" w:lineRule="auto"/>
        <w:tabs>
          <w:tab w:leader="none" w:pos="102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Future sales and issuances of our common stock could dilute the percentage ownership of our current stockholders and result in a decline in stock price.</w:t>
      </w:r>
    </w:p>
    <w:p>
      <w:pPr>
        <w:spacing w:after="0" w:line="123" w:lineRule="exact"/>
        <w:rPr>
          <w:rFonts w:ascii="Times New Roman" w:cs="Times New Roman" w:eastAsia="Times New Roman" w:hAnsi="Times New Roman"/>
          <w:sz w:val="18"/>
          <w:szCs w:val="18"/>
          <w:color w:val="auto"/>
        </w:rPr>
      </w:pPr>
    </w:p>
    <w:p>
      <w:pPr>
        <w:ind w:left="1020" w:right="180" w:hanging="503"/>
        <w:spacing w:after="0" w:line="235" w:lineRule="auto"/>
        <w:tabs>
          <w:tab w:leader="none" w:pos="102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Provisions in our amended and restated certfcate of incorporaton and by-laws, as well as provisions of Delaware law, could make it more difcult for a third party to acquire us or increase the cost of acquiring us or could limit our stockholders’ ability to obtain a favorable judicial forum for disputes with us or our directors, ofcers or employees.</w:t>
      </w:r>
    </w:p>
    <w:p>
      <w:pPr>
        <w:spacing w:after="0" w:line="124" w:lineRule="exact"/>
        <w:rPr>
          <w:rFonts w:ascii="Times New Roman" w:cs="Times New Roman" w:eastAsia="Times New Roman" w:hAnsi="Times New Roman"/>
          <w:sz w:val="18"/>
          <w:szCs w:val="18"/>
          <w:color w:val="auto"/>
        </w:rPr>
      </w:pPr>
    </w:p>
    <w:p>
      <w:pPr>
        <w:ind w:left="1020" w:hanging="503"/>
        <w:spacing w:after="0" w:line="235" w:lineRule="auto"/>
        <w:tabs>
          <w:tab w:leader="none" w:pos="102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face general risks related to our ability to maintain efectve internal controls over fnancial reportng, additonal tax liabilites related to our operatons, our ability to use our net operatng loss carryforwards, costs of litgaton, stockholder actvism and increased scrutny regarding our ESG practces and disclosures.</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Our Financial Conditon and Capital Requirements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have a history of operatng losses and expect to contnue to incur operatng losses in the near term.</w:t>
      </w:r>
    </w:p>
    <w:p>
      <w:pPr>
        <w:spacing w:after="0" w:line="82"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Since incepton, we have been engaged in substantal research and development and capital investments, and we have operated at an operatng loss each year and expect to contnue doing so in the near term. While we currently expect to achieve proftability for the year 2027, our expectatons are based on a variety of assumptons, and actual results, including whether we achieve proftability on our expected tmeline or at all, may materially difer from our expectatons. Our operatng results, including our ability to achieve proftability, will depend, in part, on non-recurring events, the success of our commercializaton eforts, and the rate of our future expenditures. We antcipate that our expenses will increase substantally if and as we:</w:t>
      </w:r>
    </w:p>
    <w:p>
      <w:pPr>
        <w:spacing w:after="0" w:line="121"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contnue our research and nonclinical and clinical development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expand the scope of our current clinical studies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advance our programs into more expensive 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initate additonal nonclinical, clinical, or other studies for our product candidates;</w:t>
      </w:r>
    </w:p>
    <w:p>
      <w:pPr>
        <w:spacing w:after="0" w:line="122" w:lineRule="exact"/>
        <w:rPr>
          <w:rFonts w:ascii="Times New Roman" w:cs="Times New Roman" w:eastAsia="Times New Roman" w:hAnsi="Times New Roman"/>
          <w:sz w:val="18"/>
          <w:szCs w:val="18"/>
          <w:color w:val="auto"/>
        </w:rPr>
      </w:pPr>
    </w:p>
    <w:p>
      <w:pPr>
        <w:ind w:left="5540" w:right="2020" w:hanging="5023"/>
        <w:spacing w:after="0" w:line="235" w:lineRule="auto"/>
        <w:tabs>
          <w:tab w:leader="none" w:pos="1031"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pursue preclinical and clinical development for additonal indicatons for existng products and product candidates;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31" w:name="page32"/>
    <w:bookmarkEnd w:id="31"/>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 or add additonal manufacturers or suppliers;</w:t>
      </w:r>
    </w:p>
    <w:p>
      <w:pPr>
        <w:spacing w:after="0" w:line="122" w:lineRule="exact"/>
        <w:rPr>
          <w:rFonts w:ascii="Times New Roman" w:cs="Times New Roman" w:eastAsia="Times New Roman" w:hAnsi="Times New Roman"/>
          <w:sz w:val="18"/>
          <w:szCs w:val="18"/>
          <w:color w:val="auto"/>
        </w:rPr>
      </w:pPr>
    </w:p>
    <w:p>
      <w:pPr>
        <w:ind w:left="1020" w:hanging="503"/>
        <w:spacing w:after="0" w:line="235" w:lineRule="auto"/>
        <w:tabs>
          <w:tab w:leader="none" w:pos="102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expand upon our manufacturing-related facilites and capabilites, partcularly as we contnue to increase operatons at our GMP gene therapy manufacturing facility;</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seek regulatory and marketng approvals for our product candidates that successfully complete 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contnue to establish Medical Afairs feld teams to initate relevant disease educaton;</w:t>
      </w:r>
    </w:p>
    <w:p>
      <w:pPr>
        <w:spacing w:after="0" w:line="122" w:lineRule="exact"/>
        <w:rPr>
          <w:rFonts w:ascii="Times New Roman" w:cs="Times New Roman" w:eastAsia="Times New Roman" w:hAnsi="Times New Roman"/>
          <w:sz w:val="18"/>
          <w:szCs w:val="18"/>
          <w:color w:val="auto"/>
        </w:rPr>
      </w:pPr>
    </w:p>
    <w:p>
      <w:pPr>
        <w:ind w:left="1020" w:right="460" w:hanging="503"/>
        <w:spacing w:after="0" w:line="235" w:lineRule="auto"/>
        <w:tabs>
          <w:tab w:leader="none" w:pos="102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contnue to establish or grow a marketng and distributon infrastructure and feld force to commercialize our products and any product candidates for which we may obtain marketng approval;</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contnue to manage our internatonal subsidiaries and establish new ones;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contnue to operate as a public company and comply with legal, accountng and other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seek to identfy, assess, license, acquire, and/or develop other product candidates, technologies, and/or businesses;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make milestone or other payments under any license or other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seek to maintain, protect, and expand our intellectual property portolio;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seek to atract and retain skilled personnel;</w:t>
      </w:r>
    </w:p>
    <w:p>
      <w:pPr>
        <w:spacing w:after="0" w:line="122" w:lineRule="exact"/>
        <w:rPr>
          <w:rFonts w:ascii="Times New Roman" w:cs="Times New Roman" w:eastAsia="Times New Roman" w:hAnsi="Times New Roman"/>
          <w:sz w:val="18"/>
          <w:szCs w:val="18"/>
          <w:color w:val="auto"/>
        </w:rPr>
      </w:pPr>
    </w:p>
    <w:p>
      <w:pPr>
        <w:ind w:left="1020" w:right="120" w:hanging="503"/>
        <w:spacing w:after="0" w:line="235" w:lineRule="auto"/>
        <w:tabs>
          <w:tab w:leader="none" w:pos="102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create additonal infrastructure, including facilites and systems, to support the growth of our operatons, our product development, and our commercializaton eforts; and</w:t>
      </w:r>
    </w:p>
    <w:p>
      <w:pPr>
        <w:spacing w:after="0" w:line="123" w:lineRule="exact"/>
        <w:rPr>
          <w:rFonts w:ascii="Times New Roman" w:cs="Times New Roman" w:eastAsia="Times New Roman" w:hAnsi="Times New Roman"/>
          <w:sz w:val="18"/>
          <w:szCs w:val="18"/>
          <w:color w:val="auto"/>
        </w:rPr>
      </w:pPr>
    </w:p>
    <w:p>
      <w:pPr>
        <w:jc w:val="both"/>
        <w:ind w:left="1020" w:right="180" w:hanging="503"/>
        <w:spacing w:after="0" w:line="235" w:lineRule="auto"/>
        <w:tabs>
          <w:tab w:leader="none" w:pos="102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experience any delays or encounter issues with any of the above, including, but not limited to, failed studies, complex results, safety issues, inspecton outcomes, or other regulatory challenges that require longer follow-up of existng studies, additonal major studies, or additonal supportve studies in order to pursue marketng approval.</w:t>
      </w:r>
    </w:p>
    <w:p>
      <w:pPr>
        <w:spacing w:after="0" w:line="84"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Even if we do achieve proftability, we may not be able to sustain or increase such proftability on a quarterly or yearly basis. Our operatng results may fuctuate signifcantly from quarter to quarter and year to year, such that a period-to-period comparison of our results of operatons may not be a good indicaton of our future performance.</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have limited experience in generatng revenue from product sales.</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Our ability to generate signifcant revenue from product sales depends on our ability, alone or with strategic collaboraton partners, to successfully commercialize our products and to complete the development of, and obtain the regulatory and marketng approvals necessary to commercialize, our product candidates. Our ability to generate substantal future revenue from product sales, including named patent sales, depends heavily on our success in many areas, including, but not limited to:</w:t>
      </w:r>
    </w:p>
    <w:p>
      <w:pPr>
        <w:spacing w:after="0" w:line="93" w:lineRule="exact"/>
        <w:rPr>
          <w:sz w:val="20"/>
          <w:szCs w:val="20"/>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obtaining regulatory and marketng approvals with broad indicatons for product candidates for which we complete clinical studies;</w:t>
      </w:r>
    </w:p>
    <w:p>
      <w:pPr>
        <w:spacing w:after="0" w:line="95" w:lineRule="exact"/>
        <w:rPr>
          <w:rFonts w:ascii="Times New Roman" w:cs="Times New Roman" w:eastAsia="Times New Roman" w:hAnsi="Times New Roman"/>
          <w:sz w:val="18"/>
          <w:szCs w:val="18"/>
          <w:color w:val="auto"/>
        </w:rPr>
      </w:pPr>
    </w:p>
    <w:p>
      <w:pPr>
        <w:ind w:left="900" w:right="280" w:hanging="383"/>
        <w:spacing w:after="0" w:line="235" w:lineRule="auto"/>
        <w:tabs>
          <w:tab w:leader="none" w:pos="90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developing a sustainable and scalable manufacturing process for our products and any approved product candidates and establishing and maintaining supply and manufacturing relatonships with third partes that can conduct the processes and provide adequate (in amount and quality) product supply to support market demand for our products and product candidates, if approved;</w:t>
      </w:r>
    </w:p>
    <w:p>
      <w:pPr>
        <w:spacing w:after="0" w:line="97" w:lineRule="exact"/>
        <w:rPr>
          <w:rFonts w:ascii="Times New Roman" w:cs="Times New Roman" w:eastAsia="Times New Roman" w:hAnsi="Times New Roman"/>
          <w:sz w:val="18"/>
          <w:szCs w:val="18"/>
          <w:color w:val="auto"/>
        </w:rPr>
      </w:pPr>
    </w:p>
    <w:p>
      <w:pPr>
        <w:ind w:left="900" w:right="120" w:hanging="383"/>
        <w:spacing w:after="0" w:line="235" w:lineRule="auto"/>
        <w:tabs>
          <w:tab w:leader="none" w:pos="90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launching and commercializing our products and product candidates for which we obtain regulatory and marketng approval, either directly or with a collaborator or distributor;</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obtaining market acceptance of our products and product candidates as viable treatment optons;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obtaining adequate market share, reimbursement and pricing for our products and product candidates;</w:t>
      </w:r>
    </w:p>
    <w:p>
      <w:pPr>
        <w:spacing w:after="0" w:line="95" w:lineRule="exact"/>
        <w:rPr>
          <w:rFonts w:ascii="Times New Roman" w:cs="Times New Roman" w:eastAsia="Times New Roman" w:hAnsi="Times New Roman"/>
          <w:sz w:val="18"/>
          <w:szCs w:val="18"/>
          <w:color w:val="auto"/>
        </w:rPr>
      </w:pPr>
    </w:p>
    <w:p>
      <w:pPr>
        <w:ind w:left="900" w:right="520" w:hanging="383"/>
        <w:spacing w:after="0" w:line="235" w:lineRule="auto"/>
        <w:tabs>
          <w:tab w:leader="none" w:pos="90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ability to sell our products and product candidates on a named patent basis or through an equivalent mechanism and the amount of revenue generated from such sales;</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ability to fnd patents so they can be diagnosed and begin receiving treatment;</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addressing any competng technological and market developments;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negotatng favorable terms, including commercial rights, in any collaboraton, licensing, or other arrangements into which we may enter, any</w:t>
      </w:r>
    </w:p>
    <w:p>
      <w:pPr>
        <w:ind w:left="900"/>
        <w:spacing w:after="0" w:line="235" w:lineRule="auto"/>
        <w:rPr>
          <w:sz w:val="20"/>
          <w:szCs w:val="20"/>
          <w:color w:val="auto"/>
        </w:rPr>
      </w:pPr>
      <w:r>
        <w:rPr>
          <w:rFonts w:ascii="Calibri" w:cs="Calibri" w:eastAsia="Calibri" w:hAnsi="Calibri"/>
          <w:sz w:val="18"/>
          <w:szCs w:val="18"/>
          <w:color w:val="auto"/>
        </w:rPr>
        <w:t>amendments thereto or extensions thereof;</w:t>
      </w:r>
    </w:p>
    <w:p>
      <w:pPr>
        <w:jc w:val="center"/>
        <w:ind w:right="-99"/>
        <w:spacing w:after="0" w:line="236" w:lineRule="auto"/>
        <w:rPr>
          <w:sz w:val="20"/>
          <w:szCs w:val="20"/>
          <w:color w:val="auto"/>
        </w:rPr>
      </w:pPr>
      <w:r>
        <w:rPr>
          <w:rFonts w:ascii="Calibri" w:cs="Calibri" w:eastAsia="Calibri" w:hAnsi="Calibri"/>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25" w:right="419" w:bottom="1440" w:gutter="0" w:footer="0" w:header="0"/>
        </w:sectPr>
      </w:pPr>
    </w:p>
    <w:bookmarkStart w:id="32" w:name="page33"/>
    <w:bookmarkEnd w:id="32"/>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maintaining, protectng, and expanding our portolio of intellectual property rights, including patents, trade secrets, and know-how; and</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atractng, hiring, and retaining qualifed personnel.</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If the number of our addressable rare disease patents is not as signifcant as we estmate, the indicaton approved by regulatory authorites is narrower than we expect, or the reasonably accepted populaton for treatment is narrowed by competton, physician choice, or treatment guidelines, or any other reasons, we may not generate signifcant revenue from sales of our products, even if they receive regulatory approval.</w:t>
      </w:r>
    </w:p>
    <w:p>
      <w:pPr>
        <w:spacing w:after="0" w:line="246" w:lineRule="exact"/>
        <w:rPr>
          <w:sz w:val="20"/>
          <w:szCs w:val="20"/>
          <w:color w:val="auto"/>
        </w:rPr>
      </w:pPr>
    </w:p>
    <w:p>
      <w:pPr>
        <w:ind w:right="400"/>
        <w:spacing w:after="0" w:line="235" w:lineRule="auto"/>
        <w:rPr>
          <w:sz w:val="20"/>
          <w:szCs w:val="20"/>
          <w:color w:val="auto"/>
        </w:rPr>
      </w:pPr>
      <w:r>
        <w:rPr>
          <w:rFonts w:ascii="Calibri" w:cs="Calibri" w:eastAsia="Calibri" w:hAnsi="Calibri"/>
          <w:sz w:val="18"/>
          <w:szCs w:val="18"/>
          <w:b w:val="1"/>
          <w:bCs w:val="1"/>
          <w:i w:val="1"/>
          <w:iCs w:val="1"/>
          <w:color w:val="auto"/>
        </w:rPr>
        <w:t>We may need to raise additonal capital to fund our actvites. Such additonal fnancing may not be available on acceptable terms, if at all. Failure to obtain this necessary capital when needed may force us to delay, limit, or terminate our product development eforts or other actvites.</w:t>
      </w:r>
    </w:p>
    <w:p>
      <w:pPr>
        <w:spacing w:after="0" w:line="83"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As of December 31, 2024, our available cash, cash equivalents, and marketable debt securites were $745.0 million. We may need additonal capital to contnue to commercialize our products, and to develop, obtain regulatory approval for, and to commercialize, all of our product candidates. In additon, our operatng plans may change as a result of many factors that may currently be unknown to us, and we may need to seek additonal funds sooner than planned. Our future funding requirements will depend on many factors, including but not limited to:</w:t>
      </w:r>
    </w:p>
    <w:p>
      <w:pPr>
        <w:spacing w:after="0" w:line="93" w:lineRule="exact"/>
        <w:rPr>
          <w:sz w:val="20"/>
          <w:szCs w:val="20"/>
          <w:color w:val="auto"/>
        </w:rPr>
      </w:pPr>
    </w:p>
    <w:p>
      <w:pPr>
        <w:ind w:left="900" w:hanging="518"/>
        <w:spacing w:after="0"/>
        <w:tabs>
          <w:tab w:leader="none" w:pos="90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scope, rate of progress, results, and cost of our clinical studies, nonclinical testng, and other related actvites;</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 of manufacturing clinical and commercial supplies of our products and product candidates;</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 of creatng additonal infrastructure, including facilites and systems, such as systems in our GMP gene therapy manufacturing facility;</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 of operatng and maintaining our gene therapy manufacturing facility;</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number and characteristcs of the product candidates that we pursue;</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 tming, and outcomes of regulatory approvals;</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 and tming of establishing and operatng our internatonal subsidiaries;</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 and tming of establishing and operatng feld forces, marketng, and distributon capabilites;</w:t>
      </w:r>
    </w:p>
    <w:p>
      <w:pPr>
        <w:spacing w:after="0" w:line="117"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 and tming of other actvites needed to commercialize our products; and</w:t>
      </w:r>
    </w:p>
    <w:p>
      <w:pPr>
        <w:spacing w:after="0" w:line="122" w:lineRule="exact"/>
        <w:rPr>
          <w:rFonts w:ascii="Times New Roman" w:cs="Times New Roman" w:eastAsia="Times New Roman" w:hAnsi="Times New Roman"/>
          <w:sz w:val="18"/>
          <w:szCs w:val="18"/>
          <w:color w:val="auto"/>
        </w:rPr>
      </w:pPr>
    </w:p>
    <w:p>
      <w:pPr>
        <w:ind w:left="900" w:right="740" w:hanging="518"/>
        <w:spacing w:after="0" w:line="235" w:lineRule="auto"/>
        <w:tabs>
          <w:tab w:leader="none" w:pos="90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terms and tming of any collaboratve, licensing, acquisiton, and other arrangements that we may establish, including any required milestone, royalty, and reimbursements or other payments thereunder.</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Any additonal fundraising eforts may divert our management’s atenton from their day-to-day actvites, which can adversely afect our ability to develop our product candidates and commercialize our products. In additon, we cannot guarantee that future fnancing will be available in sufcient amounts or on terms acceptable to us, if at all, partcularly in light of the current macroeconomic conditons, including changing interest rates and infaton. The terms of any fnancing may adversely afect the holdings or the rights of our stockholders and the issuance of additonal securites by us, whether equity or debt, or the possibility of such issuance, may cause the market price of our shares to decline. The sale of additonal equity or convertble securites would dilute all of our stockholders. If we incur debt, it could result in increased fxed payment obligatons and we may be required to agree to certain restrictve covenants, such as limitatons on our ability to incur additonal debt, limitatons on our ability to acquire, sell, or license intellectual property rights, and other operatng restrictons that could adversely impact our ability to conduct our business. We have in the past sought and may in the future seek funds through a sale of future royalty payments similar to our transactons with Royalty Pharma and OMERS or through collaboratve partnerships, strategic alliances, and licensing or other arrangements, such as our transacton with Daiichi Sankyo Co., Ltd., or Daiichi Sankyo, and we may be required to relinquish rights to some of our technologies or product candidates, future revenue streams, research programs, and other product candidates or otherwise agree to terms unfavorable to us, any of which may have a material adverse efect on our business, operatng results, and prospects. Even if we believe we have sufcient funds for our current or future operatng plans, we may seek additonal capital if market conditons are favorable or if we have specifc strategic consideratons.</w:t>
      </w:r>
    </w:p>
    <w:p>
      <w:pPr>
        <w:spacing w:after="0" w:line="93" w:lineRule="exact"/>
        <w:rPr>
          <w:sz w:val="20"/>
          <w:szCs w:val="20"/>
          <w:color w:val="auto"/>
        </w:rPr>
      </w:pPr>
    </w:p>
    <w:p>
      <w:pPr>
        <w:jc w:val="both"/>
        <w:ind w:right="40" w:firstLine="509"/>
        <w:spacing w:after="0" w:line="235" w:lineRule="auto"/>
        <w:rPr>
          <w:sz w:val="20"/>
          <w:szCs w:val="20"/>
          <w:color w:val="auto"/>
        </w:rPr>
      </w:pPr>
      <w:r>
        <w:rPr>
          <w:rFonts w:ascii="Calibri" w:cs="Calibri" w:eastAsia="Calibri" w:hAnsi="Calibri"/>
          <w:sz w:val="18"/>
          <w:szCs w:val="18"/>
          <w:color w:val="auto"/>
        </w:rPr>
        <w:t>In additon, we purchase or enter into a variety of fnancial instruments and transactons, including investments in commercial paper, the extension of credit to corporatons, insttutons and governments. If any of the issuers or counterpartes to these instruments were to default on their obligatons, it could materially reduce the value of the transacton and adversely afect our cash fows.</w:t>
      </w:r>
    </w:p>
    <w:p>
      <w:pPr>
        <w:jc w:val="center"/>
        <w:ind w:right="-19"/>
        <w:spacing w:after="0" w:line="237" w:lineRule="auto"/>
        <w:rPr>
          <w:sz w:val="20"/>
          <w:szCs w:val="20"/>
          <w:color w:val="auto"/>
        </w:rPr>
      </w:pPr>
      <w:r>
        <w:rPr>
          <w:rFonts w:ascii="Calibri" w:cs="Calibri" w:eastAsia="Calibri" w:hAnsi="Calibri"/>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33" w:name="page34"/>
    <w:bookmarkEnd w:id="33"/>
    <w:p>
      <w:pPr>
        <w:ind w:right="120" w:firstLine="509"/>
        <w:spacing w:after="0" w:line="235" w:lineRule="auto"/>
        <w:rPr>
          <w:sz w:val="20"/>
          <w:szCs w:val="20"/>
          <w:color w:val="auto"/>
        </w:rPr>
      </w:pPr>
      <w:r>
        <w:rPr>
          <w:rFonts w:ascii="Calibri" w:cs="Calibri" w:eastAsia="Calibri" w:hAnsi="Calibri"/>
          <w:sz w:val="18"/>
          <w:szCs w:val="18"/>
          <w:color w:val="auto"/>
        </w:rPr>
        <w:t>If our cash fows are materially and adversely afected or if we are unable to access our existng cash, cash equivalents and investments and/or are unable to obtain funding on a tmely basis, or at all, we may be required to signifcantly curtail, delay, or discontnue one or more of our research or development programs or the commercializaton of our products and any approved product candidates or be unable to expand our operatons or otherwise capitalize on our business opportunites, as desired, which could materially afect our business, fnancial conditon, and results of operatons.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the Discovery and Development of Our Product Candidates</w:t>
      </w:r>
    </w:p>
    <w:p>
      <w:pPr>
        <w:spacing w:after="0" w:line="82"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b w:val="1"/>
          <w:bCs w:val="1"/>
          <w:i w:val="1"/>
          <w:iCs w:val="1"/>
          <w:color w:val="auto"/>
        </w:rPr>
        <w:t>Clinical drug development involves a lengthy, complex, and expensive process with uncertain outcomes and the potental for substantal delays, and the results of earlier studies may not be predictve of future study results.</w:t>
      </w:r>
    </w:p>
    <w:p>
      <w:pPr>
        <w:spacing w:after="0" w:line="83"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Before obtaining marketng approval from regulatory authorites for the sale of our product candidates, we must conduct extensive clinical studies to demonstrate the safety and efcacy of the product candidates in humans. Clinical testng is expensive, complex, tme consuming, and uncertain as to outcome. We cannot guarantee that any clinical studies will be conducted as planned or completed on schedule, if at all. We have also had difcultes in recruitng clinical site investgators and clinical staf for our studies, and may contnue to experience such difcultes. Additonally, a failure of one or more clinical studies can occur at any stage of testng, and our future clinical studies may not be successful. Product candidates that have shown promising results in early-stage clinical studies may stll sufer signifcant setbacks or fail in subsequent clinical studies. The safety or efcacy results generated to date in clinical studies do not ensure that later clinical studies will demonstrate similar results. Further, we have reported and expect to contnue to report preliminary or interim data from our clinical trials. Preliminary or interim data from our clinical trials are subject to the risk that one or more of the clinical outcomes may materially change as patent enrollment contnues and/or more patent data become available. Such data may show inital evidence of clinical beneft, but as patents contnue to be assessed and more patent data become available, there is a risk that any therapeutc efects are no longer durable in patents and/or decrease over tme or cease entrely. As a result, preliminary or interim data should be considered carefully and with cauton untl the fnal data are available. Results from investgator-sponsored studies or compassionate-use studies may not be confrmed in company-sponsored studies or may negatvely impact the prospects for our programs. Additonally, given the nature of the rare diseases we are seeking to treat, we ofen devise newly-defned endpoints to be tested in our studies, which can lead to subjectvity in interpretng study results and could result in regulatory agencies not agreeing with the validity of our endpoints, or our interpretaton of the clinical data, and therefore delaying or denying approval. Given the illness of the patents in our studies and the nature of their rare diseases, we have also been required to, or have chosen to, conduct certain studies on an open-label basis. We have in the past, and may in the future, elect to review interim clinical data at multple tme points during the studies, which could introduce bias into the study results and potentally result in denial of approval.</w:t>
      </w:r>
    </w:p>
    <w:p>
      <w:pPr>
        <w:spacing w:after="0" w:line="96"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the biopharmaceutcal industry, there is a high failure rate for drugs and biologics proceeding through clinical studies, and product candidates in later stages of clinical studies may fail to show the desired safety and efcacy despite having progressed through nonclinical studies and inital clinical studies. A number of companies in the biopharmaceutcal industry have sufered signifcant setbacks in advanced clinical studies due to lack of efcacy or adverse safety profles, notwithstanding promising results in earlier studies.</w:t>
      </w:r>
    </w:p>
    <w:p>
      <w:pPr>
        <w:spacing w:after="0" w:line="80"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Scenarios that can prevent successful or tmely completon of clinical development include but are not limited to:</w:t>
      </w:r>
    </w:p>
    <w:p>
      <w:pPr>
        <w:spacing w:after="0" w:line="96" w:lineRule="exact"/>
        <w:rPr>
          <w:sz w:val="20"/>
          <w:szCs w:val="20"/>
          <w:color w:val="auto"/>
        </w:rPr>
      </w:pPr>
    </w:p>
    <w:p>
      <w:pPr>
        <w:ind w:left="900" w:right="20" w:hanging="383"/>
        <w:spacing w:after="0" w:line="235" w:lineRule="auto"/>
        <w:tabs>
          <w:tab w:leader="none" w:pos="90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 xml:space="preserve">delays or failures in generatng sufcient preclinical, toxicology, or other </w:t>
      </w:r>
      <w:r>
        <w:rPr>
          <w:rFonts w:ascii="Calibri" w:cs="Calibri" w:eastAsia="Calibri" w:hAnsi="Calibri"/>
          <w:sz w:val="18"/>
          <w:szCs w:val="18"/>
          <w:i w:val="1"/>
          <w:iCs w:val="1"/>
          <w:color w:val="auto"/>
        </w:rPr>
        <w:t>in vivo</w:t>
      </w:r>
      <w:r>
        <w:rPr>
          <w:rFonts w:ascii="Calibri" w:cs="Calibri" w:eastAsia="Calibri" w:hAnsi="Calibri"/>
          <w:sz w:val="18"/>
          <w:szCs w:val="18"/>
          <w:color w:val="auto"/>
        </w:rPr>
        <w:t xml:space="preserve"> or </w:t>
      </w:r>
      <w:r>
        <w:rPr>
          <w:rFonts w:ascii="Calibri" w:cs="Calibri" w:eastAsia="Calibri" w:hAnsi="Calibri"/>
          <w:sz w:val="18"/>
          <w:szCs w:val="18"/>
          <w:i w:val="1"/>
          <w:iCs w:val="1"/>
          <w:color w:val="auto"/>
        </w:rPr>
        <w:t>in vitro</w:t>
      </w:r>
      <w:r>
        <w:rPr>
          <w:rFonts w:ascii="Calibri" w:cs="Calibri" w:eastAsia="Calibri" w:hAnsi="Calibri"/>
          <w:sz w:val="18"/>
          <w:szCs w:val="18"/>
          <w:color w:val="auto"/>
        </w:rPr>
        <w:t xml:space="preserve"> data to support the initaton or contnuaton of human clinical studies or flings for regulatory approval;</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failure to demonstrate a startng dose for our product candidates in the clinic that might be reasonably expected to result in a clinical beneft;</w:t>
      </w:r>
    </w:p>
    <w:p>
      <w:pPr>
        <w:spacing w:after="0" w:line="95" w:lineRule="exact"/>
        <w:rPr>
          <w:rFonts w:ascii="Times New Roman" w:cs="Times New Roman" w:eastAsia="Times New Roman" w:hAnsi="Times New Roman"/>
          <w:sz w:val="18"/>
          <w:szCs w:val="18"/>
          <w:color w:val="auto"/>
        </w:rPr>
      </w:pPr>
    </w:p>
    <w:p>
      <w:pPr>
        <w:ind w:left="900" w:right="160" w:hanging="383"/>
        <w:spacing w:after="0" w:line="235" w:lineRule="auto"/>
        <w:tabs>
          <w:tab w:leader="none" w:pos="90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delays or failures in developing gene therapy, or other novel and complex product candidates, which are expensive and difcult to develop and manufacture;</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delays resultng from a shutdown, or uncertainty surrounding the potental for future shutdowns of the U.S. government, including the FDA;</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delays or failures in reaching a consensus with regulatory agencies on study design;</w:t>
      </w:r>
    </w:p>
    <w:p>
      <w:pPr>
        <w:spacing w:after="0" w:line="95" w:lineRule="exact"/>
        <w:rPr>
          <w:rFonts w:ascii="Times New Roman" w:cs="Times New Roman" w:eastAsia="Times New Roman" w:hAnsi="Times New Roman"/>
          <w:sz w:val="18"/>
          <w:szCs w:val="18"/>
          <w:color w:val="auto"/>
        </w:rPr>
      </w:pPr>
    </w:p>
    <w:p>
      <w:pPr>
        <w:ind w:left="900" w:right="400" w:hanging="383"/>
        <w:spacing w:after="0" w:line="235" w:lineRule="auto"/>
        <w:tabs>
          <w:tab w:leader="none" w:pos="90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delays in reaching agreement on acceptable terms with contract research organizatons, or CROs, clinical study sites, and other clinical trial-related vendors;</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failure or delays in obtaining required regulatory agency approval and/or IRB or EC approval at each clinical study site or in certain countries;</w:t>
      </w:r>
    </w:p>
    <w:p>
      <w:pPr>
        <w:spacing w:after="0" w:line="95" w:lineRule="exact"/>
        <w:rPr>
          <w:rFonts w:ascii="Times New Roman" w:cs="Times New Roman" w:eastAsia="Times New Roman" w:hAnsi="Times New Roman"/>
          <w:sz w:val="18"/>
          <w:szCs w:val="18"/>
          <w:color w:val="auto"/>
        </w:rPr>
      </w:pPr>
    </w:p>
    <w:p>
      <w:pPr>
        <w:ind w:left="900" w:right="440" w:hanging="383"/>
        <w:spacing w:after="0" w:line="235" w:lineRule="auto"/>
        <w:tabs>
          <w:tab w:leader="none" w:pos="90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failure to correctly design clinical studies which may result in those studies failing to meet their endpoints or the expectatons of regulatory agencies;</w:t>
      </w:r>
    </w:p>
    <w:p>
      <w:pPr>
        <w:jc w:val="center"/>
        <w:ind w:right="-19"/>
        <w:spacing w:after="0" w:line="236" w:lineRule="auto"/>
        <w:rPr>
          <w:sz w:val="20"/>
          <w:szCs w:val="20"/>
          <w:color w:val="auto"/>
        </w:rPr>
      </w:pPr>
      <w:r>
        <w:rPr>
          <w:rFonts w:ascii="Calibri" w:cs="Calibri" w:eastAsia="Calibri" w:hAnsi="Calibri"/>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4" w:name="page35"/>
    <w:bookmarkEnd w:id="34"/>
    <w:p>
      <w:pPr>
        <w:ind w:left="900" w:right="300" w:hanging="383"/>
        <w:spacing w:after="0" w:line="235" w:lineRule="auto"/>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changes in clinical study design or development strategy resultng in delays related to obtaining approvals from IRBs or ECs and/or regulatory agencies to proceed with clinical studies;</w:t>
      </w:r>
    </w:p>
    <w:p>
      <w:pPr>
        <w:spacing w:after="0" w:line="96" w:lineRule="exact"/>
        <w:rPr>
          <w:rFonts w:ascii="Times New Roman" w:cs="Times New Roman" w:eastAsia="Times New Roman" w:hAnsi="Times New Roman"/>
          <w:sz w:val="18"/>
          <w:szCs w:val="18"/>
          <w:color w:val="auto"/>
        </w:rPr>
      </w:pPr>
    </w:p>
    <w:p>
      <w:pPr>
        <w:ind w:left="900" w:right="740" w:hanging="383"/>
        <w:spacing w:after="0" w:line="235" w:lineRule="auto"/>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impositon of a clinical hold by regulatory agencies afer review of an IND applicaton or amendment, another equivalent applicaton or amendment, or an inspecton of our clinical study operatons or study sites;</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delays in recruitng suitable patents to partcipate in our clinical studies;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difculty collaboratng with patent groups and investgators;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failure by our CROs, other third partes, or us to adhere to clinical study requirements;</w:t>
      </w:r>
    </w:p>
    <w:p>
      <w:pPr>
        <w:spacing w:after="0" w:line="95" w:lineRule="exact"/>
        <w:rPr>
          <w:rFonts w:ascii="Times New Roman" w:cs="Times New Roman" w:eastAsia="Times New Roman" w:hAnsi="Times New Roman"/>
          <w:sz w:val="18"/>
          <w:szCs w:val="18"/>
          <w:color w:val="auto"/>
        </w:rPr>
      </w:pPr>
    </w:p>
    <w:p>
      <w:pPr>
        <w:ind w:left="900" w:right="320" w:hanging="383"/>
        <w:spacing w:after="0" w:line="235" w:lineRule="auto"/>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failure to perform in accordance with the FDA’s and/or ICH’s good clinical practces requirements or applicable regulatory guidelines in other countries;</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delays in patents’ completon of studies or their returns for post-treatment follow-up;</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patents dropping out of a study;</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adverse events associated with the product candidate occurring that are viewed to outweigh its potental benefts;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changes in regulatory requirements and guidance that require amending or submitng new clinical protocols;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greater than antcipated costs associated with clinical studies of our drug candidates, including as a result of infaton;</w:t>
      </w:r>
    </w:p>
    <w:p>
      <w:pPr>
        <w:spacing w:after="0" w:line="95" w:lineRule="exact"/>
        <w:rPr>
          <w:rFonts w:ascii="Times New Roman" w:cs="Times New Roman" w:eastAsia="Times New Roman" w:hAnsi="Times New Roman"/>
          <w:sz w:val="18"/>
          <w:szCs w:val="18"/>
          <w:color w:val="auto"/>
        </w:rPr>
      </w:pPr>
    </w:p>
    <w:p>
      <w:pPr>
        <w:ind w:left="900" w:right="180" w:hanging="383"/>
        <w:spacing w:after="0" w:line="235" w:lineRule="auto"/>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clinical studies of our drug candidates producing negatve or inconclusive results, which may result in us deciding, or regulators requiring us, to conduct additonal clinical or nonclinical studies or to abandon drug development programs;</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competng clinical studies of potental alternatve product candidates or investgator-sponsored studies of our product candidates; and</w:t>
      </w:r>
    </w:p>
    <w:p>
      <w:pPr>
        <w:spacing w:after="0" w:line="95" w:lineRule="exact"/>
        <w:rPr>
          <w:rFonts w:ascii="Times New Roman" w:cs="Times New Roman" w:eastAsia="Times New Roman" w:hAnsi="Times New Roman"/>
          <w:sz w:val="18"/>
          <w:szCs w:val="18"/>
          <w:color w:val="auto"/>
        </w:rPr>
      </w:pPr>
    </w:p>
    <w:p>
      <w:pPr>
        <w:ind w:left="900" w:right="320" w:hanging="383"/>
        <w:spacing w:after="0" w:line="235" w:lineRule="auto"/>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delays in manufacturing, testng, releasing, validatng, or importng/exportng sufcient stable quanttes of our product candidates for use in clinical studies or the inability to do any of the foregoing.</w:t>
      </w:r>
    </w:p>
    <w:p>
      <w:pPr>
        <w:spacing w:after="0" w:line="83" w:lineRule="exact"/>
        <w:rPr>
          <w:sz w:val="20"/>
          <w:szCs w:val="20"/>
          <w:color w:val="auto"/>
        </w:rPr>
      </w:pPr>
    </w:p>
    <w:p>
      <w:pPr>
        <w:ind w:right="20" w:firstLine="509"/>
        <w:spacing w:after="0" w:line="251" w:lineRule="auto"/>
        <w:rPr>
          <w:sz w:val="20"/>
          <w:szCs w:val="20"/>
          <w:color w:val="auto"/>
        </w:rPr>
      </w:pPr>
      <w:r>
        <w:rPr>
          <w:rFonts w:ascii="Calibri" w:cs="Calibri" w:eastAsia="Calibri" w:hAnsi="Calibri"/>
          <w:sz w:val="17"/>
          <w:szCs w:val="17"/>
          <w:color w:val="auto"/>
        </w:rPr>
        <w:t>Any inability to successfully complete nonclinical and clinical development could result in additonal costs to us or negatvely impact our ability to generate revenue. In additon, if we make manufacturing or formulaton changes to our product candidates, we may need to conduct additonal toxicology, comparability or other studies to bridge our modifed product candidates to earlier versions. Clinical study delays could also shorten any periods during which our products have commercial exclusivity and may allow our compettors to bring products to market before we do, which could negatvely impact our ability to obtain orphan exclusivity and to successfully commercialize our product candidates and may harm our business and results of operatons.</w:t>
      </w:r>
    </w:p>
    <w:p>
      <w:pPr>
        <w:spacing w:after="0" w:line="238"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b w:val="1"/>
          <w:bCs w:val="1"/>
          <w:i w:val="1"/>
          <w:iCs w:val="1"/>
          <w:color w:val="auto"/>
        </w:rPr>
        <w:t>If we do not achieve our projected development goals in the tme frames we announce and expect, the commercializaton of our products may be delayed and the credibility of our management may be adversely afected and, as a result, our stock price may decline.</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For planning purposes, we estmate the tming of the accomplishment of various scientfc, clinical, regulatory, and other product development goals, which we sometmes refer to as milestones. These milestones may include the commencement or completon of scientfc studies and clinical trials, the tming of patent dosing, the tming, type or clarity of data from clinical trials, the submission or acceptance of regulatory flings, and the potental approval of such regulatory flings. We periodically make public announcements about the expected tming of some of these milestones. All of these milestones are based on a variety of assumptons, but the actual tming of these milestones can vary dramatcally from our estmates. If we do not meet these publicly announced milestones, the commercializaton of our products may be delayed and the credibility of our management may be adversely afected and, as a result, our stock price may decline.</w:t>
      </w:r>
    </w:p>
    <w:p>
      <w:pPr>
        <w:spacing w:after="0" w:line="24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b w:val="1"/>
          <w:bCs w:val="1"/>
          <w:i w:val="1"/>
          <w:iCs w:val="1"/>
          <w:color w:val="auto"/>
        </w:rPr>
        <w:t>We may fnd it difcult to identfy and enroll patents in our clinical studies due to a variety of factors, including the limited number of patents who have the diseases for which our product candidates are being studied and other unforeseen events. Difculty in enrolling patents could delay or prevent clinical studies of our product candidates.</w:t>
      </w:r>
    </w:p>
    <w:p>
      <w:pPr>
        <w:spacing w:after="0" w:line="84"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Identfying and qualifying patents to partcipate in clinical studies of our product candidates is critcal to our success. The tming of our clinical studies depends in part on the speed at which we can recruit patents to partcipate in testng our product candidates, and we may experience delays in our clinical studies if we encounter difcultes in enrollment.</w:t>
      </w:r>
    </w:p>
    <w:p>
      <w:pPr>
        <w:spacing w:after="0" w:line="84"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Each of the conditons for which we plan to evaluate our current product candidates is a rare genetc disease. Accordingly, there are limited patent pools from which to draw for clinical studies. For example, we estmate that approximately 6,000 patents worldwide sufer from GSDIa, for which DTX401 is being studied, and these all may not be treatable if they are immune to the AAV viral vector.</w:t>
      </w:r>
    </w:p>
    <w:p>
      <w:pPr>
        <w:jc w:val="center"/>
        <w:ind w:right="-19"/>
        <w:spacing w:after="0" w:line="237" w:lineRule="auto"/>
        <w:rPr>
          <w:sz w:val="20"/>
          <w:szCs w:val="20"/>
          <w:color w:val="auto"/>
        </w:rPr>
      </w:pPr>
      <w:r>
        <w:rPr>
          <w:rFonts w:ascii="Calibri" w:cs="Calibri" w:eastAsia="Calibri" w:hAnsi="Calibri"/>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5" w:name="page36"/>
    <w:bookmarkEnd w:id="35"/>
    <w:p>
      <w:pPr>
        <w:ind w:right="80" w:firstLine="509"/>
        <w:spacing w:after="0" w:line="235" w:lineRule="auto"/>
        <w:rPr>
          <w:sz w:val="20"/>
          <w:szCs w:val="20"/>
          <w:color w:val="auto"/>
        </w:rPr>
      </w:pPr>
      <w:r>
        <w:rPr>
          <w:rFonts w:ascii="Calibri" w:cs="Calibri" w:eastAsia="Calibri" w:hAnsi="Calibri"/>
          <w:sz w:val="18"/>
          <w:szCs w:val="18"/>
          <w:color w:val="auto"/>
        </w:rPr>
        <w:t>In additon to the rarity of these diseases, the eligibility criteria of our clinical studies will further limit the pool of available study partcipants as we will require patents to have specifc characteristcs that we can measure or to assure their disease is either severe enough or not too advanced to include them in a study. The process of fnding and diagnosing patents is costly and tme-consuming, especially since the rare diseases we are studying are commonly underdiagnosed. We also may not be able to identfy, recruit, and enroll a sufcient number of appropriate patents to complete our clinical studies because of demographic criteria for prospectve patents, the perceived risks and benefts of the product candidate under study, the proximity and availability of clinical study sites for prospectve patents, and the patent referral practces of physicians. The availability and efcacy of competng therapies and clinical studies can also adversely impact enrollment. If patents are unwilling to partcipate in our studies for any reason (such as drug-related side efects), the tmeline for and our success in recruitng patents, conductng studies, and obtaining regulatory approval of potental products may be delayed or impaired, the commercial prospects of our product candidates will be harmed, and our ability to generate product sales from any of these product candidates could be delayed or prevented. Delays in completng our clinical studies will increase our costs, slow down our product candidate development and approval process, and jeopardize our ability to commence product sales and generate revenue.</w:t>
      </w:r>
    </w:p>
    <w:p>
      <w:pPr>
        <w:spacing w:after="0" w:line="252"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b w:val="1"/>
          <w:bCs w:val="1"/>
          <w:i w:val="1"/>
          <w:iCs w:val="1"/>
          <w:color w:val="auto"/>
        </w:rPr>
        <w:t>The regulatory approval processes of the FDA and comparable foreign authorites are lengthy, tme consuming, and inherently unpredictable. Even if we achieve positve results in our pre-clinical and clinical studies, if we are ultmately unable to obtain tmely regulatory approval for our product candidates, our business will be substantally harmed.</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Our future success is dependent on our ability to successfully commercialize our products and develop, obtain regulatory approval for, and then successfully commercialize one or more product candidates. We are not permited to market or promote any of our product candidates before we receive regulatory approval from the FDA or comparable foreign regulatory authorites. We have only obtained regulatory approval for three products that we have developed, and it is possible that none of our existng product candidates or any product candidates we may seek to develop in the future will ever obtain regulatory approval. Further, as the clinical trial requirements of regulatory authorites and the criteria these regulators use to determine the safety and efcacy of a product candidate vary substantally according to the type, complexity, novelty and intended use and market of the product candidates, the regulatory approval process for novel product candidates, such as our gene therapy product candidates, can be more expensive and take longer than for other product candidates, leading to fewer product approvals. To date, very few gene therapy products have received regulatory approval in the U.S. or Europe. The regulatory framework and oversight over development of gene therapy products has evolved and may contnue to evolve in the future. Within the FDA, the Center for Biologics Evaluaton and Research, or CBER, regulates gene therapy products. Within the CBER, the review of gene therapy and related products is consolidated in the Ofce of Cellular, Tissue and Gene Therapies, and the FDA has established the Cellular, Tissue and Gene Therapies Advisory Commitee to advise CBER on its reviews. The CBER works closely with the Natonal Insttutes of Health, or NIH. The FDA and the NIH have published guidance with respect to the development and submission of gene therapy protocols. For example, in January 2020, the FDA issued fnal guidance to set forth the framework for the development, review and approval of gene therapies. The fnal guidance pertains to the development of gene therapies for the treatment of specifc disease categories, including rare diseases, and to manufacturing and long-term follow up issues relevant to gene therapy, among other topics. At the same tme the FDA issued guidance describing the FDA’s approach for determining whether two gene therapy products were the same or diferent for the purpose of assessing orphan drug exclusivity. Within the European Medicines Agency, or EMA, special rules apply to gene therapy and related products as they are considered advanced therapy medicinal products, or ATMPs. Pursuant to the ATMP Regulaton, the Commitee on Advanced Therapies, or CAT, is responsible in conjuncton with the Commitee for Medicinal Products for Human Use, or CHMP, for the evaluaton of ATMPs. The CHMP and CAT are also responsible for providing guidelines on ATMPs. These guidelines provide additonal guidance on the factors that the EMA will consider in relaton to the development and evaluaton of ATMPs and include, among other things, the preclinical studies required to characterize ATMPs. The manufacturing and control informaton that should be submited in a MAA; and post-approval measures required to monitor patents and evaluate the long-term efcacy and potental adverse reactons of ATMPs. Although such guidelines are not legally binding, compliance with them is ofen necessary to gain and maintain approval for product candidates. In additon to the mandatory risk-management plan, or RMP, the holder of a marketng authorizaton for an ATMP must put in place and maintain a system to ensure that each individual product and its startng and raw materials, including all substances coming into contact with the cells or tssues it may contain, can be traced through the sourcing, manufacturing, packaging, storage, transport, and delivery to the relevant healthcare insttuton where the product is used.</w:t>
      </w:r>
    </w:p>
    <w:p>
      <w:pPr>
        <w:spacing w:after="0" w:line="1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6" w:name="page37"/>
    <w:bookmarkEnd w:id="36"/>
    <w:p>
      <w:pPr>
        <w:ind w:right="80" w:firstLine="509"/>
        <w:spacing w:after="0" w:line="235" w:lineRule="auto"/>
        <w:rPr>
          <w:sz w:val="20"/>
          <w:szCs w:val="20"/>
          <w:color w:val="auto"/>
        </w:rPr>
      </w:pPr>
      <w:r>
        <w:rPr>
          <w:rFonts w:ascii="Calibri" w:cs="Calibri" w:eastAsia="Calibri" w:hAnsi="Calibri"/>
          <w:sz w:val="18"/>
          <w:szCs w:val="18"/>
          <w:color w:val="auto"/>
        </w:rPr>
        <w:t>To obtain regulatory approval in the U.S. and other jurisdictons, we must comply with numerous and varying requirements regarding safety, efcacy, chemistry, manufacturing and controls, clinical studies (including good clinical practces), commercial sales, pricing, and distributon of our product candidates, as described above in “Item 1. Business – Government Regulaton”. Even if we are successful in obtaining approval in one jurisdicton, we cannot ensure that we will obtain approval in any other jurisdictons. In additon, approval policies, regulatons, positons of the regulatory agencies on study design and/or endpoints, or the type and amount of clinical data necessary to gain approval may change during the course of a product candidate’s clinical development, which may cause delays in the approval or the decision not to approve an applicaton. Communicatons with the regulatory agencies during the approval process are also unpredictable; favorable communicatons early in the process do not ensure that approval will be obtained and unfavorable communicatons early on do not guarantee that approval will be denied. Applicatons for our product candidates could fail to receive regulatory approval, or could be delayed in receiving regulatory approval, for many reasons, including but not limited to the following:</w:t>
      </w:r>
    </w:p>
    <w:p>
      <w:pPr>
        <w:spacing w:after="0" w:line="97" w:lineRule="exact"/>
        <w:rPr>
          <w:sz w:val="20"/>
          <w:szCs w:val="20"/>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regulatory authorites may disagree with the design, implementaton, or conduct of our clinical studies;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regulatory authorites may change their guidance or requirements for a development program for a product candidate;</w:t>
      </w:r>
    </w:p>
    <w:p>
      <w:pPr>
        <w:spacing w:after="0" w:line="95" w:lineRule="exact"/>
        <w:rPr>
          <w:rFonts w:ascii="Times New Roman" w:cs="Times New Roman" w:eastAsia="Times New Roman" w:hAnsi="Times New Roman"/>
          <w:sz w:val="18"/>
          <w:szCs w:val="18"/>
          <w:color w:val="auto"/>
        </w:rPr>
      </w:pPr>
    </w:p>
    <w:p>
      <w:pPr>
        <w:ind w:left="900" w:right="100" w:hanging="383"/>
        <w:spacing w:after="0" w:line="235" w:lineRule="auto"/>
        <w:tabs>
          <w:tab w:leader="none" w:pos="9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populaton studied in the clinical program may not be sufciently broad or representatve to assure efcacy and safety in the full populaton for which we seek approval;</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regulatory authorites may disagree with our interpretaton of data from nonclinical studies or clinical studies;</w:t>
      </w:r>
    </w:p>
    <w:p>
      <w:pPr>
        <w:spacing w:after="0" w:line="95" w:lineRule="exact"/>
        <w:rPr>
          <w:rFonts w:ascii="Times New Roman" w:cs="Times New Roman" w:eastAsia="Times New Roman" w:hAnsi="Times New Roman"/>
          <w:sz w:val="18"/>
          <w:szCs w:val="18"/>
          <w:color w:val="auto"/>
        </w:rPr>
      </w:pPr>
    </w:p>
    <w:p>
      <w:pPr>
        <w:ind w:left="900" w:right="80" w:hanging="383"/>
        <w:spacing w:after="0" w:line="235" w:lineRule="auto"/>
        <w:tabs>
          <w:tab w:leader="none" w:pos="9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data collected from clinical studies of our product candidates may not be sufcient to support the submission of an NDA, or biologics license applicaton, or BLA, or other submission or to obtain regulatory approval;</w:t>
      </w:r>
    </w:p>
    <w:p>
      <w:pPr>
        <w:spacing w:after="0" w:line="9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7"/>
          <w:szCs w:val="17"/>
          <w:color w:val="auto"/>
        </w:rPr>
      </w:pPr>
      <w:r>
        <w:rPr>
          <w:rFonts w:ascii="Calibri" w:cs="Calibri" w:eastAsia="Calibri" w:hAnsi="Calibri"/>
          <w:sz w:val="17"/>
          <w:szCs w:val="17"/>
          <w:color w:val="auto"/>
        </w:rPr>
        <w:t>we may be unable to demonstrate to regulatory authorites that a product candidate’s risk-beneft rato for its proposed indicaton is acceptable;</w:t>
      </w:r>
    </w:p>
    <w:p>
      <w:pPr>
        <w:spacing w:after="0" w:line="102" w:lineRule="exact"/>
        <w:rPr>
          <w:rFonts w:ascii="Times New Roman" w:cs="Times New Roman" w:eastAsia="Times New Roman" w:hAnsi="Times New Roman"/>
          <w:sz w:val="17"/>
          <w:szCs w:val="17"/>
          <w:color w:val="auto"/>
        </w:rPr>
      </w:pPr>
    </w:p>
    <w:p>
      <w:pPr>
        <w:ind w:left="900" w:right="60" w:hanging="383"/>
        <w:spacing w:after="0" w:line="235" w:lineRule="auto"/>
        <w:tabs>
          <w:tab w:leader="none" w:pos="9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regulatory authorites may fail to approve the manufacturing processes, test procedures and specifcatons, or facilites used to manufacture our clinical and commercial supplies;</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U.S. government may be shut down, which could delay the FDA;</w:t>
      </w:r>
    </w:p>
    <w:p>
      <w:pPr>
        <w:spacing w:after="0" w:line="95" w:lineRule="exact"/>
        <w:rPr>
          <w:rFonts w:ascii="Times New Roman" w:cs="Times New Roman" w:eastAsia="Times New Roman" w:hAnsi="Times New Roman"/>
          <w:sz w:val="18"/>
          <w:szCs w:val="18"/>
          <w:color w:val="auto"/>
        </w:rPr>
      </w:pPr>
    </w:p>
    <w:p>
      <w:pPr>
        <w:ind w:left="900" w:hanging="383"/>
        <w:spacing w:after="0" w:line="235" w:lineRule="auto"/>
        <w:tabs>
          <w:tab w:leader="none" w:pos="9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FDA may be delayed in responding to our applicatons or submissions due to competng priorites or limited resources, including as a result of the lack of FDA funding or personnel;</w:t>
      </w:r>
    </w:p>
    <w:p>
      <w:pPr>
        <w:spacing w:after="0" w:line="96" w:lineRule="exact"/>
        <w:rPr>
          <w:rFonts w:ascii="Times New Roman" w:cs="Times New Roman" w:eastAsia="Times New Roman" w:hAnsi="Times New Roman"/>
          <w:sz w:val="18"/>
          <w:szCs w:val="18"/>
          <w:color w:val="auto"/>
        </w:rPr>
      </w:pPr>
    </w:p>
    <w:p>
      <w:pPr>
        <w:ind w:left="900" w:right="180" w:hanging="383"/>
        <w:spacing w:after="0" w:line="235" w:lineRule="auto"/>
        <w:tabs>
          <w:tab w:leader="none" w:pos="9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failure of our nonclinical or clinical development to comply with an agreed upon Pediatric Investgatonal Plan, or PIP, which details the designs and completon tmelines for nonclinical and clinical studies and is a conditon of marketng authorizaton in the EU; and</w:t>
      </w:r>
    </w:p>
    <w:p>
      <w:pPr>
        <w:spacing w:after="0" w:line="96" w:lineRule="exact"/>
        <w:rPr>
          <w:rFonts w:ascii="Times New Roman" w:cs="Times New Roman" w:eastAsia="Times New Roman" w:hAnsi="Times New Roman"/>
          <w:sz w:val="18"/>
          <w:szCs w:val="18"/>
          <w:color w:val="auto"/>
        </w:rPr>
      </w:pPr>
    </w:p>
    <w:p>
      <w:pPr>
        <w:ind w:left="900" w:right="400" w:hanging="383"/>
        <w:spacing w:after="0" w:line="235" w:lineRule="auto"/>
        <w:tabs>
          <w:tab w:leader="none" w:pos="9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approval policies or regulatons of regulatory authorites may signifcantly change in a manner rendering our clinical data insufcient for approval.</w:t>
      </w:r>
    </w:p>
    <w:p>
      <w:pPr>
        <w:spacing w:after="0" w:line="83"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Furthermore, the disease states we are evaluatng ofen do not have clear regulatory paths for approval and/or do not have validated outcome measures. In these circumstances, we work closely with the regulatory authorites to defne the approval path and may have to qualify outcome measures as part of our development programs. Additonally, many of the disease states we are targetng are highly heterogeneous in nature, which may impact our ability to determine the treatment beneft of our potental therapies.</w:t>
      </w:r>
    </w:p>
    <w:p>
      <w:pPr>
        <w:spacing w:after="0" w:line="84" w:lineRule="exact"/>
        <w:rPr>
          <w:sz w:val="20"/>
          <w:szCs w:val="20"/>
          <w:color w:val="auto"/>
        </w:rPr>
      </w:pPr>
    </w:p>
    <w:p>
      <w:pPr>
        <w:ind w:right="240" w:firstLine="509"/>
        <w:spacing w:after="0" w:line="235" w:lineRule="auto"/>
        <w:rPr>
          <w:sz w:val="20"/>
          <w:szCs w:val="20"/>
          <w:color w:val="auto"/>
        </w:rPr>
      </w:pPr>
      <w:r>
        <w:rPr>
          <w:rFonts w:ascii="Calibri" w:cs="Calibri" w:eastAsia="Calibri" w:hAnsi="Calibri"/>
          <w:sz w:val="18"/>
          <w:szCs w:val="18"/>
          <w:color w:val="auto"/>
        </w:rPr>
        <w:t>This lengthy and uncertain approval process, as well as the unpredictability of the clinical and nonclinical studies, may result in our failure to obtain regulatory approval to market any of our product candidates, or delayed regulatory approval.</w:t>
      </w:r>
    </w:p>
    <w:p>
      <w:pPr>
        <w:spacing w:after="0" w:line="245" w:lineRule="exact"/>
        <w:rPr>
          <w:sz w:val="20"/>
          <w:szCs w:val="20"/>
          <w:color w:val="auto"/>
        </w:rPr>
      </w:pPr>
    </w:p>
    <w:p>
      <w:pPr>
        <w:ind w:right="440"/>
        <w:spacing w:after="0" w:line="235" w:lineRule="auto"/>
        <w:rPr>
          <w:sz w:val="20"/>
          <w:szCs w:val="20"/>
          <w:color w:val="auto"/>
        </w:rPr>
      </w:pPr>
      <w:r>
        <w:rPr>
          <w:rFonts w:ascii="Calibri" w:cs="Calibri" w:eastAsia="Calibri" w:hAnsi="Calibri"/>
          <w:sz w:val="18"/>
          <w:szCs w:val="18"/>
          <w:b w:val="1"/>
          <w:bCs w:val="1"/>
          <w:i w:val="1"/>
          <w:iCs w:val="1"/>
          <w:color w:val="auto"/>
        </w:rPr>
        <w:t>Fast Track, Breakthrough Therapy, Priority Review, or Regeneratve Medicine Advanced Therapy, or RMAT, designatons by the FDA, or access to the Priority Medicine scheme, or PRIME, by the EMA, for our product candidates, if granted, may not lead to</w:t>
      </w:r>
    </w:p>
    <w:p>
      <w:pPr>
        <w:jc w:val="center"/>
        <w:ind w:right="-19"/>
        <w:spacing w:after="0" w:line="236" w:lineRule="auto"/>
        <w:rPr>
          <w:sz w:val="20"/>
          <w:szCs w:val="20"/>
          <w:color w:val="auto"/>
        </w:rPr>
      </w:pPr>
      <w:r>
        <w:rPr>
          <w:rFonts w:ascii="Calibri" w:cs="Calibri" w:eastAsia="Calibri" w:hAnsi="Calibri"/>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7" w:name="page38"/>
    <w:bookmarkEnd w:id="37"/>
    <w:p>
      <w:pPr>
        <w:ind w:right="240"/>
        <w:spacing w:after="0" w:line="235" w:lineRule="auto"/>
        <w:rPr>
          <w:sz w:val="20"/>
          <w:szCs w:val="20"/>
          <w:color w:val="auto"/>
        </w:rPr>
      </w:pPr>
      <w:r>
        <w:rPr>
          <w:rFonts w:ascii="Calibri" w:cs="Calibri" w:eastAsia="Calibri" w:hAnsi="Calibri"/>
          <w:sz w:val="18"/>
          <w:szCs w:val="18"/>
          <w:b w:val="1"/>
          <w:bCs w:val="1"/>
          <w:i w:val="1"/>
          <w:iCs w:val="1"/>
          <w:color w:val="auto"/>
        </w:rPr>
        <w:t>faster development or regulatory review or approval process, and it does not increase the likelihood that our product candidates will receive marketng approval.</w:t>
      </w:r>
    </w:p>
    <w:p>
      <w:pPr>
        <w:spacing w:after="0" w:line="83"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As described in “Item 1. Business – Government Regulaton”, we seek Fast Track, Breakthrough Therapy designaton, RMAT designaton, PRIME scheme access or Priority Review designaton for our product candidates if supported by the results of clinical trials. Designaton as a Fast Track product, Breakthrough Therapy, RMAT, PRIME, or Priority Review product is within the discreton of the relevant regulatory agency. Accordingly, even if we believe one of our product candidates meets the criteria for designaton as a Fast Track product, Breakthrough Therapy, RMAT, PRIME, or Priority Review product, the agency may disagree and instead determine not to make such designaton. The receipt of such a designaton for a product candidate also may not result in a faster development process, review or approval compared to drugs considered for approval under conventonal regulatory procedures and does not assure that the product will ultmately be approved by the regulatory authority. In additon, regarding Fast Track products and Breakthrough Therapies, the FDA may later decide that the products no longer meet the conditons for qualifcaton as either a Fast Track product, RMAT, or a Breakthrough Therapy or, for Priority Review products, decide that period for FDA review or approval will not be shortened. Furthermore, with respect to PRIME designaton by the EMA, PRIME eligibility does not change the standards for product approval, and there is no assurance that any such designaton or eligibility will result in expedited review or approval.</w:t>
      </w:r>
    </w:p>
    <w:p>
      <w:pPr>
        <w:spacing w:after="0" w:line="90"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The FDA Rare Pediatric Disease Priority Review Voucher Program, or PRV Voucher Program, awards Priority Review Vouchers, or PRVs, to sponsors of rare pediatric product applicatons that meet certain criteria. Under the program, a company that receives an approval for a product for a rare pediatric disease (as determined by the applicable regulatons) may qualify for a PRV that can be redeemed to receive Priority Review of a subsequent marketng applicaton for a diferent product. PRVs may also be sold by the company to third partes. We received PRVs under the PRV Voucher Program in connecton with the approval of Mepsevii and Crysvita in 2018 and subsequently sold these two PRVs to third partes for an average amount of $105.3 million for each PRV. The PRV Voucher Program began to sunset on December 20, 2024 such that the FDA may only award a PRV for a product applicaton if a company received the rare pediatric disease designaton from the FDA for the product candidate by December 20, 2024 and the FDA will cease awarding PRVs afer September 30, 2026. Renewal of the PRV Voucher Program is subject to approval by Congress and it is currently uncertain whether the program will be renewed and whether any such renewal will be retroactvely efectve. If the PRV program is not renewed by Congress and our qualifying product candidates are approved by the FDA afer the deadline of September 30, 2026, we will not be eligible to receive additonal PRVs for our product candidates and accordingly, we would be unable to use such PRV for Priority Review for another one of our programs or to sell such PRV, which sale has the potental to generate signifcant proceeds.</w:t>
      </w:r>
    </w:p>
    <w:p>
      <w:pPr>
        <w:spacing w:after="0" w:line="253" w:lineRule="exact"/>
        <w:rPr>
          <w:sz w:val="20"/>
          <w:szCs w:val="20"/>
          <w:color w:val="auto"/>
        </w:rPr>
      </w:pPr>
    </w:p>
    <w:p>
      <w:pPr>
        <w:ind w:right="580"/>
        <w:spacing w:after="0" w:line="235" w:lineRule="auto"/>
        <w:rPr>
          <w:sz w:val="20"/>
          <w:szCs w:val="20"/>
          <w:color w:val="auto"/>
        </w:rPr>
      </w:pPr>
      <w:r>
        <w:rPr>
          <w:rFonts w:ascii="Calibri" w:cs="Calibri" w:eastAsia="Calibri" w:hAnsi="Calibri"/>
          <w:sz w:val="18"/>
          <w:szCs w:val="18"/>
          <w:b w:val="1"/>
          <w:bCs w:val="1"/>
          <w:i w:val="1"/>
          <w:iCs w:val="1"/>
          <w:color w:val="auto"/>
        </w:rPr>
        <w:t>Our product candidates may cause undesirable side efects or have other propertes that could delay or prevent their regulatory approval, limit the commercial profle of an approved label, or result in signifcant negatve consequences following marketng approval, if any.</w:t>
      </w:r>
    </w:p>
    <w:p>
      <w:pPr>
        <w:spacing w:after="0" w:line="83"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Undesirable side efects caused by our product candidates could cause us or regulatory authorites to interrupt, delay, or halt clinical studies or further development, and could result in a more restrictve label, the delay or denial of regulatory approval by the FDA or other comparable foreign authorites, or a Risk Evaluaton and Mitgaton Strategy, or REMS, plan, which could include a medicaton guide outlining the risks of such side efects for distributon to patents, restricted distributon, a communicaton plan for healthcare providers, and/or other elements to assure safe use. Our product candidates are in development and the safety profle has not been established. Further, as one of the goals of Phase 1 and/or Phase 2 clinical trials is to identfy the highest dose of treatment that can be safely provided to study partcipants, adverse side efects, including serious adverse efects, have occurred in certain studies as a result of changes to the dosing regimen during such studies and may occur in future studies. Results of our studies or investgator-sponsored trials could reveal a high and unacceptable severity and prevalence of these or other side efects. In such an event, our studies could be suspended or terminated, and the FDA or comparable foreign regulatory authorites could order us to cease further development of or deny or withdraw approval of our product candidates for any or all targeted indicatons.</w:t>
      </w:r>
    </w:p>
    <w:p>
      <w:pPr>
        <w:spacing w:after="0" w:line="89"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Additonally, notwithstanding our prior or future regulatory approvals for our product candidates, if we or others later identfy undesirable side efects caused by such products, a number of potentally signifcant negatve consequences could result, including but not limited to:</w:t>
      </w:r>
    </w:p>
    <w:p>
      <w:pPr>
        <w:spacing w:after="0" w:line="91" w:lineRule="exact"/>
        <w:rPr>
          <w:sz w:val="20"/>
          <w:szCs w:val="20"/>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regulatory authorites may withdraw approvals of such product;</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regulatory authorites may require additonal warnings on the product’s label or restrict the product’s approved use;</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be required to create a REMS plan;</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be required to change the way the product is administered;</w:t>
      </w:r>
    </w:p>
    <w:p>
      <w:pPr>
        <w:jc w:val="center"/>
        <w:spacing w:after="0" w:line="235" w:lineRule="auto"/>
        <w:rPr>
          <w:sz w:val="20"/>
          <w:szCs w:val="20"/>
          <w:color w:val="auto"/>
        </w:rPr>
      </w:pPr>
      <w:r>
        <w:rPr>
          <w:rFonts w:ascii="Calibri" w:cs="Calibri" w:eastAsia="Calibri" w:hAnsi="Calibri"/>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8" w:name="page39"/>
    <w:bookmarkEnd w:id="38"/>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patents and physicians may elect not to use our products, or reimbursement authorites may elect not to reimburse for them; and</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reputaton may sufer.</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Any of these events could prevent us from achieving or maintaining market acceptance of the partcular product candidate, if approved.</w:t>
      </w:r>
    </w:p>
    <w:p>
      <w:pPr>
        <w:spacing w:after="0" w:line="244" w:lineRule="exact"/>
        <w:rPr>
          <w:sz w:val="20"/>
          <w:szCs w:val="20"/>
          <w:color w:val="auto"/>
        </w:rPr>
      </w:pPr>
    </w:p>
    <w:p>
      <w:pPr>
        <w:ind w:right="100"/>
        <w:spacing w:after="0" w:line="258" w:lineRule="auto"/>
        <w:rPr>
          <w:sz w:val="20"/>
          <w:szCs w:val="20"/>
          <w:color w:val="auto"/>
        </w:rPr>
      </w:pPr>
      <w:r>
        <w:rPr>
          <w:rFonts w:ascii="Calibri" w:cs="Calibri" w:eastAsia="Calibri" w:hAnsi="Calibri"/>
          <w:sz w:val="17"/>
          <w:szCs w:val="17"/>
          <w:b w:val="1"/>
          <w:bCs w:val="1"/>
          <w:i w:val="1"/>
          <w:iCs w:val="1"/>
          <w:color w:val="auto"/>
        </w:rPr>
        <w:t>Serious adverse events in clinical trials involving gene therapy product candidates may damage public percepton of the safety of our product candidates, increase government regulaton, and adversely afect our ability to obtain regulatory approvals for our product candidates or conduct our business.</w:t>
      </w:r>
    </w:p>
    <w:p>
      <w:pPr>
        <w:spacing w:after="0" w:line="94"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Gene therapy remains a novel technology. Public percepton may be infuenced by claims that gene therapy is unsafe, and gene therapy may not gain the acceptance of the public or the medical community. For example, certain gene therapy trials using AAV8 vectors (although at signifcantly higher doses than those used in our gene therapy product candidates) and other vectors led to several well-publicized adverse events, including cases of leukemia and death. The risk of cancer or death remains a concern for gene therapy and there can be no assurance that it will not occur in any of our planned or future clinical studies. In additon, there is the potental risk of delayed adverse events following exposure to gene therapy products due to persistent biological actvity of the genetc material or other components of products used to carry the genetc material. Serious adverse events in our clinical trials, or other clinical trials involving gene therapy products, partcularly AAV gene therapy products such as candidates based on the same capsid serotypes as our product candidates, or occurring during use of our compettors’ products, even if not ultmately atributable to the relevant product candidates, and the resultng publicity, could result in increased government regulaton, unfavorable public percepton, potental regulatory delays in the testng or approval of our gene therapy product candidates, stricter labeling requirements for those gene therapy product candidates that are approved and a decrease in demand for any such gene therapy product candidates.</w:t>
      </w:r>
    </w:p>
    <w:p>
      <w:pPr>
        <w:spacing w:after="0" w:line="252"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b w:val="1"/>
          <w:bCs w:val="1"/>
          <w:i w:val="1"/>
          <w:iCs w:val="1"/>
          <w:color w:val="auto"/>
        </w:rPr>
        <w:t>Gene therapy product candidates are novel, complex, expensive and difcult to manufacture. We could experience manufacturing problems that result in delays in developing and commercializing these programs or otherwise harm our business.</w:t>
      </w:r>
    </w:p>
    <w:p>
      <w:pPr>
        <w:spacing w:after="0" w:line="83"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The manufacturing process used to produce our gene therapy product candidates is novel, complex, and has not been validated for commercial use. Several factors could cause producton interruptons, including equipment malfunctons, malfunctons of internal informaton technology systems, regulatory inspectons, facility contaminaton, raw material shortages or contaminaton, natural disasters, geopolitcal instability, disrupton in utlity services, human error or disruptons in the operatons of our suppliers. Further, given that cGMP gene therapy manufacturing is a nascent industry, there are a small number of CMOs with the experience necessary to manufacture our gene therapy product candidates and we may have difculty fnding or maintaining relatonships with such CMOs or hiring experts for internal manufacturing and accordingly, our producton capacity may be limited.</w:t>
      </w:r>
    </w:p>
    <w:p>
      <w:pPr>
        <w:spacing w:after="0" w:line="86" w:lineRule="exact"/>
        <w:rPr>
          <w:sz w:val="20"/>
          <w:szCs w:val="20"/>
          <w:color w:val="auto"/>
        </w:rPr>
      </w:pPr>
    </w:p>
    <w:p>
      <w:pPr>
        <w:ind w:firstLine="509"/>
        <w:spacing w:after="0" w:line="251" w:lineRule="auto"/>
        <w:rPr>
          <w:sz w:val="20"/>
          <w:szCs w:val="20"/>
          <w:color w:val="auto"/>
        </w:rPr>
      </w:pPr>
      <w:r>
        <w:rPr>
          <w:rFonts w:ascii="Calibri" w:cs="Calibri" w:eastAsia="Calibri" w:hAnsi="Calibri"/>
          <w:sz w:val="17"/>
          <w:szCs w:val="17"/>
          <w:color w:val="auto"/>
        </w:rPr>
        <w:t>Our gene therapy product candidates require processing steps that are more complex than those required for most small molecule drugs. Moreover, unlike small molecules, the physical and chemical propertes of a biologic such as gene therapy product candidates generally cannot be fully characterized. As a result, assays of the fnished product candidate may not be sufcient to ensure that the product candidate is consistent from lot to lot or will perform in the intended manner. Accordingly, we employ multple steps to control the manufacturing process to assure that the process works reproducibly, and the product candidate is made strictly and consistently in compliance with the process. Problems with the manufacturing process, even minor deviatons from the normal process, could result in product defects or manufacturing failures that result in lot failures, noncompliance with regulatory requirements, product recalls, product liability claims or insufcient inventory. We may encounter problems achieving adequate quanttes and quality of clinical-grade materials that meet FDA, the EMA or other applicable standards or specifcatons with consistent and acceptable producton yields and costs.</w:t>
      </w:r>
    </w:p>
    <w:p>
      <w:pPr>
        <w:spacing w:after="0" w:line="73"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In additon, FDA, the EMA and other foreign regulatory authorites may require us to submit samples of any lot of any approved product together with the protocols showing the results of applicable tests at any tme. Under some circumstances, FDA, the EMA or other foreign regulatory authorites may require that we not distribute a lot untl the agency authorizes its release. Slight deviatons in the manufacturing process, including those afectng quality atributes and stability, may result in unacceptable changes in the product that could result in lot failures or product recalls. Lot failures or product recalls could cause us to delay product launches or clinical trials, which could be costly to us and otherwise harm our business, fnancial conditon, results of operatons and prospects.</w:t>
      </w: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Even if we obtain regulatory approval for our product candidates, our products remain subject to regulatory scrutny.</w:t>
      </w:r>
    </w:p>
    <w:p>
      <w:pPr>
        <w:ind w:left="5540"/>
        <w:spacing w:after="0" w:line="235" w:lineRule="auto"/>
        <w:rPr>
          <w:sz w:val="20"/>
          <w:szCs w:val="20"/>
          <w:color w:val="auto"/>
        </w:rPr>
      </w:pPr>
      <w:r>
        <w:rPr>
          <w:rFonts w:ascii="Calibri" w:cs="Calibri" w:eastAsia="Calibri" w:hAnsi="Calibri"/>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39" w:name="page40"/>
    <w:bookmarkEnd w:id="39"/>
    <w:p>
      <w:pPr>
        <w:ind w:right="240" w:firstLine="509"/>
        <w:spacing w:after="0" w:line="235" w:lineRule="auto"/>
        <w:rPr>
          <w:sz w:val="20"/>
          <w:szCs w:val="20"/>
          <w:color w:val="auto"/>
        </w:rPr>
      </w:pPr>
      <w:r>
        <w:rPr>
          <w:rFonts w:ascii="Calibri" w:cs="Calibri" w:eastAsia="Calibri" w:hAnsi="Calibri"/>
          <w:sz w:val="18"/>
          <w:szCs w:val="18"/>
          <w:color w:val="auto"/>
        </w:rPr>
        <w:t>Our products and any product candidates that are approved in the future remain subject to ongoing regulatory requirements for manufacturing, labeling, packaging, storage, distributon, advertsing, promoton, sampling, record-keeping, conduct of post-marketng studies, and submission of safety, efcacy, and other post-market informaton, including both federal and state requirements in the U.S. and requirements of comparable foreign regulatory authorites, as described above in “Item 1. Business – Government Regulaton”.</w:t>
      </w:r>
    </w:p>
    <w:p>
      <w:pPr>
        <w:spacing w:after="0" w:line="84" w:lineRule="exact"/>
        <w:rPr>
          <w:sz w:val="20"/>
          <w:szCs w:val="20"/>
          <w:color w:val="auto"/>
        </w:rPr>
      </w:pPr>
    </w:p>
    <w:p>
      <w:pPr>
        <w:ind w:right="40" w:firstLine="509"/>
        <w:spacing w:after="0" w:line="250" w:lineRule="auto"/>
        <w:rPr>
          <w:sz w:val="20"/>
          <w:szCs w:val="20"/>
          <w:color w:val="auto"/>
        </w:rPr>
      </w:pPr>
      <w:r>
        <w:rPr>
          <w:rFonts w:ascii="Calibri" w:cs="Calibri" w:eastAsia="Calibri" w:hAnsi="Calibri"/>
          <w:sz w:val="17"/>
          <w:szCs w:val="17"/>
          <w:color w:val="auto"/>
        </w:rPr>
        <w:t>Manufacturers and manufacturers’ facilites are required to comply with extensive FDA, and comparable foreign regulatory authority, requirements, including ensuring that quality control and manufacturing procedures conform to Good Manufacturing Practces, or GMP, regulatons. As such, we and our contract manufacturers are subject to contnual review and inspecton to assess compliance with GMP and adherence to commitments made in any NDA, BLA, MAA, or other comparable applicaton for approval in another jurisdicton. Although we are not involved in the day-to-day operatons of our contract manufacturers, we are ultmately responsible for ensuring that our products are manufactured in accordance with GMP regulatons. Regulatory authorites may, at any tme, audit or inspect a manufacturing facility involved with the preparaton of our products, product candidates or the associated quality systems for compliance with the regulatons applicable to the actvites being conducted. Due to the complexity of the processes used to manufacture our products and product candidates, we or any of our collaborators or contract manufacturers may be unable to comply with GMP regulatons in a cost-efectve manner and may be unable to initally or contnue to pass a federal, natonal or internatonal regulatory inspecton. If we, our collaborators, such as KKC or Regeneron, or any of our third-party manufacturers fail to maintain regulatory compliance, the FDA or other applicable regulatory authority can impose regulatory sanctons including, among other things, warning or unttled leters, fnes, unantcipated compliance expenses, the temporary or permanent suspension of a clinical study or commercial sales, recalls or seizures of product or the temporary or permanent closure of a facility or withdrawal of product approval, enforcement actons and criminal or civil prosecuton. If supply from one approved manufacturer is interrupted due to failure to maintain regulatory compliance, an alternatve manufacturer would need to be qualifed through an NDA or BLA supplement or MAA variaton, or equivalent foreign regulatory fling, which could result in delays in product supply. The regulatory agencies may also require additonal studies if a new manufacturer, material, testng method or standard is relied upon for commercial producton. Switching manufacturers, materials, test methods or standards may involve substantal costs and may result in a delay in our desired clinical and commercial tmelines. Accordingly, we and others with whom we work are required contnue to expend tme, money, and efort in all areas of regulatory compliance, including manufacturing, producton, and quality control.</w:t>
      </w:r>
    </w:p>
    <w:p>
      <w:pPr>
        <w:spacing w:after="0" w:line="7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Any regulatory approvals that we receive for our product candidates may be subject to limitatons on the approved indicated uses for which the product may be marketed or other conditons of approval, or contain requirements for potentally costly post-marketng testng, including Phase 4 clinical studies, and surveillance to monitor the safety and efcacy of the product candidate. We could also be asked to conduct post-marketng clinical studies to verify the safety and efcacy of our products in general or in specifc patent subsets. If original marketng approval was obtained via the accelerated approval or conditonal marketng authorizaton pathways, we would be required to conduct a successful post-marketng clinical study to confrm clinical beneft for our products. An unsuccessful post-marketng study or failure to complete such a study could result in the withdrawal of marketng approval. We will be required to report certain adverse events and manufacturing problems, if any, to the FDA and comparable foreign regulatory authorites. The holder of an approved NDA, BLA, MAA, or other comparable applicaton must submit new or supplemental applicatons and obtain approval for certain changes to the approved product, product labeling, or manufacturing process.</w:t>
      </w:r>
    </w:p>
    <w:p>
      <w:pPr>
        <w:spacing w:after="0" w:line="89" w:lineRule="exact"/>
        <w:rPr>
          <w:sz w:val="20"/>
          <w:szCs w:val="20"/>
          <w:color w:val="auto"/>
        </w:rPr>
      </w:pPr>
    </w:p>
    <w:p>
      <w:pPr>
        <w:ind w:right="800" w:firstLine="509"/>
        <w:spacing w:after="0" w:line="235" w:lineRule="auto"/>
        <w:rPr>
          <w:sz w:val="20"/>
          <w:szCs w:val="20"/>
          <w:color w:val="auto"/>
        </w:rPr>
      </w:pPr>
      <w:r>
        <w:rPr>
          <w:rFonts w:ascii="Calibri" w:cs="Calibri" w:eastAsia="Calibri" w:hAnsi="Calibri"/>
          <w:sz w:val="18"/>
          <w:szCs w:val="18"/>
          <w:color w:val="auto"/>
        </w:rPr>
        <w:t>If we fail to comply with applicable regulatory requirements, or there are safety or efcacy problems with a product, a regulatory agency or enforcement authority may, among other things:</w:t>
      </w:r>
    </w:p>
    <w:p>
      <w:pPr>
        <w:spacing w:after="0" w:line="91" w:lineRule="exact"/>
        <w:rPr>
          <w:sz w:val="20"/>
          <w:szCs w:val="20"/>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issue warning or notce of violaton leters;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impose civil or criminal penaltes;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suspend or withdraw regulatory approval;</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suspend any of our ongoing clinical studies;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refuse to approve pending applicatons or supplements to approved applicatons submited by us;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impose restrictons on our operatons, including closing our contract manufacturers’ facilites;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seize or detain products, or require a product recall; or</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require entry into a consent decree.</w:t>
      </w:r>
    </w:p>
    <w:p>
      <w:pPr>
        <w:spacing w:after="0" w:line="82"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Any government investgaton of alleged violatons of law could require us to expend signifcant tme and resources in response, and could generate negatve publicity. Any failure to comply with ongoing regulatory requirements may signifcantly and adversely afect our ability to commercialize and generate revenue from our products. If regulatory sanctons are applied or if regulatory approval is withdrawn, the value of our company and our operatng results will be adversely afected.</w:t>
      </w:r>
    </w:p>
    <w:p>
      <w:pPr>
        <w:jc w:val="center"/>
        <w:spacing w:after="0" w:line="238" w:lineRule="auto"/>
        <w:rPr>
          <w:sz w:val="20"/>
          <w:szCs w:val="20"/>
          <w:color w:val="auto"/>
        </w:rPr>
      </w:pPr>
      <w:r>
        <w:rPr>
          <w:rFonts w:ascii="Calibri" w:cs="Calibri" w:eastAsia="Calibri" w:hAnsi="Calibri"/>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0" w:name="page41"/>
    <w:bookmarkEnd w:id="40"/>
    <w:p>
      <w:pPr>
        <w:ind w:right="240"/>
        <w:spacing w:after="0" w:line="235" w:lineRule="auto"/>
        <w:rPr>
          <w:sz w:val="20"/>
          <w:szCs w:val="20"/>
          <w:color w:val="auto"/>
        </w:rPr>
      </w:pPr>
      <w:r>
        <w:rPr>
          <w:rFonts w:ascii="Calibri" w:cs="Calibri" w:eastAsia="Calibri" w:hAnsi="Calibri"/>
          <w:sz w:val="18"/>
          <w:szCs w:val="18"/>
          <w:b w:val="1"/>
          <w:bCs w:val="1"/>
          <w:i w:val="1"/>
          <w:iCs w:val="1"/>
          <w:color w:val="auto"/>
        </w:rPr>
        <w:t>Product liability lawsuits against us could cause us to incur substantal liabilites and could limit commercializaton of our approved products or product candidates.</w:t>
      </w:r>
    </w:p>
    <w:p>
      <w:pPr>
        <w:spacing w:after="0" w:line="83"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We face an inherent risk of product liability exposure related to the testng of our approved products and product candidates in human clinical trials, as well as in connecton with commercializaton of our current and future products. If we cannot successfully defend ourselves against claims that any of our approved products or product candidates caused injuries, we could incur substantal liabilites. There can be no assurance that our product liability insurance, which provides coverage in the amount of $15.0 million in the aggregate, will be sufcient in light of our current or planned clinical programs. We may not be able to maintain insurance coverage at a reasonable cost or in sufcient amounts to protect us against losses due to liability, or losses may exceed the amount of insurance that we carry. A product liability claim or series of claims brought against us could cause our stock price to decline and, if judgments exceed our insurance coverage, could adversely afect our results of operatons and business. In additon, regardless of merit or eventual outcome, product liability claims may result in impairment of our business reputaton, withdrawal of clinical study partcipants, costs due to related litgaton, distracton of management’s atenton from our primary business, initaton of investgatons by regulators, substantal monetary awards to patents or other claimants, the inability to commercialize our product candidates, and decreased demand for our product candidates, if approved for commercial sale.</w:t>
      </w:r>
    </w:p>
    <w:p>
      <w:pPr>
        <w:spacing w:after="0" w:line="241" w:lineRule="exact"/>
        <w:rPr>
          <w:sz w:val="20"/>
          <w:szCs w:val="20"/>
          <w:color w:val="auto"/>
        </w:rPr>
      </w:pPr>
    </w:p>
    <w:p>
      <w:pPr>
        <w:ind w:right="300"/>
        <w:spacing w:after="0" w:line="235" w:lineRule="auto"/>
        <w:rPr>
          <w:sz w:val="20"/>
          <w:szCs w:val="20"/>
          <w:color w:val="auto"/>
        </w:rPr>
      </w:pPr>
      <w:r>
        <w:rPr>
          <w:rFonts w:ascii="Calibri" w:cs="Calibri" w:eastAsia="Calibri" w:hAnsi="Calibri"/>
          <w:sz w:val="18"/>
          <w:szCs w:val="18"/>
          <w:b w:val="1"/>
          <w:bCs w:val="1"/>
          <w:i w:val="1"/>
          <w:iCs w:val="1"/>
          <w:color w:val="auto"/>
        </w:rPr>
        <w:t>If we are unable to identfy, source, and develop efectve biomarkers, or our collaborators are unable to successfully develop and commercialize companion diagnostcs for our product candidates, or experience signifcant delays in doing so, we may not realize the full commercial potental of our product candidates.</w:t>
      </w:r>
    </w:p>
    <w:p>
      <w:pPr>
        <w:spacing w:after="0" w:line="84" w:lineRule="exact"/>
        <w:rPr>
          <w:sz w:val="20"/>
          <w:szCs w:val="20"/>
          <w:color w:val="auto"/>
        </w:rPr>
      </w:pPr>
    </w:p>
    <w:p>
      <w:pPr>
        <w:ind w:right="20" w:firstLine="509"/>
        <w:spacing w:after="0" w:line="250" w:lineRule="auto"/>
        <w:rPr>
          <w:sz w:val="20"/>
          <w:szCs w:val="20"/>
          <w:color w:val="auto"/>
        </w:rPr>
      </w:pPr>
      <w:r>
        <w:rPr>
          <w:rFonts w:ascii="Calibri" w:cs="Calibri" w:eastAsia="Calibri" w:hAnsi="Calibri"/>
          <w:sz w:val="17"/>
          <w:szCs w:val="17"/>
          <w:color w:val="auto"/>
        </w:rPr>
        <w:t>We are developing companion diagnostc tests to identfy the right patents for certain of our product candidates and to monitor response to treatment. In certain cases, diagnostc tests may need to be developed as companion diagnostcs and regulatory approval obtained in order to commercialize some product candidates. We currently use and expect to contnue to use biomarkers to identfy the right patents for certain of our product candidates. We may also need to develop predictve biomarkers in the future. We can ofer no assurances that any current or future potental biomarker will in fact prove predictve, be reliably measured, or be accepted as a measure of efcacy by the FDA or other regulatory authorites. In additon, our success may depend, in part, on the development and commercializaton of companion diagnostcs. We also expect the FDA will require the development and regulatory approval of a companion diagnostc assay as a conditon to approval of our gene therapy product candidates. There has been limited success to date industrywide in developing and commercializing these types of companion diagnostcs. Development and manufacturing of companion diagnostcs is complex and there are limited manufacturers with the necessary expertse and capability. Even if we are able to successfully develop companion diagnostcs, we may not be able to manufacture the companion diagnostcs at a cost or in quanttes or on tmelines necessary for use with our product candidates. To be successful, we need to address a number of scientfc, technical and logistcal challenges. We are currently working with a third party to develop companion diagnostcs, however, we have litle experience in the development and commercializaton of diagnostcs and may not ultmately be successful in developing and commercializing appropriate diagnostcs to pair with any of our product candidates that receive marketng approval. We rely on third partes for the automaton, characterizaton and validaton, of our bioanalytcal assays, companion diagnostcs and the manufacture of critcal reagents.</w:t>
      </w:r>
    </w:p>
    <w:p>
      <w:pPr>
        <w:spacing w:after="0" w:line="79"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Companion diagnostcs are subject to regulaton by the FDA and similar regulatory authorites outside the U.S. as medical devices and require regulatory clearance or approval prior to commercializaton. In the U.S., companion diagnostcs are cleared or approved through FDA’s 510(k) premarket notfcaton or premarket approval, or PMA, process. Changes in marketng approval policies during the development period, changes in or the enactment of additonal statutes or regulatons, or changes in regulatory review for each submited 510(k) premarket notfcaton, PMA or equivalent applicaton types in jurisdictons outside the U.S., may cause delays in the approval, clearance or rejecton of an applicaton. Given our limited experience in developing and commercializing diagnostcs, we expect to rely in part or in whole on third partes for companion diagnostc design and commercializaton. We and our collaborators may encounter difcultes in developing and obtaining approval or clearance for the companion diagnostcs, including issues relatng to selectvity/specifcity, analytcal validaton, reproducibility, or clinical validaton. Any delay or failure by us or our collaborators to develop or obtain regulatory approval of the companion diagnostcs could delay or prevent approval of our product candidates.</w:t>
      </w:r>
    </w:p>
    <w:p>
      <w:pPr>
        <w:spacing w:after="0" w:line="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1" w:name="page42"/>
    <w:bookmarkEnd w:id="41"/>
    <w:p>
      <w:pPr>
        <w:spacing w:after="0"/>
        <w:rPr>
          <w:sz w:val="20"/>
          <w:szCs w:val="20"/>
          <w:color w:val="auto"/>
        </w:rPr>
      </w:pPr>
      <w:r>
        <w:rPr>
          <w:rFonts w:ascii="Calibri" w:cs="Calibri" w:eastAsia="Calibri" w:hAnsi="Calibri"/>
          <w:sz w:val="18"/>
          <w:szCs w:val="18"/>
          <w:b w:val="1"/>
          <w:bCs w:val="1"/>
          <w:color w:val="auto"/>
        </w:rPr>
        <w:t>Risks Related to our Reliance on Third Partes</w:t>
      </w:r>
    </w:p>
    <w:p>
      <w:pPr>
        <w:spacing w:after="0" w:line="82" w:lineRule="exact"/>
        <w:rPr>
          <w:sz w:val="20"/>
          <w:szCs w:val="20"/>
          <w:color w:val="auto"/>
        </w:rPr>
      </w:pPr>
    </w:p>
    <w:p>
      <w:pPr>
        <w:ind w:right="180"/>
        <w:spacing w:after="0" w:line="254" w:lineRule="auto"/>
        <w:rPr>
          <w:sz w:val="20"/>
          <w:szCs w:val="20"/>
          <w:color w:val="auto"/>
        </w:rPr>
      </w:pPr>
      <w:r>
        <w:rPr>
          <w:rFonts w:ascii="Calibri" w:cs="Calibri" w:eastAsia="Calibri" w:hAnsi="Calibri"/>
          <w:sz w:val="17"/>
          <w:szCs w:val="17"/>
          <w:b w:val="1"/>
          <w:bCs w:val="1"/>
          <w:i w:val="1"/>
          <w:iCs w:val="1"/>
          <w:color w:val="auto"/>
        </w:rPr>
        <w:t>We rely on third partes to conduct our nonclinical and clinical studies and perform other tasks for us. If these third partes do not successfully carry out their contractual dutes, meet expected deadlines, or comply with regulatory requirements, we may be exposed to sub-optmal quality and reputatonal harm, we may not be able to obtain regulatory approval for or commercialize our product candidates, and our business could be substantally harmed.</w:t>
      </w:r>
    </w:p>
    <w:p>
      <w:pPr>
        <w:spacing w:after="0" w:line="70"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We have relied upon and plan to contnue to rely upon third partes, including CROs, collaboratve partners, and independent investgators to analyze, collect, monitor, and manage data for our ongoing nonclinical and clinical programs. We rely on third partes for executon of our nonclinical and clinical studies, and for estmates regarding costs and eforts completed, and we control only certain aspects of their actvites. We and our CROs and other vendors and partners are required to comply with GMP, GCP, and GLP, which are regulatons and guidelines enforced by the FDA, the Competent Authorites of the Member States of the European Economic Area, and comparable foreign regulatory authorites for all of our product candidates in development. Regulatory authorites enforce these regulatons through periodic inspectons of study sponsors, principal investgators, study sites, and other contractors. If we or any of our CROs or other vendors and partners, including the sites at which clinical studies are conducted, fail to comply with applicable regulatons, the data generated in our nonclinical and clinical studies may be deemed unreliable and the FDA, EMA, or comparable foreign regulatory authorites may deny approval and/or require us to perform additonal nonclinical and clinical studies before approving our marketng applicatons, which would delay the approval process. We cannot make assurances that upon inspecton by a given regulatory authority, such regulatory authority will determine that any of our clinical studies comply with GCP regulatons or that nonclinical studies comply with GLP regulatons. In additon, our clinical studies must be conducted with products produced under GMP regulatons. If the regulatory authorites determine that we have failed to comply with GLP, GMP, or GCP regulatons, they may deny approval of our product candidates and/or we may be required to repeat clinical or nonclinical studies, which would delay the regulatory approval process.</w:t>
      </w:r>
    </w:p>
    <w:p>
      <w:pPr>
        <w:spacing w:after="0" w:line="93"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Our CROs and other vendors and partners are not our employees, and we cannot control whether or not they devote sufcient tme and resources to our on-going nonclinical and clinical programs, except for the limited remedies available to us under our agreements with such third partes. If our vendors and partners do not successfully carry out their contractual dutes or obligatons or meet expected deadlines, if they need to be replaced, or if the quality or accuracy of the data they obtain is compromised due to the failure to adhere to our protocols, regulatory requirements, or for other reasons, our clinical studies may be extended, delayed, or terminated, and we may not be able to obtain regulatory approval for or successfully commercialize our product candidates. CROs and other vendors and partners have also generated higher costs than antcipated as a result of changes in scope of work or otherwise. As a result, the commercial prospects for our product candidates could be harmed, our costs could increase, and our ability to generate revenue could be delayed.</w:t>
      </w:r>
    </w:p>
    <w:p>
      <w:pPr>
        <w:spacing w:after="0" w:line="8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If any of our relatonships with these third partes terminate, we may not be able to enter into arrangements with alternatve vendors or do so on commercially reasonable terms. Switching or adding additonal vendors involves additonal cost and requires management tme and focus. In additon, there is a natural transiton period when a new vendor commences work. As a result, delays may occur, which can materially impact our ability to meet our desired clinical development tmelines. Our eforts to manage our relatonships with our vendors and partners can provide no assurance that we will not encounter similar challenges or delays in the future or that these delays or challenges will not have a material adverse impact on our business, fnancial conditon, and business prospects.</w:t>
      </w:r>
    </w:p>
    <w:p>
      <w:pPr>
        <w:spacing w:after="0" w:line="86"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We also rely on third partes in other ways, including eforts to support patent diagnosis and identfy patents, to assist our fnance and legal departments, and to provide other resources for our business. Use of these third partes could expose us to sub-optmal quality, missed deadlines, and non-compliance with applicable laws, all of which could result in reputatonal harm to us and negatvely afect our business.</w:t>
      </w:r>
    </w:p>
    <w:p>
      <w:pPr>
        <w:jc w:val="center"/>
        <w:ind w:right="-39"/>
        <w:spacing w:after="0" w:line="237" w:lineRule="auto"/>
        <w:rPr>
          <w:sz w:val="20"/>
          <w:szCs w:val="20"/>
          <w:color w:val="auto"/>
        </w:rPr>
      </w:pPr>
      <w:r>
        <w:rPr>
          <w:rFonts w:ascii="Calibri" w:cs="Calibri" w:eastAsia="Calibri" w:hAnsi="Calibri"/>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6" w:right="359" w:bottom="1440" w:gutter="0" w:footer="0" w:header="0"/>
        </w:sectPr>
      </w:pPr>
    </w:p>
    <w:bookmarkStart w:id="42" w:name="page43"/>
    <w:bookmarkEnd w:id="42"/>
    <w:p>
      <w:pPr>
        <w:ind w:right="240"/>
        <w:spacing w:after="0" w:line="235" w:lineRule="auto"/>
        <w:rPr>
          <w:sz w:val="20"/>
          <w:szCs w:val="20"/>
          <w:color w:val="auto"/>
        </w:rPr>
      </w:pPr>
      <w:r>
        <w:rPr>
          <w:rFonts w:ascii="Calibri" w:cs="Calibri" w:eastAsia="Calibri" w:hAnsi="Calibri"/>
          <w:sz w:val="18"/>
          <w:szCs w:val="18"/>
          <w:b w:val="1"/>
          <w:bCs w:val="1"/>
          <w:i w:val="1"/>
          <w:iCs w:val="1"/>
          <w:color w:val="auto"/>
        </w:rPr>
        <w:t>We are dependent on KKC for the commercializaton of Crysvita in our markets, including the U.S. and Canada, and for our supply of Crysvita in our markets. Failure by KKC to commercialize Crysvita in those markets, or to supply Crysvita to us, could result in a material adverse efect on our business and operatng results.</w:t>
      </w:r>
    </w:p>
    <w:p>
      <w:pPr>
        <w:spacing w:after="0" w:line="84"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Pursuant to the terms of our collaboraton and license agreement with KKC, or the collaboraton agreement, commercializaton responsibilites for Crysvita in the U.S. and Canada transitoned from us to KKC in April 2023. KKC also has the sole right to commercialize Crysvita in Europe and, at certain specifed tmes, in Turkey, subject to certain rights retained. A substantal porton of our total revenue has been based on revenue from Crysvita, including royalty revenue we receive from KKC for sales of the product in the U.S. and Canada. The commercial success of Crysvita in territories in which KKC owns commercializaton responsibilites, such as in the U.S. and Canada depends on, among other things, the eforts and allocaton of resources of KKC in those territories, which we do not control. KKC has no obligaton under the collaboraton agreement to use diligent eforts to commercialize Crysvita in those territories. Our partnership with KKC may not be successful, and we may not realize the expected benefts from such partnership, due to a number of important factors, including but not limited to the following:</w:t>
      </w:r>
    </w:p>
    <w:p>
      <w:pPr>
        <w:spacing w:after="0" w:line="96" w:lineRule="exact"/>
        <w:rPr>
          <w:sz w:val="20"/>
          <w:szCs w:val="20"/>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KKC may change the focus of its commercializaton eforts or pursue higher priority programs;</w:t>
      </w:r>
    </w:p>
    <w:p>
      <w:pPr>
        <w:spacing w:after="0" w:line="95" w:lineRule="exact"/>
        <w:rPr>
          <w:rFonts w:ascii="Times New Roman" w:cs="Times New Roman" w:eastAsia="Times New Roman" w:hAnsi="Times New Roman"/>
          <w:sz w:val="18"/>
          <w:szCs w:val="18"/>
          <w:color w:val="auto"/>
        </w:rPr>
      </w:pPr>
    </w:p>
    <w:p>
      <w:pPr>
        <w:ind w:left="900" w:right="80" w:hanging="383"/>
        <w:spacing w:after="0" w:line="235" w:lineRule="auto"/>
        <w:tabs>
          <w:tab w:leader="none" w:pos="90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KKC may make decisions regarding the indicatons for our product candidates in countries where it has the sole right to commercialize the product candidates that limit commercializaton eforts in those countries or in countries where we have the right to commercialize our product candidates;</w:t>
      </w:r>
    </w:p>
    <w:p>
      <w:pPr>
        <w:spacing w:after="0" w:line="97" w:lineRule="exact"/>
        <w:rPr>
          <w:rFonts w:ascii="Times New Roman" w:cs="Times New Roman" w:eastAsia="Times New Roman" w:hAnsi="Times New Roman"/>
          <w:sz w:val="18"/>
          <w:szCs w:val="18"/>
          <w:color w:val="auto"/>
        </w:rPr>
      </w:pPr>
    </w:p>
    <w:p>
      <w:pPr>
        <w:ind w:left="900" w:right="240" w:hanging="383"/>
        <w:spacing w:after="0" w:line="258" w:lineRule="auto"/>
        <w:tabs>
          <w:tab w:leader="none" w:pos="900" w:val="left"/>
        </w:tabs>
        <w:numPr>
          <w:ilvl w:val="0"/>
          <w:numId w:val="22"/>
        </w:numPr>
        <w:rPr>
          <w:rFonts w:ascii="Times New Roman" w:cs="Times New Roman" w:eastAsia="Times New Roman" w:hAnsi="Times New Roman"/>
          <w:sz w:val="17"/>
          <w:szCs w:val="17"/>
          <w:color w:val="auto"/>
        </w:rPr>
      </w:pPr>
      <w:r>
        <w:rPr>
          <w:rFonts w:ascii="Calibri" w:cs="Calibri" w:eastAsia="Calibri" w:hAnsi="Calibri"/>
          <w:sz w:val="17"/>
          <w:szCs w:val="17"/>
          <w:color w:val="auto"/>
        </w:rPr>
        <w:t>KKC may make decisions regarding market access and pricing in countries where it has the sole right to commercialize our product candidates which can negatvely impact our commercializaton eforts in countries where we have the right to commercialize our product candidates;</w:t>
      </w:r>
    </w:p>
    <w:p>
      <w:pPr>
        <w:spacing w:after="0" w:line="80" w:lineRule="exact"/>
        <w:rPr>
          <w:rFonts w:ascii="Times New Roman" w:cs="Times New Roman" w:eastAsia="Times New Roman" w:hAnsi="Times New Roman"/>
          <w:sz w:val="17"/>
          <w:szCs w:val="17"/>
          <w:color w:val="auto"/>
        </w:rPr>
      </w:pPr>
    </w:p>
    <w:p>
      <w:pPr>
        <w:ind w:left="900" w:hanging="383"/>
        <w:spacing w:after="0" w:line="235" w:lineRule="auto"/>
        <w:tabs>
          <w:tab w:leader="none" w:pos="90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KKC may fail to manufacture or supply sufcient drug product of Crysvita in compliance with applicable laws and regulatons or otherwise for our development and clinical use or commercial use, which could result in program delays or lost revenue;</w:t>
      </w:r>
    </w:p>
    <w:p>
      <w:pPr>
        <w:spacing w:after="0" w:line="96" w:lineRule="exact"/>
        <w:rPr>
          <w:rFonts w:ascii="Times New Roman" w:cs="Times New Roman" w:eastAsia="Times New Roman" w:hAnsi="Times New Roman"/>
          <w:sz w:val="18"/>
          <w:szCs w:val="18"/>
          <w:color w:val="auto"/>
        </w:rPr>
      </w:pPr>
    </w:p>
    <w:p>
      <w:pPr>
        <w:ind w:left="900" w:right="80" w:hanging="383"/>
        <w:spacing w:after="0" w:line="235" w:lineRule="auto"/>
        <w:tabs>
          <w:tab w:leader="none" w:pos="90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KKC may elect to develop and commercialize Crysvita indicatons with a larger market than XLH and at a lower price, thereby reducing the proft margin on sales of Crysvita for any orphan indicatons, including XLH;</w:t>
      </w:r>
    </w:p>
    <w:p>
      <w:pPr>
        <w:spacing w:after="0" w:line="96" w:lineRule="exact"/>
        <w:rPr>
          <w:rFonts w:ascii="Times New Roman" w:cs="Times New Roman" w:eastAsia="Times New Roman" w:hAnsi="Times New Roman"/>
          <w:sz w:val="18"/>
          <w:szCs w:val="18"/>
          <w:color w:val="auto"/>
        </w:rPr>
      </w:pPr>
    </w:p>
    <w:p>
      <w:pPr>
        <w:ind w:left="900" w:right="340" w:hanging="383"/>
        <w:spacing w:after="0" w:line="235" w:lineRule="auto"/>
        <w:tabs>
          <w:tab w:leader="none" w:pos="90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if KKC were to breach or terminate the agreement with us, we would no longer have any rights to develop or commercialize Crysvita or such rights would be limited to non-terminated countries;</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KKC may terminate its agreement with us, adversely afectng our potental revenue from licensed products; and</w:t>
      </w:r>
    </w:p>
    <w:p>
      <w:pPr>
        <w:spacing w:after="0" w:line="95" w:lineRule="exact"/>
        <w:rPr>
          <w:rFonts w:ascii="Times New Roman" w:cs="Times New Roman" w:eastAsia="Times New Roman" w:hAnsi="Times New Roman"/>
          <w:sz w:val="18"/>
          <w:szCs w:val="18"/>
          <w:color w:val="auto"/>
        </w:rPr>
      </w:pPr>
    </w:p>
    <w:p>
      <w:pPr>
        <w:ind w:left="900" w:right="340" w:hanging="383"/>
        <w:spacing w:after="0" w:line="235" w:lineRule="auto"/>
        <w:tabs>
          <w:tab w:leader="none" w:pos="90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tming and amounts of expense reimbursement that we may receive are uncertain, and the total expenses for which we are obligated to reimburse KKC may be greater than antcipated.</w:t>
      </w:r>
    </w:p>
    <w:p>
      <w:pPr>
        <w:spacing w:after="0" w:line="245"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b w:val="1"/>
          <w:bCs w:val="1"/>
          <w:i w:val="1"/>
          <w:iCs w:val="1"/>
          <w:color w:val="auto"/>
        </w:rPr>
        <w:t>We rely on third partes to manufacture our products and our product candidates and we are subject to a multtude of manufacturing risks, any of which could substantally increase our costs and limit the supply of our products and product candidates.</w:t>
      </w:r>
    </w:p>
    <w:p>
      <w:pPr>
        <w:spacing w:after="0" w:line="83" w:lineRule="exact"/>
        <w:rPr>
          <w:sz w:val="20"/>
          <w:szCs w:val="20"/>
          <w:color w:val="auto"/>
        </w:rPr>
      </w:pPr>
    </w:p>
    <w:p>
      <w:pPr>
        <w:ind w:right="80" w:firstLine="509"/>
        <w:spacing w:after="0" w:line="250" w:lineRule="auto"/>
        <w:rPr>
          <w:sz w:val="20"/>
          <w:szCs w:val="20"/>
          <w:color w:val="auto"/>
        </w:rPr>
      </w:pPr>
      <w:r>
        <w:rPr>
          <w:rFonts w:ascii="Calibri" w:cs="Calibri" w:eastAsia="Calibri" w:hAnsi="Calibri"/>
          <w:sz w:val="17"/>
          <w:szCs w:val="17"/>
          <w:color w:val="auto"/>
        </w:rPr>
        <w:t xml:space="preserve">As we currently lack the resources and the full capability to manufacture all of our products and product candidates on a clinical or commercial scale, we rely on third partes to manufacture, store and distribute our products and product candidates. Although we oversee the contract manufacturers, we cannot control the manufacturing process of, and are substantally dependent on, our contract manufacturing partners for compliance with the regulatory requirements. See the risk factor above enttled “- </w:t>
      </w:r>
      <w:r>
        <w:rPr>
          <w:rFonts w:ascii="Calibri" w:cs="Calibri" w:eastAsia="Calibri" w:hAnsi="Calibri"/>
          <w:sz w:val="17"/>
          <w:szCs w:val="17"/>
          <w:i w:val="1"/>
          <w:iCs w:val="1"/>
          <w:color w:val="auto"/>
        </w:rPr>
        <w:t>Even if we obtain regulatory approval for our product candidates, our products remain subject to</w:t>
      </w:r>
      <w:r>
        <w:rPr>
          <w:rFonts w:ascii="Calibri" w:cs="Calibri" w:eastAsia="Calibri" w:hAnsi="Calibri"/>
          <w:sz w:val="17"/>
          <w:szCs w:val="17"/>
          <w:color w:val="auto"/>
        </w:rPr>
        <w:t xml:space="preserve"> </w:t>
      </w:r>
      <w:r>
        <w:rPr>
          <w:rFonts w:ascii="Calibri" w:cs="Calibri" w:eastAsia="Calibri" w:hAnsi="Calibri"/>
          <w:sz w:val="17"/>
          <w:szCs w:val="17"/>
          <w:i w:val="1"/>
          <w:iCs w:val="1"/>
          <w:color w:val="auto"/>
        </w:rPr>
        <w:t>regulatory scrutny”</w:t>
      </w:r>
      <w:r>
        <w:rPr>
          <w:rFonts w:ascii="Calibri" w:cs="Calibri" w:eastAsia="Calibri" w:hAnsi="Calibri"/>
          <w:sz w:val="17"/>
          <w:szCs w:val="17"/>
          <w:color w:val="auto"/>
        </w:rPr>
        <w:t>. Further, we depend on our manufacturers to purchase from third-party suppliers the materials necessary to produce our products and</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product candidates. There are a limited number of suppliers for raw materials that we use to manufacture our drugs, placebos, or actve controls, and there may be a need to identfy alternate suppliers to prevent or mitgate a possible disrupton of the manufacture of the materials necessary to produce our products and product candidates for our clinical studies, and, if approved, ultmately for commercial sale. We also do not have any control over the process or tming of the acquisiton of these raw materials by our manufacturers. We may also experience interruptons in supply of product if the product or raw material components fail to meet our quality control standards or the quality control standards of our suppliers.</w:t>
      </w:r>
    </w:p>
    <w:p>
      <w:pPr>
        <w:spacing w:after="0" w:line="79"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Further, manufacturers that produce our products and product candidates may not have experience producing our products and product candidates at commercial levels and may not produce our products and product candidates at the cost, quality, quanttes, locatons, and tming needed to support proftable commercializaton. We have not yet secured manufacturing capabilites for commercial quanttes of all of our product candidates and may be unable to negotate binding agreements with manufacturers to support our commercializaton actvites on commercially reasonable terms. Even if our third-party product manufacturers develop acceptable manufacturing processes that provide the necessary quanttes of our products and product candidates in a compliant and tmely manner, the cost to us for the supply of our products and product candidates manufactured by</w:t>
      </w:r>
    </w:p>
    <w:p>
      <w:pPr>
        <w:jc w:val="center"/>
        <w:ind w:right="-39"/>
        <w:spacing w:after="0"/>
        <w:rPr>
          <w:sz w:val="20"/>
          <w:szCs w:val="20"/>
          <w:color w:val="auto"/>
        </w:rPr>
      </w:pPr>
      <w:r>
        <w:rPr>
          <w:rFonts w:ascii="Calibri" w:cs="Calibri" w:eastAsia="Calibri" w:hAnsi="Calibri"/>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43" w:name="page44"/>
    <w:bookmarkEnd w:id="43"/>
    <w:p>
      <w:pPr>
        <w:jc w:val="both"/>
        <w:ind w:right="40"/>
        <w:spacing w:after="0" w:line="258" w:lineRule="auto"/>
        <w:rPr>
          <w:sz w:val="20"/>
          <w:szCs w:val="20"/>
          <w:color w:val="auto"/>
        </w:rPr>
      </w:pPr>
      <w:r>
        <w:rPr>
          <w:rFonts w:ascii="Calibri" w:cs="Calibri" w:eastAsia="Calibri" w:hAnsi="Calibri"/>
          <w:sz w:val="17"/>
          <w:szCs w:val="17"/>
          <w:color w:val="auto"/>
        </w:rPr>
        <w:t>such third partes may be high and could limit our proftability. For instance, KKC is our sole supplier of commercial quanttes of Crysvita. The supply price to us for commercial sales of Crysvita in Latn America is 30% of net sales, which is higher than the typical cost of sales for companies focused on rare diseases.</w:t>
      </w:r>
    </w:p>
    <w:p>
      <w:pPr>
        <w:spacing w:after="0" w:line="6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process of manufacturing our products and product candidates is complex, highly regulated, and subject to several risks, including but not limited to those listed below.</w:t>
      </w:r>
    </w:p>
    <w:p>
      <w:pPr>
        <w:spacing w:after="0" w:line="96" w:lineRule="exact"/>
        <w:rPr>
          <w:sz w:val="20"/>
          <w:szCs w:val="20"/>
          <w:color w:val="auto"/>
        </w:rPr>
      </w:pPr>
    </w:p>
    <w:p>
      <w:pPr>
        <w:ind w:left="900" w:right="120" w:hanging="383"/>
        <w:spacing w:after="0" w:line="235" w:lineRule="auto"/>
        <w:tabs>
          <w:tab w:leader="none" w:pos="90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process of manufacturing our products and product candidates is extremely susceptble to product loss due to contaminaton, equipment failure or improper installaton or operaton of equipment, or vendor or operator error. Even minor deviatons from normal manufacturing processes for our products and any of our product candidates could result in reduced producton yields, product defects, and other supply disruptons. If microbial, viral, or other contaminatons are discovered in our products and product candidates or in the manufacturing facilites in which our products and product candidates are made, such manufacturing facilites may need to be closed for an extended period of tme to investgate and remedy the contaminaton.</w:t>
      </w:r>
    </w:p>
    <w:p>
      <w:pPr>
        <w:spacing w:after="0" w:line="99" w:lineRule="exact"/>
        <w:rPr>
          <w:rFonts w:ascii="Times New Roman" w:cs="Times New Roman" w:eastAsia="Times New Roman" w:hAnsi="Times New Roman"/>
          <w:sz w:val="18"/>
          <w:szCs w:val="18"/>
          <w:color w:val="auto"/>
        </w:rPr>
      </w:pPr>
    </w:p>
    <w:p>
      <w:pPr>
        <w:ind w:left="900" w:right="240" w:hanging="383"/>
        <w:spacing w:after="0" w:line="235" w:lineRule="auto"/>
        <w:tabs>
          <w:tab w:leader="none" w:pos="90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manufacturing facilites in which our products and product candidates are made could be adversely afected by equipment failures, labor shortages, raw material shortages, natural disasters, power failures, actual or threatened public health emergencies, and numerous other factors.</w:t>
      </w:r>
    </w:p>
    <w:p>
      <w:pPr>
        <w:spacing w:after="0" w:line="84"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Any adverse developments afectng manufacturing operatons for our products and product candidates may result in shipment delays, inventory shortages, lot failures, withdrawals or recalls, or other interruptons in the supply of our products and product candidates. Due to their stage of development, small volume requirements, and infrequency of batch producton runs, we carry limited amounts of safety stock for our products and product candidates. We have, and may in the future, be required to take inventory write-ofs and incur other charges and expenses for products and product candidates that fail to meet specifcatons, undertake costly remediaton eforts, or seek more costly manufacturing alternatves.</w:t>
      </w:r>
    </w:p>
    <w:p>
      <w:pPr>
        <w:spacing w:after="0" w:line="247" w:lineRule="exact"/>
        <w:rPr>
          <w:sz w:val="20"/>
          <w:szCs w:val="20"/>
          <w:color w:val="auto"/>
        </w:rPr>
      </w:pPr>
    </w:p>
    <w:p>
      <w:pPr>
        <w:ind w:right="60"/>
        <w:spacing w:after="0" w:line="258" w:lineRule="auto"/>
        <w:rPr>
          <w:sz w:val="20"/>
          <w:szCs w:val="20"/>
          <w:color w:val="auto"/>
        </w:rPr>
      </w:pPr>
      <w:r>
        <w:rPr>
          <w:rFonts w:ascii="Calibri" w:cs="Calibri" w:eastAsia="Calibri" w:hAnsi="Calibri"/>
          <w:sz w:val="17"/>
          <w:szCs w:val="17"/>
          <w:b w:val="1"/>
          <w:bCs w:val="1"/>
          <w:i w:val="1"/>
          <w:iCs w:val="1"/>
          <w:color w:val="auto"/>
        </w:rPr>
        <w:t>The drug substance and drug product for our products and most of our product candidates are currently acquired from single-source suppliers. The loss of these suppliers, or their failure to supply us with the necessary drug substance or drug product, could materially and adversely afect our business.</w:t>
      </w:r>
    </w:p>
    <w:p>
      <w:pPr>
        <w:spacing w:after="0" w:line="6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acquire most of the drug substances and drug products for our products and product candidates from single sources. If any single source supplier breaches an agreement with us, or terminates the agreement in response to an alleged breach by us, ceases operatons, is acquired, enters into exclusive arrangements with a compettor or otherwise becomes unable or unwilling to fulfll its supply obligatons, we would not be able to manufacture and distribute the product or product candidate untl a qualifed alternatve supplier is identfed, which could signifcantly impair our ability to commercialize such product or delay the development of such product candidate. For example, the drug substance and drug product for Crysvita and Evkeeza are made, respectvely, by KKC pursuant to a license and collaboraton agreement and supply agreements and Regeneron pursuant to a supply agreement. Further, single source suppliers are also used for our gene therapy programs and for Dojolvi, for which we are in the process of qualifying our alternatve supplier. We cannot provide assurances that qualifying alternate sources, if available at all, for any of our drug substances and drug products, and establishing relatonships with such sources would not result in signifcant expense, supply disruptons or delay in the commercializaton of our products or the development of our product candidates. Additonally, we may not be able to enter into supply arrangements with an alternatve supplier on commercially reasonable terms or at all. The terms of any new agreement may also be less favorable or more costly than the terms we have with our current supplier. A delay in the commercializaton of our products or the development of our product candidates or having to enter into a new agreement with a diferent third-party on less favorable terms than we have with our current suppliers could have a material adverse impact upon on our business. Furthermore, geopolitcal tensions with China including the Congressional legislatve proposal, ttled the BIOSECURE Act, which would, among other things, prohibit U.S. federal funding in connecton with biotechnology equipment or services produced or provided by Chinese biotechnology companies, and the recent requests by certain Congressional leaders that WuXi AppTech Co. and its afliates be added to certain U.S. Government restricted entty lists, could lead to our compettors and other companies moving to suppliers outside of China, including to our current suppliers. Signifcant increases in business at our single source suppliers resultng from such actvites could adversely limit capacity at such suppliers to manufacture our products or result in price increases, interruptons or delays of our products.</w:t>
      </w:r>
    </w:p>
    <w:p>
      <w:pPr>
        <w:spacing w:after="0" w:line="11"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44" w:name="page45"/>
    <w:bookmarkEnd w:id="44"/>
    <w:p>
      <w:pPr>
        <w:ind w:right="300"/>
        <w:spacing w:after="0" w:line="235" w:lineRule="auto"/>
        <w:rPr>
          <w:sz w:val="20"/>
          <w:szCs w:val="20"/>
          <w:color w:val="auto"/>
        </w:rPr>
      </w:pPr>
      <w:r>
        <w:rPr>
          <w:rFonts w:ascii="Calibri" w:cs="Calibri" w:eastAsia="Calibri" w:hAnsi="Calibri"/>
          <w:sz w:val="18"/>
          <w:szCs w:val="18"/>
          <w:b w:val="1"/>
          <w:bCs w:val="1"/>
          <w:i w:val="1"/>
          <w:iCs w:val="1"/>
          <w:color w:val="auto"/>
        </w:rPr>
        <w:t>The actons of distributors and specialty pharmacies could afect our ability to sell or market products proftably. Fluctuatons in buying or distributon paterns by such distributors and specialty pharmacies could adversely afect our revenues, fnancial conditon, or results of operatons.</w:t>
      </w:r>
    </w:p>
    <w:p>
      <w:pPr>
        <w:spacing w:after="0" w:line="83" w:lineRule="exact"/>
        <w:rPr>
          <w:sz w:val="20"/>
          <w:szCs w:val="20"/>
          <w:color w:val="auto"/>
        </w:rPr>
      </w:pPr>
    </w:p>
    <w:p>
      <w:pPr>
        <w:jc w:val="both"/>
        <w:ind w:right="20" w:firstLine="509"/>
        <w:spacing w:after="0" w:line="252" w:lineRule="auto"/>
        <w:rPr>
          <w:sz w:val="20"/>
          <w:szCs w:val="20"/>
          <w:color w:val="auto"/>
        </w:rPr>
      </w:pPr>
      <w:r>
        <w:rPr>
          <w:rFonts w:ascii="Calibri" w:cs="Calibri" w:eastAsia="Calibri" w:hAnsi="Calibri"/>
          <w:sz w:val="17"/>
          <w:szCs w:val="17"/>
          <w:color w:val="auto"/>
        </w:rPr>
        <w:t>We rely on commercial distributors and specialty pharmacies for a considerable porton of our product sales and such sales are concentrated within a small number of distributors and specialty pharmacies. The fnancial failure of any of these partes could adversely afect our revenues, fnancial conditon or results of operatons. Our revenues, fnancial conditon or results of operatons may also be afected by fuctuatons in buying or distributon paterns of such distributors and specialty pharmacies. These fuctuatons may result from seasonality, pricing, wholesaler inventory objectves, or other factors.</w:t>
      </w:r>
    </w:p>
    <w:p>
      <w:pPr>
        <w:spacing w:after="0" w:line="23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Commercializaton of Our Products and Product Candidates</w:t>
      </w:r>
    </w:p>
    <w:p>
      <w:pPr>
        <w:spacing w:after="0" w:line="82" w:lineRule="exact"/>
        <w:rPr>
          <w:sz w:val="20"/>
          <w:szCs w:val="20"/>
          <w:color w:val="auto"/>
        </w:rPr>
      </w:pPr>
    </w:p>
    <w:p>
      <w:pPr>
        <w:spacing w:after="0" w:line="254" w:lineRule="auto"/>
        <w:rPr>
          <w:sz w:val="20"/>
          <w:szCs w:val="20"/>
          <w:color w:val="auto"/>
        </w:rPr>
      </w:pPr>
      <w:r>
        <w:rPr>
          <w:rFonts w:ascii="Calibri" w:cs="Calibri" w:eastAsia="Calibri" w:hAnsi="Calibri"/>
          <w:sz w:val="17"/>
          <w:szCs w:val="17"/>
          <w:b w:val="1"/>
          <w:bCs w:val="1"/>
          <w:i w:val="1"/>
          <w:iCs w:val="1"/>
          <w:color w:val="auto"/>
        </w:rPr>
        <w:t>If the market opportunites for our products and product candidates are smaller than we believe they are, our revenue may be adversely afected, and our business may sufer. Because the target patent populatons of our products and product candidates are small, and the addressable patent populaton potentally even smaller, we must be able to successfully identfy patents and acquire a signifcant market share to achieve proftability and growth.</w:t>
      </w:r>
    </w:p>
    <w:p>
      <w:pPr>
        <w:spacing w:after="0" w:line="70" w:lineRule="exact"/>
        <w:rPr>
          <w:sz w:val="20"/>
          <w:szCs w:val="20"/>
          <w:color w:val="auto"/>
        </w:rPr>
      </w:pPr>
    </w:p>
    <w:p>
      <w:pPr>
        <w:ind w:right="20" w:firstLine="509"/>
        <w:spacing w:after="0" w:line="250" w:lineRule="auto"/>
        <w:rPr>
          <w:sz w:val="20"/>
          <w:szCs w:val="20"/>
          <w:color w:val="auto"/>
        </w:rPr>
      </w:pPr>
      <w:r>
        <w:rPr>
          <w:rFonts w:ascii="Calibri" w:cs="Calibri" w:eastAsia="Calibri" w:hAnsi="Calibri"/>
          <w:sz w:val="17"/>
          <w:szCs w:val="17"/>
          <w:color w:val="auto"/>
        </w:rPr>
        <w:t>We focus our research and product development on treatments for rare and ultrarare genetc diseases. Given the small number of patents who have the diseases that we are targetng, it is critcal to our ability to grow and become proftable that we contnue to successfully identfy patents with these rare and ultrarare genetc diseases. Some of our current products or clinical programs may also be most appropriate for patents with more severe forms of their disease. For instance, while adults make up the majority of the XLH patents, they ofen have less severe disease that may reduce the penetraton of Crysvita in the adult populaton relatve to the pediatric populaton. Given the overall rarity of the diseases we target, it is difcult to project the prevalence of the more severe forms, or the other subsets of patents that may be most suitable to address with our products and product candidates, which may further limit the addressable patent populaton to a small subset. Our projectons of both the number of people who have these diseases, as well as the subset of people with these diseases who have the potental to beneft from treatment with our products and product candidates, are based on our beliefs and estmates. These estmates have been derived from a variety of sources, including the scientfc literature, surveys of clinics, patent foundatons, or market research, and may prove to be incorrect. Further, new studies may change the estmated incidence or prevalence of these diseases. The number of patents may turn out to be lower than expected. The efort to identfy patents with diseases we seek to treat is in early stages, and we cannot accurately predict the number of patents for whom treatment might be possible. Additonally, the potentally addressable patent populaton for each of our products and product candidates may be limited or may not be amenable to treatment with our products and product candidates, and new patents may become increasingly difcult to identfy or access. Further, even if we obtain signifcant market share for our products and product candidates, because the potental target populatons are very small, we may never become or remain proftable nor generate sufcient revenue growth to sustain our business.</w:t>
      </w:r>
    </w:p>
    <w:p>
      <w:pPr>
        <w:spacing w:after="0" w:line="241"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b w:val="1"/>
          <w:bCs w:val="1"/>
          <w:i w:val="1"/>
          <w:iCs w:val="1"/>
          <w:color w:val="auto"/>
        </w:rPr>
        <w:t>We face intense competton and rapid technological change, including the use of artfcial intelligence, or AI, and the possibility that our compettors may develop therapies that are similar, more advanced, or more efectve than ours, which may adversely afect our fnancial conditon and our ability to successfully commercialize our product candidates.</w:t>
      </w:r>
    </w:p>
    <w:p>
      <w:pPr>
        <w:spacing w:after="0" w:line="84" w:lineRule="exact"/>
        <w:rPr>
          <w:sz w:val="20"/>
          <w:szCs w:val="20"/>
          <w:color w:val="auto"/>
        </w:rPr>
      </w:pPr>
    </w:p>
    <w:p>
      <w:pPr>
        <w:ind w:right="260" w:firstLine="509"/>
        <w:spacing w:after="0" w:line="249" w:lineRule="auto"/>
        <w:rPr>
          <w:sz w:val="20"/>
          <w:szCs w:val="20"/>
          <w:color w:val="auto"/>
        </w:rPr>
      </w:pPr>
      <w:r>
        <w:rPr>
          <w:rFonts w:ascii="Calibri" w:cs="Calibri" w:eastAsia="Calibri" w:hAnsi="Calibri"/>
          <w:sz w:val="17"/>
          <w:szCs w:val="17"/>
          <w:color w:val="auto"/>
        </w:rPr>
        <w:t>The biotechnology and pharmaceutcal industries are intensely compettve and subject to rapid and signifcant technological change. We are currently aware of various existng treatments that may compete with our products and product candidates. See “Item 1. Business – Competton” above.</w:t>
      </w:r>
    </w:p>
    <w:p>
      <w:pPr>
        <w:jc w:val="center"/>
        <w:ind w:right="-59"/>
        <w:spacing w:after="0" w:line="236" w:lineRule="auto"/>
        <w:rPr>
          <w:sz w:val="20"/>
          <w:szCs w:val="20"/>
          <w:color w:val="auto"/>
        </w:rPr>
      </w:pPr>
      <w:r>
        <w:rPr>
          <w:rFonts w:ascii="Calibri" w:cs="Calibri" w:eastAsia="Calibri" w:hAnsi="Calibri"/>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45" w:name="page46"/>
    <w:bookmarkEnd w:id="45"/>
    <w:p>
      <w:pPr>
        <w:ind w:right="60" w:firstLine="509"/>
        <w:spacing w:after="0" w:line="235" w:lineRule="auto"/>
        <w:rPr>
          <w:sz w:val="20"/>
          <w:szCs w:val="20"/>
          <w:color w:val="auto"/>
        </w:rPr>
      </w:pPr>
      <w:r>
        <w:rPr>
          <w:rFonts w:ascii="Calibri" w:cs="Calibri" w:eastAsia="Calibri" w:hAnsi="Calibri"/>
          <w:sz w:val="18"/>
          <w:szCs w:val="18"/>
          <w:color w:val="auto"/>
        </w:rPr>
        <w:t>We have compettors both in the U.S. and internatonally, including major multnatonal pharmaceutcal companies, specialty pharmaceutcal companies, biotechnology companies, startups, academic research insttutons, government agencies, and public and private research insttutons. Many of our compettors have substantally greater fnancial, technical, and other resources, such as larger research and development staf and experienced marketng and manufacturing organizatons. Additonal mergers and acquisitons in the biotechnology and pharmaceutcal industries can ofen result in even more resources being concentrated in our compettors. As a result, these companies may obtain regulatory approval more rapidly than we are able to and may be more efectve in selling and marketng their products as well. Smaller or early-stage companies may also prove to be signifcant compettors, partcularly through collaboratve arrangements with large, established companies. Competton may increase further as a result of advances in the commercial applicability of technologies and greater availability of capital for investment in these industries. Our compettors may succeed in developing, acquiring, or licensing on an exclusive basis, products that are more efectve or less costly than any product candidate that we may develop, or achieve earlier patent protecton, regulatory approval, product commercializaton, and market penetraton than we do. Additonally, technologies developed by our compettors may render our potental products and product candidates uneconomical or obsolete, and we may not be successful in marketng our products and product candidates against compettors. Moreover, we also face increased competton from other companies that are using AI, some of whom may be able to more quickly and efectvely identfy and develop novel drug candidates compared to us and our business partners, which could impair our ability to compete efectvely and have a material adverse efect on our business, results of operatons, or fnancial conditon.</w:t>
      </w:r>
    </w:p>
    <w:p>
      <w:pPr>
        <w:spacing w:after="0" w:line="255" w:lineRule="exact"/>
        <w:rPr>
          <w:sz w:val="20"/>
          <w:szCs w:val="20"/>
          <w:color w:val="auto"/>
        </w:rPr>
      </w:pPr>
    </w:p>
    <w:p>
      <w:pPr>
        <w:jc w:val="both"/>
        <w:ind w:right="120"/>
        <w:spacing w:after="0" w:line="235" w:lineRule="auto"/>
        <w:rPr>
          <w:sz w:val="20"/>
          <w:szCs w:val="20"/>
          <w:color w:val="auto"/>
        </w:rPr>
      </w:pPr>
      <w:r>
        <w:rPr>
          <w:rFonts w:ascii="Calibri" w:cs="Calibri" w:eastAsia="Calibri" w:hAnsi="Calibri"/>
          <w:sz w:val="18"/>
          <w:szCs w:val="18"/>
          <w:b w:val="1"/>
          <w:bCs w:val="1"/>
          <w:i w:val="1"/>
          <w:iCs w:val="1"/>
          <w:color w:val="auto"/>
        </w:rPr>
        <w:t>We may not be able to efectvely manage the expansion of our organizaton, including building an integrated commercial organizaton. If we are unable to expand our existng commercial infrastructure or enter into agreements with third partes to market and sell our products and product candidates, as needed, we may be unable to increase our revenue.</w:t>
      </w:r>
    </w:p>
    <w:p>
      <w:pPr>
        <w:spacing w:after="0" w:line="84"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We expect to need additonal managerial, operatonal, marketng, fnancial, legal, and other resources to support our development and commercializaton plans and strategies. In order to successfully commercialize our products as well as any additonal products that may result from our development programs or that we acquire or license from third partes, we expect to expand our commercial team in the United States as well as in Europe, Latn America and the Asia-Pacifc region. This infrastructure consists of both ofce-based as well as feld teams with technical expertse, and is expected to be expanded as we approach the potental approval dates of additonal products that result from our development programs. Our management may need to divert a disproportonate amount of its atenton away from our day-to-day actvites and devote a substantal amount of tme to managing these growth actvites. We may not be able to efectvely manage the expansion of our operatons, which may result in weaknesses in our infrastructure, operatonal mistakes, loss of business opportunites, loss of employees, and reduced productvity among remaining employees. Our expected growth could require signifcant capital expenditures and may divert fnancial resources from other projects, such as the development of additonal product candidates. If our management is unable to efectvely manage our growth, our expenses may increase more than expected, our ability to generate and/or grow revenue could be reduced, and we may not be able to implement our business strategy. Our future fnancial performance and our ability to commercialize product candidates and compete efectvely will depend, in part, on our ability to efectvely manage any future growth.</w:t>
      </w:r>
    </w:p>
    <w:p>
      <w:pPr>
        <w:spacing w:after="0" w:line="9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as a company, have limited, experience selling and marketng our product and only some of our employees have prior experience promotng other similar products while employed at other companies. As we increase the number and range of our commercialized products, we may experience additonal complexites in our sales process and strategy and may encounter difcultes in allocatng sufcient resources to sales and marketng of certain products. Further, as we launch additonal products or as demand for our products change, our inital estmate of the size of the required feld force may be materially more or less than the size of the feld force actually required to efectvely commercialize our product candidates. As such, we may be required to hire larger teams to adequately support the commercializaton of our products and product candidates or we may incur excess costs in an efort to optmize the hiring of commercial personnel. With respect to certain geographical markets, we may enter into collaboratons with other enttes to utlize their local marketng and distributon capabilites, but we may be unable to enter into such agreements on favorable terms, if at all. If our future collaborators do not commit sufcient resources to commercialize our future products, if any, and we are unable to develop the necessary marketng capabilites on our own, we will be unable to generate sufcient product sales to sustain our business. We face competton from companies that currently have extensive and well-funded marketng and sales operatons. Without a large internal team or the support of a third party to perform key commercial functons, we may be unable to compete successfully against these more established companies.</w:t>
      </w:r>
    </w:p>
    <w:p>
      <w:pPr>
        <w:spacing w:after="0" w:line="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6" w:name="page47"/>
    <w:bookmarkEnd w:id="46"/>
    <w:p>
      <w:pPr>
        <w:ind w:right="240"/>
        <w:spacing w:after="0" w:line="235" w:lineRule="auto"/>
        <w:rPr>
          <w:sz w:val="20"/>
          <w:szCs w:val="20"/>
          <w:color w:val="auto"/>
        </w:rPr>
      </w:pPr>
      <w:r>
        <w:rPr>
          <w:rFonts w:ascii="Calibri" w:cs="Calibri" w:eastAsia="Calibri" w:hAnsi="Calibri"/>
          <w:sz w:val="18"/>
          <w:szCs w:val="18"/>
          <w:b w:val="1"/>
          <w:bCs w:val="1"/>
          <w:i w:val="1"/>
          <w:iCs w:val="1"/>
          <w:color w:val="auto"/>
        </w:rPr>
        <w:t>The commercial success of any current or future product will depend upon the degree of market acceptance by physicians, patents, third-party payors, and others in the medical community.</w:t>
      </w:r>
    </w:p>
    <w:p>
      <w:pPr>
        <w:spacing w:after="0" w:line="83"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Even with the requisite approvals from the FDA and comparable foreign regulatory authorites, the commercial success of our current and future products will depend in part on the medical community, patents, and payors acceptng our current and future products as medically useful, cost-efectve, and safe. Any product that we bring to the market may not gain market acceptance by physicians, patents, payors, and others in the medical community. The degree of market acceptance of any of our current and future products will depend on a number of factors, including:</w:t>
      </w:r>
    </w:p>
    <w:p>
      <w:pPr>
        <w:spacing w:after="0" w:line="93" w:lineRule="exact"/>
        <w:rPr>
          <w:sz w:val="20"/>
          <w:szCs w:val="20"/>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efcacy of the product as demonstrated in clinical studies and potental advantages over competng treatments;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prevalence and severity of any side efects, including any limitatons or warnings contained in a product’s approved labeling;</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clinical indicatons for which approval is granted;</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relatve convenience and ease of administraton;</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 of treatment, partcularly in relaton to competng treatments;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willingness of the target patent populaton to try new therapies and of physicians to prescribe these therapies;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efectveness of our feld forces and marketng eforts;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strength of marketng and distributon support and tming of market introducton of compettve products;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publicity concerning our products or competng products and treatments; and</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sufcient third-party insurance coverage and reimbursement.</w:t>
      </w:r>
    </w:p>
    <w:p>
      <w:pPr>
        <w:spacing w:after="0" w:line="8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Even if a potental product displays a favorable efcacy and safety profle in nonclinical and clinical studies, market acceptance of the product will not be fully known untl afer it is launched. Our eforts to educate the medical community and payors on the benefts of the product candidates require signifcant resources and may never be successful. If our current and future products fail to achieve an adequate level of acceptance by physicians, patents, payors, and others in the medical community, we will not be able to generate sufcient revenue to become or remain proftable.</w:t>
      </w:r>
    </w:p>
    <w:p>
      <w:pPr>
        <w:spacing w:after="0" w:line="246" w:lineRule="exact"/>
        <w:rPr>
          <w:sz w:val="20"/>
          <w:szCs w:val="20"/>
          <w:color w:val="auto"/>
        </w:rPr>
      </w:pPr>
    </w:p>
    <w:p>
      <w:pPr>
        <w:ind w:right="620"/>
        <w:spacing w:after="0" w:line="235" w:lineRule="auto"/>
        <w:rPr>
          <w:sz w:val="20"/>
          <w:szCs w:val="20"/>
          <w:color w:val="auto"/>
        </w:rPr>
      </w:pPr>
      <w:r>
        <w:rPr>
          <w:rFonts w:ascii="Calibri" w:cs="Calibri" w:eastAsia="Calibri" w:hAnsi="Calibri"/>
          <w:sz w:val="18"/>
          <w:szCs w:val="18"/>
          <w:b w:val="1"/>
          <w:bCs w:val="1"/>
          <w:i w:val="1"/>
          <w:iCs w:val="1"/>
          <w:color w:val="auto"/>
        </w:rPr>
        <w:t>The insurance coverage and reimbursement status of newly approved products is uncertain. Failure to obtain or maintain adequate coverage and reimbursement for new or current products could limit our ability to market those products and decrease our ability to generate revenue.</w:t>
      </w:r>
    </w:p>
    <w:p>
      <w:pPr>
        <w:spacing w:after="0" w:line="83"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Our target patent populatons are small, and accordingly the pricing, coverage, and reimbursement of our products and product candidates, if approved, must be adequate to support our commercial infrastructure. Our per-patent prices must be sufcient to recover our development and manufacturing costs and potentally achieve proftability. We expect the cost of a single administraton of gene therapy products, such as those we are developing, to be substantal, when and if they achieve regulatory approval. Accordingly, the availability and adequacy of coverage and reimbursement by governmental and private payors are essental for most patents to aford expensive treatments such as ours, assuming approval. Sales of our products and product candidates, if approved, will depend substantally, both domestcally and abroad, on the extent to which their costs will be paid for by health maintenance, managed care, pharmacy beneft, and similar healthcare management organizatons, or reimbursed by government authorites, private health insurers, and other payors. If coverage and reimbursement are not available, are available only to limited levels, or are not available on a tmely basis, we may not be able to successfully commercialize our products and product candidates, if approved. For example, deterioratng economic conditons and politcal instability in certain Latn American countries and in Turkey contnue to cause us to experience signifcant delays in receiving approval for reimbursement for our products and consequently impact our product commercializaton tmelines in such regions. Even if coverage is provided, the approved reimbursement amount may not be high enough to allow us to establish or maintain pricing sufcient to sustain our overall enterprise. In additon, we do not know the reimbursement rates untl we are ready to market the product and we actually negotate the rates.</w:t>
      </w:r>
    </w:p>
    <w:p>
      <w:pPr>
        <w:spacing w:after="0" w:line="9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There is signifcant uncertainty related to the insurance coverage and reimbursement of newly approved products. In the U.S., the Centers for Medicare &amp; Medicaid Services, or CMS, an agency within the U.S. Department of Health and Human Services, decides whether and to what extent a new drug will be covered and reimbursed under Medicare. Private payors tend to follow the coverage reimbursement policies established by CMS to a substantal degree. It is difcult to predict what CMS or private payors will decide with respect to reimbursement for products such as ours, especially our gene therapy product candidates as there is a limited body of established practces and precedents for gene therapy products.</w:t>
      </w:r>
    </w:p>
    <w:p>
      <w:pPr>
        <w:jc w:val="center"/>
        <w:ind w:right="-39"/>
        <w:spacing w:after="0"/>
        <w:rPr>
          <w:sz w:val="20"/>
          <w:szCs w:val="20"/>
          <w:color w:val="auto"/>
        </w:rPr>
      </w:pPr>
      <w:r>
        <w:rPr>
          <w:rFonts w:ascii="Calibri" w:cs="Calibri" w:eastAsia="Calibri" w:hAnsi="Calibri"/>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47" w:name="page48"/>
    <w:bookmarkEnd w:id="47"/>
    <w:p>
      <w:pPr>
        <w:ind w:right="40" w:firstLine="509"/>
        <w:spacing w:after="0" w:line="250" w:lineRule="auto"/>
        <w:rPr>
          <w:sz w:val="20"/>
          <w:szCs w:val="20"/>
          <w:color w:val="auto"/>
        </w:rPr>
      </w:pPr>
      <w:r>
        <w:rPr>
          <w:rFonts w:ascii="Calibri" w:cs="Calibri" w:eastAsia="Calibri" w:hAnsi="Calibri"/>
          <w:sz w:val="17"/>
          <w:szCs w:val="17"/>
          <w:color w:val="auto"/>
        </w:rPr>
        <w:t>Outside the U.S., internatonal operatons are generally subject to extensive governmental price controls and other market regulatons, and we believe the increasing emphasis on cost-containment initatves in Europe, Canada, and other countries will put pressure on the pricing and usage of our products and product candidates. In many countries, the prices of medical products are subject to varying price control mechanisms as part of natonal health systems. Other countries allow companies to fx their own prices for medicinal products, but monitor and control company profts. Additonal foreign price controls or other changes in pricing regulaton could restrict the amount that we are able to charge for our product candidates. Accordingly, in foreign markets, the reimbursement for our products may be reduced compared with the U.S. and may be insufcient to generate commercially reasonable revenue and profts. The tming to complete the negotaton process in each country is highly uncertain, and in some countries outside of the U.S., we expect the process to exceed several months. Even if a price can be negotated, countries frequently request or require reductons to the price and other concessions over tme, including retrospectve “clawback” price reductons. Additonally, member states of the EU have regularly imposed new or additonal cost containment measures for pharmaceutcals such as volume discounts, cost caps, clawbacks and free products for a porton of the expected therapy period. For example, in France, we estmate clawback reserves on Dojolvi and Evkeeza based on current regulatons, our estmate of pricing on approval of Dojolvi and Evkeeza and other factors. However, if pricing is approved at levels lower than estmated, if at all, or if there are further changes in the regulatory framework, we may be required to pay back amounts higher than clawback reserves and reverse revenue that has been previously recorded.</w:t>
      </w:r>
    </w:p>
    <w:p>
      <w:pPr>
        <w:spacing w:after="0" w:line="79"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Moreover, increasing eforts by governmental and third-party payors in the U.S. and abroad to cap or reduce healthcare costs may cause such organizatons to limit both coverage and the level of reimbursement for new products and, as a result, they may not cover or provide adequate payment for our products and product candidates. We expect to experience pricing pressures in connecton with the sale of any of our products and product candidates due to the trend toward managed healthcare, the increasing infuence of health maintenance organizatons, additonal legislatve changes, including the impact from the Infaton Reducton Act of 2022, and statements by elected ofcials. For example, proposals have been discussed to te U.S. drug prices to the cost in other countries, several states in the U.S. have introduced legislaton to require pharmaceutcal companies to disclose their costs to justfy the prices of their products. Drug pricing is also expected to remain a focus for the current Presidental Administraton and Congress. The downward pressure on healthcare costs in general, and with respect to prescripton drugs, surgical procedures, and other treatments in partcular, has become very intense. As a result, increasingly high barriers are being erected to the entry of new products.</w:t>
      </w:r>
    </w:p>
    <w:p>
      <w:pPr>
        <w:spacing w:after="0" w:line="24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Our Intellectual Property</w:t>
      </w:r>
    </w:p>
    <w:p>
      <w:pPr>
        <w:spacing w:after="0" w:line="82" w:lineRule="exact"/>
        <w:rPr>
          <w:sz w:val="20"/>
          <w:szCs w:val="20"/>
          <w:color w:val="auto"/>
        </w:rPr>
      </w:pPr>
    </w:p>
    <w:p>
      <w:pPr>
        <w:ind w:right="360"/>
        <w:spacing w:after="0" w:line="235" w:lineRule="auto"/>
        <w:rPr>
          <w:sz w:val="20"/>
          <w:szCs w:val="20"/>
          <w:color w:val="auto"/>
        </w:rPr>
      </w:pPr>
      <w:r>
        <w:rPr>
          <w:rFonts w:ascii="Calibri" w:cs="Calibri" w:eastAsia="Calibri" w:hAnsi="Calibri"/>
          <w:sz w:val="18"/>
          <w:szCs w:val="18"/>
          <w:b w:val="1"/>
          <w:bCs w:val="1"/>
          <w:i w:val="1"/>
          <w:iCs w:val="1"/>
          <w:color w:val="auto"/>
        </w:rPr>
        <w:t>If we are unable to obtain and maintain efectve patent rights for our products, product candidates, or any future product candidates, we may not be able to compete efectvely in our markets.</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rely upon a combinaton of patents, trade secret protecton, and confdentality agreements to protect the intellectual property related to our technologies, our products, and our product candidates. Our success depends in large part on our and our licensors’ ability to obtain and maintain patent and other intellectual property protecton in the U.S. and in other countries with respect to our proprietary technologies, our products, and our product candidates.</w:t>
      </w:r>
    </w:p>
    <w:p>
      <w:pPr>
        <w:spacing w:after="0" w:line="84"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We have sought to protect our proprietary positon by fling patent applicatons in the U.S. and abroad related to our novel technologies, products and product candidates that are important to our business. This process is expensive and tme consuming, and we may not be able to fle and prosecute all necessary or desirable patent applicatons at a reasonable cost or in a tmely manner. It is also possible that we will fail to identfy patentable aspects of our research and development output before it is too late to obtain patent protecton.</w:t>
      </w:r>
    </w:p>
    <w:p>
      <w:pPr>
        <w:spacing w:after="0" w:line="84"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The patent positon of biotechnology and pharmaceutcal companies generally is highly uncertain and involves complex legal and factual questons for which legal principles remain unsetled. The patent applicatons that we own or in-license may fail to result in issued patents with claims that cover our products or product candidates in the U.S. or in foreign countries. There is no assurance that all potentally relevant prior art relatng to our patents and patent applicatons has been found, which can prevent a patent from issuing from a pending patent applicaton or provide the basis for third partes to challenge the validity of an issued patent. Third partes may challenge the validity, enforceability, or scope of any issued patents, which may result in such patents being narrowed, found unenforceable, or invalidated. Furthermore, even if the patents and patent applicatons we own or in-license are unchallenged, they may not adequately protect our intellectual property, provide exclusivity for our products or product candidates, or prevent others from designing around our claims. Any of these outcomes could impair our ability to prevent competton from third partes.</w:t>
      </w:r>
    </w:p>
    <w:p>
      <w:pPr>
        <w:spacing w:after="0" w:line="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8" w:name="page49"/>
    <w:bookmarkEnd w:id="48"/>
    <w:p>
      <w:pPr>
        <w:ind w:right="20" w:firstLine="509"/>
        <w:spacing w:after="0" w:line="251" w:lineRule="auto"/>
        <w:rPr>
          <w:sz w:val="20"/>
          <w:szCs w:val="20"/>
          <w:color w:val="auto"/>
        </w:rPr>
      </w:pPr>
      <w:r>
        <w:rPr>
          <w:rFonts w:ascii="Calibri" w:cs="Calibri" w:eastAsia="Calibri" w:hAnsi="Calibri"/>
          <w:sz w:val="17"/>
          <w:szCs w:val="17"/>
          <w:color w:val="auto"/>
        </w:rPr>
        <w:t>We, independently or together with our licensors, have fled several patent applicatons covering various aspects of our products or product candidates. We cannot ofer any assurances about which, if any, patent applicatons will issue, the breadth of any issued patent, or whether any issued patents will be found invalid and unenforceable or will be threatened by third partes. Any successful oppositon to these patents could impair the exclusivity positon of our products or deprive us of rights necessary for the successful commercializaton of any product candidates that are approved. Further, if we encounter delays in regulatory approvals, the period of tme during which we could market a product candidate under patent protecton could be reduced.</w:t>
      </w:r>
    </w:p>
    <w:p>
      <w:pPr>
        <w:spacing w:after="0" w:line="76"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Our current patents or applicatons covering methods of use and certain compositons of mater do not provide complete patent protecton for our products and product candidates in all territories. For example, there are no issued patents covering the Crysvita compositon of mater in Latn America, where we have rights to commercialize this product. Therefore, a compettor could develop the same antbody or a similar antbody as well as other approaches that target FGF23 for potental commercializaton in Latn America, subject to any intellectual property rights or regulatory exclusivites awarded to us. If we cannot obtain and maintain efectve patent rights for our products or product candidates, we may not be able to compete efectvely and our business and results of operatons would be harmed.</w:t>
      </w: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may not have sufcient patent terms to efectvely protect our products and business.</w:t>
      </w:r>
    </w:p>
    <w:p>
      <w:pPr>
        <w:spacing w:after="0" w:line="82"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Patents have a limited lifespan. In the U.S., the natural expiraton of a patent is generally 20 years from its earliest non-provisional fling date. Although various extensions may be available, the life of a patent, and the protecton it afords, is limited. Even if patents covering our products or product candidates are obtained, once the patent life has expired for a product, we may be open to competton from generic or biosimilar medicatons.</w:t>
      </w:r>
    </w:p>
    <w:p>
      <w:pPr>
        <w:spacing w:after="0" w:line="84" w:lineRule="exact"/>
        <w:rPr>
          <w:sz w:val="20"/>
          <w:szCs w:val="20"/>
          <w:color w:val="auto"/>
        </w:rPr>
      </w:pPr>
    </w:p>
    <w:p>
      <w:pPr>
        <w:ind w:right="60" w:firstLine="509"/>
        <w:spacing w:after="0" w:line="251" w:lineRule="auto"/>
        <w:rPr>
          <w:sz w:val="20"/>
          <w:szCs w:val="20"/>
          <w:color w:val="auto"/>
        </w:rPr>
      </w:pPr>
      <w:r>
        <w:rPr>
          <w:rFonts w:ascii="Calibri" w:cs="Calibri" w:eastAsia="Calibri" w:hAnsi="Calibri"/>
          <w:sz w:val="17"/>
          <w:szCs w:val="17"/>
          <w:color w:val="auto"/>
        </w:rPr>
        <w:t>Patent term extensions under the Hatch-Waxman Act in the U.S. and under supplementary protecton certfcates in Europe may not be available to extend the patent exclusivity term for our products and product candidates, and we cannot provide any assurances that any such patent term extension will be obtained and, if so, for how long. Furthermore, we may not receive an extension if we fail to apply within applicable deadlines, fail to apply prior to expiraton of relevant patents, or otherwise fail to satsfy applicable requirements. Moreover, the length of the extension could be less than we request. If we do not have sufcient patent terms or regulatory exclusivity to protect our products, our business and results of operatons may be adversely afected.</w:t>
      </w:r>
    </w:p>
    <w:p>
      <w:pPr>
        <w:spacing w:after="0" w:line="238"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b w:val="1"/>
          <w:bCs w:val="1"/>
          <w:i w:val="1"/>
          <w:iCs w:val="1"/>
          <w:color w:val="auto"/>
        </w:rPr>
        <w:t>Patent law and rule changes could increase the uncertaintes and costs surrounding the prosecuton of our patent applicatons and the enforcement or defense of our issued patents.</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Changes in either the patent laws or interpretaton of the patent laws in the U.S. and other countries may diminish the value of our patents or narrow the scope of our patent protecton. The laws of foreign countries may not protect our rights to the same extent as the laws of the U.S. Publicatons of discoveries in the scientfc literature ofen lag behind the actual discoveries, and patent applicatons in the U.S. and other jurisdictons are typically not published untl 18 months afer fling, or in some cases not at all. We therefore cannot be certain that we or our licensors were the frst to make the inventons claimed in our owned and in-licensed patents or pending applicatons, or that we or our licensor were the frst to fle for patent protecton of such inventons.</w:t>
      </w:r>
    </w:p>
    <w:p>
      <w:pPr>
        <w:spacing w:after="0" w:line="86"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In 2011, the Leahy-Smith America Invents Act, or the Leahy-Smith Act, was signed into law and introduced signifcant changes to the prosecuton of U.S. patent applicatons and to the procedures for challenging U.S. patents. The efects of these changes remain unclear owing to the evolving nature of the law and the lengthy tmelines associated with court system review and interpretaton. Consequently, the Leahy-Smith Act and its implementaton could increase the uncertaintes and costs surrounding the prosecuton of our patent applicatons and the enforcement or defense of our issued patents, all of which could have a material adverse efect on our business and fnancial conditon.</w:t>
      </w:r>
    </w:p>
    <w:p>
      <w:pPr>
        <w:spacing w:after="0" w:line="85"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Outside the U.S., there have been changes to patent laws in certain jurisdictons that could impair our ability to obtain, maintain, or enforce our patents in those territories. For instance, Europe’s new Unitary Patent system and Unifed Patent Court, or the UPC, may present uncertaintes for our ability to protect and enforce our patent rights against compettors in Europe. In 2012, as part of the European Patent Package, or the EU Patent Package, regulatons were passed with the goal of providing a single pan-European Unitary Patent system and a new UPC, for litgaton involving European patents. Implementaton of the EU Patent Package occurred in June 2023. Under the UPC, all European patents, including those issued prior to ratfcaton of the European Patent Package, will by default automatcally fall under the jurisdicton of the UPC. The UPC will provide our compettors with a new forum in which to seek central revocaton of our European patents and allow for the possibility of a compettor to obtain pan-European injunctons. It will be several years before we will understand the scope of patent rights that will be recognized and the strength of patent remedies that will be provided by the UPC. Under the EU Patent Package, we will have the right to opt our patents out of the UPC over the frst seven years of the court’s existence, but doing so may preclude us from realizing the benefts of the new unifed court.</w:t>
      </w:r>
    </w:p>
    <w:p>
      <w:pPr>
        <w:spacing w:after="0" w:line="4"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49" w:name="page50"/>
    <w:bookmarkEnd w:id="49"/>
    <w:p>
      <w:pPr>
        <w:ind w:right="300"/>
        <w:spacing w:after="0" w:line="235" w:lineRule="auto"/>
        <w:rPr>
          <w:sz w:val="20"/>
          <w:szCs w:val="20"/>
          <w:color w:val="auto"/>
        </w:rPr>
      </w:pPr>
      <w:r>
        <w:rPr>
          <w:rFonts w:ascii="Calibri" w:cs="Calibri" w:eastAsia="Calibri" w:hAnsi="Calibri"/>
          <w:sz w:val="18"/>
          <w:szCs w:val="18"/>
          <w:b w:val="1"/>
          <w:bCs w:val="1"/>
          <w:i w:val="1"/>
          <w:iCs w:val="1"/>
          <w:color w:val="auto"/>
        </w:rPr>
        <w:t>If we are unable to maintain efectve proprietary rights for our products, product candidates, or any future product candidates, we may not be able to compete efectvely in our markets.</w:t>
      </w:r>
    </w:p>
    <w:p>
      <w:pPr>
        <w:spacing w:after="0" w:line="83"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In additon to the protecton aforded by patents, we rely on trade secret protecton and confdentality agreements to protect proprietary know-how that is not patentable or that we elect not to patent, processes for which patents are difcult to enforce and any other elements of our products or product candidate discovery and development processes that involve proprietary know-how, informaton, or technology that is not covered by patents. However, trade secrets can be difcult to protect. The confdentality agreements entered into with our employees, consultants, scientfc advisors, contractors and other third partes that we rely on in connecton with the development, manufacture and commercializaton of our products may not be sufcient to protect our proprietary technology and processes, which increase the risk that such trade secrets may become known by our compettors or may be inadvertently incorporated into the technology of others.</w:t>
      </w:r>
    </w:p>
    <w:p>
      <w:pPr>
        <w:spacing w:after="0" w:line="87" w:lineRule="exact"/>
        <w:rPr>
          <w:sz w:val="20"/>
          <w:szCs w:val="20"/>
          <w:color w:val="auto"/>
        </w:rPr>
      </w:pPr>
    </w:p>
    <w:p>
      <w:pPr>
        <w:jc w:val="both"/>
        <w:ind w:right="160" w:firstLine="509"/>
        <w:spacing w:after="0" w:line="254" w:lineRule="auto"/>
        <w:rPr>
          <w:sz w:val="20"/>
          <w:szCs w:val="20"/>
          <w:color w:val="auto"/>
        </w:rPr>
      </w:pPr>
      <w:r>
        <w:rPr>
          <w:rFonts w:ascii="Calibri" w:cs="Calibri" w:eastAsia="Calibri" w:hAnsi="Calibri"/>
          <w:sz w:val="17"/>
          <w:szCs w:val="17"/>
          <w:color w:val="auto"/>
        </w:rPr>
        <w:t>The physical security of our premises and physical and electronic security of our informaton technology systems may not preserve the integrity and confdentality of our data and trade secrets. These individuals, organizatons and systems, agreements or security measures may be breached, and we may not have adequate remedies for any breach. In additon, our trade secrets may otherwise become known or be independently discovered by compettors.</w:t>
      </w:r>
    </w:p>
    <w:p>
      <w:pPr>
        <w:spacing w:after="0" w:line="70"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assignment agreements we enter into with our employees and consultants to assign their inventons to us, and the confdentality agreements we enter into with our employees, consultants, advisors, and any third partes who have access to our proprietary know-how, informaton, or technology may not have been duly executed and we cannot assure that our trade secrets and other confdental proprietary informaton will not be disclosed or that compettors will not otherwise gain access to our trade secrets or independently develop substantally equivalent informaton and techniques. Misappropriaton or unauthorized disclosure of our trade secrets could impair our compettve positon and may have a material adverse efect on our business. Additonally, if the steps taken to maintain our trade secrets are deemed inadequate, we may have insufcient recourse against third partes for misappropriatng the trade secret.</w:t>
      </w:r>
    </w:p>
    <w:p>
      <w:pPr>
        <w:spacing w:after="0" w:line="24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Claims of intellectual property infringement may prevent or delay our development and commercializaton eforts.</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Our commercial success depends in part on our avoiding infringement of the patents and proprietary rights of others. There have been many lawsuits and other proceedings involving patent and other intellectual property rights in the biotechnology and pharmaceutcal industries, including patent infringement lawsuits, interferences, inter partes reviews, post grant reviews, oppositons, and reexaminaton proceedings before the USPTO and corresponding foreign patent ofces. Numerous U.S. and foreign issued patents and pending patent applicatons, which are owned by other partes, exist in the felds in which we are developing product candidates. As the biotechnology and pharmaceutcal industries expand and more patents are issued, the risk increases that our products or product candidates may be subject to claims of infringement of the patent rights of these other partes.</w:t>
      </w:r>
    </w:p>
    <w:p>
      <w:pPr>
        <w:spacing w:after="0" w:line="86"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Other partes may assert that we are employing their proprietary technology without authorizaton. There may be patents or patent applicatons with claims to materials, formulatons, methods of manufacture, or methods for treatment relevant to the use or manufacture of our products or product candidates. We have conducted freedom to operate analyses with respect only to our products and certain of our product candidates, and therefore we do not know whether there are any patents of other partes that would impair our ability to commercialize all of our product candidates. We also cannot guarantee that any of our analyses are complete and thorough, nor can we be sure that we have identfed each and every patent and pending applicaton in the U.S. and abroad that covers technology relevant or necessary to the commercializaton of our products or product candidates. Because patent applicatons can take many years to issue, there may be currently pending patent applicatons that may later result in issued patents that are relevant to our products or product candidates.</w:t>
      </w:r>
    </w:p>
    <w:p>
      <w:pPr>
        <w:spacing w:after="0" w:line="8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are aware of certain U.S. and foreign patents owned by third partes that a court might construe to be valid and relevant to one or more of our gene therapy product candidates, certain methods that may be used in their manufacture or delivery, or certain formulatons comprising one or more of our gene therapy candidates. Regarding our ant-sclerostn antbody product candidate, setrusumab, we are aware of litgaton involving patents owned by a third-party, OssiFi-Mab LLC, or OMab, relatng to methods of using sclerostn antagonists in combinaton with antresorptve drugs to increase bone growth, bone formaton, and/or bone density. Specifcally, in the U.S., OMab has asserted certain patents expiring in 2027 or 2028 against Amgen based on Amgen’s commercializaton of an ant-sclerostn antbody, Evenity®, for the treatment of osteoporosis in postmenopausal women at high risk for fracture; Amgen denies infringement and asserts the OMab patents are invalid. In Europe, OMab was granted two patents with related subject mater; the frst patent has been revoked while the second has been opposed by Amgen, UCB, and two anonymous partes. There is a risk that one or more third partes may choose to engage in litgaton with us to enforce or to otherwise assert their patent rights against us. Even if we believe such claims are without merit, a court of competent jurisdicton could hold that one or more of these patents is valid, enforceable, and infringed, in which case the owners of any such patents may be able to block our ability to commercialize a product candidate unless we obtain a license under the applicable patents, or untl such patents expire. However, such a license may not be available on commercially reasonable terms or at all.</w:t>
      </w:r>
    </w:p>
    <w:p>
      <w:pPr>
        <w:spacing w:after="0" w:line="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0" w:name="page51"/>
    <w:bookmarkEnd w:id="50"/>
    <w:p>
      <w:pPr>
        <w:ind w:firstLine="509"/>
        <w:spacing w:after="0" w:line="235" w:lineRule="auto"/>
        <w:rPr>
          <w:sz w:val="20"/>
          <w:szCs w:val="20"/>
          <w:color w:val="auto"/>
        </w:rPr>
      </w:pPr>
      <w:r>
        <w:rPr>
          <w:rFonts w:ascii="Calibri" w:cs="Calibri" w:eastAsia="Calibri" w:hAnsi="Calibri"/>
          <w:sz w:val="18"/>
          <w:szCs w:val="18"/>
          <w:color w:val="auto"/>
        </w:rPr>
        <w:t>Partes making claims against us may obtain injunctve or other equitable relief, which could efectvely block our ability to contnue commercializaton of our products, or block our ability to develop and commercialize one or more of our product candidates. Defense of these claims, regardless of their merit, would involve substantal litgaton expense and would be a substantal diversion of employee resources from our business. In the event of a successful claim of infringement against us, we may have to pay substantal damages, including treble damages and atorneys’ fees for willful infringement, pay royaltes, redesign our infringing products, or obtain one or more licenses from third partes, which may be impossible or require substantal tme and monetary expenditure.</w:t>
      </w: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may not be successful in obtaining or maintaining necessary rights to our product candidates through acquisitons and in-licenses.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Because our programs may require the use of proprietary rights held by third partes, the growth of our business will likely depend in part on our ability to acquire, in-license, or use these proprietary rights. We may be unable to acquire or in-license any compositons, methods of use, processes, or other third-party intellectual property rights from third partes that we identfy as necessary for our product candidates. The licensing and acquisiton of third-party intellectual property rights is a compettve area, and a number of more established companies are also pursuing strategies to license or acquire third-party intellectual property rights that we may consider atractve. These established companies may have a compettve advantage over us due to their size, cash resources, and greater clinical development and commercializaton capabilites. In additon, companies that perceive us to be a compettor may be unwilling to assign or license rights to us. We also may be unable to license or acquire third-party intellectual property rights on terms that would allow us to make an appropriate return on our investment.</w:t>
      </w:r>
    </w:p>
    <w:p>
      <w:pPr>
        <w:spacing w:after="0" w:line="88"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We sometmes collaborate with U.S. and foreign academic insttutons to accelerate our preclinical research or development under writen agreements with these insttutons. Typically, these insttutons provide us an opton to negotate a license to any of the insttuton’s rights in technology resultng from the collaboraton. Regardless of such opton, we may be unable to negotate a license within the specifed tmeframe or under terms that are acceptable to us. If we are unable to do so, the insttuton may ofer the intellectual property rights to other partes, potentally blocking our ability to pursue our program.</w:t>
      </w:r>
    </w:p>
    <w:p>
      <w:pPr>
        <w:spacing w:after="0" w:line="85"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If we are unable to successfully obtain rights to required third-party intellectual property rights or maintain the existng intellectual property rights we have, we may have to abandon development of the corresponding program.</w:t>
      </w:r>
    </w:p>
    <w:p>
      <w:pPr>
        <w:spacing w:after="0" w:line="245"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b w:val="1"/>
          <w:bCs w:val="1"/>
          <w:i w:val="1"/>
          <w:iCs w:val="1"/>
          <w:color w:val="auto"/>
        </w:rPr>
        <w:t>We may face competton from biosimilars, which may have a material adverse impact on the future commercial prospects of our biological products and product candidates.</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Even if we are successful in achieving regulatory approval to commercialize a product candidate faster than our compettors, we may face competton from biosimilars with respect to our biological products (Crysvita, Mepsevii and Evkeeza) and our biological product candidates. In the U.S., the Biologics Price Competton and Innovaton Act of 2009, or BPCI Act, was included in the Afordable Care Act and created an abbreviated approval pathway for biological products that are demonstrated to be “highly similar,” or biosimilar, to or “interchangeable” with an FDA-approved biological product. The BPCI Act prohibits the FDA from approving a biosimilar or interchangeable product that references a brand biological product untl 12 years afer the licensure of the reference product, but permits submission of an applicaton for a biosimilar or interchangeable product to the FDA four years afer the reference product was frst licensed. The BPCI Act does not prevent another company from developing a product that is highly similar to the innovatve product, generatng its own data, and seeking approval. The law is complex and is stll being interpreted and implemented by the FDA. Moreover, aspects of the law are stll being evaluated and interpreted by courts. As a result, its ultmate impact, implementaton and meaning are subject to uncertainty. Modifcaton of the BPCI Act, or changes to the interpretaton or implementaton of the BPCI Act, could have a material adverse efect on the future commercial prospects for our biological products and product candidates.</w:t>
      </w:r>
    </w:p>
    <w:p>
      <w:pPr>
        <w:spacing w:after="0" w:line="90"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In Europe, the European Commission has granted marketng authorizatons for several biosimilars pursuant to a set of general and product class-specifc guidelines for biosimilar approvals issued over the past few years. In Europe, a compettor may reference data supportng approval of an innovatve biological product, but will not be able to get on the market untl 10 years afer the tme of approval of the innovatve product. This 10-year marketng exclusivity period will be extended to 11 years if, during the frst eight of those 10 years, the marketng authorizaton holder obtains an approval for one or more new therapeutc indicatons that bring signifcant clinical benefts compared with existng therapies. In additon, companies may be developing biosimilars in other countries that could compete with our products.</w:t>
      </w:r>
    </w:p>
    <w:p>
      <w:pPr>
        <w:jc w:val="center"/>
        <w:ind w:right="-19"/>
        <w:spacing w:after="0"/>
        <w:rPr>
          <w:sz w:val="20"/>
          <w:szCs w:val="20"/>
          <w:color w:val="auto"/>
        </w:rPr>
      </w:pPr>
      <w:r>
        <w:rPr>
          <w:rFonts w:ascii="Calibri" w:cs="Calibri" w:eastAsia="Calibri" w:hAnsi="Calibri"/>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1" w:name="page52"/>
    <w:bookmarkEnd w:id="51"/>
    <w:p>
      <w:pPr>
        <w:ind w:right="260"/>
        <w:spacing w:after="0" w:line="235" w:lineRule="auto"/>
        <w:rPr>
          <w:sz w:val="20"/>
          <w:szCs w:val="20"/>
          <w:color w:val="auto"/>
        </w:rPr>
      </w:pPr>
      <w:r>
        <w:rPr>
          <w:rFonts w:ascii="Calibri" w:cs="Calibri" w:eastAsia="Calibri" w:hAnsi="Calibri"/>
          <w:sz w:val="18"/>
          <w:szCs w:val="18"/>
          <w:color w:val="auto"/>
        </w:rPr>
        <w:t>If compettors are able to obtain marketng approval for biosimilars referencing our products, our products may become subject to competton from such biosimilars, with the atendant compettve pressure and consequences</w:t>
      </w:r>
    </w:p>
    <w:p>
      <w:pPr>
        <w:spacing w:after="0" w:line="245"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b w:val="1"/>
          <w:bCs w:val="1"/>
          <w:i w:val="1"/>
          <w:iCs w:val="1"/>
          <w:color w:val="auto"/>
        </w:rPr>
        <w:t>Compettors could enter the market with generic versions of Dojolvi or our small-molecule product candidates, which may result in a material decline in sales of afected products.</w:t>
      </w:r>
    </w:p>
    <w:p>
      <w:pPr>
        <w:spacing w:after="0" w:line="83"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Under the Hatch-Waxman Act, a pharmaceutcal manufacturer may fle an abbreviated new drug applicaton, or ANDA, seeking approval of a generic copy of an approved, innovator small-molecule product such as Dojolvi. Under the Hatch-Waxman Act, a manufacturer may also submit an NDA under secton 505(b)(2) that references the FDA’s fnding of safety and efectveness of a previously approved innovator small-molecule product. A 505(b)(2) NDA product may be for a new or improved version of the original innovator product. Innovatve small-molecule drugs may be eligible for certain periods of regulatory exclusivity (e.g., fve years for new chemical enttes, three years for changes to an approved drug requiring a new clinical study, and seven years for orphan drugs), which preclude FDA approval (or in some circumstances, FDA fling and review of) an ANDA or 505(b)(2) NDA relying on the FDA’s fnding of safety and efectveness for the innovatve drug. In additon to the benefts of regulatory exclusivity, an innovator NDA holder may have patents claiming the actve ingredient, product formulaton or an approved use of the drug, which would be listed with the product in the “Orange Book.” If there are patents listed in the Orange Book, a generic applicant that seeks to market its product before expiraton of the patents must include in the ANDA or 505(b)(2) what is known as a “Paragraph IV certfcaton,” challenging the validity or enforceability of, or claiming non-infringement of, the listed patent or patents. Notce of the certfcaton must be given to the innovator, too, and if within 45 days of receiving notce the innovator sues to enforce its patents, approval of the ANDA is stayed for 30 months, or as lengthened or shortened by the court.</w:t>
      </w:r>
    </w:p>
    <w:p>
      <w:pPr>
        <w:spacing w:after="0" w:line="91"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During the year ended December 31, 2024, Navinta, Aurobindo, and Esjay fled ANDAs for generic versions of Dojolvi. We have fled a patent infringement suit under the Hatch-Waxman Act against Navinta, Aurobindo and Esjay in the United States District Court for the District of New Jersey in response to the notces. See “Item 3. Legal Proceedings” below for a descripton of our suit. We cannot predict the outcome of our suit, nor can we predict whether there will be additonal ANDA flings for Dojolvi.</w:t>
      </w:r>
    </w:p>
    <w:p>
      <w:pPr>
        <w:spacing w:after="0" w:line="84"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 xml:space="preserve">There have been a number of recent regulatory and legislatve initatves designed to encourage generic competton for small-molecule pharmaceutcal products. For instance, in December 2019, the Creatng and Restoring Equal Access to Equivalent Samples Act, or the CREATES Act, was enacted, which provides a legislatvely defned private right of acton under which eligible product developers can bring suit against companies who refuse to sell sufcient quanttes of their branded products on commercially reasonable, market-based terms to support such eligible product developers’ marketng applicatons. It is our policy to evaluate requests for samples of our branded products, and to provide samples in response to </w:t>
      </w:r>
      <w:r>
        <w:rPr>
          <w:rFonts w:ascii="Calibri" w:cs="Calibri" w:eastAsia="Calibri" w:hAnsi="Calibri"/>
          <w:sz w:val="18"/>
          <w:szCs w:val="18"/>
          <w:i w:val="1"/>
          <w:iCs w:val="1"/>
          <w:color w:val="auto"/>
        </w:rPr>
        <w:t>bona fde</w:t>
      </w:r>
      <w:r>
        <w:rPr>
          <w:rFonts w:ascii="Calibri" w:cs="Calibri" w:eastAsia="Calibri" w:hAnsi="Calibri"/>
          <w:sz w:val="18"/>
          <w:szCs w:val="18"/>
          <w:color w:val="auto"/>
        </w:rPr>
        <w:t>, CREATES Act-compliant requests from qualifed third partes, including generic manufacturers.</w:t>
      </w:r>
    </w:p>
    <w:p>
      <w:pPr>
        <w:spacing w:after="0" w:line="86"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may not be successful in securing or maintaining proprietary patent protecton for products and technologies we develop or license. Moreover, if any patents that are granted and listed in the Orange Book are successfully challenged by way of a Paragraph IV certfcaton and subsequent litgaton, the afected product could more immediately face generic competton and its sales would likely decline materially. For instance, if the existng ANDA flers or additonal compettors are able to enter the market with generic versions of Dojolvi, our sales of Dojolvi could materially decline which could have an adverse impact on our fnancial results.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The patent protecton and patent prosecuton for some of our products and product candidates is dependent on third partes.</w:t>
      </w:r>
    </w:p>
    <w:p>
      <w:pPr>
        <w:spacing w:after="0" w:line="8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While we normally seek and gain the right to fully prosecute the patents relatng to our products or product candidates, there may be tmes when patents relatng to our products or product candidates are controlled by our licensors. This is the case with our license agreements with KKC and Regeneron, who are primarily responsible for the prosecuton of certain patents and patent applicatons covering Crysvita and Evkeeza, respectvely.</w:t>
      </w:r>
    </w:p>
    <w:p>
      <w:pPr>
        <w:spacing w:after="0" w:line="84" w:lineRule="exact"/>
        <w:rPr>
          <w:sz w:val="20"/>
          <w:szCs w:val="20"/>
          <w:color w:val="auto"/>
        </w:rPr>
      </w:pPr>
    </w:p>
    <w:p>
      <w:pPr>
        <w:ind w:right="200" w:firstLine="509"/>
        <w:spacing w:after="0" w:line="251" w:lineRule="auto"/>
        <w:rPr>
          <w:sz w:val="20"/>
          <w:szCs w:val="20"/>
          <w:color w:val="auto"/>
        </w:rPr>
      </w:pPr>
      <w:r>
        <w:rPr>
          <w:rFonts w:ascii="Calibri" w:cs="Calibri" w:eastAsia="Calibri" w:hAnsi="Calibri"/>
          <w:sz w:val="17"/>
          <w:szCs w:val="17"/>
          <w:color w:val="auto"/>
        </w:rPr>
        <w:t>In additon, we have in-licensed various patents and patent applicatons owned by the University of Pennsylvania relatng to our DTX301, DTX401 and/or UX701 product candidates. Some of these patents and patent applicatons are licensed or sublicensed by REGENX and sublicensed to us. We do not have the right to control the prosecuton of these patent applicatons, or the maintenance of any of these patents. In additon, under our agreement with REGENX, we do not have the frst right to enforce the licensed patents, and our enforcement rights are subject to certain limitatons that may adversely impact our ability to use the licensed patents to exclude others from commercializing compettve products. Moreover, REGENX and the University of Pennsylvania may have interests which difer from ours in determining whether to enforce and the manner in which to enforce such patents.</w:t>
      </w:r>
    </w:p>
    <w:p>
      <w:pPr>
        <w:spacing w:after="0" w:line="75"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If KKC, Regeneron, the University of Pennsylvania, REGENX, or any of our future licensing partners fail to appropriately prosecute, maintain, and enforce patent protecton for the patents covering any of our products or product candidates, our ability to develop and commercialize those products or product candidates may be adversely afected and we may not be able to prevent compettors from making, using, and selling competng products. In additon, even where we now have the right to control patent</w:t>
      </w:r>
    </w:p>
    <w:p>
      <w:pPr>
        <w:jc w:val="center"/>
        <w:ind w:right="-19"/>
        <w:spacing w:after="0" w:line="238" w:lineRule="auto"/>
        <w:rPr>
          <w:sz w:val="20"/>
          <w:szCs w:val="20"/>
          <w:color w:val="auto"/>
        </w:rPr>
      </w:pPr>
      <w:r>
        <w:rPr>
          <w:rFonts w:ascii="Calibri" w:cs="Calibri" w:eastAsia="Calibri" w:hAnsi="Calibri"/>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2" w:name="page53"/>
    <w:bookmarkEnd w:id="52"/>
    <w:p>
      <w:pPr>
        <w:spacing w:after="0" w:line="235" w:lineRule="auto"/>
        <w:rPr>
          <w:sz w:val="20"/>
          <w:szCs w:val="20"/>
          <w:color w:val="auto"/>
        </w:rPr>
      </w:pPr>
      <w:r>
        <w:rPr>
          <w:rFonts w:ascii="Calibri" w:cs="Calibri" w:eastAsia="Calibri" w:hAnsi="Calibri"/>
          <w:sz w:val="18"/>
          <w:szCs w:val="18"/>
          <w:color w:val="auto"/>
        </w:rPr>
        <w:t>prosecuton of patents and patent applicatons we have licensed from third partes, we may stll be adversely afected or prejudiced by actons or inactons of our licensors and their counsel that took place prior to us assuming control over patent prosecuton.</w:t>
      </w:r>
    </w:p>
    <w:p>
      <w:pPr>
        <w:spacing w:after="0" w:line="245"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b w:val="1"/>
          <w:bCs w:val="1"/>
          <w:i w:val="1"/>
          <w:iCs w:val="1"/>
          <w:color w:val="auto"/>
        </w:rPr>
        <w:t>If we fail to comply with our obligatons in the agreements under which we license intellectual property and other rights from third partes or otherwise experience disruptons to our business relatonships with our licensors, we could lose license rights that are important to our business.</w:t>
      </w:r>
    </w:p>
    <w:p>
      <w:pPr>
        <w:spacing w:after="0" w:line="83"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We are a party to a number of intellectual property license agreements that are important to our business and expect to enter into additonal license agreements in the future. Our existng license agreements impose, and we expect that future license agreements will impose, various diligence, milestone payment, royalty, and other obligatons on us. If we fail to comply with our obligatons under these agreements, or we are subject to a bankruptcy, we may be required to make certain payments to the licensor, we may lose the exclusivity of our license, or the licensor may have the right to terminate the license, in which event we would not be able to develop or market products covered by the license. Additonally, the milestone and other payments associated with these licenses will make it less proftable for us to develop our product candidates.</w:t>
      </w:r>
    </w:p>
    <w:p>
      <w:pPr>
        <w:spacing w:after="0" w:line="86"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In certain cases, we control the prosecuton of patents resultng from licensed technology. In the event we breach any of our obligatons related to such prosecuton, we may incur signifcant liability to our licensing partners. Licensing of intellectual property is of critcal importance to our business and involves complex legal, business, and scientfc issues. Disputes may arise regarding intellectual property subject to a licensing agreement, including but not limited to:</w:t>
      </w:r>
    </w:p>
    <w:p>
      <w:pPr>
        <w:spacing w:after="0" w:line="93" w:lineRule="exact"/>
        <w:rPr>
          <w:sz w:val="20"/>
          <w:szCs w:val="20"/>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scope of rights granted under the license agreement and other interpretaton-related issues;</w:t>
      </w:r>
    </w:p>
    <w:p>
      <w:pPr>
        <w:spacing w:after="0" w:line="9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7"/>
          <w:szCs w:val="17"/>
          <w:color w:val="auto"/>
        </w:rPr>
      </w:pPr>
      <w:r>
        <w:rPr>
          <w:rFonts w:ascii="Calibri" w:cs="Calibri" w:eastAsia="Calibri" w:hAnsi="Calibri"/>
          <w:sz w:val="17"/>
          <w:szCs w:val="17"/>
          <w:color w:val="auto"/>
        </w:rPr>
        <w:t>the extent to which our technology and processes infringe on intellectual property of the licensor that is not subject to the licensing agreement;</w:t>
      </w:r>
    </w:p>
    <w:p>
      <w:pPr>
        <w:spacing w:after="0" w:line="98" w:lineRule="exact"/>
        <w:rPr>
          <w:rFonts w:ascii="Times New Roman" w:cs="Times New Roman" w:eastAsia="Times New Roman" w:hAnsi="Times New Roman"/>
          <w:sz w:val="17"/>
          <w:szCs w:val="17"/>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sublicensing of patent and other rights;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diligence obligatons under the license agreement and what actvites satsfy those diligence obligatons;</w:t>
      </w:r>
    </w:p>
    <w:p>
      <w:pPr>
        <w:spacing w:after="0" w:line="95" w:lineRule="exact"/>
        <w:rPr>
          <w:rFonts w:ascii="Times New Roman" w:cs="Times New Roman" w:eastAsia="Times New Roman" w:hAnsi="Times New Roman"/>
          <w:sz w:val="18"/>
          <w:szCs w:val="18"/>
          <w:color w:val="auto"/>
        </w:rPr>
      </w:pPr>
    </w:p>
    <w:p>
      <w:pPr>
        <w:ind w:left="900" w:right="480" w:hanging="383"/>
        <w:spacing w:after="0" w:line="235" w:lineRule="auto"/>
        <w:tabs>
          <w:tab w:leader="none" w:pos="900" w:val="left"/>
        </w:tabs>
        <w:numPr>
          <w:ilvl w:val="0"/>
          <w:numId w:val="25"/>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ownership of inventons and know-how resultng from the joint creaton or use of intellectual property by our licensors and us and our collaborators; and</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priority of inventon of patented technology.</w:t>
      </w:r>
    </w:p>
    <w:p>
      <w:pPr>
        <w:spacing w:after="0" w:line="82" w:lineRule="exact"/>
        <w:rPr>
          <w:sz w:val="20"/>
          <w:szCs w:val="20"/>
          <w:color w:val="auto"/>
        </w:rPr>
      </w:pPr>
    </w:p>
    <w:p>
      <w:pPr>
        <w:ind w:right="900" w:firstLine="509"/>
        <w:spacing w:after="0" w:line="235" w:lineRule="auto"/>
        <w:rPr>
          <w:sz w:val="20"/>
          <w:szCs w:val="20"/>
          <w:color w:val="auto"/>
        </w:rPr>
      </w:pPr>
      <w:r>
        <w:rPr>
          <w:rFonts w:ascii="Calibri" w:cs="Calibri" w:eastAsia="Calibri" w:hAnsi="Calibri"/>
          <w:sz w:val="18"/>
          <w:szCs w:val="18"/>
          <w:color w:val="auto"/>
        </w:rPr>
        <w:t>If disputes over intellectual property and other rights that we have licensed prevent or impair our ability to maintain our current licensing arrangements on acceptable terms, we may be unable to successfully develop and commercialize the afected product candidates.</w:t>
      </w:r>
    </w:p>
    <w:p>
      <w:pPr>
        <w:spacing w:after="0" w:line="245"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b w:val="1"/>
          <w:bCs w:val="1"/>
          <w:i w:val="1"/>
          <w:iCs w:val="1"/>
          <w:color w:val="auto"/>
        </w:rPr>
        <w:t>From tme to tme, we are involved in lawsuits to protect or enforce our patents or the patents of our licensors, or may be subject to claims that challenge the inventorship or ownership of our patents or other intellectual property, which could be expensive, tme consuming, and result in unfavorable outcomes.</w:t>
      </w:r>
    </w:p>
    <w:p>
      <w:pPr>
        <w:spacing w:after="0" w:line="84" w:lineRule="exact"/>
        <w:rPr>
          <w:sz w:val="20"/>
          <w:szCs w:val="20"/>
          <w:color w:val="auto"/>
        </w:rPr>
      </w:pPr>
    </w:p>
    <w:p>
      <w:pPr>
        <w:ind w:right="20" w:firstLine="509"/>
        <w:spacing w:after="0" w:line="251" w:lineRule="auto"/>
        <w:rPr>
          <w:sz w:val="20"/>
          <w:szCs w:val="20"/>
          <w:color w:val="auto"/>
        </w:rPr>
      </w:pPr>
      <w:r>
        <w:rPr>
          <w:rFonts w:ascii="Calibri" w:cs="Calibri" w:eastAsia="Calibri" w:hAnsi="Calibri"/>
          <w:sz w:val="17"/>
          <w:szCs w:val="17"/>
          <w:color w:val="auto"/>
        </w:rPr>
        <w:t>Compettors have in the past and may in the future infringe our patents or the patents of our licensors. If we or one of our licensing partners were to initate legal proceedings against a third party to enforce a patent covering our products or one of our product candidates, the defendant could counterclaim that the patent covering our product or product candidate is invalid and/or unenforceable. For example, in September 2024, we fled a patent infringement suit under the Hatch-Waxman Act against Navinta, Aurobindo and Esjay. See “ – Legal Proceedings” below for more informaton regarding our suit. In patent litgaton in the U.S.,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asserton could be an allegaton that someone connected with prosecuton of the patent withheld relevant informaton from the USPTO, or made a misleading statement, during prosecuton. The outcome following legal assertons of invalidity and unenforceability is unpredictable.</w:t>
      </w:r>
    </w:p>
    <w:p>
      <w:pPr>
        <w:spacing w:after="0" w:line="73"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Interference proceedings or derivaton proceedings now available under the Leahy-Smith Act provoked by third partes or brought by us or declared or insttuted by the USPTO may be necessary to determine the priority of inventons with respect to our patents or patent applicatons or those of our licensors. An unfavorable outcome could require us to cease using the related technology or to atempt to license rights to it from the prevailing party. Our business could be harmed if the prevailing party does not ofer us a license on commercially reasonable terms. In additon, the validity of our patents could be challenged in the USPTO by one of the new post grant proceedings (</w:t>
      </w:r>
      <w:r>
        <w:rPr>
          <w:rFonts w:ascii="Calibri" w:cs="Calibri" w:eastAsia="Calibri" w:hAnsi="Calibri"/>
          <w:sz w:val="18"/>
          <w:szCs w:val="18"/>
          <w:i w:val="1"/>
          <w:iCs w:val="1"/>
          <w:color w:val="auto"/>
        </w:rPr>
        <w:t>i.e., inter partes</w:t>
      </w:r>
      <w:r>
        <w:rPr>
          <w:rFonts w:ascii="Calibri" w:cs="Calibri" w:eastAsia="Calibri" w:hAnsi="Calibri"/>
          <w:sz w:val="18"/>
          <w:szCs w:val="18"/>
          <w:color w:val="auto"/>
        </w:rPr>
        <w:t xml:space="preserve"> review or post grant review) now available under the Leahy-Smith Act. Our defense of litgaton, interference proceedings, or post grant proceedings under the Leahy-Smith Act may fail and, even if successful, may result in substantal costs and distract our management and other employees.</w:t>
      </w:r>
    </w:p>
    <w:p>
      <w:pPr>
        <w:spacing w:after="0" w:line="1"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53" w:name="page54"/>
    <w:bookmarkEnd w:id="53"/>
    <w:p>
      <w:pPr>
        <w:ind w:right="100" w:firstLine="509"/>
        <w:spacing w:after="0" w:line="235" w:lineRule="auto"/>
        <w:rPr>
          <w:sz w:val="20"/>
          <w:szCs w:val="20"/>
          <w:color w:val="auto"/>
        </w:rPr>
      </w:pPr>
      <w:r>
        <w:rPr>
          <w:rFonts w:ascii="Calibri" w:cs="Calibri" w:eastAsia="Calibri" w:hAnsi="Calibri"/>
          <w:sz w:val="18"/>
          <w:szCs w:val="18"/>
          <w:color w:val="auto"/>
        </w:rPr>
        <w:t>We may in the future also be subject to claims that former employees, collaborators, or other third partes have an interest in our patents as an inventor or co-inventor. In additon, we may have ownership disputes arise from confictng obligatons of consultants or others who are involved in developing our product candidates. Litgaton may be necessary to defend against these and other claims challenging inventorship or ownership. If we fail to successfully defend against such litgaton or claims, in additon to paying monetary damages, we may lose valuable intellectual property rights, such as exclusive ownership of, or right to use, valuable intellectual property.</w:t>
      </w:r>
    </w:p>
    <w:p>
      <w:pPr>
        <w:spacing w:after="0" w:line="85"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Even if we are successful in defending against such litgaton and claims, such proceedings could result in substantal costs and distract our management and other employees. Because of the substantal amount of discovery required in connecton with intellectual property litgaton, there is a risk that some of our confdental informaton could be compromised by disclosure during litgaton. There could also be public announcements of the results of hearings, motons, or other interim proceedings or developments related to such litgaton or claims. If securites analysts or investors perceive these results to be negatve, it could have a material adverse efect on the price of our common stock.</w:t>
      </w:r>
    </w:p>
    <w:p>
      <w:pPr>
        <w:spacing w:after="0" w:line="247"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b w:val="1"/>
          <w:bCs w:val="1"/>
          <w:i w:val="1"/>
          <w:iCs w:val="1"/>
          <w:color w:val="auto"/>
        </w:rPr>
        <w:t>We may be subject to claims that our employees, consultants, or independent contractors have wrongfully used or disclosed confdental informaton of third partes or that our employees have wrongfully used or disclosed alleged trade secrets of their former employers.</w:t>
      </w:r>
    </w:p>
    <w:p>
      <w:pPr>
        <w:spacing w:after="0" w:line="83"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We employ certain individuals who were previously employed at universites or other biotechnology or pharmaceutcal companies, including our compettors or potental compettors. Our eforts to vet our employees, consultants, and independent contractors and prevent their use of the proprietary informaton or know-how of others in their work for us may not be successful, and we may in the future be subject to claims that our employees, consultants, or independent contractors have wrongfully used or disclosed confdental informaton of third partes. If we fail in defending any such claims, in additon to paying monetary damages, we may lose valuable intellectual property rights or personnel, which could adversely impact our business. Even if we are successful in defending against such claims, litgaton could result in substantal costs and distract management and other employees.</w:t>
      </w:r>
    </w:p>
    <w:p>
      <w:pPr>
        <w:spacing w:after="0" w:line="248" w:lineRule="exact"/>
        <w:rPr>
          <w:sz w:val="20"/>
          <w:szCs w:val="20"/>
          <w:color w:val="auto"/>
        </w:rPr>
      </w:pPr>
    </w:p>
    <w:p>
      <w:pPr>
        <w:ind w:right="480"/>
        <w:spacing w:after="0" w:line="235" w:lineRule="auto"/>
        <w:rPr>
          <w:sz w:val="20"/>
          <w:szCs w:val="20"/>
          <w:color w:val="auto"/>
        </w:rPr>
      </w:pPr>
      <w:r>
        <w:rPr>
          <w:rFonts w:ascii="Calibri" w:cs="Calibri" w:eastAsia="Calibri" w:hAnsi="Calibri"/>
          <w:sz w:val="18"/>
          <w:szCs w:val="18"/>
          <w:b w:val="1"/>
          <w:bCs w:val="1"/>
          <w:i w:val="1"/>
          <w:iCs w:val="1"/>
          <w:color w:val="auto"/>
        </w:rPr>
        <w:t>Changes to patent laws in the U.S. and other jurisdictons could diminish the value of patents in general, thereby impairing our ability to protect our products.</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As is the case with other biotechnology and pharmaceutcal companies, our success is heavily dependent on intellectual property, partcularly patents. Obtaining and enforcing patents in the biotechnology and pharmaceutcal industries involves both technological and legal complexity. Therefore, obtaining and enforcing such patents is costly, tme consuming, and inherently uncertain.</w:t>
      </w:r>
    </w:p>
    <w:p>
      <w:pPr>
        <w:spacing w:after="0" w:line="84"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In recent years, the U.S. Supreme Court has ruled on several patent cases, and in some instances, narrowed the scope of patent protecton available. In additon, there have been recent proposals for changes to U.S. laws that, if adopted, could impact our ability to obtain or maintain patent protecton for our proprietary technologies. Depending on future actons by U.S. courts, U.S. Congress, the USPTO, and the relevant lawmaking bodies in other countries, the laws and regulatons governing patents could change in unpredictable ways that could weaken our ability to obtain new patents, shorten the term of our existng patents and patents that we might obtain in the future, or impair the validity or enforceability of our patents that may be asserted against our compettors or other third partes. Any of these outcomes could have a material adverse efect on our business.</w:t>
      </w: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may not be able to protect our intellectual property rights throughout the world.</w:t>
      </w:r>
    </w:p>
    <w:p>
      <w:pPr>
        <w:spacing w:after="0" w:line="82" w:lineRule="exact"/>
        <w:rPr>
          <w:sz w:val="20"/>
          <w:szCs w:val="20"/>
          <w:color w:val="auto"/>
        </w:rPr>
      </w:pPr>
    </w:p>
    <w:p>
      <w:pPr>
        <w:ind w:right="240" w:firstLine="509"/>
        <w:spacing w:after="0" w:line="235" w:lineRule="auto"/>
        <w:rPr>
          <w:sz w:val="20"/>
          <w:szCs w:val="20"/>
          <w:color w:val="auto"/>
        </w:rPr>
      </w:pPr>
      <w:r>
        <w:rPr>
          <w:rFonts w:ascii="Calibri" w:cs="Calibri" w:eastAsia="Calibri" w:hAnsi="Calibri"/>
          <w:sz w:val="18"/>
          <w:szCs w:val="18"/>
          <w:color w:val="auto"/>
        </w:rPr>
        <w:t>Filing, prosecutng, and defending patents on our products or product candidates in all countries throughout the world would be prohibitvely expensive, and our intellectual property rights in some countries outside the U.S. can be less extensive than those in the U.S. In additon, the laws of some foreign countries do not protect intellectual property rights to the same extent as federal and state laws in the U.S. Further, licensing partners such as KKC and Regeneron may not prosecute patents in certain jurisdictons in which we may obtain commercial rights, thereby precluding the possibility of later obtaining patent protecton in these countries. Consequently, we may not be able to prevent third partes from practcing our inventons in all countries outside the U.S., or from selling or importng products made using our inventons in and into the U.S. or other jurisdictons. Compettors may use our technologies in jurisdictons where we have not obtained patent protecton to develop their own products and may also export infringing products to territories where we have patent protecton, but enforcement is not as strong as that in the U.S. These products may compete with our products, and our patents or other intellectual property rights may not be efectve or sufcient to prevent them from competng.</w:t>
      </w:r>
    </w:p>
    <w:p>
      <w:pPr>
        <w:spacing w:after="0" w:line="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4" w:name="page55"/>
    <w:bookmarkEnd w:id="54"/>
    <w:p>
      <w:pPr>
        <w:ind w:right="40" w:firstLine="509"/>
        <w:spacing w:after="0" w:line="235" w:lineRule="auto"/>
        <w:rPr>
          <w:sz w:val="20"/>
          <w:szCs w:val="20"/>
          <w:color w:val="auto"/>
        </w:rPr>
      </w:pPr>
      <w:r>
        <w:rPr>
          <w:rFonts w:ascii="Calibri" w:cs="Calibri" w:eastAsia="Calibri" w:hAnsi="Calibri"/>
          <w:sz w:val="18"/>
          <w:szCs w:val="18"/>
          <w:color w:val="auto"/>
        </w:rPr>
        <w:t>Many companies have encountered signifcant problems in protectng and defending intellectual property rights in foreign jurisdictons. The legal systems of certain countries, partcularly certain developing countries, do not favor the enforcement of patents, trade secrets, and other intellectual property protecton, partcularly those relatng to biotechnology products, which could make it difcult for us to stop the infringement of our patents or marketng of competng products in violaton of our proprietary rights generally. Proceedings to enforce our patent rights in foreign jurisdictons, whether or not successful, could result in substantal costs and divert our eforts and atenton from other aspects of our business, could put our patents at risk of being invalidated or interpreted narrowly, could put our patent applicatons at risk of not issuing, and could provoke third partes to assert claims against us. We may not prevail in any lawsuits that we initate and the damages or other remedies awarded, if any, may not be commercially meaningful. Accordingly, our eforts to enforce our intellectual property rights around the world may be inadequate to obtain a signifcant commercial advantage from the intellectual property that we develop or license.</w:t>
      </w:r>
    </w:p>
    <w:p>
      <w:pPr>
        <w:spacing w:after="0" w:line="24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Our Business Operatons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have limited experience as a company operatng our own manufacturing facility and may experience unexpected costs or challenges.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Prior to constructon of our Bedford, Massachusets gene therapy manufacturing facility in 2023, we did not previously have experience as a company in operatng our own manufacturing facility and at this point, we cannot assure that the facility will be fully utlized at all tmes. While our employees may be experienced in running a manufacturing facility, our limited experience as a company may contribute to unacceptable or inconsistent product quality success rates and yields, and we may be unable to maintain adequate quality control, quality assurance, and qualifed personnel. We have incurred and will contnue to incur signifcant expenses and costs to operate the facility, which may be subject to signifcant impairment if our gene therapy programs are unsuccessful. Before we can begin to commercially manufacture any of our product candidates at the facility, we must obtain regulatory approval from the FDA for our manufacturing processes and for the facility. In order to obtain approval, we will need to ensure that all of our processes, quality systems, methods, equipment, policies and procedures are compliant with cGMP. Untl recently, few gene therapy products manufactured by a cGMP gene therapy manufacturing facility in the U.S. had received approval from the FDA; therefore, the tme frame required for us to obtain such approval is uncertain. The cGMP requirements govern quality control of the manufacturing process and documentaton policies and procedures. In complying with cGMP, we will be obligated to spend tme, money and efort on producton, record keeping and quality control to assure that the product meets applicable specifcatons and other requirements. If we fail to comply with these requirements, we would be subject to possible regulatory acton and may not be permited to sell any products that we may develop.</w:t>
      </w:r>
    </w:p>
    <w:p>
      <w:pPr>
        <w:spacing w:after="0" w:line="92" w:lineRule="exact"/>
        <w:rPr>
          <w:sz w:val="20"/>
          <w:szCs w:val="20"/>
          <w:color w:val="auto"/>
        </w:rPr>
      </w:pPr>
    </w:p>
    <w:p>
      <w:pPr>
        <w:ind w:firstLine="509"/>
        <w:spacing w:after="0" w:line="237" w:lineRule="auto"/>
        <w:rPr>
          <w:sz w:val="20"/>
          <w:szCs w:val="20"/>
          <w:color w:val="auto"/>
        </w:rPr>
      </w:pPr>
      <w:r>
        <w:rPr>
          <w:rFonts w:ascii="Calibri" w:cs="Calibri" w:eastAsia="Calibri" w:hAnsi="Calibri"/>
          <w:sz w:val="18"/>
          <w:szCs w:val="18"/>
          <w:color w:val="auto"/>
        </w:rPr>
        <w:t>As we seek to optmize and operate our manufacturing process at the facility, we will likely face technical and scientfc challenges, considerable capital costs and potental difculty in recruitng and hiring experienced, qualifed personnel at the facility which could result in delays in our producton or difcultes in maintaining compliance with applicable regulatory requirements. We may also experience unexpected technical, regulatory, safety, quality or operatonal issues during manufacturing campaigns. As we expand our commercial footprint to multple geographies, we may establish multple manufacturing facilites, which may lead to regulatory delays or prove costly. Even if we are successful, we cannot assure that such additonal capacity will be required or that our investment will be recouped. Further, our manufacturing capabilites could be afected by cost-overruns, unexpected delays, equipment failures, lack of capacity, labor shortages, natural disasters, power failures, program failures, actual or threatened public health emergencies, and numerous other factors that could prevent us from realizing the intended benefts of our manufacturing strategy.</w:t>
      </w:r>
    </w:p>
    <w:p>
      <w:pPr>
        <w:spacing w:after="0" w:line="249"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b w:val="1"/>
          <w:bCs w:val="1"/>
          <w:i w:val="1"/>
          <w:iCs w:val="1"/>
          <w:color w:val="auto"/>
        </w:rPr>
        <w:t>Our future success depends in part on our ability to retain our Founder, President, and Chief Executve Ofcer and to atract, retain, and motvate other qualifed personnel.</w:t>
      </w:r>
    </w:p>
    <w:p>
      <w:pPr>
        <w:spacing w:after="0" w:line="83"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We are dependent on Emil D. Kakkis, M.D., Ph.D., our Founder, President, and Chief Executve Ofcer, the loss of whose services may adversely impact the achievement of our objectves. Dr. Kakkis could leave our employment at any tme, as he is an “at will” employee. Recruitng and retaining other qualifed employees, consultants, and advisors for our business, including scientfc and technical personnel, will also be critcal to our success. There is currently a shortage of skilled personnel in our industry, which is likely to contnue. As a result, competton for skilled personnel is intense and the turnover rate can be high. In additon, failure to succeed in preclinical or clinical studies may make it more challenging to recruit and retain qualifed personnel. The inability to recruit and retain qualifed personnel, or the loss of the services of Dr. Kakkis or any of other member of our executve leadership team or other key employee, may impede the progress of our research, development, and commercializaton objectves.</w:t>
      </w:r>
    </w:p>
    <w:p>
      <w:pPr>
        <w:spacing w:after="0" w:line="1"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55" w:name="page56"/>
    <w:bookmarkEnd w:id="55"/>
    <w:p>
      <w:pPr>
        <w:jc w:val="both"/>
        <w:ind w:right="100"/>
        <w:spacing w:after="0" w:line="235" w:lineRule="auto"/>
        <w:rPr>
          <w:sz w:val="20"/>
          <w:szCs w:val="20"/>
          <w:color w:val="auto"/>
        </w:rPr>
      </w:pPr>
      <w:r>
        <w:rPr>
          <w:rFonts w:ascii="Calibri" w:cs="Calibri" w:eastAsia="Calibri" w:hAnsi="Calibri"/>
          <w:sz w:val="18"/>
          <w:szCs w:val="18"/>
          <w:b w:val="1"/>
          <w:bCs w:val="1"/>
          <w:i w:val="1"/>
          <w:iCs w:val="1"/>
          <w:color w:val="auto"/>
        </w:rPr>
        <w:t>If we fail to obtain or maintain orphan drug exclusivity for our products, our compettors may sell products to treat the same conditons and our revenue will be reduced. If another party obtains orphan drug exclusivity for a product that is essentally the same as a product we are developing for a partcular indicaton, we may be precluded or delayed from commercializing the product in that indicaton.</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Our business strategy focuses on the development of drugs that are eligible for FDA and EU orphan drug designaton. In the U.S., orphan drug designaton enttles a party to fnancial incentves such as opportunites for grant funding towards clinical study costs, tax advantages, and user-fee waivers. In additon, if a product receives the frst FDA approval for the indicaton for which it has orphan designaton, the product is enttled to orphan drug exclusivity, which means the FDA may not approve any other applicaton to market the same drug for the same indicaton for a period of seven years, except in limited circumstances, such as a showing of clinical superiority over the product with orphan exclusivity or where the manufacturer is unable to assure sufcient product quantty. In the EU, orphan drug designaton enttles a party to fnancial incentves such as reducton of fees or fee waivers and ten years of market exclusivity following drug or biological product approval. This period may be reduced to six years if the orphan drug designaton criteria are no longer met, including where it is shown that the product is sufciently proftable not to justfy maintenance of market exclusivity.</w:t>
      </w:r>
    </w:p>
    <w:p>
      <w:pPr>
        <w:spacing w:after="0" w:line="88"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Because the extent and scope of patent protecton for our products may in some cases be limited, orphan drug designaton is especially important for our products for which orphan drug designaton may be available. For eligible drugs, we plan to rely on the exclusivity period under the Orphan Drug Act to maintain a compettve positon. If we do not obtain orphan drug exclusivity for our drug products and biologic products that do not have broad patent protecton, our compettors may then sell the same drug to treat the same conditon sooner than if we had obtained orphan drug exclusivity, and our revenue will be reduced. Additonally, if a compettor obtains approval of the same drug for the same indicaton before us, and the FDA grants such orphan drug exclusivity, we would be prohibited from obtaining approval for our product for seven or more years, unless our product can be shown to be clinically superior.</w:t>
      </w:r>
    </w:p>
    <w:p>
      <w:pPr>
        <w:spacing w:after="0" w:line="8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Even though we have orphan drug designaton for UX111, UX143, DTX301, DTX401 and UX701 in the U.S. and Europe and for GTX 102 in the U.S., we may not be the frst to obtain marketng approval for any partcular orphan indicaton due to the uncertaintes associated with developing pharmaceutcal products. Further, even if we obtain orphan drug exclusivity for a product, that exclusivity may not efectvely protect the product from competton because diferent drugs with diferent actve moietes can be approved for the same conditon or the same drug can be approved for a diferent indicaton unless there are other exclusivites such as new chemical entty exclusivity preventng such approval. Even afer an orphan drug is approved, the FDA or EMA can subsequently approve the same drug with the same actve moiety for the same conditon if the FDA or EMA concludes that the later drug is safer, more efectve, or makes a major contributon to patent care. Orphan drug designaton neither shortens the development tme or regulatory review tme of a drug nor gives the drug any advantage in the regulatory review or approval process.</w:t>
      </w:r>
    </w:p>
    <w:p>
      <w:pPr>
        <w:spacing w:after="0" w:line="24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Our operatng results would be adversely impacted if our intangible assets become impaired.</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have recorded on our Consolidated Balance Sheets intangible assets for in-process research and development, or IPR&amp;D, related to DTX301 and DTX401 as a result of the accountng for our acquisiton of Dimension Therapeutcs. We also recorded intangible assets related to our licenses for Dojolvi and Evkeeza. We test the intangible assets for impairment annually during the fourth quarter and more frequently if events or changes in circumstances indicate that it is more likely than not that the asset is impaired. If the associated research and development efort is abandoned, the related assets will be writen-of and we will record a noncash impairment loss on our Consolidated Statement of Operatons. We have not recorded any impairments related to our intangible assets through December 31, 2024.</w:t>
      </w: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may not be successful in our eforts to identfy, license, discover, develop, or commercialize additonal product candidates.</w:t>
      </w:r>
    </w:p>
    <w:p>
      <w:pPr>
        <w:spacing w:after="0" w:line="82"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The success of our business depends upon our ability to identfy, license, discover, develop, or commercialize additonal product candidates in additon to the contnued clinical testng, potental approval, and commercializaton of our existng product candidates. Research programs to identfy and develop new product candidates require substantal technical, fnancial, and human resources. We may focus our eforts and resources on potental programs or product candidates that ultmately prove to be unsuccessful. Our research programs or licensing eforts may fail to yield additonal product candidates for clinical development and commercializaton for a number of reasons, including but not limited to the following:</w:t>
      </w:r>
    </w:p>
    <w:p>
      <w:pPr>
        <w:spacing w:after="0" w:line="99" w:lineRule="exact"/>
        <w:rPr>
          <w:sz w:val="20"/>
          <w:szCs w:val="20"/>
          <w:color w:val="auto"/>
        </w:rPr>
      </w:pPr>
    </w:p>
    <w:p>
      <w:pPr>
        <w:ind w:left="900" w:right="700" w:hanging="383"/>
        <w:spacing w:after="0" w:line="235" w:lineRule="auto"/>
        <w:tabs>
          <w:tab w:leader="none" w:pos="900" w:val="left"/>
        </w:tabs>
        <w:numPr>
          <w:ilvl w:val="0"/>
          <w:numId w:val="26"/>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research or business development methodology or search criteria and process may be unsuccessful in identfying potental product candidates;</w:t>
      </w:r>
    </w:p>
    <w:p>
      <w:pPr>
        <w:spacing w:after="0" w:line="96" w:lineRule="exact"/>
        <w:rPr>
          <w:rFonts w:ascii="Times New Roman" w:cs="Times New Roman" w:eastAsia="Times New Roman" w:hAnsi="Times New Roman"/>
          <w:sz w:val="18"/>
          <w:szCs w:val="18"/>
          <w:color w:val="auto"/>
        </w:rPr>
      </w:pPr>
    </w:p>
    <w:p>
      <w:pPr>
        <w:ind w:left="5540" w:hanging="5023"/>
        <w:spacing w:after="0" w:line="235" w:lineRule="auto"/>
        <w:tabs>
          <w:tab w:leader="none" w:pos="897" w:val="left"/>
        </w:tabs>
        <w:numPr>
          <w:ilvl w:val="0"/>
          <w:numId w:val="26"/>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not be able or willing to assemble sufcient technical, fnancial or human resources to acquire or discover additonal product candidates;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56" w:name="page57"/>
    <w:bookmarkEnd w:id="56"/>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face competton in obtaining and/or developing additonal product candidates;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product candidates may not succeed in research, discovery, preclinical or clinical testng;</w:t>
      </w:r>
    </w:p>
    <w:p>
      <w:pPr>
        <w:spacing w:after="0" w:line="95" w:lineRule="exact"/>
        <w:rPr>
          <w:rFonts w:ascii="Times New Roman" w:cs="Times New Roman" w:eastAsia="Times New Roman" w:hAnsi="Times New Roman"/>
          <w:sz w:val="18"/>
          <w:szCs w:val="18"/>
          <w:color w:val="auto"/>
        </w:rPr>
      </w:pPr>
    </w:p>
    <w:p>
      <w:pPr>
        <w:ind w:left="900" w:right="380" w:hanging="383"/>
        <w:spacing w:after="0" w:line="235" w:lineRule="auto"/>
        <w:tabs>
          <w:tab w:leader="none" w:pos="90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potental product candidates may be shown to have harmful side efects or may have other characteristcs that may make the products unmarketable or unlikely to receive marketng approval;</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compettors may develop alternatves that render our product candidates obsolete or less atractve;</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product candidates we develop may be covered by third partes’ patents or other exclusive rights;</w:t>
      </w:r>
    </w:p>
    <w:p>
      <w:pPr>
        <w:spacing w:after="0" w:line="9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7"/>
          <w:szCs w:val="17"/>
          <w:color w:val="auto"/>
        </w:rPr>
      </w:pPr>
      <w:r>
        <w:rPr>
          <w:rFonts w:ascii="Calibri" w:cs="Calibri" w:eastAsia="Calibri" w:hAnsi="Calibri"/>
          <w:sz w:val="17"/>
          <w:szCs w:val="17"/>
          <w:color w:val="auto"/>
        </w:rPr>
        <w:t>the market for a product candidate may change during our program so that such a product may become unreasonable to contnue to develop;</w:t>
      </w:r>
    </w:p>
    <w:p>
      <w:pPr>
        <w:spacing w:after="0" w:line="98" w:lineRule="exact"/>
        <w:rPr>
          <w:rFonts w:ascii="Times New Roman" w:cs="Times New Roman" w:eastAsia="Times New Roman" w:hAnsi="Times New Roman"/>
          <w:sz w:val="17"/>
          <w:szCs w:val="17"/>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product candidate may not be capable of being produced in commercial quanttes at an acceptable cost or at all; and</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product candidate may not be accepted as safe and efectve by regulatory authorites, patents, the medical community, or payors.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If any of these events occur, we may be forced to abandon our development eforts for a program or programs, or we may not be able to identfy, license, discover, develop, or commercialize additonal product candidates, which would have a material adverse efect on our business and could potentally cause us to cease operatons.</w:t>
      </w:r>
    </w:p>
    <w:p>
      <w:pPr>
        <w:spacing w:after="0" w:line="246" w:lineRule="exact"/>
        <w:rPr>
          <w:sz w:val="20"/>
          <w:szCs w:val="20"/>
          <w:color w:val="auto"/>
        </w:rPr>
      </w:pPr>
    </w:p>
    <w:p>
      <w:pPr>
        <w:ind w:right="800"/>
        <w:spacing w:after="0" w:line="235" w:lineRule="auto"/>
        <w:rPr>
          <w:sz w:val="20"/>
          <w:szCs w:val="20"/>
          <w:color w:val="auto"/>
        </w:rPr>
      </w:pPr>
      <w:r>
        <w:rPr>
          <w:rFonts w:ascii="Calibri" w:cs="Calibri" w:eastAsia="Calibri" w:hAnsi="Calibri"/>
          <w:sz w:val="18"/>
          <w:szCs w:val="18"/>
          <w:b w:val="1"/>
          <w:bCs w:val="1"/>
          <w:i w:val="1"/>
          <w:iCs w:val="1"/>
          <w:color w:val="212529"/>
        </w:rPr>
        <w:t>We may expend our limited resources to pursue a partcular product, product candidate or indicaton and fail to capitalize on products, product candidates or indicatons that may be more proftable or for which there is a greater likelihood of success.</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Because we have limited fnancial and managerial resources, we focus our sales, marketng and research programs on certain products, product candidates or for specifc indicatons. As a result, we may forego or delay pursuit of opportunites with other products or product candidates or other indicatons that later prove to have greater commercial potental. Our resource allocaton decisions may cause us to fail to capitalize on viable commercial products or proftable market opportunites. Our spending on current and future research and development programs and product candidates may not yield any commercially viable products. If we do not accurately evaluate the commercial potental or target market for a partcular product or product candidate, we may relinquish valuable rights through collaboraton, licensing, or other royalty arrangements in cases in which it would have been advantageous for us to retain sole development and commercializaton rights or we may allocate internal resources to a product candidate in a therapeutc area in which it would have been more advantageous to enter into a partnering arrangement.</w:t>
      </w:r>
    </w:p>
    <w:p>
      <w:pPr>
        <w:spacing w:after="0" w:line="24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Changes to healthcare and FDA laws, regulatons, and policies may have a material adverse efect on our business and results of operatons.</w:t>
      </w:r>
    </w:p>
    <w:p>
      <w:pPr>
        <w:spacing w:after="0" w:line="8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As described above in “Item 1. Business – Government Regulaton” and in the Risk Factor above enttled “ – The insurance coverage and reimbursement status of newly approved products is uncertain” there have been and contnue to be a number of legislatve initatves to contain healthcare costs and to modify the regulaton of drug and biologic products. We expect that additonal state and federal healthcare reform measures and regulatons will be adopted in the future, including proposals to reduce the exclusivity protectons provided to already approved biological products and to provide biosimilar and interchangeable biologic products an easier path to approval. Any of these measures and regulatons could limit the amounts that federal and state governments will pay for healthcare products and services, result in reduced demand for our product candidates or additonal pricing pressures and afect our product development, testng, marketng approvals and post-market actvites.</w:t>
      </w:r>
    </w:p>
    <w:p>
      <w:pPr>
        <w:spacing w:after="0" w:line="24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Failure to comply with laws and regulatons could harm our business and our reputaton.</w:t>
      </w:r>
    </w:p>
    <w:p>
      <w:pPr>
        <w:spacing w:after="0" w:line="8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Our business is subject to evolving regulaton by various federal, state, local and foreign governmental agencies, including agencies responsible for monitoring and enforcing employment and labor laws, workplace safety, privacy and security laws and regulatons, and tax laws and regulatons. In certain jurisdictons, these regulatory requirements may be more stringent than those in the U.S., and in other circumstances these requirements may less stringent than those in the U.S.</w:t>
      </w:r>
    </w:p>
    <w:p>
      <w:pPr>
        <w:jc w:val="center"/>
        <w:ind w:right="-39"/>
        <w:spacing w:after="0" w:line="238" w:lineRule="auto"/>
        <w:rPr>
          <w:sz w:val="20"/>
          <w:szCs w:val="20"/>
          <w:color w:val="auto"/>
        </w:rPr>
      </w:pPr>
      <w:r>
        <w:rPr>
          <w:rFonts w:ascii="Calibri" w:cs="Calibri" w:eastAsia="Calibri" w:hAnsi="Calibri"/>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8" w:right="379" w:bottom="1440" w:gutter="0" w:footer="0" w:header="0"/>
        </w:sectPr>
      </w:pPr>
    </w:p>
    <w:bookmarkStart w:id="57" w:name="page58"/>
    <w:bookmarkEnd w:id="57"/>
    <w:p>
      <w:pPr>
        <w:ind w:right="40" w:firstLine="509"/>
        <w:spacing w:after="0" w:line="235" w:lineRule="auto"/>
        <w:rPr>
          <w:sz w:val="20"/>
          <w:szCs w:val="20"/>
          <w:color w:val="auto"/>
        </w:rPr>
      </w:pPr>
      <w:r>
        <w:rPr>
          <w:rFonts w:ascii="Calibri" w:cs="Calibri" w:eastAsia="Calibri" w:hAnsi="Calibri"/>
          <w:sz w:val="18"/>
          <w:szCs w:val="18"/>
          <w:color w:val="auto"/>
        </w:rPr>
        <w:t>In partcular, our operatons are directly, and indirectly through our customers, subject to various federal and state fraud and abuse laws, including, without limitaton, the federal Ant-Kickback Statute, the federal False Claims Act, and physician sunshine laws and regulatons; and patent and non-patent privacy regulatons, including the GDPR and the California Consumer Privacy Act, or CCPA, including amendments from the California Privacy Rights Act, or CPRA, as described above in “Item 1. Business – Government Regulaton”. Because of the breadth of these laws and the narrowness of the statutory exceptons and safe harbors available, it is possible that some of our business actvites could be subject to challenge under one or more of such laws. For instance, one of our programs for sponsored genetc testng to help patents receive an accurate diagnosis was previously the subject of review by applicable governmental authorites of compliance with various fraud and abuse laws. We setled the mater with the governmental authorites for an immaterial setlement amount and without any admission of legal liability. We cannot assure that our other operatons or programs will not be subject to review by governmental authorites or found to violate such laws.</w:t>
      </w:r>
    </w:p>
    <w:p>
      <w:pPr>
        <w:spacing w:after="0" w:line="89" w:lineRule="exact"/>
        <w:rPr>
          <w:sz w:val="20"/>
          <w:szCs w:val="20"/>
          <w:color w:val="auto"/>
        </w:rPr>
      </w:pPr>
    </w:p>
    <w:p>
      <w:pPr>
        <w:ind w:right="80" w:firstLine="509"/>
        <w:spacing w:after="0" w:line="250" w:lineRule="auto"/>
        <w:rPr>
          <w:sz w:val="20"/>
          <w:szCs w:val="20"/>
          <w:color w:val="auto"/>
        </w:rPr>
      </w:pPr>
      <w:r>
        <w:rPr>
          <w:rFonts w:ascii="Calibri" w:cs="Calibri" w:eastAsia="Calibri" w:hAnsi="Calibri"/>
          <w:sz w:val="17"/>
          <w:szCs w:val="17"/>
          <w:color w:val="auto"/>
        </w:rPr>
        <w:t>The GDPR imposes a number of strict obligatons and restrictons on the ability to process personal data of individuals, in partcular with respect to special categories of personal data like health data (e.g., reliance on a legal basis, informaton to individuals, notfcaton to relevant natonal data protecton authorites in case of personal data breach and implementaton of appropriate security measures). EU member states may also impose additonal requirements in relaton to special categories of personal data through their natonal legislaton. In additon, the GDPR imposes specifc restrictons on the transfer of personal data to countries outside of the EEA that are not considered by the European Commission as providing an adequate level of protecton (including the U.S.). Appropriate safeguards are required to enable such transfers (e.g., reliance on standard contractual clauses and transfer risk assessments). There are also several compliance requirements under the federal Health Insurance Portability and Accountability Act of 1996, or HIPAA, as amended by the Health Informaton Technology for Economic and Clinical Health Act, or HITECH, and implementng regulatons that create requirements relatng to the privacy and security of protected health informaton. Those requirements are also applicable, in many instances, to business associates of covered enttes. In some cases, depending on our business operatons and contractual agreements, including through the conduct of clinical trials, we are subject to HIPAA requirements. Also, we may be subject to additonal federal, state and local privacy laws and regulatons in the U.S., including new and recently enacted laws, that may apply to us and/or our service providers now or in the future and that require that we take measures to be transparent regarding, honor rights with respect to, and protect the privacy and security of certain informaton we gather and use in our business, including personal informaton, partcularly personal informaton that is not otherwise subject to HIPAA.</w:t>
      </w:r>
    </w:p>
    <w:p>
      <w:pPr>
        <w:spacing w:after="0" w:line="79"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If our operatons are found to be in violaton of any of the laws described above or any other governmental regulatons that apply to us, we may be subject to penaltes, including civil and criminal penaltes, damages, fnes, exclusion from partcipaton in government health care programs, such as Medicare and Medicaid, imprisonment, disgorgement of profts, and the curtailment or restructuring of our operatons. If any governmental sanctons, fnes, or penaltes are imposed, or if we do not prevail in any possible civil or criminal litgaton, our business, operatng results, fnancial conditon and our reputaton could be harmed. In additon, responding to any acton will likely result in a signifcant diversion of management’s atenton and resources and an increase in professional fees.</w:t>
      </w:r>
    </w:p>
    <w:p>
      <w:pPr>
        <w:spacing w:after="0" w:line="86"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Our research and development actvites, including our process and analytcal development actvites in our quality control laboratory, and our and our third-party manufacturers’ and suppliers’ actvites, including actvites related to the build-out and operaton of our gene therapy manufacturing facility, involve the controlled storage, use, and disposal of hazardous materials, including the components of our product candidates, such as viruses, and other hazardous compounds, which subjects us to laws and regulatons governing such actvites. In some cases, these hazardous materials and various wastes resultng from their use are stored at our or our manufacturers’ facilites pending their use and disposal. We cannot eliminate the risk of contaminaton, which could cause an interrupton of our commercializaton eforts, research and development eforts, and business operatons or environmental damage that could result in costly clean-up and liabilites under applicable laws and regulatons governing the use, storage, handling, and disposal of these materials and specifed waste products. We cannot guarantee that the safety procedures utlized by us and our third-party manufacturers for handling and disposing of these materials comply with the standards prescribed by these laws and regulatons, or eliminate the risk of accidental contaminaton or injury from these materials. In such an event, we may be held liable for any resultng damages—and such liability could exceed our resources—and state or federal or other applicable authorites may curtail our use of certain materials and/or interrupt our business operatons. Furthermore, environmental laws and regulatons are complex, change frequently, and have tended to become more stringent. We cannot predict the impact of such changes and cannot be certain of our future compliance.</w:t>
      </w:r>
    </w:p>
    <w:p>
      <w:pPr>
        <w:spacing w:after="0" w:line="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58" w:name="page59"/>
    <w:bookmarkEnd w:id="58"/>
    <w:p>
      <w:pPr>
        <w:ind w:right="20" w:firstLine="509"/>
        <w:spacing w:after="0" w:line="235" w:lineRule="auto"/>
        <w:rPr>
          <w:sz w:val="20"/>
          <w:szCs w:val="20"/>
          <w:color w:val="auto"/>
        </w:rPr>
      </w:pPr>
      <w:r>
        <w:rPr>
          <w:rFonts w:ascii="Calibri" w:cs="Calibri" w:eastAsia="Calibri" w:hAnsi="Calibri"/>
          <w:sz w:val="18"/>
          <w:szCs w:val="18"/>
          <w:color w:val="auto"/>
        </w:rPr>
        <w:t>Additonally, as we and our employees increasingly use social media tools as a means of communicaton with the public, there is a risk that the use of social media by us or our employees to communicate about our products or business may cause to be found in violaton of applicable laws, despite our atempts to monitor such social media communicatons through company policies and guidelines. In additon, our employees may knowingly or inadvertently make use of social media in ways that may not comply with our company policies or other legal or contractual requirements, which may give rise to liability, lead to the loss of trade secrets or other intellectual property, cause reputatonal harm or result in public exposure of personal informaton of our employees, clinical trial patents, customers, and others.</w:t>
      </w:r>
    </w:p>
    <w:p>
      <w:pPr>
        <w:spacing w:after="0" w:line="248" w:lineRule="exact"/>
        <w:rPr>
          <w:sz w:val="20"/>
          <w:szCs w:val="20"/>
          <w:color w:val="auto"/>
        </w:rPr>
      </w:pPr>
    </w:p>
    <w:p>
      <w:pPr>
        <w:ind w:right="440"/>
        <w:spacing w:after="0" w:line="235" w:lineRule="auto"/>
        <w:rPr>
          <w:sz w:val="20"/>
          <w:szCs w:val="20"/>
          <w:color w:val="auto"/>
        </w:rPr>
      </w:pPr>
      <w:r>
        <w:rPr>
          <w:rFonts w:ascii="Calibri" w:cs="Calibri" w:eastAsia="Calibri" w:hAnsi="Calibri"/>
          <w:sz w:val="18"/>
          <w:szCs w:val="18"/>
          <w:b w:val="1"/>
          <w:bCs w:val="1"/>
          <w:i w:val="1"/>
          <w:iCs w:val="1"/>
          <w:color w:val="auto"/>
        </w:rPr>
        <w:t>Internatonal expansion of our business exposes us to business, regulatory, politcal, operatonal, fnancial, and economic risks associated with doing business outside of the U.S.</w:t>
      </w:r>
    </w:p>
    <w:p>
      <w:pPr>
        <w:spacing w:after="0" w:line="83"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Our business strategy includes internatonal expansion. We currently conduct clinical studies and regulatory actvites and we also commercialize products outside of the U.S. An increasing porton of our revenues are based on our internatonal operatons, which exposes us to increased fnancial risks such as longer payment cycles, additonal or more burdensome regulatory requirements of fnancial insttutons outside of the U.S. and exposure to foreign currency exchange rate. We may implement currency hedges intended to reduce our exposure to changes in certain foreign currency exchange rates. However, our hedging strategies, if implemented, may not be successful, and any of our unhedged foreign exchange exposures will contnue to be subject to market fuctuatons. Further, we sell products in countries that face economic volatlity and weakness. Although we have historically collected receivables from customers in those countries, contnued weakness or additonal deterioraton of the local economies and currencies may cause customers in those countries to be unable to pay for our products. Additonally, if one or more of these countries were unable to purchase our products, our revenues would be adversely afected.</w:t>
      </w:r>
    </w:p>
    <w:p>
      <w:pPr>
        <w:spacing w:after="0" w:line="84"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Doing business internatonally involves a number of additonal risks, including but not limited to:</w:t>
      </w:r>
    </w:p>
    <w:p>
      <w:pPr>
        <w:spacing w:after="0" w:line="96" w:lineRule="exact"/>
        <w:rPr>
          <w:sz w:val="20"/>
          <w:szCs w:val="20"/>
          <w:color w:val="auto"/>
        </w:rPr>
      </w:pPr>
    </w:p>
    <w:p>
      <w:pPr>
        <w:ind w:left="900" w:right="400" w:hanging="383"/>
        <w:spacing w:after="0" w:line="235" w:lineRule="auto"/>
        <w:tabs>
          <w:tab w:leader="none" w:pos="90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multple, confictng, and changing laws and regulatons such as privacy and data regulatons, transparency regulatons, tax laws, export and import restrictons, employment laws, regulatory requirements, and other governmental approvals, permits, and licenses;</w:t>
      </w:r>
    </w:p>
    <w:p>
      <w:pPr>
        <w:spacing w:after="0" w:line="96" w:lineRule="exact"/>
        <w:rPr>
          <w:rFonts w:ascii="Times New Roman" w:cs="Times New Roman" w:eastAsia="Times New Roman" w:hAnsi="Times New Roman"/>
          <w:sz w:val="18"/>
          <w:szCs w:val="18"/>
          <w:color w:val="auto"/>
        </w:rPr>
      </w:pPr>
    </w:p>
    <w:p>
      <w:pPr>
        <w:ind w:left="900" w:right="180" w:hanging="383"/>
        <w:spacing w:after="0" w:line="235" w:lineRule="auto"/>
        <w:tabs>
          <w:tab w:leader="none" w:pos="90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export and import restrictons, including the impact from new or increased sanctons and tarifs, or threats or changes in policy with respect to sanctons or tarifs, that are contemplated or could be implemented by the current Presidental administraton and by other countries against the U.S. in response;</w:t>
      </w:r>
    </w:p>
    <w:p>
      <w:pPr>
        <w:spacing w:after="0" w:line="92"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introducton of new health authority requirements and/or changes in health authority expectatons;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failure by us to obtain and maintain regulatory approvals for the use of our products in various countries;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additonal potentally relevant third-party patent rights;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complexites and difcultes in obtaining protecton for, and enforcing, our intellectual property;</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difcultes in stafng and managing foreign operatons;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complexites associated with managing multple payor reimbursement regimes, government payors, or patent self-pay systems;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limits on our ability to penetrate internatonal markets;</w:t>
      </w:r>
    </w:p>
    <w:p>
      <w:pPr>
        <w:spacing w:after="0" w:line="95" w:lineRule="exact"/>
        <w:rPr>
          <w:rFonts w:ascii="Times New Roman" w:cs="Times New Roman" w:eastAsia="Times New Roman" w:hAnsi="Times New Roman"/>
          <w:sz w:val="18"/>
          <w:szCs w:val="18"/>
          <w:color w:val="auto"/>
        </w:rPr>
      </w:pPr>
    </w:p>
    <w:p>
      <w:pPr>
        <w:ind w:left="900" w:right="20" w:hanging="383"/>
        <w:spacing w:after="0" w:line="235" w:lineRule="auto"/>
        <w:tabs>
          <w:tab w:leader="none" w:pos="90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natural disasters and geopolitcal and economic instability, including wars, terrorism, politcal unrest (including, for example the confict between Russia and Ukraine, the confict between Israel and the surrounding areas, and the rising tensions between China and Taiwan), results of certain electons and votes, actual or threatened public health emergencies and outbreak of disease, infaton, recession, boycots and resultng stafng shortages, adopton or expansion of government trade restrictons, and other business restrictons;</w:t>
      </w:r>
    </w:p>
    <w:p>
      <w:pPr>
        <w:spacing w:after="0" w:line="9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certain expenses including, among others, expenses for travel, translaton, and insurance;</w:t>
      </w:r>
    </w:p>
    <w:p>
      <w:pPr>
        <w:spacing w:after="0" w:line="95" w:lineRule="exact"/>
        <w:rPr>
          <w:rFonts w:ascii="Times New Roman" w:cs="Times New Roman" w:eastAsia="Times New Roman" w:hAnsi="Times New Roman"/>
          <w:sz w:val="18"/>
          <w:szCs w:val="18"/>
          <w:color w:val="auto"/>
        </w:rPr>
      </w:pPr>
    </w:p>
    <w:p>
      <w:pPr>
        <w:ind w:left="900" w:hanging="383"/>
        <w:spacing w:after="0" w:line="235" w:lineRule="auto"/>
        <w:tabs>
          <w:tab w:leader="none" w:pos="90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regulatory and compliance risks that relate to maintaining accurate informaton and control over commercial operatons and actvites that may fall within the purview of the U.S. Foreign Corrupt Practces Act, or FCPA, its books and records provisions, or its ant-bribery provisions, including those under the U.K. Bribery Act and similar ant-corrupton foreign laws and regulatons; and</w:t>
      </w:r>
    </w:p>
    <w:p>
      <w:pPr>
        <w:spacing w:after="0" w:line="97" w:lineRule="exact"/>
        <w:rPr>
          <w:rFonts w:ascii="Times New Roman" w:cs="Times New Roman" w:eastAsia="Times New Roman" w:hAnsi="Times New Roman"/>
          <w:sz w:val="18"/>
          <w:szCs w:val="18"/>
          <w:color w:val="auto"/>
        </w:rPr>
      </w:pPr>
    </w:p>
    <w:p>
      <w:pPr>
        <w:ind w:left="900" w:right="480" w:hanging="383"/>
        <w:spacing w:after="0" w:line="235" w:lineRule="auto"/>
        <w:tabs>
          <w:tab w:leader="none" w:pos="90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regulatory and compliance risks relatng to doing business with any entty that is subject to sanctons administered by the Ofce of Foreign Assets Control of the U.S. Department of the Treasury.</w:t>
      </w:r>
    </w:p>
    <w:p>
      <w:pPr>
        <w:spacing w:after="0" w:line="83" w:lineRule="exact"/>
        <w:rPr>
          <w:sz w:val="20"/>
          <w:szCs w:val="20"/>
          <w:color w:val="auto"/>
        </w:rPr>
      </w:pPr>
    </w:p>
    <w:p>
      <w:pPr>
        <w:jc w:val="center"/>
        <w:ind w:right="200"/>
        <w:spacing w:after="0" w:line="235" w:lineRule="auto"/>
        <w:rPr>
          <w:sz w:val="20"/>
          <w:szCs w:val="20"/>
          <w:color w:val="auto"/>
        </w:rPr>
      </w:pPr>
      <w:r>
        <w:rPr>
          <w:rFonts w:ascii="Calibri" w:cs="Calibri" w:eastAsia="Calibri" w:hAnsi="Calibri"/>
          <w:sz w:val="18"/>
          <w:szCs w:val="18"/>
          <w:color w:val="auto"/>
        </w:rPr>
        <w:t>Any of these factors could signifcantly harm our future internatonal expansion and operatons and, consequently, our results of operatons.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9" w:name="page60"/>
    <w:bookmarkEnd w:id="59"/>
    <w:p>
      <w:pPr>
        <w:ind w:right="860"/>
        <w:spacing w:after="0" w:line="235" w:lineRule="auto"/>
        <w:rPr>
          <w:sz w:val="20"/>
          <w:szCs w:val="20"/>
          <w:color w:val="auto"/>
        </w:rPr>
      </w:pPr>
      <w:r>
        <w:rPr>
          <w:rFonts w:ascii="Calibri" w:cs="Calibri" w:eastAsia="Calibri" w:hAnsi="Calibri"/>
          <w:sz w:val="18"/>
          <w:szCs w:val="18"/>
          <w:b w:val="1"/>
          <w:bCs w:val="1"/>
          <w:i w:val="1"/>
          <w:iCs w:val="1"/>
          <w:color w:val="auto"/>
        </w:rPr>
        <w:t>Our employees or consultants may engage in misconduct or other improper actvites, including non-compliance with regulatory standards and requirements, which could cause signifcant liability for us and harm our reputaton.</w:t>
      </w:r>
    </w:p>
    <w:p>
      <w:pPr>
        <w:spacing w:after="0" w:line="83"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We are exposed to the risk of employee fraud or other misconduct, including intentonal failures to comply with FDA regulatons or similar regulatons of comparable foreign regulatory authorites, provide accurate informaton to the FDA or comparable foreign regulatory authorites, comply with manufacturing standards, comply with federal and state healthcare fraud and abuse laws and regulatons and similar laws and regulatons established and enforced by comparable foreign regulatory authorites, report fnancial informaton or data accurately or disclose unauthorized actvites to us. Employee or consultant misconduct could also involve the improper use of informaton obtained in the course of clinical trials, which could result in regulatory sanctons and serious harm to our reputaton. This could include violatons of HIPAA, other U.S. federal and state law, and requirements of non-U.S. jurisdictons, including the EU Data Protecton Directve. It is not always possible to identfy and deter employee or consultant misconduct, and the precautons we take to detect and prevent this actvity may not be efectve in controlling unknown or unmanaged risks or losses or in protectng us from governmental investgatons or other actons or lawsuits stemming from a failure to be in compliance with such laws, standards, regulatons, guidance or codes of conduct. If any such actons are insttuted against us, and we are not successful in defending ourselves or assertng our rights, those actons could have a signifcant impact on our business and results of operatons, including the impositon of signifcant fnes or other sanctons.</w:t>
      </w:r>
    </w:p>
    <w:p>
      <w:pPr>
        <w:spacing w:after="0" w:line="225" w:lineRule="exact"/>
        <w:rPr>
          <w:sz w:val="20"/>
          <w:szCs w:val="20"/>
          <w:color w:val="auto"/>
        </w:rPr>
      </w:pPr>
    </w:p>
    <w:p>
      <w:pPr>
        <w:ind w:right="460"/>
        <w:spacing w:after="0" w:line="235" w:lineRule="auto"/>
        <w:rPr>
          <w:sz w:val="20"/>
          <w:szCs w:val="20"/>
          <w:color w:val="auto"/>
        </w:rPr>
      </w:pPr>
      <w:r>
        <w:rPr>
          <w:rFonts w:ascii="Calibri" w:cs="Calibri" w:eastAsia="Calibri" w:hAnsi="Calibri"/>
          <w:sz w:val="18"/>
          <w:szCs w:val="18"/>
          <w:b w:val="1"/>
          <w:bCs w:val="1"/>
          <w:i w:val="1"/>
          <w:iCs w:val="1"/>
          <w:color w:val="auto"/>
        </w:rPr>
        <w:t>The FDA and other regulatory agencies actvely enforce the laws and regulatons prohibitng the promoton of of-label uses. If we are found to have promoted of-label uses, we may become subject to signifcant liability</w:t>
      </w:r>
      <w:r>
        <w:rPr>
          <w:rFonts w:ascii="Calibri" w:cs="Calibri" w:eastAsia="Calibri" w:hAnsi="Calibri"/>
          <w:sz w:val="18"/>
          <w:szCs w:val="18"/>
          <w:color w:val="auto"/>
        </w:rPr>
        <w:t>.</w:t>
      </w:r>
    </w:p>
    <w:p>
      <w:pPr>
        <w:spacing w:after="0" w:line="83"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FDA and other regulatory agencies strictly regulate the promotonal claims that may be made about prescripton drug products. In partcular, a product may not be promoted in the U.S. for uses that are not approved by the FDA as refected in the product's approved labeling or prior to regulatory approval. Further, any labeling approved by the FDA for our products or any of our product candidates may include restrictons on use, limit use to specifc populatons or include various other limitatons. The FDA may impose further requirements or restrictons on the distributon or use of any of our other product candidates as part of a REMS plan. Physicians may nevertheless prescribe such products to their patents in a manner that is inconsistent with the approved label provided the company did not promote such use. If we are found to have promoted such of-label uses, we may become subject to signifcant liability. Similarly, the FDA strictly regulates the promoton of investgatonal products prior to approval, known as pre-approval promoton. The federal government has levied large civil and criminal fnes and/or other penaltes against companies for alleged improper promoton and has investgated and/or prosecuted several companies in relaton to of-label and/or pre-approval promoton. The FDA has also requested that certain companies enter into consent decrees or permanent injunctons under which specifed promotonal conduct is changed, curtailed or prohibited or have delayed approval of investgatonal products due to pre-approval conduct. Inappropriate promotonal actvites may also subject a company to investgatons, prosecutons and litgaton by other government enttes or private citzens</w:t>
      </w:r>
    </w:p>
    <w:p>
      <w:pPr>
        <w:spacing w:after="0" w:line="24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Our business and operatons may be materially adversely afected in the event of computer system failures or security breaches.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Cybersecurity incidents, including phishing atacks and atempts to misappropriate or compromise confdental or proprietary informaton or sabotage enterprise IT systems are becoming increasingly frequent and more sophistcated. Cybersecurity incidents increasingly involve the use of AI and machine learning to launch more automated, targeted and coordinated atacks on targets. The informaton and data processed and stored in our technology systems, and those of our strategic partners, CROs, contract manufacturers, suppliers, distributors or other third partes for which we depend to operate our business, may be vulnerable to loss, damage, denial-of-service, unauthorized access or misappropriaton. Data security breaches can occur as a result of malware, hacking, business email compromise, ransomware atacks, phishing or other cyberatacks directed by third partes. We, and certain of the third partes for which we depend on to operate our business, have experienced cybersecurity incidents, including third party unauthorized access to and misappropriaton of fnancial informaton and clinical data, and may experience similar incidents in the future. Further, risks of unauthorized access and cyber-atacks have increased as most of our personnel, and the personnel of many third partes with which we do business, have adopted hybrid working arrangements. Improper or inadvertent behavior by employees, contractors and others with permited access to our systems, including through the use of generatve AI technologies, pose a risk that sensitve data may be exposed to unauthorized persons or to the public. A system failure or security breach that interrupts our operatons or the operatons at one of our third-party vendors or partners could result in intellectual property and other proprietary or confdental informaton being lost or stolen or a material disrupton of our drug development programs and commercial operatons. For example, the loss of clinical trial data from ongoing or planned clinical trials could result in delays in our regulatory approval eforts and signifcantly increase our costs to recover or reproduce the data. To the extent that any disrupton or security breach results in a loss of or damage to our data or applicatons, loss of trade secrets or inappropriate disclosure of confdental or proprietary informaton, including protected health informaton, or personal informaton of employees or former employees, access to our clinical data, or disrupton of the manufacturing process, we could incur liability and the further development of our drug candidates could be delayed. Further, we could incur signifcant costs to investgate and mitgate such</w:t>
      </w:r>
    </w:p>
    <w:p>
      <w:pPr>
        <w:spacing w:after="0" w:line="1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0" w:name="page61"/>
    <w:bookmarkEnd w:id="60"/>
    <w:p>
      <w:pPr>
        <w:spacing w:after="0" w:line="235" w:lineRule="auto"/>
        <w:rPr>
          <w:sz w:val="20"/>
          <w:szCs w:val="20"/>
          <w:color w:val="auto"/>
        </w:rPr>
      </w:pPr>
      <w:r>
        <w:rPr>
          <w:rFonts w:ascii="Calibri" w:cs="Calibri" w:eastAsia="Calibri" w:hAnsi="Calibri"/>
          <w:sz w:val="18"/>
          <w:szCs w:val="18"/>
          <w:color w:val="auto"/>
        </w:rPr>
        <w:t>cybersecurity incidents. In additon, there can be no assurance that our insurance coverage will be sufcient to cover the fnancial, legal, business or reputatonal losses that may result from a cybersecurity incident. A security breach that results in the unauthorized access, use or disclosure of personal informaton also requires us to notfy individuals, governmental authorites, credit reportng agencies, or other partes, as applicable, pursuant to privacy and security laws and regulatons or other obligatons. Such a security breach could harm our reputaton, erode confdence in our informaton security measures, and lead to regulatory scrutny and result in penaltes, fnes, indemnifcaton claims, litgaton and potental civil or criminal liability.</w:t>
      </w:r>
    </w:p>
    <w:p>
      <w:pPr>
        <w:spacing w:after="0" w:line="247" w:lineRule="exact"/>
        <w:rPr>
          <w:sz w:val="20"/>
          <w:szCs w:val="20"/>
          <w:color w:val="auto"/>
        </w:rPr>
      </w:pPr>
    </w:p>
    <w:p>
      <w:pPr>
        <w:ind w:right="440"/>
        <w:spacing w:after="0" w:line="235" w:lineRule="auto"/>
        <w:rPr>
          <w:sz w:val="20"/>
          <w:szCs w:val="20"/>
          <w:color w:val="auto"/>
        </w:rPr>
      </w:pPr>
      <w:r>
        <w:rPr>
          <w:rFonts w:ascii="Calibri" w:cs="Calibri" w:eastAsia="Calibri" w:hAnsi="Calibri"/>
          <w:sz w:val="18"/>
          <w:szCs w:val="18"/>
          <w:b w:val="1"/>
          <w:bCs w:val="1"/>
          <w:i w:val="1"/>
          <w:iCs w:val="1"/>
          <w:color w:val="auto"/>
        </w:rPr>
        <w:t>We or the third partes upon whom we depend may be adversely afected by earthquakes or other natural disasters and our business contnuity and disaster recovery plans may not adequately protect us from a serious disaster.</w:t>
      </w:r>
    </w:p>
    <w:p>
      <w:pPr>
        <w:spacing w:after="0" w:line="83"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Our corporate headquarters and one of our laboratories are located in the San Francisco Bay Area, and our collaboraton partner for Crysvita, KKC, is located in Japan, which have both in the past experienced severe earthquakes and other natural disasters. We do not carry earthquake insurance. Earthquakes or other natural disasters could severely disrupt our operatons or those of our collaborators, and have a material adverse efect on our business, results of operatons, fnancial conditon, and prospects. We have also experienced power outages as a result of wildfres in the San Francisco Bay Area which are likely to contnue to occur in the future. If a natural disaster, power outage, or other event occurred that prevented us from using all or a signifcant porton of our headquarters, that damaged critcal infrastructure (such as the manufacturing facilites of our third-party contract manufacturers) or that otherwise disrupted operatons, it may be difcult or, in certain cases, impossible for us to contnue our business for a substantal period of tme. The disaster recovery and business contnuity plans we have in place currently are limited and may be inadequate in the event of a serious disaster or similar event. We may incur substantal expenses as a result of the limited nature of our disaster recovery and business contnuity plans, which, partcularly when taken together with our lack of earthquake insurance, could have a material adverse efect on our business.</w:t>
      </w:r>
    </w:p>
    <w:p>
      <w:pPr>
        <w:spacing w:after="0" w:line="251"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b w:val="1"/>
          <w:bCs w:val="1"/>
          <w:i w:val="1"/>
          <w:iCs w:val="1"/>
          <w:color w:val="auto"/>
        </w:rPr>
        <w:t>We may acquire companies or products or engage in strategic transactons, which could divert our management’s atenton and cause us to incur various costs and expenses, or result in fuctuatons with respect to the value of such investment, which could impact our operatng results.</w:t>
      </w:r>
    </w:p>
    <w:p>
      <w:pPr>
        <w:spacing w:after="0" w:line="83"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We may acquire or invest in businesses or products that we believe could complement or expand our business or otherwise ofer growth opportunites. For example, we acquired Dimension in November 2017 and GeneTx in July 2022. The pursuit of potental acquisitons or investments may divert the atenton of management and may cause us to incur various costs and expenses in identfying, investgatng, and pursuing them, whether or not they are consummated. We may not be able to identfy desirable acquisitons or investments or be successful in completng or realizing antcipated benefts from such transactons. We may experience difcultes in assimilatng the personnel, operatons and products of the acquired companies, management’s atenton may be diverted from other business concerns and we may potentally lose key employees of the acquired company. If we are unable to successfully or tmely integrate the operatons of acquired companies with our business, we may incur unantcipated liabilites and be unable to realize the revenue growth, synergies and other antcipated benefts resultng from the acquisiton, and our business, results of operatons and fnancial conditon could be materially and adversely afected.</w:t>
      </w:r>
    </w:p>
    <w:p>
      <w:pPr>
        <w:spacing w:after="0" w:line="89"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value of our investments in other companies or businesses may also fuctuate signifcantly and impact our operatng results quarter to quarter or year to year. We purchased 7,825,797 shares of common stock of Solid in October 2020. Our investment in Solid is being accounted for at fair value, as the fair value is readily determinable. As a result, increases or decreases in the stock price of equity investments have resulted in and will result in accompanying changes in the fair value of our investments, and cause substantal volatlity in, our operatng results for the reportng period. As the fair value of our investment in Solid is dependent on the stock price of Solid, which has recently seen wide fuctuatons, the value of our investments and the impact on our operatng results may similarly fuctuate signifcantly from quarter to quarter and year to year such that period-to-period comparisons may not be a good indicaton of the future value of the investments and our future operatng results.</w:t>
      </w:r>
    </w:p>
    <w:p>
      <w:pPr>
        <w:spacing w:after="0" w:line="24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Ownership of Our Common Stock</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The market price of our common stock may be highly volatle.</w:t>
      </w:r>
    </w:p>
    <w:p>
      <w:pPr>
        <w:spacing w:after="0" w:line="82"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The market price of our common stock has been, and is likely to contnue to be, volatle, including for reasons unrelated to changes in our business.</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Our stock price could be subject to wide fuctuatons in response to a variety of factors, including but not limited to the following:</w:t>
      </w:r>
    </w:p>
    <w:p>
      <w:pPr>
        <w:spacing w:after="0" w:line="91" w:lineRule="exact"/>
        <w:rPr>
          <w:sz w:val="20"/>
          <w:szCs w:val="20"/>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adverse results or delays in preclinical or clinical studies;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any inability to obtain additonal funding;</w:t>
      </w:r>
    </w:p>
    <w:p>
      <w:pPr>
        <w:jc w:val="center"/>
        <w:ind w:right="-59"/>
        <w:spacing w:after="0" w:line="235" w:lineRule="auto"/>
        <w:rPr>
          <w:sz w:val="20"/>
          <w:szCs w:val="20"/>
          <w:color w:val="auto"/>
        </w:rPr>
      </w:pPr>
      <w:r>
        <w:rPr>
          <w:rFonts w:ascii="Calibri" w:cs="Calibri" w:eastAsia="Calibri" w:hAnsi="Calibri"/>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61" w:name="page62"/>
    <w:bookmarkEnd w:id="61"/>
    <w:p>
      <w:pPr>
        <w:ind w:left="383" w:right="260" w:hanging="383"/>
        <w:spacing w:after="0" w:line="235" w:lineRule="auto"/>
        <w:tabs>
          <w:tab w:leader="none" w:pos="383"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any delay in fling an IND, NDA, BLA, MAA, or other regulatory submission for any of our product candidates and any adverse development or perceived adverse development with respect to the applicable regulatory agency’s review of that IND, NDA, BLA, MAA, or other regulatory submission;</w:t>
      </w:r>
    </w:p>
    <w:p>
      <w:pPr>
        <w:spacing w:after="0" w:line="92"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percepton of limited market sizes or pricing for our products and product candidates;</w:t>
      </w:r>
    </w:p>
    <w:p>
      <w:pPr>
        <w:spacing w:after="0" w:line="95" w:lineRule="exact"/>
        <w:rPr>
          <w:rFonts w:ascii="Times New Roman" w:cs="Times New Roman" w:eastAsia="Times New Roman" w:hAnsi="Times New Roman"/>
          <w:sz w:val="18"/>
          <w:szCs w:val="18"/>
          <w:color w:val="auto"/>
        </w:rPr>
      </w:pPr>
    </w:p>
    <w:p>
      <w:pPr>
        <w:ind w:left="383" w:right="20" w:hanging="383"/>
        <w:spacing w:after="0" w:line="235" w:lineRule="auto"/>
        <w:tabs>
          <w:tab w:leader="none" w:pos="383"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decisions by our collaboraton partners with respect to the indicatons for our products and product candidates in countries where they have the right to commercialize the products and product candidates;</w:t>
      </w:r>
    </w:p>
    <w:p>
      <w:pPr>
        <w:spacing w:after="0" w:line="96" w:lineRule="exact"/>
        <w:rPr>
          <w:rFonts w:ascii="Times New Roman" w:cs="Times New Roman" w:eastAsia="Times New Roman" w:hAnsi="Times New Roman"/>
          <w:sz w:val="18"/>
          <w:szCs w:val="18"/>
          <w:color w:val="auto"/>
        </w:rPr>
      </w:pPr>
    </w:p>
    <w:p>
      <w:pPr>
        <w:ind w:left="383" w:right="620" w:hanging="383"/>
        <w:spacing w:after="0" w:line="235" w:lineRule="auto"/>
        <w:tabs>
          <w:tab w:leader="none" w:pos="383"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decisions by our collaboraton partners regarding market access and pricing in countries where they have the right to commercialize our products and product candidates;</w:t>
      </w:r>
    </w:p>
    <w:p>
      <w:pPr>
        <w:spacing w:after="0" w:line="91"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failure to successfully develop and commercialize our products and product candidates;</w:t>
      </w:r>
    </w:p>
    <w:p>
      <w:pPr>
        <w:spacing w:after="0" w:line="90"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level of revenue we receive from our commercialized products or from named patent sales;</w:t>
      </w:r>
    </w:p>
    <w:p>
      <w:pPr>
        <w:spacing w:after="0" w:line="90"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post-marketng safety issues;</w:t>
      </w:r>
    </w:p>
    <w:p>
      <w:pPr>
        <w:spacing w:after="0" w:line="90"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failure to maintain our existng strategic collaboratons or enter into new collaboratons;</w:t>
      </w:r>
    </w:p>
    <w:p>
      <w:pPr>
        <w:spacing w:after="0" w:line="90"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failure by us or our licensors and strategic collaboraton partners to prosecute, maintain, or enforce our intellectual property rights;</w:t>
      </w:r>
    </w:p>
    <w:p>
      <w:pPr>
        <w:spacing w:after="0" w:line="90"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changes in laws or regulatons applicable to our products;</w:t>
      </w:r>
    </w:p>
    <w:p>
      <w:pPr>
        <w:spacing w:after="0" w:line="90"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any inability to obtain adequate product supply for our products and product candidates or the inability to do so at acceptable prices;</w:t>
      </w:r>
    </w:p>
    <w:p>
      <w:pPr>
        <w:spacing w:after="0" w:line="90"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adverse regulatory decisions;</w:t>
      </w:r>
    </w:p>
    <w:p>
      <w:pPr>
        <w:spacing w:after="0" w:line="90"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introducton of new products, services, or technologies by our compettors;</w:t>
      </w:r>
    </w:p>
    <w:p>
      <w:pPr>
        <w:spacing w:after="0" w:line="90"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changes in or failure to meet or exceed fnancial projectons or other guidance we may provide to the public;</w:t>
      </w:r>
    </w:p>
    <w:p>
      <w:pPr>
        <w:spacing w:after="0" w:line="90"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changes in or failure to meet or exceed the fnancial projectons or other expectatons of the investment community;</w:t>
      </w:r>
    </w:p>
    <w:p>
      <w:pPr>
        <w:spacing w:after="0" w:line="90"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percepton of the pharmaceutcal industry or our company by the public, legislatures, regulators, and the investment community;</w:t>
      </w:r>
    </w:p>
    <w:p>
      <w:pPr>
        <w:spacing w:after="0" w:line="90"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percepton of the pharmaceutcal industry’s approach to drug pricing;</w:t>
      </w:r>
    </w:p>
    <w:p>
      <w:pPr>
        <w:spacing w:after="0" w:line="95" w:lineRule="exact"/>
        <w:rPr>
          <w:rFonts w:ascii="Times New Roman" w:cs="Times New Roman" w:eastAsia="Times New Roman" w:hAnsi="Times New Roman"/>
          <w:sz w:val="18"/>
          <w:szCs w:val="18"/>
          <w:color w:val="auto"/>
        </w:rPr>
      </w:pPr>
    </w:p>
    <w:p>
      <w:pPr>
        <w:ind w:left="383" w:right="460" w:hanging="383"/>
        <w:spacing w:after="0" w:line="235" w:lineRule="auto"/>
        <w:tabs>
          <w:tab w:leader="none" w:pos="383"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announcements of signifcant acquisitons, strategic partnerships, joint ventures, or capital commitments by us, our strategic collaboraton partners, or our compettors;</w:t>
      </w:r>
    </w:p>
    <w:p>
      <w:pPr>
        <w:spacing w:after="0" w:line="91"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integraton and performance of any businesses we have acquired or may acquire;</w:t>
      </w:r>
    </w:p>
    <w:p>
      <w:pPr>
        <w:spacing w:after="0" w:line="95" w:lineRule="exact"/>
        <w:rPr>
          <w:rFonts w:ascii="Times New Roman" w:cs="Times New Roman" w:eastAsia="Times New Roman" w:hAnsi="Times New Roman"/>
          <w:sz w:val="18"/>
          <w:szCs w:val="18"/>
          <w:color w:val="auto"/>
        </w:rPr>
      </w:pPr>
    </w:p>
    <w:p>
      <w:pPr>
        <w:ind w:left="383" w:hanging="383"/>
        <w:spacing w:after="0" w:line="235" w:lineRule="auto"/>
        <w:tabs>
          <w:tab w:leader="none" w:pos="383"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disputes or other developments relatng to proprietary rights, including patents, litgaton maters, and our ability to obtain patent protecton for our technologies;</w:t>
      </w:r>
    </w:p>
    <w:p>
      <w:pPr>
        <w:spacing w:after="0" w:line="91"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additons or departures of key scientfc or management personnel;</w:t>
      </w:r>
    </w:p>
    <w:p>
      <w:pPr>
        <w:spacing w:after="0" w:line="90"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signifcant investgatons, regulatory proceedings or lawsuits, including patent or stockholder litgaton;</w:t>
      </w:r>
    </w:p>
    <w:p>
      <w:pPr>
        <w:spacing w:after="0" w:line="90"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securites or industry analysts’ reports regarding our stock, or their failure to issue such reports;</w:t>
      </w:r>
    </w:p>
    <w:p>
      <w:pPr>
        <w:spacing w:after="0" w:line="90"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changes in the market valuatons of similar companies;</w:t>
      </w:r>
    </w:p>
    <w:p>
      <w:pPr>
        <w:spacing w:after="0" w:line="90"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general market, macroeconomic conditons or geopolitcal developments, changing interest rates and infaton;</w:t>
      </w:r>
    </w:p>
    <w:p>
      <w:pPr>
        <w:spacing w:after="0" w:line="90"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sales of our common stock by us or our stockholders in the future; and</w:t>
      </w:r>
    </w:p>
    <w:p>
      <w:pPr>
        <w:spacing w:after="0" w:line="90"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trading volume of our common stock.</w:t>
      </w:r>
    </w:p>
    <w:p>
      <w:pPr>
        <w:jc w:val="center"/>
        <w:ind w:right="477"/>
        <w:spacing w:after="0" w:line="235" w:lineRule="auto"/>
        <w:rPr>
          <w:sz w:val="20"/>
          <w:szCs w:val="20"/>
          <w:color w:val="auto"/>
        </w:rPr>
      </w:pPr>
      <w:r>
        <w:rPr>
          <w:rFonts w:ascii="Calibri" w:cs="Calibri" w:eastAsia="Calibri" w:hAnsi="Calibri"/>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482600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03" w:right="359" w:bottom="1440" w:gutter="0" w:footer="0" w:header="0"/>
        </w:sectPr>
      </w:pPr>
    </w:p>
    <w:bookmarkStart w:id="62" w:name="page63"/>
    <w:bookmarkEnd w:id="62"/>
    <w:p>
      <w:pPr>
        <w:jc w:val="both"/>
        <w:ind w:right="160" w:firstLine="509"/>
        <w:spacing w:after="0" w:line="235" w:lineRule="auto"/>
        <w:rPr>
          <w:sz w:val="20"/>
          <w:szCs w:val="20"/>
          <w:color w:val="auto"/>
        </w:rPr>
      </w:pPr>
      <w:r>
        <w:rPr>
          <w:rFonts w:ascii="Calibri" w:cs="Calibri" w:eastAsia="Calibri" w:hAnsi="Calibri"/>
          <w:sz w:val="18"/>
          <w:szCs w:val="18"/>
          <w:color w:val="auto"/>
        </w:rPr>
        <w:t>In additon, biotechnology and biopharmaceutcal companies in partcular have experienced extreme price and volume fuctuatons that have ofen been unrelated or disproportonate to the operatng performance of these companies. Broad market and industry factors may negatvely afect the market price of our common stock, regardless of our actual operatng performance.</w:t>
      </w:r>
    </w:p>
    <w:p>
      <w:pPr>
        <w:spacing w:after="0" w:line="246" w:lineRule="exact"/>
        <w:rPr>
          <w:sz w:val="20"/>
          <w:szCs w:val="20"/>
          <w:color w:val="auto"/>
        </w:rPr>
      </w:pPr>
    </w:p>
    <w:p>
      <w:pPr>
        <w:ind w:right="440"/>
        <w:spacing w:after="0" w:line="235" w:lineRule="auto"/>
        <w:rPr>
          <w:sz w:val="20"/>
          <w:szCs w:val="20"/>
          <w:color w:val="auto"/>
        </w:rPr>
      </w:pPr>
      <w:r>
        <w:rPr>
          <w:rFonts w:ascii="Calibri" w:cs="Calibri" w:eastAsia="Calibri" w:hAnsi="Calibri"/>
          <w:sz w:val="18"/>
          <w:szCs w:val="18"/>
          <w:b w:val="1"/>
          <w:bCs w:val="1"/>
          <w:i w:val="1"/>
          <w:iCs w:val="1"/>
          <w:color w:val="auto"/>
        </w:rPr>
        <w:t>Future sales and issuances of our common stock or rights to purchase common stock, including pursuant to our equity incentve plans, could result in additonal diluton of the percentage ownership of our stockholders and could cause our stock price to fall.</w:t>
      </w:r>
    </w:p>
    <w:p>
      <w:pPr>
        <w:spacing w:after="0" w:line="83"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We will need additonal capital in the future to contnue our planned operatons. To the extent we raise additonal capital by issuing equity securites, our stockholders may experience substantal diluton. We may sell common stock, convertble securites, or other equity securites in one or more transactons at prices and in a manner we determine from tme to tme. If we sell common stock, convertble securites, or other equity securites in more than one transacton, investors may be materially diluted by subsequent sales. These sales may also result in material diluton to our existng stockholders, and new investors could gain rights superior to our existng stockholders.</w:t>
      </w:r>
    </w:p>
    <w:p>
      <w:pPr>
        <w:spacing w:after="0" w:line="85" w:lineRule="exact"/>
        <w:rPr>
          <w:sz w:val="20"/>
          <w:szCs w:val="20"/>
          <w:color w:val="auto"/>
        </w:rPr>
      </w:pPr>
    </w:p>
    <w:p>
      <w:pPr>
        <w:ind w:right="240" w:firstLine="509"/>
        <w:spacing w:after="0" w:line="258" w:lineRule="auto"/>
        <w:rPr>
          <w:sz w:val="20"/>
          <w:szCs w:val="20"/>
          <w:color w:val="auto"/>
        </w:rPr>
      </w:pPr>
      <w:r>
        <w:rPr>
          <w:rFonts w:ascii="Calibri" w:cs="Calibri" w:eastAsia="Calibri" w:hAnsi="Calibri"/>
          <w:sz w:val="17"/>
          <w:szCs w:val="17"/>
          <w:color w:val="auto"/>
        </w:rPr>
        <w:t>Pursuant to our 2023 Incentve Plan, as amended, or the 2023 Plan, our management is authorized to grant stock optons and other equity-based awards to our employees, directors, and consultants. At December 31, 2024, there were 6,139,766 shares available for future grants under the 2023 Plan.</w:t>
      </w:r>
    </w:p>
    <w:p>
      <w:pPr>
        <w:spacing w:after="0" w:line="67"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Pursuant to our 2014 Employee Stock Purchase Plan, as amended, or the A&amp;R ESPP, eligible employees can acquire shares of our common stock at a discount to the prevailing market price. At December 31, 2024, there were 6,409,256 shares available for issuance under the A&amp;R ESPP.</w:t>
      </w:r>
    </w:p>
    <w:p>
      <w:pPr>
        <w:spacing w:after="0" w:line="83"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Our board of directors has adopted an Employment Inducement Plan, which was amended in July 2024, or the Inducement Plan, with a maximum of 1,200,000 shares available for grant under the plan. At December 31, 2024, there were 211,628 shares available for issuance under the Inducement Plan. If our board of directors elects to increase the number of shares available for future grant under the 2023 Plan, the A&amp;R ESPP, or the Inducement Plan, our stockholders may experience additonal diluton, which could cause our stock price to fall.</w:t>
      </w:r>
    </w:p>
    <w:p>
      <w:pPr>
        <w:spacing w:after="0" w:line="246"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b w:val="1"/>
          <w:bCs w:val="1"/>
          <w:i w:val="1"/>
          <w:iCs w:val="1"/>
          <w:color w:val="auto"/>
        </w:rPr>
        <w:t>Provisions in our amended and restated certfcate of incorporaton and by-laws, as well as provisions of Delaware law, could make it more difcult for a third party to acquire us or increase the cost of acquiring us, even if doing so would beneft our stockholders, or remove our current management.</w:t>
      </w:r>
    </w:p>
    <w:p>
      <w:pPr>
        <w:spacing w:after="0" w:line="83"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Our amended and restated certfcate of incorporaton, amended and restated by-laws, and Delaware law contain provisions that may have the efect of delaying or preventng a change in control of us or changes in our management. Our amended and restated certfcate of incorporaton and by-laws include provisions that:</w:t>
      </w:r>
    </w:p>
    <w:p>
      <w:pPr>
        <w:spacing w:after="0" w:line="97" w:lineRule="exact"/>
        <w:rPr>
          <w:sz w:val="20"/>
          <w:szCs w:val="20"/>
          <w:color w:val="auto"/>
        </w:rPr>
      </w:pPr>
    </w:p>
    <w:p>
      <w:pPr>
        <w:ind w:left="900" w:right="120" w:hanging="383"/>
        <w:spacing w:after="0" w:line="235" w:lineRule="auto"/>
        <w:tabs>
          <w:tab w:leader="none" w:pos="9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authorize “blank check” preferred stock, which could be issued by our board of directors without stockholder approval and may contain votng, liquidaton, dividend, and other rights superior to our common stock;</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create a classifed board of directors whose members serve staggered three-year terms;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specify that special meetngs of our stockholders can be called only by our board of directors or the chairperson of our board of directors;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prohibit stockholder acton by writen consent;</w:t>
      </w:r>
    </w:p>
    <w:p>
      <w:pPr>
        <w:spacing w:after="0" w:line="95" w:lineRule="exact"/>
        <w:rPr>
          <w:rFonts w:ascii="Times New Roman" w:cs="Times New Roman" w:eastAsia="Times New Roman" w:hAnsi="Times New Roman"/>
          <w:sz w:val="18"/>
          <w:szCs w:val="18"/>
          <w:color w:val="auto"/>
        </w:rPr>
      </w:pPr>
    </w:p>
    <w:p>
      <w:pPr>
        <w:ind w:left="900" w:right="660" w:hanging="383"/>
        <w:spacing w:after="0" w:line="235" w:lineRule="auto"/>
        <w:tabs>
          <w:tab w:leader="none" w:pos="9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establish an advance notce procedure for stockholder approvals to be brought before an annual meetng of our stockholders, including proposed nominatons of persons for electon to our board of directors;</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provide that our directors may be removed only for cause;</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provide that vacancies on our board of directors may be flled only by a resoluton adopted by the board of directors;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expressly authorize our board of directors to modify, alter or repeal our amended and restated bylaws; and</w:t>
      </w:r>
    </w:p>
    <w:p>
      <w:pPr>
        <w:spacing w:after="0" w:line="95" w:lineRule="exact"/>
        <w:rPr>
          <w:rFonts w:ascii="Times New Roman" w:cs="Times New Roman" w:eastAsia="Times New Roman" w:hAnsi="Times New Roman"/>
          <w:sz w:val="18"/>
          <w:szCs w:val="18"/>
          <w:color w:val="auto"/>
        </w:rPr>
      </w:pPr>
    </w:p>
    <w:p>
      <w:pPr>
        <w:ind w:left="900" w:hanging="383"/>
        <w:spacing w:after="0" w:line="235" w:lineRule="auto"/>
        <w:tabs>
          <w:tab w:leader="none" w:pos="90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require holders of 75% of our outstanding common stock to amend specifed provisions of our amended and restated certfcate of incorporaton and amended and restated by-laws.</w:t>
      </w:r>
    </w:p>
    <w:p>
      <w:pPr>
        <w:spacing w:after="0" w:line="78"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These provisions, alone or together, could delay, deter, or prevent hostle takeovers and changes in control or changes in our management.</w:t>
      </w:r>
    </w:p>
    <w:p>
      <w:pPr>
        <w:spacing w:after="0" w:line="82" w:lineRule="exact"/>
        <w:rPr>
          <w:sz w:val="20"/>
          <w:szCs w:val="20"/>
          <w:color w:val="auto"/>
        </w:rPr>
      </w:pPr>
    </w:p>
    <w:p>
      <w:pPr>
        <w:ind w:right="240" w:firstLine="509"/>
        <w:spacing w:after="0" w:line="249" w:lineRule="auto"/>
        <w:rPr>
          <w:sz w:val="20"/>
          <w:szCs w:val="20"/>
          <w:color w:val="auto"/>
        </w:rPr>
      </w:pPr>
      <w:r>
        <w:rPr>
          <w:rFonts w:ascii="Calibri" w:cs="Calibri" w:eastAsia="Calibri" w:hAnsi="Calibri"/>
          <w:sz w:val="17"/>
          <w:szCs w:val="17"/>
          <w:color w:val="auto"/>
        </w:rPr>
        <w:t>In additon, because we are incorporated in Delaware, we are governed by the provisions of Secton 203 of the Delaware General Corporaton Law, which limits the ability of stockholders owning in excess of 15% of our outstanding votng stock to merge or combine with us. Further, no stockholder is permited to cumulate votes at any electon of directors because this right is not included in our amended and restated certfcate of incorporaton.</w:t>
      </w:r>
    </w:p>
    <w:p>
      <w:pPr>
        <w:jc w:val="center"/>
        <w:ind w:right="-19"/>
        <w:spacing w:after="0" w:line="237" w:lineRule="auto"/>
        <w:rPr>
          <w:sz w:val="20"/>
          <w:szCs w:val="20"/>
          <w:color w:val="auto"/>
        </w:rPr>
      </w:pPr>
      <w:r>
        <w:rPr>
          <w:rFonts w:ascii="Calibri" w:cs="Calibri" w:eastAsia="Calibri" w:hAnsi="Calibri"/>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3" w:name="page64"/>
    <w:bookmarkEnd w:id="63"/>
    <w:p>
      <w:pPr>
        <w:ind w:right="300" w:firstLine="509"/>
        <w:spacing w:after="0" w:line="235" w:lineRule="auto"/>
        <w:rPr>
          <w:sz w:val="20"/>
          <w:szCs w:val="20"/>
          <w:color w:val="auto"/>
        </w:rPr>
      </w:pPr>
      <w:r>
        <w:rPr>
          <w:rFonts w:ascii="Calibri" w:cs="Calibri" w:eastAsia="Calibri" w:hAnsi="Calibri"/>
          <w:sz w:val="18"/>
          <w:szCs w:val="18"/>
          <w:color w:val="auto"/>
        </w:rPr>
        <w:t>Any provision of our amended and restated certfcate of incorporaton or amended and restated by-laws or Delaware law that has the efect of delaying or deterring a change in control could limit the opportunity for our stockholders to receive a premium for their shares of our common stock, and could also afect the price that some investors are willing to pay for our common stock.</w:t>
      </w:r>
    </w:p>
    <w:p>
      <w:pPr>
        <w:spacing w:after="0" w:line="246" w:lineRule="exact"/>
        <w:rPr>
          <w:sz w:val="20"/>
          <w:szCs w:val="20"/>
          <w:color w:val="auto"/>
        </w:rPr>
      </w:pPr>
    </w:p>
    <w:p>
      <w:pPr>
        <w:spacing w:after="0" w:line="235" w:lineRule="auto"/>
        <w:rPr>
          <w:sz w:val="20"/>
          <w:szCs w:val="20"/>
          <w:color w:val="auto"/>
        </w:rPr>
      </w:pPr>
      <w:r>
        <w:rPr>
          <w:rFonts w:ascii="Calibri" w:cs="Calibri" w:eastAsia="Calibri" w:hAnsi="Calibri"/>
          <w:sz w:val="18"/>
          <w:szCs w:val="18"/>
          <w:b w:val="1"/>
          <w:bCs w:val="1"/>
          <w:i w:val="1"/>
          <w:iCs w:val="1"/>
          <w:color w:val="auto"/>
        </w:rPr>
        <w:t>Our amended and restated certfcate of incorporaton provides that the Court of Chancery of the State of Delaware is the sole and exclusive forum for substantally all disputes between us and our stockholders, which could limit our stockholders’ ability to obtain a favorable judicial forum for disputes with us or our directors, ofcers or employees.</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Our amended and restated certfcate of incorporaton provides that the Court of Chancery of the State of Delaware is the sole and exclusive forum for (1) any derivatve acton or proceeding brought on our behalf, (2) any acton assertng a claim of breach of fduciary duty owed by any of our directors, ofcers, or other employees to us or to our stockholders, (3) any acton assertng a claim against us arising under the Delaware General Corporaton Law or under our amended and restated certfcate of incorporaton or bylaws, or (4) any acton against us assertng a claim governed by the internal afairs doctrine. The choice of forum provision may limit a stockholder’s ability to bring a claim in a judicial forum that it fnds favorable for disputes with us or our directors, ofcers, or other employees, which may discourage such lawsuits against us and our directors, ofcers, and other employees. Alternatvely, if a court were to fnd the choice of forum provision contained in our amended and restated certfcate of incorporaton to be inapplicable or unenforceable in an acton, we may incur additonal costs associated with resolving such acton in other jurisdictons, which could harm our business, operatng results and fnancial conditon.</w:t>
      </w:r>
    </w:p>
    <w:p>
      <w:pPr>
        <w:spacing w:after="0" w:line="24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General Risk Factors</w:t>
      </w:r>
    </w:p>
    <w:p>
      <w:pPr>
        <w:spacing w:after="0" w:line="82" w:lineRule="exact"/>
        <w:rPr>
          <w:sz w:val="20"/>
          <w:szCs w:val="20"/>
          <w:color w:val="auto"/>
        </w:rPr>
      </w:pPr>
    </w:p>
    <w:p>
      <w:pPr>
        <w:ind w:right="380"/>
        <w:spacing w:after="0" w:line="235" w:lineRule="auto"/>
        <w:rPr>
          <w:sz w:val="20"/>
          <w:szCs w:val="20"/>
          <w:color w:val="auto"/>
        </w:rPr>
      </w:pPr>
      <w:r>
        <w:rPr>
          <w:rFonts w:ascii="Calibri" w:cs="Calibri" w:eastAsia="Calibri" w:hAnsi="Calibri"/>
          <w:sz w:val="18"/>
          <w:szCs w:val="18"/>
          <w:b w:val="1"/>
          <w:bCs w:val="1"/>
          <w:i w:val="1"/>
          <w:iCs w:val="1"/>
          <w:color w:val="auto"/>
        </w:rPr>
        <w:t>If we are unable to maintain efectve internal control over fnancial reportng, investors may lose confdence in the accuracy and completeness of our fnancial reports and the market price of our stock may decrease.</w:t>
      </w:r>
    </w:p>
    <w:p>
      <w:pPr>
        <w:spacing w:after="0" w:line="83"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The Sarbanes-Oxley Act requires, among other things, that we maintain efectve internal controls for fnancial reportng and disclosure controls and procedures. In partcular, we are required to perform system and process evaluaton and testng of our internal controls over fnancial reportng to allow management to report on the efectveness of our internal controls over fnancial reportng, as required by Secton 404(a) of the Sarbanes-Oxley Act. Secton 404(b) of the Sarbanes-Oxley Act also requires our independent auditors to atest to, and report on, this management assessment. Ensuring that we have adequate internal controls in place so that we can produce accurate fnancial statements on a tmely basis is a costly and tme-consuming efort that will need to be evaluated frequently. If we are not able to comply with the requirements of Secton 404 or if we or our independent registered public accountng frm are unable to atest to the efectveness of our internal control over fnancial reportng, investors may lose confdence in the accuracy and completeness of our fnancial reports, the market price of our stock could decline and we could be subject to sanctons or investgatons by Nasdaq, the SEC, or other regulatory authorites, which would require additonal fnancial and management resources.</w:t>
      </w:r>
    </w:p>
    <w:p>
      <w:pPr>
        <w:spacing w:after="0" w:line="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4" w:name="page65"/>
    <w:bookmarkEnd w:id="64"/>
    <w:p>
      <w:pPr>
        <w:spacing w:after="0"/>
        <w:rPr>
          <w:sz w:val="20"/>
          <w:szCs w:val="20"/>
          <w:color w:val="auto"/>
        </w:rPr>
      </w:pPr>
      <w:r>
        <w:rPr>
          <w:rFonts w:ascii="Calibri" w:cs="Calibri" w:eastAsia="Calibri" w:hAnsi="Calibri"/>
          <w:sz w:val="18"/>
          <w:szCs w:val="18"/>
          <w:b w:val="1"/>
          <w:bCs w:val="1"/>
          <w:i w:val="1"/>
          <w:iCs w:val="1"/>
          <w:color w:val="auto"/>
        </w:rPr>
        <w:t>We may incur additonal tax liabilites related to our operatons.</w:t>
      </w:r>
    </w:p>
    <w:p>
      <w:pPr>
        <w:spacing w:after="0" w:line="8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We have a multnatonal tax structure and are subject to income tax in the U.S. and various foreign jurisdictons. Our efectve tax rate is infuenced by many factors including changes in our operatng structure, changes in the mix of our earnings among countries, our allocaton of profts and losses among our subsidiaries, our intercompany transfer pricing agreements and rules relatng to transfer pricing, the availability of U.S. research and development tax credits, and future changes in tax laws and regulatons in the U.S. and foreign countries. Signifcant judgment is required in determining our tax liabilites including management’s judgment for uncertain tax positons. The Internal Revenue Service, other domestc taxing authorites, or foreign taxing authorites may disagree with our interpretaton of tax laws as applied to our operatons. Our reported efectve tax rate and afer-tax cash fows may be materially and adversely afected by tax assessments in excess of amounts accrued for our fnancial statements. This could materially increase our future efectve tax rate thereby reducing net income and adversely impactng our results of operatons for future periods.</w:t>
      </w:r>
    </w:p>
    <w:p>
      <w:pPr>
        <w:spacing w:after="0" w:line="24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Our ability to use our net operatng loss carryforwards and certain other tax atributes may be limited.</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We have incurred substantal losses during our history. To the extent that we contnue to generate taxable losses, unused taxable losses will, subject to certain limitatons, carry forward to ofset future taxable income, if any, untl such unused losses expire. Under Sectons 382 and 383 of the Internal Revenue Code of 1986, as amended, or the IRC, if a corporaton undergoes an “ownership change,” generally defned as a greater than 50% change (by value) in its equity ownership over a three-year period, the corporaton’s ability to use its pre-change net operatng loss carryforwards, or NOL carryforwards, and other pre-change tax atributes (such as research tax credits) to ofset its post-change income may be limited. An analysis to determine limitatons upon our NOL carryforwards and other pre-change tax atributes for ownership changes that have occurred previously has been performed, resultng in a permanent decrease of federal and state NOL carryforwards in the amount of $7.2 million and a permanent decrease in federal research tax credit carryforwards in the amount of $0.2 million. As a result of these decreases and others that may occur as a result of future ownership changes, our ability to use our pre-change NOL carryforwards and other tax atribute carryforwards to ofset U.S. federal taxable income and tax liabilites is limited and may become subject to even greater limitatons, which could potentally accelerate or permanently increase future federal tax liabilites for us. In additon, there may be periods during which the use of state income tax NOL carryforwards and other state tax atribute carryforwards (such as state research tax credits) are suspended or otherwise limited, which could potentally accelerate or permanently increase future state tax liabilites for us.</w:t>
      </w:r>
    </w:p>
    <w:p>
      <w:pPr>
        <w:spacing w:after="0" w:line="24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Litgaton may substantally increase our costs and harm our business.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have been, and may in the future become, party to lawsuits including, without limitaton, actons, claims and proceedings in the ordinary course of business relatng to our directors, ofcers, stockholders, intellectual property, and employment maters and policies, which will cause us to incur legal fees and other costs related thereto, including potental expenses for the reimbursement of legal fees of ofcers and directors under indemnifcaton obligatons. For example, we have been defending a lawsuit fled in the U.S. District Court for the District of Maryland by the Estate of Henrieta Lacks alleging unjust enrichment arising from our receipt and use of HeLa cells. The expense of defending against such claims or litgaton may be signifcant and there can be no assurance that we will be successful in any defense. Further, the amount of tme that may be required to resolve such claims or lawsuits is unpredictable, and these actons may divert management’s atenton from the day-to-day operatons of our business, which could adversely afect our business, results of operatons, and cash fows. Litgaton is subject to inherent uncertaintes, and an adverse result in such maters that may arise from tme to tme could have a material adverse efect on our business, results of operatons, and fnancial conditon.</w:t>
      </w:r>
    </w:p>
    <w:p>
      <w:pPr>
        <w:spacing w:after="0" w:line="251" w:lineRule="exact"/>
        <w:rPr>
          <w:sz w:val="20"/>
          <w:szCs w:val="20"/>
          <w:color w:val="auto"/>
        </w:rPr>
      </w:pPr>
    </w:p>
    <w:p>
      <w:pPr>
        <w:ind w:right="540"/>
        <w:spacing w:after="0" w:line="235" w:lineRule="auto"/>
        <w:rPr>
          <w:sz w:val="20"/>
          <w:szCs w:val="20"/>
          <w:color w:val="auto"/>
        </w:rPr>
      </w:pPr>
      <w:r>
        <w:rPr>
          <w:rFonts w:ascii="Calibri" w:cs="Calibri" w:eastAsia="Calibri" w:hAnsi="Calibri"/>
          <w:sz w:val="18"/>
          <w:szCs w:val="18"/>
          <w:b w:val="1"/>
          <w:bCs w:val="1"/>
          <w:i w:val="1"/>
          <w:iCs w:val="1"/>
          <w:color w:val="auto"/>
        </w:rPr>
        <w:t>Our business and operatons could be negatvely afected if we become subject to stockholder actvism or hostle bids, which could cause us to incur signifcant expense, hinder executon of our business strategy and impact our stock price.</w:t>
      </w:r>
    </w:p>
    <w:p>
      <w:pPr>
        <w:spacing w:after="0" w:line="83"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Stockholder actvism, which takes many forms and arises in a variety of situatons, has been increasingly prevalent. Stock price declines may also increase our vulnerability to unsolicited approaches. If we become the subject of certain forms of stockholder actvism, such as proxy contests or hostle bids, the atenton of our management and our board of directors may be diverted from executon of our strategy. Such stockholder actvism could give rise to perceived uncertaintes as to our future strategy, adversely afect our relatonships with business partners and make it more difcult to atract and retain qualifed personnel. Also, we may incur substantal costs, including signifcant legal fees and other expenses, related to actvist stockholder maters. Our stock price could be subject to signifcant fuctuaton or otherwise be adversely afected by the events, risks and uncertaintes of any stockholder actvism.</w:t>
      </w:r>
    </w:p>
    <w:p>
      <w:pPr>
        <w:jc w:val="center"/>
        <w:ind w:right="-19"/>
        <w:spacing w:after="0"/>
        <w:rPr>
          <w:sz w:val="20"/>
          <w:szCs w:val="20"/>
          <w:color w:val="auto"/>
        </w:rPr>
      </w:pPr>
      <w:r>
        <w:rPr>
          <w:rFonts w:ascii="Calibri" w:cs="Calibri" w:eastAsia="Calibri" w:hAnsi="Calibri"/>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65" w:name="page66"/>
    <w:bookmarkEnd w:id="65"/>
    <w:p>
      <w:pPr>
        <w:ind w:right="240"/>
        <w:spacing w:after="0" w:line="235" w:lineRule="auto"/>
        <w:rPr>
          <w:sz w:val="20"/>
          <w:szCs w:val="20"/>
          <w:color w:val="auto"/>
        </w:rPr>
      </w:pPr>
      <w:r>
        <w:rPr>
          <w:rFonts w:ascii="Calibri" w:cs="Calibri" w:eastAsia="Calibri" w:hAnsi="Calibri"/>
          <w:sz w:val="18"/>
          <w:szCs w:val="18"/>
          <w:b w:val="1"/>
          <w:bCs w:val="1"/>
          <w:i w:val="1"/>
          <w:iCs w:val="1"/>
          <w:color w:val="auto"/>
        </w:rPr>
        <w:t>Increased scrutny regarding ESG practces and disclosures, as well as existng and proposed laws related to these topics, could result in additonal costs and adversely impact our business and reputaton.</w:t>
      </w:r>
    </w:p>
    <w:p>
      <w:pPr>
        <w:spacing w:after="0" w:line="83"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Companies across all industries are facing increasing scrutny relatng to their Environmental, Social and Governance, or ESG, practces and disclosures and insttutonal and individual investors are increasingly using ESG screening criteria in making investment decisions. Investors who are focused on ESG maters may seek enhanced ESG disclosures or to implement policies adverse to our business, and there can be no assurances that stockholders will not advocate, via proxy contests, media campaigns or other public or private means, for us to make corporate governance changes or engage in certain corporate actons. Our disclosures on these maters or a failure to satsfy evolving stakeholder expectatons for ESG practces and reportng may potentally harm our reputaton and impact employee retenton and access to capital. In additon, our failure, or perceived failure, to pursue or fulfll our goals, targets, and objectves or to satsfy various reportng standards within the tmelines we announce, or at all, could expose us to government enforcement actons and private litgaton.</w:t>
      </w:r>
    </w:p>
    <w:p>
      <w:pPr>
        <w:spacing w:after="0" w:line="8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Our ability to achieve any goal or objectve, including with respect to environmental and culture initatves and compliance with ESG reportng standards, is subject to numerous risks, many of which are outside of our control. Examples of such risks include the availability and cost of technologies and products that meet sustainability and ethical supply chain standards, evolving regulatory requirements afectng ESG standards or disclosures, our ability to recruit, develop, and retain talent in our labor markets, and our ability to develop reportng processes and controls that comply with evolving standards for identfying, measuring and reportng ESG metrics. As ESG best-practces, reportng standards, and disclosure requirements contnue to develop, we may incur increasing costs related to maintaining or achieving our ESG goals in additon to ESG monitoring and reportng.</w:t>
      </w:r>
    </w:p>
    <w:p>
      <w:pPr>
        <w:spacing w:after="0" w:line="29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6" w:name="page67"/>
    <w:bookmarkEnd w:id="66"/>
    <w:p>
      <w:pPr>
        <w:spacing w:after="0"/>
        <w:rPr>
          <w:sz w:val="20"/>
          <w:szCs w:val="20"/>
          <w:color w:val="auto"/>
        </w:rPr>
      </w:pPr>
      <w:r>
        <w:rPr>
          <w:rFonts w:ascii="Calibri" w:cs="Calibri" w:eastAsia="Calibri" w:hAnsi="Calibri"/>
          <w:sz w:val="18"/>
          <w:szCs w:val="18"/>
          <w:b w:val="1"/>
          <w:bCs w:val="1"/>
          <w:color w:val="auto"/>
        </w:rPr>
        <w:t xml:space="preserve">Item 1B. </w:t>
      </w:r>
      <w:r>
        <w:rPr>
          <w:rFonts w:ascii="Calibri" w:cs="Calibri" w:eastAsia="Calibri" w:hAnsi="Calibri"/>
          <w:sz w:val="18"/>
          <w:szCs w:val="18"/>
          <w:b w:val="1"/>
          <w:bCs w:val="1"/>
          <w:i w:val="1"/>
          <w:iCs w:val="1"/>
          <w:color w:val="auto"/>
        </w:rPr>
        <w:t>Unresolved Staf Comments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None.</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1C. Cybersecurity</w:t>
      </w:r>
    </w:p>
    <w:p>
      <w:pPr>
        <w:spacing w:after="0" w:line="82"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In the ordinary course of our business, we collect, use, store, and transmit digitally large amounts of confdental, fnancial, sensitve, proprietary, personal, and health-related informaton. The secure maintenance of this informaton and our informaton technology systems is important to our operatons and business strategy. To this end, we have implemented processes designed to assess, identfy, and manage risks from potental unauthorized occurrences on or through our informaton technology systems that may result in adverse efects on the confdentality, integrity, and availability of these systems and the data residing therein. Our cybersecurity program is informed in part by industry standards and best practces, such as the Natonal Insttute of Standards and Technology (NIST) Cybersecurity Framework. This program is managed and monitored by a dedicated informaton technology team, including a Senior Director of Informaton Security, and is led by our Senior Vice President, Chief Informaton Ofcer, or CIO. Our processes include mechanisms, controls, technologies, and systems designed to prevent or mitgate data loss, thef, misuse, or other security incidents or vulnerabilites afectng the data and maintain a stable informaton technology environment. Our program includes, for example:</w:t>
      </w:r>
    </w:p>
    <w:p>
      <w:pPr>
        <w:spacing w:after="0" w:line="97" w:lineRule="exact"/>
        <w:rPr>
          <w:sz w:val="20"/>
          <w:szCs w:val="20"/>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Regular penetraton and vulnerability testng, data recovery testng, security audits, and ongoing risk assessments;</w:t>
      </w:r>
    </w:p>
    <w:p>
      <w:pPr>
        <w:spacing w:after="0" w:line="95" w:lineRule="exact"/>
        <w:rPr>
          <w:rFonts w:ascii="Times New Roman" w:cs="Times New Roman" w:eastAsia="Times New Roman" w:hAnsi="Times New Roman"/>
          <w:sz w:val="18"/>
          <w:szCs w:val="18"/>
          <w:color w:val="auto"/>
        </w:rPr>
      </w:pPr>
    </w:p>
    <w:p>
      <w:pPr>
        <w:ind w:left="900" w:right="180" w:hanging="383"/>
        <w:spacing w:after="0" w:line="235" w:lineRule="auto"/>
        <w:tabs>
          <w:tab w:leader="none" w:pos="900" w:val="left"/>
        </w:tabs>
        <w:numPr>
          <w:ilvl w:val="0"/>
          <w:numId w:val="32"/>
        </w:numPr>
        <w:rPr>
          <w:rFonts w:ascii="Times New Roman" w:cs="Times New Roman" w:eastAsia="Times New Roman" w:hAnsi="Times New Roman"/>
          <w:sz w:val="18"/>
          <w:szCs w:val="18"/>
          <w:color w:val="auto"/>
        </w:rPr>
      </w:pPr>
      <w:r>
        <w:rPr>
          <w:rFonts w:ascii="Calibri" w:cs="Calibri" w:eastAsia="Calibri" w:hAnsi="Calibri"/>
          <w:sz w:val="18"/>
          <w:szCs w:val="18"/>
          <w:color w:val="auto"/>
        </w:rPr>
        <w:t>Engagement of external service providers, where appropriate, to assess, test or otherwise assist with aspects of our security controls as part of our operatonal security model;</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Calibri" w:cs="Calibri" w:eastAsia="Calibri" w:hAnsi="Calibri"/>
          <w:sz w:val="18"/>
          <w:szCs w:val="18"/>
          <w:color w:val="auto"/>
        </w:rPr>
        <w:t>Cybersecurity awareness training for our employees, contactors, incident response personnel, and senior management;</w:t>
      </w:r>
    </w:p>
    <w:p>
      <w:pPr>
        <w:spacing w:after="0" w:line="95" w:lineRule="exact"/>
        <w:rPr>
          <w:rFonts w:ascii="Times New Roman" w:cs="Times New Roman" w:eastAsia="Times New Roman" w:hAnsi="Times New Roman"/>
          <w:sz w:val="18"/>
          <w:szCs w:val="18"/>
          <w:color w:val="auto"/>
        </w:rPr>
      </w:pPr>
    </w:p>
    <w:p>
      <w:pPr>
        <w:ind w:left="900" w:right="300" w:hanging="383"/>
        <w:spacing w:after="0" w:line="235" w:lineRule="auto"/>
        <w:tabs>
          <w:tab w:leader="none" w:pos="900" w:val="left"/>
        </w:tabs>
        <w:numPr>
          <w:ilvl w:val="0"/>
          <w:numId w:val="32"/>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cybersecurity incident response plan that includes procedures for responding to cybersecurity incidents and annual tabletop exercises with partcipants from cross functonal teams;</w:t>
      </w:r>
    </w:p>
    <w:p>
      <w:pPr>
        <w:spacing w:after="0" w:line="96" w:lineRule="exact"/>
        <w:rPr>
          <w:rFonts w:ascii="Times New Roman" w:cs="Times New Roman" w:eastAsia="Times New Roman" w:hAnsi="Times New Roman"/>
          <w:sz w:val="18"/>
          <w:szCs w:val="18"/>
          <w:color w:val="auto"/>
        </w:rPr>
      </w:pPr>
    </w:p>
    <w:p>
      <w:pPr>
        <w:ind w:left="900" w:right="260" w:hanging="383"/>
        <w:spacing w:after="0" w:line="235" w:lineRule="auto"/>
        <w:tabs>
          <w:tab w:leader="none" w:pos="900" w:val="left"/>
        </w:tabs>
        <w:numPr>
          <w:ilvl w:val="0"/>
          <w:numId w:val="32"/>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third-party risk management process for service providers, suppliers, and vendors including due diligence prior to engagement and ongoing periodic review of our key technology vendors, and other contractors and suppliers.</w:t>
      </w:r>
    </w:p>
    <w:p>
      <w:pPr>
        <w:spacing w:after="0" w:line="83"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Our CIO, together with our Senior Director of Informaton Security and other members of the IT leadership team, are responsible for assessing and managing cybersecurity risks. Our CIO has over ten years of experience managing informaton technology and cybersecurity. Our Senior Director of Informaton Security has over 25 years of experience managing informaton technology and cybersecurity maters and is certfed as a Certfed Informaton Systems Security Professional (CISSP). We consider cybersecurity, along with other signifcant risks that we face, within our overall enterprise risk management framework.</w:t>
      </w:r>
    </w:p>
    <w:p>
      <w:pPr>
        <w:spacing w:after="0" w:line="85"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Since the beginning of the last fscal year, we have not identfed any risks from known cybersecurity threats, including as a result of any prior cybersecurity incidents, that have materially afected us, but we face certain ongoing cybersecurity risks or threats that, if realized, are reasonably likely to materially afect us. Additonal informaton on cybersecurity risks we face is discussed in Part I, Item 1A, “Risk Factors,” under the heading “Our business and operatons may be materially adversely afected in the event of computer system failures or security breaches.”</w:t>
      </w:r>
    </w:p>
    <w:p>
      <w:pPr>
        <w:spacing w:after="0" w:line="84"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The Board of Directors, as a whole and at the commitee level, has oversight for the most signifcant risks facing us and for our processes to identfy, prioritze, assess, manage, and mitgate those risks. The Audit Commitee, which is comprised solely of independent directors, has been designated by our Board to oversee cybersecurity risks. The Audit Commitee receives regular updates on cybersecurity and informaton technology maters and related risk exposures from our CIO. The Board also receives updates from the Audit Commitee on cybersecurity risks on a regular basis.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2. </w:t>
      </w:r>
      <w:r>
        <w:rPr>
          <w:rFonts w:ascii="Calibri" w:cs="Calibri" w:eastAsia="Calibri" w:hAnsi="Calibri"/>
          <w:sz w:val="18"/>
          <w:szCs w:val="18"/>
          <w:b w:val="1"/>
          <w:bCs w:val="1"/>
          <w:i w:val="1"/>
          <w:iCs w:val="1"/>
          <w:color w:val="auto"/>
        </w:rPr>
        <w:t>Propertes</w:t>
      </w:r>
    </w:p>
    <w:p>
      <w:pPr>
        <w:spacing w:after="0" w:line="82"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Our primary operatons are conducted at the leased facilites summarized in the below table. In 2023, we completed the constructon of our gene therapy manufacturing facility located in Bedford, Massachusets. We believe our facilites are adequate and suitable for our current needs and that we will be able to obtain new or additonal leased space in the future when necessary.</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0" w:type="dxa"/>
            <w:vAlign w:val="bottom"/>
          </w:tcPr>
          <w:p>
            <w:pPr>
              <w:spacing w:after="0"/>
              <w:rPr>
                <w:sz w:val="19"/>
                <w:szCs w:val="19"/>
                <w:color w:val="auto"/>
              </w:rPr>
            </w:pPr>
          </w:p>
        </w:tc>
        <w:tc>
          <w:tcPr>
            <w:tcW w:w="3140" w:type="dxa"/>
            <w:vAlign w:val="bottom"/>
          </w:tcPr>
          <w:p>
            <w:pPr>
              <w:ind w:left="1140"/>
              <w:spacing w:after="0"/>
              <w:rPr>
                <w:sz w:val="20"/>
                <w:szCs w:val="20"/>
                <w:color w:val="auto"/>
              </w:rPr>
            </w:pPr>
            <w:r>
              <w:rPr>
                <w:rFonts w:ascii="Calibri" w:cs="Calibri" w:eastAsia="Calibri" w:hAnsi="Calibri"/>
                <w:sz w:val="18"/>
                <w:szCs w:val="18"/>
                <w:b w:val="1"/>
                <w:bCs w:val="1"/>
                <w:color w:val="auto"/>
              </w:rPr>
              <w:t>Property Locaton</w:t>
            </w:r>
          </w:p>
        </w:tc>
        <w:tc>
          <w:tcPr>
            <w:tcW w:w="3260" w:type="dxa"/>
            <w:vAlign w:val="bottom"/>
          </w:tcPr>
          <w:p>
            <w:pPr>
              <w:ind w:left="2140"/>
              <w:spacing w:after="0"/>
              <w:rPr>
                <w:sz w:val="20"/>
                <w:szCs w:val="20"/>
                <w:color w:val="auto"/>
              </w:rPr>
            </w:pPr>
            <w:r>
              <w:rPr>
                <w:rFonts w:ascii="Calibri" w:cs="Calibri" w:eastAsia="Calibri" w:hAnsi="Calibri"/>
                <w:sz w:val="18"/>
                <w:szCs w:val="18"/>
                <w:b w:val="1"/>
                <w:bCs w:val="1"/>
                <w:color w:val="auto"/>
              </w:rPr>
              <w:t>Use</w:t>
            </w:r>
          </w:p>
        </w:tc>
        <w:tc>
          <w:tcPr>
            <w:tcW w:w="3700" w:type="dxa"/>
            <w:vAlign w:val="bottom"/>
          </w:tcPr>
          <w:p>
            <w:pPr>
              <w:ind w:left="1460"/>
              <w:spacing w:after="0"/>
              <w:rPr>
                <w:sz w:val="20"/>
                <w:szCs w:val="20"/>
                <w:color w:val="auto"/>
              </w:rPr>
            </w:pPr>
            <w:r>
              <w:rPr>
                <w:rFonts w:ascii="Calibri" w:cs="Calibri" w:eastAsia="Calibri" w:hAnsi="Calibri"/>
                <w:sz w:val="18"/>
                <w:szCs w:val="18"/>
                <w:b w:val="1"/>
                <w:bCs w:val="1"/>
                <w:color w:val="auto"/>
              </w:rPr>
              <w:t>Lease Expiraton Date</w:t>
            </w:r>
          </w:p>
        </w:tc>
        <w:tc>
          <w:tcPr>
            <w:tcW w:w="560" w:type="dxa"/>
            <w:vAlign w:val="bottom"/>
          </w:tcPr>
          <w:p>
            <w:pPr>
              <w:spacing w:after="0"/>
              <w:rPr>
                <w:sz w:val="19"/>
                <w:szCs w:val="19"/>
                <w:color w:val="auto"/>
              </w:rPr>
            </w:pPr>
          </w:p>
        </w:tc>
      </w:tr>
      <w:tr>
        <w:trPr>
          <w:trHeight w:val="23"/>
        </w:trPr>
        <w:tc>
          <w:tcPr>
            <w:tcW w:w="58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r>
      <w:tr>
        <w:trPr>
          <w:trHeight w:val="210"/>
        </w:trPr>
        <w:tc>
          <w:tcPr>
            <w:tcW w:w="580" w:type="dxa"/>
            <w:vAlign w:val="bottom"/>
          </w:tcPr>
          <w:p>
            <w:pPr>
              <w:spacing w:after="0"/>
              <w:rPr>
                <w:sz w:val="18"/>
                <w:szCs w:val="18"/>
                <w:color w:val="auto"/>
              </w:rPr>
            </w:pPr>
          </w:p>
        </w:tc>
        <w:tc>
          <w:tcPr>
            <w:tcW w:w="3140" w:type="dxa"/>
            <w:vAlign w:val="bottom"/>
            <w:shd w:val="clear" w:color="auto" w:fill="CCEEFF"/>
          </w:tcPr>
          <w:p>
            <w:pPr>
              <w:spacing w:after="0" w:line="209" w:lineRule="exact"/>
              <w:rPr>
                <w:sz w:val="20"/>
                <w:szCs w:val="20"/>
                <w:color w:val="auto"/>
              </w:rPr>
            </w:pPr>
            <w:r>
              <w:rPr>
                <w:rFonts w:ascii="Calibri" w:cs="Calibri" w:eastAsia="Calibri" w:hAnsi="Calibri"/>
                <w:sz w:val="18"/>
                <w:szCs w:val="18"/>
                <w:color w:val="auto"/>
              </w:rPr>
              <w:t>Novato, California</w:t>
            </w:r>
          </w:p>
        </w:tc>
        <w:tc>
          <w:tcPr>
            <w:tcW w:w="3260" w:type="dxa"/>
            <w:vAlign w:val="bottom"/>
            <w:shd w:val="clear" w:color="auto" w:fill="CCEEFF"/>
          </w:tcPr>
          <w:p>
            <w:pPr>
              <w:ind w:left="700"/>
              <w:spacing w:after="0" w:line="209" w:lineRule="exact"/>
              <w:rPr>
                <w:sz w:val="20"/>
                <w:szCs w:val="20"/>
                <w:color w:val="auto"/>
              </w:rPr>
            </w:pPr>
            <w:r>
              <w:rPr>
                <w:rFonts w:ascii="Calibri" w:cs="Calibri" w:eastAsia="Calibri" w:hAnsi="Calibri"/>
                <w:sz w:val="18"/>
                <w:szCs w:val="18"/>
                <w:color w:val="auto"/>
              </w:rPr>
              <w:t>Headquarters and ofce</w:t>
            </w:r>
          </w:p>
        </w:tc>
        <w:tc>
          <w:tcPr>
            <w:tcW w:w="3700" w:type="dxa"/>
            <w:vAlign w:val="bottom"/>
            <w:shd w:val="clear" w:color="auto" w:fill="CCEEFF"/>
          </w:tcPr>
          <w:p>
            <w:pPr>
              <w:ind w:left="840"/>
              <w:spacing w:after="0" w:line="209" w:lineRule="exact"/>
              <w:rPr>
                <w:sz w:val="20"/>
                <w:szCs w:val="20"/>
                <w:color w:val="auto"/>
              </w:rPr>
            </w:pPr>
            <w:r>
              <w:rPr>
                <w:rFonts w:ascii="Calibri" w:cs="Calibri" w:eastAsia="Calibri" w:hAnsi="Calibri"/>
                <w:sz w:val="18"/>
                <w:szCs w:val="18"/>
                <w:color w:val="auto"/>
              </w:rPr>
              <w:t>December 2026</w:t>
            </w:r>
          </w:p>
        </w:tc>
        <w:tc>
          <w:tcPr>
            <w:tcW w:w="560" w:type="dxa"/>
            <w:vAlign w:val="bottom"/>
          </w:tcPr>
          <w:p>
            <w:pPr>
              <w:spacing w:after="0"/>
              <w:rPr>
                <w:sz w:val="18"/>
                <w:szCs w:val="18"/>
                <w:color w:val="auto"/>
              </w:rPr>
            </w:pPr>
          </w:p>
        </w:tc>
      </w:tr>
      <w:tr>
        <w:trPr>
          <w:trHeight w:val="215"/>
        </w:trPr>
        <w:tc>
          <w:tcPr>
            <w:tcW w:w="580" w:type="dxa"/>
            <w:vAlign w:val="bottom"/>
          </w:tcPr>
          <w:p>
            <w:pPr>
              <w:spacing w:after="0"/>
              <w:rPr>
                <w:sz w:val="18"/>
                <w:szCs w:val="18"/>
                <w:color w:val="auto"/>
              </w:rPr>
            </w:pPr>
          </w:p>
        </w:tc>
        <w:tc>
          <w:tcPr>
            <w:tcW w:w="3140" w:type="dxa"/>
            <w:vAlign w:val="bottom"/>
          </w:tcPr>
          <w:p>
            <w:pPr>
              <w:spacing w:after="0" w:line="215" w:lineRule="exact"/>
              <w:rPr>
                <w:sz w:val="20"/>
                <w:szCs w:val="20"/>
                <w:color w:val="auto"/>
              </w:rPr>
            </w:pPr>
            <w:r>
              <w:rPr>
                <w:rFonts w:ascii="Calibri" w:cs="Calibri" w:eastAsia="Calibri" w:hAnsi="Calibri"/>
                <w:sz w:val="18"/>
                <w:szCs w:val="18"/>
                <w:color w:val="auto"/>
              </w:rPr>
              <w:t>Novato, California</w:t>
            </w:r>
          </w:p>
        </w:tc>
        <w:tc>
          <w:tcPr>
            <w:tcW w:w="3260" w:type="dxa"/>
            <w:vAlign w:val="bottom"/>
          </w:tcPr>
          <w:p>
            <w:pPr>
              <w:ind w:left="700"/>
              <w:spacing w:after="0" w:line="215" w:lineRule="exact"/>
              <w:rPr>
                <w:sz w:val="20"/>
                <w:szCs w:val="20"/>
                <w:color w:val="auto"/>
              </w:rPr>
            </w:pPr>
            <w:r>
              <w:rPr>
                <w:rFonts w:ascii="Calibri" w:cs="Calibri" w:eastAsia="Calibri" w:hAnsi="Calibri"/>
                <w:sz w:val="18"/>
                <w:szCs w:val="18"/>
                <w:color w:val="auto"/>
              </w:rPr>
              <w:t>Laboratory and ofce</w:t>
            </w:r>
          </w:p>
        </w:tc>
        <w:tc>
          <w:tcPr>
            <w:tcW w:w="3700" w:type="dxa"/>
            <w:vAlign w:val="bottom"/>
          </w:tcPr>
          <w:p>
            <w:pPr>
              <w:ind w:left="840"/>
              <w:spacing w:after="0" w:line="215" w:lineRule="exact"/>
              <w:rPr>
                <w:sz w:val="20"/>
                <w:szCs w:val="20"/>
                <w:color w:val="auto"/>
              </w:rPr>
            </w:pPr>
            <w:r>
              <w:rPr>
                <w:rFonts w:ascii="Calibri" w:cs="Calibri" w:eastAsia="Calibri" w:hAnsi="Calibri"/>
                <w:sz w:val="18"/>
                <w:szCs w:val="18"/>
                <w:color w:val="auto"/>
              </w:rPr>
              <w:t>October 2028</w:t>
            </w:r>
          </w:p>
        </w:tc>
        <w:tc>
          <w:tcPr>
            <w:tcW w:w="560" w:type="dxa"/>
            <w:vAlign w:val="bottom"/>
          </w:tcPr>
          <w:p>
            <w:pPr>
              <w:spacing w:after="0"/>
              <w:rPr>
                <w:sz w:val="18"/>
                <w:szCs w:val="18"/>
                <w:color w:val="auto"/>
              </w:rPr>
            </w:pPr>
          </w:p>
        </w:tc>
      </w:tr>
      <w:tr>
        <w:trPr>
          <w:trHeight w:val="217"/>
        </w:trPr>
        <w:tc>
          <w:tcPr>
            <w:tcW w:w="580" w:type="dxa"/>
            <w:vAlign w:val="bottom"/>
          </w:tcPr>
          <w:p>
            <w:pPr>
              <w:spacing w:after="0"/>
              <w:rPr>
                <w:sz w:val="18"/>
                <w:szCs w:val="18"/>
                <w:color w:val="auto"/>
              </w:rPr>
            </w:pPr>
          </w:p>
        </w:tc>
        <w:tc>
          <w:tcPr>
            <w:tcW w:w="3140" w:type="dxa"/>
            <w:vAlign w:val="bottom"/>
            <w:shd w:val="clear" w:color="auto" w:fill="CCEEFF"/>
          </w:tcPr>
          <w:p>
            <w:pPr>
              <w:spacing w:after="0" w:line="216" w:lineRule="exact"/>
              <w:rPr>
                <w:sz w:val="20"/>
                <w:szCs w:val="20"/>
                <w:color w:val="auto"/>
              </w:rPr>
            </w:pPr>
            <w:r>
              <w:rPr>
                <w:rFonts w:ascii="Calibri" w:cs="Calibri" w:eastAsia="Calibri" w:hAnsi="Calibri"/>
                <w:sz w:val="18"/>
                <w:szCs w:val="18"/>
                <w:color w:val="auto"/>
              </w:rPr>
              <w:t>Brisbane, California</w:t>
            </w:r>
          </w:p>
        </w:tc>
        <w:tc>
          <w:tcPr>
            <w:tcW w:w="3260" w:type="dxa"/>
            <w:vAlign w:val="bottom"/>
            <w:shd w:val="clear" w:color="auto" w:fill="CCEEFF"/>
          </w:tcPr>
          <w:p>
            <w:pPr>
              <w:ind w:left="700"/>
              <w:spacing w:after="0" w:line="216" w:lineRule="exact"/>
              <w:rPr>
                <w:sz w:val="20"/>
                <w:szCs w:val="20"/>
                <w:color w:val="auto"/>
              </w:rPr>
            </w:pPr>
            <w:r>
              <w:rPr>
                <w:rFonts w:ascii="Calibri" w:cs="Calibri" w:eastAsia="Calibri" w:hAnsi="Calibri"/>
                <w:sz w:val="18"/>
                <w:szCs w:val="18"/>
                <w:color w:val="auto"/>
              </w:rPr>
              <w:t>Ofce</w:t>
            </w:r>
          </w:p>
        </w:tc>
        <w:tc>
          <w:tcPr>
            <w:tcW w:w="3700" w:type="dxa"/>
            <w:vAlign w:val="bottom"/>
            <w:shd w:val="clear" w:color="auto" w:fill="CCEEFF"/>
          </w:tcPr>
          <w:p>
            <w:pPr>
              <w:ind w:left="840"/>
              <w:spacing w:after="0" w:line="216" w:lineRule="exact"/>
              <w:rPr>
                <w:sz w:val="20"/>
                <w:szCs w:val="20"/>
                <w:color w:val="auto"/>
              </w:rPr>
            </w:pPr>
            <w:r>
              <w:rPr>
                <w:rFonts w:ascii="Calibri" w:cs="Calibri" w:eastAsia="Calibri" w:hAnsi="Calibri"/>
                <w:sz w:val="18"/>
                <w:szCs w:val="18"/>
                <w:color w:val="auto"/>
              </w:rPr>
              <w:t>June 2026</w:t>
            </w:r>
          </w:p>
        </w:tc>
        <w:tc>
          <w:tcPr>
            <w:tcW w:w="560" w:type="dxa"/>
            <w:vAlign w:val="bottom"/>
          </w:tcPr>
          <w:p>
            <w:pPr>
              <w:spacing w:after="0"/>
              <w:rPr>
                <w:sz w:val="18"/>
                <w:szCs w:val="18"/>
                <w:color w:val="auto"/>
              </w:rPr>
            </w:pPr>
          </w:p>
        </w:tc>
      </w:tr>
      <w:tr>
        <w:trPr>
          <w:trHeight w:val="215"/>
        </w:trPr>
        <w:tc>
          <w:tcPr>
            <w:tcW w:w="580" w:type="dxa"/>
            <w:vAlign w:val="bottom"/>
          </w:tcPr>
          <w:p>
            <w:pPr>
              <w:spacing w:after="0"/>
              <w:rPr>
                <w:sz w:val="18"/>
                <w:szCs w:val="18"/>
                <w:color w:val="auto"/>
              </w:rPr>
            </w:pPr>
          </w:p>
        </w:tc>
        <w:tc>
          <w:tcPr>
            <w:tcW w:w="3140" w:type="dxa"/>
            <w:vAlign w:val="bottom"/>
          </w:tcPr>
          <w:p>
            <w:pPr>
              <w:spacing w:after="0" w:line="215" w:lineRule="exact"/>
              <w:rPr>
                <w:sz w:val="20"/>
                <w:szCs w:val="20"/>
                <w:color w:val="auto"/>
              </w:rPr>
            </w:pPr>
            <w:r>
              <w:rPr>
                <w:rFonts w:ascii="Calibri" w:cs="Calibri" w:eastAsia="Calibri" w:hAnsi="Calibri"/>
                <w:sz w:val="18"/>
                <w:szCs w:val="18"/>
                <w:color w:val="auto"/>
              </w:rPr>
              <w:t>Somerville, Massachusets</w:t>
            </w:r>
          </w:p>
        </w:tc>
        <w:tc>
          <w:tcPr>
            <w:tcW w:w="3260" w:type="dxa"/>
            <w:vAlign w:val="bottom"/>
          </w:tcPr>
          <w:p>
            <w:pPr>
              <w:ind w:left="700"/>
              <w:spacing w:after="0" w:line="215" w:lineRule="exact"/>
              <w:rPr>
                <w:sz w:val="20"/>
                <w:szCs w:val="20"/>
                <w:color w:val="auto"/>
              </w:rPr>
            </w:pPr>
            <w:r>
              <w:rPr>
                <w:rFonts w:ascii="Calibri" w:cs="Calibri" w:eastAsia="Calibri" w:hAnsi="Calibri"/>
                <w:sz w:val="18"/>
                <w:szCs w:val="18"/>
                <w:color w:val="auto"/>
              </w:rPr>
              <w:t>Laboratory and ofce</w:t>
            </w:r>
          </w:p>
        </w:tc>
        <w:tc>
          <w:tcPr>
            <w:tcW w:w="3700" w:type="dxa"/>
            <w:vAlign w:val="bottom"/>
          </w:tcPr>
          <w:p>
            <w:pPr>
              <w:ind w:left="840"/>
              <w:spacing w:after="0" w:line="215" w:lineRule="exact"/>
              <w:rPr>
                <w:sz w:val="20"/>
                <w:szCs w:val="20"/>
                <w:color w:val="auto"/>
              </w:rPr>
            </w:pPr>
            <w:r>
              <w:rPr>
                <w:rFonts w:ascii="Calibri" w:cs="Calibri" w:eastAsia="Calibri" w:hAnsi="Calibri"/>
                <w:sz w:val="18"/>
                <w:szCs w:val="18"/>
                <w:color w:val="auto"/>
              </w:rPr>
              <w:t>January 2030</w:t>
            </w:r>
          </w:p>
        </w:tc>
        <w:tc>
          <w:tcPr>
            <w:tcW w:w="560" w:type="dxa"/>
            <w:vAlign w:val="bottom"/>
          </w:tcPr>
          <w:p>
            <w:pPr>
              <w:spacing w:after="0"/>
              <w:rPr>
                <w:sz w:val="18"/>
                <w:szCs w:val="18"/>
                <w:color w:val="auto"/>
              </w:rPr>
            </w:pPr>
          </w:p>
        </w:tc>
      </w:tr>
      <w:tr>
        <w:trPr>
          <w:trHeight w:val="217"/>
        </w:trPr>
        <w:tc>
          <w:tcPr>
            <w:tcW w:w="580" w:type="dxa"/>
            <w:vAlign w:val="bottom"/>
          </w:tcPr>
          <w:p>
            <w:pPr>
              <w:spacing w:after="0"/>
              <w:rPr>
                <w:sz w:val="18"/>
                <w:szCs w:val="18"/>
                <w:color w:val="auto"/>
              </w:rPr>
            </w:pPr>
          </w:p>
        </w:tc>
        <w:tc>
          <w:tcPr>
            <w:tcW w:w="3140" w:type="dxa"/>
            <w:vAlign w:val="bottom"/>
            <w:shd w:val="clear" w:color="auto" w:fill="CCEEFF"/>
          </w:tcPr>
          <w:p>
            <w:pPr>
              <w:spacing w:after="0" w:line="216" w:lineRule="exact"/>
              <w:rPr>
                <w:sz w:val="20"/>
                <w:szCs w:val="20"/>
                <w:color w:val="auto"/>
              </w:rPr>
            </w:pPr>
            <w:r>
              <w:rPr>
                <w:rFonts w:ascii="Calibri" w:cs="Calibri" w:eastAsia="Calibri" w:hAnsi="Calibri"/>
                <w:sz w:val="18"/>
                <w:szCs w:val="18"/>
                <w:color w:val="auto"/>
              </w:rPr>
              <w:t>Woburn, Massachusets</w:t>
            </w:r>
          </w:p>
        </w:tc>
        <w:tc>
          <w:tcPr>
            <w:tcW w:w="3260" w:type="dxa"/>
            <w:vAlign w:val="bottom"/>
            <w:shd w:val="clear" w:color="auto" w:fill="CCEEFF"/>
          </w:tcPr>
          <w:p>
            <w:pPr>
              <w:ind w:left="700"/>
              <w:spacing w:after="0" w:line="216" w:lineRule="exact"/>
              <w:rPr>
                <w:sz w:val="20"/>
                <w:szCs w:val="20"/>
                <w:color w:val="auto"/>
              </w:rPr>
            </w:pPr>
            <w:r>
              <w:rPr>
                <w:rFonts w:ascii="Calibri" w:cs="Calibri" w:eastAsia="Calibri" w:hAnsi="Calibri"/>
                <w:sz w:val="18"/>
                <w:szCs w:val="18"/>
                <w:color w:val="auto"/>
              </w:rPr>
              <w:t>Laboratory and ofce</w:t>
            </w:r>
          </w:p>
        </w:tc>
        <w:tc>
          <w:tcPr>
            <w:tcW w:w="3700" w:type="dxa"/>
            <w:vAlign w:val="bottom"/>
            <w:shd w:val="clear" w:color="auto" w:fill="CCEEFF"/>
          </w:tcPr>
          <w:p>
            <w:pPr>
              <w:ind w:left="840"/>
              <w:spacing w:after="0" w:line="216" w:lineRule="exact"/>
              <w:rPr>
                <w:sz w:val="20"/>
                <w:szCs w:val="20"/>
                <w:color w:val="auto"/>
              </w:rPr>
            </w:pPr>
            <w:r>
              <w:rPr>
                <w:rFonts w:ascii="Calibri" w:cs="Calibri" w:eastAsia="Calibri" w:hAnsi="Calibri"/>
                <w:sz w:val="18"/>
                <w:szCs w:val="18"/>
                <w:color w:val="auto"/>
              </w:rPr>
              <w:t>April 2028</w:t>
            </w:r>
          </w:p>
        </w:tc>
        <w:tc>
          <w:tcPr>
            <w:tcW w:w="560" w:type="dxa"/>
            <w:vAlign w:val="bottom"/>
          </w:tcPr>
          <w:p>
            <w:pPr>
              <w:spacing w:after="0"/>
              <w:rPr>
                <w:sz w:val="18"/>
                <w:szCs w:val="18"/>
                <w:color w:val="auto"/>
              </w:rPr>
            </w:pPr>
          </w:p>
        </w:tc>
      </w:tr>
      <w:tr>
        <w:trPr>
          <w:trHeight w:val="215"/>
        </w:trPr>
        <w:tc>
          <w:tcPr>
            <w:tcW w:w="580" w:type="dxa"/>
            <w:vAlign w:val="bottom"/>
          </w:tcPr>
          <w:p>
            <w:pPr>
              <w:spacing w:after="0"/>
              <w:rPr>
                <w:sz w:val="18"/>
                <w:szCs w:val="18"/>
                <w:color w:val="auto"/>
              </w:rPr>
            </w:pPr>
          </w:p>
        </w:tc>
        <w:tc>
          <w:tcPr>
            <w:tcW w:w="3140" w:type="dxa"/>
            <w:vAlign w:val="bottom"/>
          </w:tcPr>
          <w:p>
            <w:pPr>
              <w:spacing w:after="0" w:line="215" w:lineRule="exact"/>
              <w:rPr>
                <w:sz w:val="20"/>
                <w:szCs w:val="20"/>
                <w:color w:val="auto"/>
              </w:rPr>
            </w:pPr>
            <w:r>
              <w:rPr>
                <w:rFonts w:ascii="Calibri" w:cs="Calibri" w:eastAsia="Calibri" w:hAnsi="Calibri"/>
                <w:sz w:val="18"/>
                <w:szCs w:val="18"/>
                <w:color w:val="auto"/>
              </w:rPr>
              <w:t>Woburn, Massachusets</w:t>
            </w:r>
          </w:p>
        </w:tc>
        <w:tc>
          <w:tcPr>
            <w:tcW w:w="3260" w:type="dxa"/>
            <w:vAlign w:val="bottom"/>
          </w:tcPr>
          <w:p>
            <w:pPr>
              <w:ind w:left="700"/>
              <w:spacing w:after="0" w:line="215" w:lineRule="exact"/>
              <w:rPr>
                <w:sz w:val="20"/>
                <w:szCs w:val="20"/>
                <w:color w:val="auto"/>
              </w:rPr>
            </w:pPr>
            <w:r>
              <w:rPr>
                <w:rFonts w:ascii="Calibri" w:cs="Calibri" w:eastAsia="Calibri" w:hAnsi="Calibri"/>
                <w:sz w:val="18"/>
                <w:szCs w:val="18"/>
                <w:color w:val="auto"/>
              </w:rPr>
              <w:t>Laboratory and ofce</w:t>
            </w:r>
          </w:p>
        </w:tc>
        <w:tc>
          <w:tcPr>
            <w:tcW w:w="3700" w:type="dxa"/>
            <w:vAlign w:val="bottom"/>
          </w:tcPr>
          <w:p>
            <w:pPr>
              <w:ind w:left="840"/>
              <w:spacing w:after="0" w:line="215" w:lineRule="exact"/>
              <w:rPr>
                <w:sz w:val="20"/>
                <w:szCs w:val="20"/>
                <w:color w:val="auto"/>
              </w:rPr>
            </w:pPr>
            <w:r>
              <w:rPr>
                <w:rFonts w:ascii="Calibri" w:cs="Calibri" w:eastAsia="Calibri" w:hAnsi="Calibri"/>
                <w:sz w:val="18"/>
                <w:szCs w:val="18"/>
                <w:color w:val="auto"/>
              </w:rPr>
              <w:t>October 2026</w:t>
            </w:r>
          </w:p>
        </w:tc>
        <w:tc>
          <w:tcPr>
            <w:tcW w:w="560" w:type="dxa"/>
            <w:vAlign w:val="bottom"/>
          </w:tcPr>
          <w:p>
            <w:pPr>
              <w:spacing w:after="0"/>
              <w:rPr>
                <w:sz w:val="18"/>
                <w:szCs w:val="18"/>
                <w:color w:val="auto"/>
              </w:rPr>
            </w:pPr>
          </w:p>
        </w:tc>
      </w:tr>
      <w:tr>
        <w:trPr>
          <w:trHeight w:val="217"/>
        </w:trPr>
        <w:tc>
          <w:tcPr>
            <w:tcW w:w="580" w:type="dxa"/>
            <w:vAlign w:val="bottom"/>
          </w:tcPr>
          <w:p>
            <w:pPr>
              <w:spacing w:after="0"/>
              <w:rPr>
                <w:sz w:val="18"/>
                <w:szCs w:val="18"/>
                <w:color w:val="auto"/>
              </w:rPr>
            </w:pPr>
          </w:p>
        </w:tc>
        <w:tc>
          <w:tcPr>
            <w:tcW w:w="3140" w:type="dxa"/>
            <w:vAlign w:val="bottom"/>
            <w:shd w:val="clear" w:color="auto" w:fill="CCEEFF"/>
          </w:tcPr>
          <w:p>
            <w:pPr>
              <w:spacing w:after="0" w:line="216" w:lineRule="exact"/>
              <w:rPr>
                <w:sz w:val="20"/>
                <w:szCs w:val="20"/>
                <w:color w:val="auto"/>
              </w:rPr>
            </w:pPr>
            <w:r>
              <w:rPr>
                <w:rFonts w:ascii="Calibri" w:cs="Calibri" w:eastAsia="Calibri" w:hAnsi="Calibri"/>
                <w:sz w:val="18"/>
                <w:szCs w:val="18"/>
                <w:color w:val="auto"/>
              </w:rPr>
              <w:t>Bedford, Massachusets</w:t>
            </w:r>
          </w:p>
        </w:tc>
        <w:tc>
          <w:tcPr>
            <w:tcW w:w="3260" w:type="dxa"/>
            <w:vAlign w:val="bottom"/>
            <w:shd w:val="clear" w:color="auto" w:fill="CCEEFF"/>
          </w:tcPr>
          <w:p>
            <w:pPr>
              <w:ind w:left="700"/>
              <w:spacing w:after="0" w:line="216" w:lineRule="exact"/>
              <w:rPr>
                <w:sz w:val="20"/>
                <w:szCs w:val="20"/>
                <w:color w:val="auto"/>
              </w:rPr>
            </w:pPr>
            <w:r>
              <w:rPr>
                <w:rFonts w:ascii="Calibri" w:cs="Calibri" w:eastAsia="Calibri" w:hAnsi="Calibri"/>
                <w:sz w:val="18"/>
                <w:szCs w:val="18"/>
                <w:color w:val="auto"/>
              </w:rPr>
              <w:t>Manufacturing facility</w:t>
            </w:r>
          </w:p>
        </w:tc>
        <w:tc>
          <w:tcPr>
            <w:tcW w:w="3700" w:type="dxa"/>
            <w:vAlign w:val="bottom"/>
            <w:shd w:val="clear" w:color="auto" w:fill="CCEEFF"/>
          </w:tcPr>
          <w:p>
            <w:pPr>
              <w:ind w:left="840"/>
              <w:spacing w:after="0" w:line="216" w:lineRule="exact"/>
              <w:rPr>
                <w:sz w:val="20"/>
                <w:szCs w:val="20"/>
                <w:color w:val="auto"/>
              </w:rPr>
            </w:pPr>
            <w:r>
              <w:rPr>
                <w:rFonts w:ascii="Calibri" w:cs="Calibri" w:eastAsia="Calibri" w:hAnsi="Calibri"/>
                <w:sz w:val="18"/>
                <w:szCs w:val="18"/>
                <w:color w:val="auto"/>
              </w:rPr>
              <w:t>Owned property</w:t>
            </w:r>
          </w:p>
        </w:tc>
        <w:tc>
          <w:tcPr>
            <w:tcW w:w="560" w:type="dxa"/>
            <w:vAlign w:val="bottom"/>
          </w:tcPr>
          <w:p>
            <w:pPr>
              <w:spacing w:after="0"/>
              <w:rPr>
                <w:sz w:val="18"/>
                <w:szCs w:val="18"/>
                <w:color w:val="auto"/>
              </w:rPr>
            </w:pPr>
          </w:p>
        </w:tc>
      </w:tr>
      <w:tr>
        <w:trPr>
          <w:trHeight w:val="408"/>
        </w:trPr>
        <w:tc>
          <w:tcPr>
            <w:tcW w:w="5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260" w:type="dxa"/>
            <w:vAlign w:val="bottom"/>
          </w:tcPr>
          <w:p>
            <w:pPr>
              <w:ind w:left="1820"/>
              <w:spacing w:after="0"/>
              <w:rPr>
                <w:sz w:val="20"/>
                <w:szCs w:val="20"/>
                <w:color w:val="auto"/>
              </w:rPr>
            </w:pPr>
            <w:r>
              <w:rPr>
                <w:rFonts w:ascii="Calibri" w:cs="Calibri" w:eastAsia="Calibri" w:hAnsi="Calibri"/>
                <w:sz w:val="18"/>
                <w:szCs w:val="18"/>
                <w:color w:val="auto"/>
              </w:rPr>
              <w:t>67</w:t>
            </w:r>
          </w:p>
        </w:tc>
        <w:tc>
          <w:tcPr>
            <w:tcW w:w="37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86"/>
        </w:trPr>
        <w:tc>
          <w:tcPr>
            <w:tcW w:w="58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7" w:name="page68"/>
    <w:bookmarkEnd w:id="67"/>
    <w:p>
      <w:pPr>
        <w:spacing w:after="0" w:line="3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3. </w:t>
      </w:r>
      <w:r>
        <w:rPr>
          <w:rFonts w:ascii="Calibri" w:cs="Calibri" w:eastAsia="Calibri" w:hAnsi="Calibri"/>
          <w:sz w:val="18"/>
          <w:szCs w:val="18"/>
          <w:b w:val="1"/>
          <w:bCs w:val="1"/>
          <w:i w:val="1"/>
          <w:iCs w:val="1"/>
          <w:color w:val="auto"/>
        </w:rPr>
        <w:t>Legal Proceedings</w:t>
      </w:r>
    </w:p>
    <w:p>
      <w:pPr>
        <w:spacing w:after="0" w:line="82"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i w:val="1"/>
          <w:iCs w:val="1"/>
          <w:color w:val="auto"/>
        </w:rPr>
        <w:t>Ultragenyx Pharmaceutcal Inc. and Baylor Research Insttute v. Navinta LLC, Aurobindo Pharma Limited, Aurobindo Pharma USA, Inc., Esjay Pharma Private Limited and Esjay Pharma LLC</w:t>
      </w:r>
    </w:p>
    <w:p>
      <w:pPr>
        <w:spacing w:after="0" w:line="83" w:lineRule="exact"/>
        <w:rPr>
          <w:sz w:val="20"/>
          <w:szCs w:val="20"/>
          <w:color w:val="auto"/>
        </w:rPr>
      </w:pPr>
    </w:p>
    <w:p>
      <w:pPr>
        <w:ind w:right="20" w:firstLine="509"/>
        <w:spacing w:after="0" w:line="250" w:lineRule="auto"/>
        <w:rPr>
          <w:sz w:val="20"/>
          <w:szCs w:val="20"/>
          <w:color w:val="auto"/>
        </w:rPr>
      </w:pPr>
      <w:r>
        <w:rPr>
          <w:rFonts w:ascii="Calibri" w:cs="Calibri" w:eastAsia="Calibri" w:hAnsi="Calibri"/>
          <w:sz w:val="17"/>
          <w:szCs w:val="17"/>
          <w:color w:val="auto"/>
        </w:rPr>
        <w:t>On September 26, 2024, we fled a patent infringement suit under the Hatch-Waxman Act against Navinta, Aurobindo and Esjay in the United States District Court for the District of New Jersey. The suit is in response to notces from Navinta, Aurobindo, and Esjay concerning the fling of ANDAs with the FDA, seeking FDA approval to market a generic version of Dojolvi® (triheptanoin) along with Paragraph IV certfcatons which allege that one Orange Book-listed patent covering Dojolvi is invalid, unenforceable, and/or will not be infringed by the manufacture, use, or sale of the proposed generic product. The fling of the suit triggers a stay preventng the FDA from grantng the ANDAs fnal approval, which stay extends to December 30, 2027 (i.e., the date that is seven and one-half years from the June 30, 2020 approval of Dojolvi). We intend to vigorously defend our intellectual property. In additon to the issued patents for Dojolvi listed in the Orange Book, we own a pending patent applicaton relatng to certain pharmaceutcal compositons of triheptanoin, including Dojolvi, that would be expected to expire in 2034 upon an issuance. Dojolvi is also protected in the U.S. by regulatory exclusivity untl 2025 and orphan drug exclusivity for the treatment of pediatric and adult patents with molecularly confrmed long-chain faty acid oxidaton disorders (LC-FAOD) untl 2027.</w:t>
      </w:r>
    </w:p>
    <w:p>
      <w:pPr>
        <w:spacing w:after="0" w:line="8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Aurobindo and Navinta answered the complaint on December 2, 2024 and December 30, 2024, respectvely. Esjay fled a moton to dismiss the suit on December 2, 2024. We fled an oppositon to Esjay’s moton to dismiss on January 7, 2025.</w:t>
      </w:r>
    </w:p>
    <w:p>
      <w:pPr>
        <w:spacing w:after="0" w:line="7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Ultragenyx Pharmaceutcal Inc. v. Catalent Maryland, Inc. and Catalent Pharma Solutons LLC</w:t>
      </w:r>
    </w:p>
    <w:p>
      <w:pPr>
        <w:spacing w:after="0" w:line="8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On October 9, 2024, we fled a suit against Catalent Maryland, Inc. and Catalent Pharma Solutons, LLC (collectvely, Catalent) in the Superior Court of the State of Delaware alleging that Catalent fraudulently mispresented its manufacturing capabilites and serially breached the terms of its manufacturing agreement with us. Our suit seeks monetary damages from Catalent in excess of $100 million.</w:t>
      </w:r>
    </w:p>
    <w:p>
      <w:pPr>
        <w:spacing w:after="0" w:line="84" w:lineRule="exact"/>
        <w:rPr>
          <w:sz w:val="20"/>
          <w:szCs w:val="20"/>
          <w:color w:val="auto"/>
        </w:rPr>
      </w:pPr>
    </w:p>
    <w:p>
      <w:pPr>
        <w:ind w:right="520" w:firstLine="509"/>
        <w:spacing w:after="0" w:line="235" w:lineRule="auto"/>
        <w:rPr>
          <w:sz w:val="20"/>
          <w:szCs w:val="20"/>
          <w:color w:val="auto"/>
        </w:rPr>
      </w:pPr>
      <w:r>
        <w:rPr>
          <w:rFonts w:ascii="Calibri" w:cs="Calibri" w:eastAsia="Calibri" w:hAnsi="Calibri"/>
          <w:sz w:val="18"/>
          <w:szCs w:val="18"/>
          <w:color w:val="auto"/>
        </w:rPr>
        <w:t>Catalent fled its response, which included a moton to dismiss the fraud claim alleged in the suit, on December 18, 2024. We fled an amended complaint in reply to Catalent’s response on February 3, 2025.</w:t>
      </w:r>
    </w:p>
    <w:p>
      <w:pPr>
        <w:spacing w:after="0" w:line="83" w:lineRule="exact"/>
        <w:rPr>
          <w:sz w:val="20"/>
          <w:szCs w:val="20"/>
          <w:color w:val="auto"/>
        </w:rPr>
      </w:pPr>
    </w:p>
    <w:p>
      <w:pPr>
        <w:ind w:right="20" w:firstLine="509"/>
        <w:spacing w:after="0" w:line="251" w:lineRule="auto"/>
        <w:rPr>
          <w:sz w:val="20"/>
          <w:szCs w:val="20"/>
          <w:color w:val="auto"/>
        </w:rPr>
      </w:pPr>
      <w:r>
        <w:rPr>
          <w:rFonts w:ascii="Calibri" w:cs="Calibri" w:eastAsia="Calibri" w:hAnsi="Calibri"/>
          <w:sz w:val="17"/>
          <w:szCs w:val="17"/>
          <w:color w:val="auto"/>
        </w:rPr>
        <w:t>Except as disclosed above, we are not currently a party to any other material legal proceedings. We may, however, in the ordinary course of business face various claims brought by third partes or government regulators and, from tme to tme, make claims or take legal actons to assert our rights, including claims relatng to our directors, ofcers, stockholders, intellectual property rights, employment maters and the safety or efcacy of our products. Any of these claims could subject us to costly litgaton and, while we generally believe that we have adequate insurance to cover many diferent types of liabilites, our insurance carriers may deny coverage, may be inadequately capitalized to pay on valid claims, or our policy limits may be inadequate to fully satsfy any damage awards or setlements. If this were to happen, the payment of any such awards could have a material adverse efect on our consolidated operatons, cash fows and fnancial positon. Additonally, any such claims, whether or not successful, could damage our reputaton and business.</w:t>
      </w:r>
    </w:p>
    <w:p>
      <w:pPr>
        <w:spacing w:after="0" w:line="3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4. </w:t>
      </w:r>
      <w:r>
        <w:rPr>
          <w:rFonts w:ascii="Calibri" w:cs="Calibri" w:eastAsia="Calibri" w:hAnsi="Calibri"/>
          <w:sz w:val="18"/>
          <w:szCs w:val="18"/>
          <w:b w:val="1"/>
          <w:bCs w:val="1"/>
          <w:i w:val="1"/>
          <w:iCs w:val="1"/>
          <w:color w:val="auto"/>
        </w:rPr>
        <w:t>Mine Safety Disclosures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Not applicable.</w:t>
      </w:r>
    </w:p>
    <w:p>
      <w:pPr>
        <w:jc w:val="center"/>
        <w:ind w:right="-19"/>
        <w:spacing w:after="0" w:line="235" w:lineRule="auto"/>
        <w:rPr>
          <w:sz w:val="20"/>
          <w:szCs w:val="20"/>
          <w:color w:val="auto"/>
        </w:rPr>
      </w:pPr>
      <w:r>
        <w:rPr>
          <w:rFonts w:ascii="Calibri" w:cs="Calibri" w:eastAsia="Calibri" w:hAnsi="Calibri"/>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8" w:name="page69"/>
    <w:bookmarkEnd w:id="68"/>
    <w:p>
      <w:pPr>
        <w:jc w:val="center"/>
        <w:spacing w:after="0"/>
        <w:rPr>
          <w:sz w:val="20"/>
          <w:szCs w:val="20"/>
          <w:color w:val="auto"/>
        </w:rPr>
      </w:pPr>
      <w:r>
        <w:rPr>
          <w:rFonts w:ascii="Calibri" w:cs="Calibri" w:eastAsia="Calibri" w:hAnsi="Calibri"/>
          <w:sz w:val="18"/>
          <w:szCs w:val="18"/>
          <w:b w:val="1"/>
          <w:bCs w:val="1"/>
          <w:color w:val="auto"/>
        </w:rPr>
        <w:t>PART II</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5. </w:t>
      </w:r>
      <w:r>
        <w:rPr>
          <w:rFonts w:ascii="Calibri" w:cs="Calibri" w:eastAsia="Calibri" w:hAnsi="Calibri"/>
          <w:sz w:val="18"/>
          <w:szCs w:val="18"/>
          <w:b w:val="1"/>
          <w:bCs w:val="1"/>
          <w:i w:val="1"/>
          <w:iCs w:val="1"/>
          <w:color w:val="auto"/>
        </w:rPr>
        <w:t>Market for Registrant’s Common Equity, Related Stockholder Maters and Issuer Purchases of Equity Securites</w:t>
      </w:r>
    </w:p>
    <w:p>
      <w:pPr>
        <w:spacing w:after="0" w:line="82"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Our common stock has been traded on The Nasdaq Global Select Market since January 31, 2014 under the symbol “RARE”. As of February 13, 2025, we had eight holders of record of our common stock. Certain shares are held in “street” name and, accordingly, the number of benefcial owners of such shares is not known or included in the foregoing number.</w:t>
      </w:r>
    </w:p>
    <w:p>
      <w:pPr>
        <w:spacing w:after="0" w:line="295"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b w:val="1"/>
          <w:bCs w:val="1"/>
          <w:color w:val="auto"/>
        </w:rPr>
        <w:t>STOCK PRICE PERFORMANCE GRAPH</w:t>
      </w:r>
    </w:p>
    <w:p>
      <w:pPr>
        <w:spacing w:after="0" w:line="82" w:lineRule="exact"/>
        <w:rPr>
          <w:sz w:val="20"/>
          <w:szCs w:val="20"/>
          <w:color w:val="auto"/>
        </w:rPr>
      </w:pPr>
    </w:p>
    <w:p>
      <w:pPr>
        <w:ind w:right="40" w:firstLine="509"/>
        <w:spacing w:after="0" w:line="251" w:lineRule="auto"/>
        <w:rPr>
          <w:sz w:val="20"/>
          <w:szCs w:val="20"/>
          <w:color w:val="auto"/>
        </w:rPr>
      </w:pPr>
      <w:r>
        <w:rPr>
          <w:rFonts w:ascii="Calibri" w:cs="Calibri" w:eastAsia="Calibri" w:hAnsi="Calibri"/>
          <w:sz w:val="17"/>
          <w:szCs w:val="17"/>
          <w:color w:val="auto"/>
        </w:rPr>
        <w:t>The following stock performance graph compares our total stock return with the total return for (i) the Nasdaq Composite Index and (ii) the Nasdaq Biotechnology Index for the period from December 31, 2019 through December 31, 2024. The fgures represented below assume an investment of $100 in our common stock at the closing price of $42.71 on December 31, 2019 and in the Nasdaq Composite Index, or IXIC, and the Nasdaq Biotechnology Index, or NBI, on December 31, 2019 and the reinvestment of dividends into shares of common stock. The comparisons in the table are required by the SEC and are not intended to forecast or be indicatve of the possible future performance of our common stock. This graph shall not be deemed “solicitng material” or be deemed “fled” for purposes of Secton 18 of the Securites Exchange Act of 1934, as amended, or the Exchange Act, or otherwise subject to the liabilites under that secton, and shall not be deemed to be incorporated by reference into any of our flings under the Securites Act of 1933, as amended, or the Securites Act, whether made before or afer the date hereof and irrespectve of any general incorporaton language in any such fling.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77470</wp:posOffset>
            </wp:positionV>
            <wp:extent cx="5648960" cy="24771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48960"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1680" w:type="dxa"/>
            <w:vAlign w:val="bottom"/>
          </w:tcPr>
          <w:p>
            <w:pPr>
              <w:spacing w:after="0"/>
              <w:rPr>
                <w:sz w:val="20"/>
                <w:szCs w:val="20"/>
                <w:color w:val="auto"/>
              </w:rPr>
            </w:pPr>
            <w:r>
              <w:rPr>
                <w:rFonts w:ascii="Calibri" w:cs="Calibri" w:eastAsia="Calibri" w:hAnsi="Calibri"/>
                <w:sz w:val="14"/>
                <w:szCs w:val="14"/>
                <w:b w:val="1"/>
                <w:bCs w:val="1"/>
                <w:color w:val="auto"/>
              </w:rPr>
              <w:t>$100 Investment in Stock</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alibri" w:cs="Calibri" w:eastAsia="Calibri" w:hAnsi="Calibri"/>
                <w:sz w:val="14"/>
                <w:szCs w:val="14"/>
                <w:b w:val="1"/>
                <w:bCs w:val="1"/>
                <w:color w:val="auto"/>
              </w:rPr>
              <w:t>December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alibri" w:cs="Calibri" w:eastAsia="Calibri" w:hAnsi="Calibri"/>
                <w:sz w:val="14"/>
                <w:szCs w:val="14"/>
                <w:b w:val="1"/>
                <w:bCs w:val="1"/>
                <w:color w:val="auto"/>
              </w:rPr>
              <w:t>December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alibri" w:cs="Calibri" w:eastAsia="Calibri" w:hAnsi="Calibri"/>
                <w:sz w:val="14"/>
                <w:szCs w:val="14"/>
                <w:b w:val="1"/>
                <w:bCs w:val="1"/>
                <w:color w:val="auto"/>
              </w:rPr>
              <w:t>December</w:t>
            </w:r>
          </w:p>
        </w:tc>
        <w:tc>
          <w:tcPr>
            <w:tcW w:w="80" w:type="dxa"/>
            <w:vAlign w:val="bottom"/>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Calibri" w:cs="Calibri" w:eastAsia="Calibri" w:hAnsi="Calibri"/>
                <w:sz w:val="14"/>
                <w:szCs w:val="14"/>
                <w:b w:val="1"/>
                <w:bCs w:val="1"/>
                <w:color w:val="auto"/>
              </w:rPr>
              <w:t>December 31,</w:t>
            </w:r>
          </w:p>
        </w:tc>
        <w:tc>
          <w:tcPr>
            <w:tcW w:w="16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December 31,</w:t>
            </w:r>
          </w:p>
        </w:tc>
        <w:tc>
          <w:tcPr>
            <w:tcW w:w="16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Calibri" w:cs="Calibri" w:eastAsia="Calibri" w:hAnsi="Calibri"/>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1680" w:type="dxa"/>
            <w:vAlign w:val="bottom"/>
            <w:tcBorders>
              <w:bottom w:val="single" w:sz="8" w:color="auto"/>
            </w:tcBorders>
          </w:tcPr>
          <w:p>
            <w:pPr>
              <w:spacing w:after="0"/>
              <w:rPr>
                <w:sz w:val="20"/>
                <w:szCs w:val="20"/>
                <w:color w:val="auto"/>
              </w:rPr>
            </w:pPr>
            <w:r>
              <w:rPr>
                <w:rFonts w:ascii="Calibri" w:cs="Calibri" w:eastAsia="Calibri" w:hAnsi="Calibri"/>
                <w:sz w:val="14"/>
                <w:szCs w:val="14"/>
                <w:b w:val="1"/>
                <w:bCs w:val="1"/>
                <w:color w:val="auto"/>
              </w:rPr>
              <w:t>or Index</w:t>
            </w:r>
          </w:p>
        </w:tc>
        <w:tc>
          <w:tcPr>
            <w:tcW w:w="8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Ticker</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8"/>
              <w:spacing w:after="0"/>
              <w:rPr>
                <w:sz w:val="20"/>
                <w:szCs w:val="20"/>
                <w:color w:val="auto"/>
              </w:rPr>
            </w:pPr>
            <w:r>
              <w:rPr>
                <w:rFonts w:ascii="Calibri" w:cs="Calibri" w:eastAsia="Calibri" w:hAnsi="Calibri"/>
                <w:sz w:val="14"/>
                <w:szCs w:val="14"/>
                <w:b w:val="1"/>
                <w:bCs w:val="1"/>
                <w:color w:val="auto"/>
              </w:rPr>
              <w:t>31, 2019</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8"/>
              <w:spacing w:after="0"/>
              <w:rPr>
                <w:sz w:val="20"/>
                <w:szCs w:val="20"/>
                <w:color w:val="auto"/>
              </w:rPr>
            </w:pPr>
            <w:r>
              <w:rPr>
                <w:rFonts w:ascii="Calibri" w:cs="Calibri" w:eastAsia="Calibri" w:hAnsi="Calibri"/>
                <w:sz w:val="14"/>
                <w:szCs w:val="14"/>
                <w:b w:val="1"/>
                <w:bCs w:val="1"/>
                <w:color w:val="auto"/>
              </w:rPr>
              <w:t>31, 2020</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8"/>
              <w:spacing w:after="0"/>
              <w:rPr>
                <w:sz w:val="20"/>
                <w:szCs w:val="20"/>
                <w:color w:val="auto"/>
              </w:rPr>
            </w:pPr>
            <w:r>
              <w:rPr>
                <w:rFonts w:ascii="Calibri" w:cs="Calibri" w:eastAsia="Calibri" w:hAnsi="Calibri"/>
                <w:sz w:val="14"/>
                <w:szCs w:val="14"/>
                <w:b w:val="1"/>
                <w:bCs w:val="1"/>
                <w:color w:val="auto"/>
              </w:rPr>
              <w:t>31, 2021</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Calibri" w:cs="Calibri" w:eastAsia="Calibri" w:hAnsi="Calibri"/>
                <w:sz w:val="14"/>
                <w:szCs w:val="14"/>
                <w:b w:val="1"/>
                <w:bCs w:val="1"/>
                <w:color w:val="auto"/>
              </w:rPr>
              <w:t>2022</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Calibri" w:cs="Calibri" w:eastAsia="Calibri" w:hAnsi="Calibri"/>
                <w:sz w:val="14"/>
                <w:szCs w:val="14"/>
                <w:b w:val="1"/>
                <w:bCs w:val="1"/>
                <w:color w:val="auto"/>
              </w:rPr>
              <w:t>2023</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Calibri" w:cs="Calibri" w:eastAsia="Calibri" w:hAnsi="Calibri"/>
                <w:sz w:val="14"/>
                <w:szCs w:val="14"/>
                <w:b w:val="1"/>
                <w:bCs w:val="1"/>
                <w:color w:val="auto"/>
              </w:rPr>
              <w:t>2024</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1680" w:type="dxa"/>
            <w:vAlign w:val="bottom"/>
            <w:shd w:val="clear" w:color="auto" w:fill="CCECFF"/>
          </w:tcPr>
          <w:p>
            <w:pPr>
              <w:ind w:left="80"/>
              <w:spacing w:after="0" w:line="161" w:lineRule="exact"/>
              <w:rPr>
                <w:sz w:val="20"/>
                <w:szCs w:val="20"/>
                <w:color w:val="auto"/>
              </w:rPr>
            </w:pPr>
            <w:r>
              <w:rPr>
                <w:rFonts w:ascii="Calibri" w:cs="Calibri" w:eastAsia="Calibri" w:hAnsi="Calibri"/>
                <w:sz w:val="14"/>
                <w:szCs w:val="14"/>
                <w:color w:val="auto"/>
              </w:rPr>
              <w:t>Ultragenyx</w:t>
            </w:r>
          </w:p>
        </w:tc>
        <w:tc>
          <w:tcPr>
            <w:tcW w:w="80" w:type="dxa"/>
            <w:vAlign w:val="bottom"/>
            <w:shd w:val="clear" w:color="auto" w:fill="CCECFF"/>
          </w:tcPr>
          <w:p>
            <w:pPr>
              <w:spacing w:after="0"/>
              <w:rPr>
                <w:sz w:val="14"/>
                <w:szCs w:val="14"/>
                <w:color w:val="auto"/>
              </w:rPr>
            </w:pPr>
          </w:p>
        </w:tc>
        <w:tc>
          <w:tcPr>
            <w:tcW w:w="840" w:type="dxa"/>
            <w:vAlign w:val="bottom"/>
            <w:vMerge w:val="restart"/>
            <w:shd w:val="clear" w:color="auto" w:fill="CCECFF"/>
          </w:tcPr>
          <w:p>
            <w:pPr>
              <w:jc w:val="center"/>
              <w:spacing w:after="0"/>
              <w:rPr>
                <w:sz w:val="20"/>
                <w:szCs w:val="20"/>
                <w:color w:val="auto"/>
              </w:rPr>
            </w:pPr>
            <w:r>
              <w:rPr>
                <w:rFonts w:ascii="Calibri" w:cs="Calibri" w:eastAsia="Calibri" w:hAnsi="Calibri"/>
                <w:sz w:val="14"/>
                <w:szCs w:val="14"/>
                <w:color w:val="auto"/>
              </w:rPr>
              <w:t>RARE</w:t>
            </w:r>
          </w:p>
        </w:tc>
        <w:tc>
          <w:tcPr>
            <w:tcW w:w="180" w:type="dxa"/>
            <w:vAlign w:val="bottom"/>
            <w:gridSpan w:val="2"/>
            <w:vMerge w:val="restart"/>
            <w:shd w:val="clear" w:color="auto" w:fill="CCECFF"/>
          </w:tcPr>
          <w:p>
            <w:pPr>
              <w:jc w:val="right"/>
              <w:ind w:right="20"/>
              <w:spacing w:after="0"/>
              <w:rPr>
                <w:sz w:val="20"/>
                <w:szCs w:val="20"/>
                <w:color w:val="auto"/>
              </w:rPr>
            </w:pPr>
            <w:r>
              <w:rPr>
                <w:rFonts w:ascii="Calibri" w:cs="Calibri" w:eastAsia="Calibri" w:hAnsi="Calibri"/>
                <w:sz w:val="14"/>
                <w:szCs w:val="14"/>
                <w:color w:val="auto"/>
              </w:rPr>
              <w:t>$</w:t>
            </w:r>
          </w:p>
        </w:tc>
        <w:tc>
          <w:tcPr>
            <w:tcW w:w="780" w:type="dxa"/>
            <w:vAlign w:val="bottom"/>
            <w:vMerge w:val="restart"/>
            <w:shd w:val="clear" w:color="auto" w:fill="CCECFF"/>
          </w:tcPr>
          <w:p>
            <w:pPr>
              <w:jc w:val="right"/>
              <w:spacing w:after="0"/>
              <w:rPr>
                <w:sz w:val="20"/>
                <w:szCs w:val="20"/>
                <w:color w:val="auto"/>
              </w:rPr>
            </w:pPr>
            <w:r>
              <w:rPr>
                <w:rFonts w:ascii="Calibri" w:cs="Calibri" w:eastAsia="Calibri" w:hAnsi="Calibri"/>
                <w:sz w:val="14"/>
                <w:szCs w:val="14"/>
                <w:color w:val="auto"/>
              </w:rPr>
              <w:t>100.00</w:t>
            </w:r>
          </w:p>
        </w:tc>
        <w:tc>
          <w:tcPr>
            <w:tcW w:w="260" w:type="dxa"/>
            <w:vAlign w:val="bottom"/>
            <w:gridSpan w:val="2"/>
            <w:vMerge w:val="restart"/>
            <w:shd w:val="clear" w:color="auto" w:fill="CCECFF"/>
          </w:tcPr>
          <w:p>
            <w:pPr>
              <w:jc w:val="right"/>
              <w:ind w:right="20"/>
              <w:spacing w:after="0"/>
              <w:rPr>
                <w:sz w:val="20"/>
                <w:szCs w:val="20"/>
                <w:color w:val="auto"/>
              </w:rPr>
            </w:pPr>
            <w:r>
              <w:rPr>
                <w:rFonts w:ascii="Calibri" w:cs="Calibri" w:eastAsia="Calibri" w:hAnsi="Calibri"/>
                <w:sz w:val="14"/>
                <w:szCs w:val="14"/>
                <w:color w:val="auto"/>
              </w:rPr>
              <w:t>$</w:t>
            </w:r>
          </w:p>
        </w:tc>
        <w:tc>
          <w:tcPr>
            <w:tcW w:w="780" w:type="dxa"/>
            <w:vAlign w:val="bottom"/>
            <w:vMerge w:val="restart"/>
            <w:shd w:val="clear" w:color="auto" w:fill="CCECFF"/>
          </w:tcPr>
          <w:p>
            <w:pPr>
              <w:jc w:val="right"/>
              <w:spacing w:after="0"/>
              <w:rPr>
                <w:sz w:val="20"/>
                <w:szCs w:val="20"/>
                <w:color w:val="auto"/>
              </w:rPr>
            </w:pPr>
            <w:r>
              <w:rPr>
                <w:rFonts w:ascii="Calibri" w:cs="Calibri" w:eastAsia="Calibri" w:hAnsi="Calibri"/>
                <w:sz w:val="14"/>
                <w:szCs w:val="14"/>
                <w:color w:val="auto"/>
              </w:rPr>
              <w:t>324.12</w:t>
            </w:r>
          </w:p>
        </w:tc>
        <w:tc>
          <w:tcPr>
            <w:tcW w:w="260" w:type="dxa"/>
            <w:vAlign w:val="bottom"/>
            <w:gridSpan w:val="2"/>
            <w:vMerge w:val="restart"/>
            <w:shd w:val="clear" w:color="auto" w:fill="CCECFF"/>
          </w:tcPr>
          <w:p>
            <w:pPr>
              <w:jc w:val="right"/>
              <w:ind w:right="20"/>
              <w:spacing w:after="0"/>
              <w:rPr>
                <w:sz w:val="20"/>
                <w:szCs w:val="20"/>
                <w:color w:val="auto"/>
              </w:rPr>
            </w:pPr>
            <w:r>
              <w:rPr>
                <w:rFonts w:ascii="Calibri" w:cs="Calibri" w:eastAsia="Calibri" w:hAnsi="Calibri"/>
                <w:sz w:val="14"/>
                <w:szCs w:val="14"/>
                <w:color w:val="auto"/>
              </w:rPr>
              <w:t>$</w:t>
            </w:r>
          </w:p>
        </w:tc>
        <w:tc>
          <w:tcPr>
            <w:tcW w:w="780" w:type="dxa"/>
            <w:vAlign w:val="bottom"/>
            <w:vMerge w:val="restart"/>
            <w:shd w:val="clear" w:color="auto" w:fill="CCECFF"/>
          </w:tcPr>
          <w:p>
            <w:pPr>
              <w:jc w:val="right"/>
              <w:spacing w:after="0"/>
              <w:rPr>
                <w:sz w:val="20"/>
                <w:szCs w:val="20"/>
                <w:color w:val="auto"/>
              </w:rPr>
            </w:pPr>
            <w:r>
              <w:rPr>
                <w:rFonts w:ascii="Calibri" w:cs="Calibri" w:eastAsia="Calibri" w:hAnsi="Calibri"/>
                <w:sz w:val="14"/>
                <w:szCs w:val="14"/>
                <w:color w:val="auto"/>
              </w:rPr>
              <w:t>196.89</w:t>
            </w:r>
          </w:p>
        </w:tc>
        <w:tc>
          <w:tcPr>
            <w:tcW w:w="340" w:type="dxa"/>
            <w:vAlign w:val="bottom"/>
            <w:gridSpan w:val="2"/>
            <w:vMerge w:val="restart"/>
            <w:shd w:val="clear" w:color="auto" w:fill="CCECFF"/>
          </w:tcPr>
          <w:p>
            <w:pPr>
              <w:ind w:left="180"/>
              <w:spacing w:after="0"/>
              <w:rPr>
                <w:sz w:val="20"/>
                <w:szCs w:val="20"/>
                <w:color w:val="auto"/>
              </w:rPr>
            </w:pPr>
            <w:r>
              <w:rPr>
                <w:rFonts w:ascii="Calibri" w:cs="Calibri" w:eastAsia="Calibri" w:hAnsi="Calibri"/>
                <w:sz w:val="14"/>
                <w:szCs w:val="14"/>
                <w:color w:val="auto"/>
              </w:rPr>
              <w:t>$</w:t>
            </w:r>
          </w:p>
        </w:tc>
        <w:tc>
          <w:tcPr>
            <w:tcW w:w="700" w:type="dxa"/>
            <w:vAlign w:val="bottom"/>
            <w:vMerge w:val="restart"/>
            <w:shd w:val="clear" w:color="auto" w:fill="CCECFF"/>
          </w:tcPr>
          <w:p>
            <w:pPr>
              <w:jc w:val="right"/>
              <w:spacing w:after="0"/>
              <w:rPr>
                <w:sz w:val="20"/>
                <w:szCs w:val="20"/>
                <w:color w:val="auto"/>
              </w:rPr>
            </w:pPr>
            <w:r>
              <w:rPr>
                <w:rFonts w:ascii="Calibri" w:cs="Calibri" w:eastAsia="Calibri" w:hAnsi="Calibri"/>
                <w:sz w:val="14"/>
                <w:szCs w:val="14"/>
                <w:color w:val="auto"/>
              </w:rPr>
              <w:t>108.48</w:t>
            </w:r>
          </w:p>
        </w:tc>
        <w:tc>
          <w:tcPr>
            <w:tcW w:w="340" w:type="dxa"/>
            <w:vAlign w:val="bottom"/>
            <w:gridSpan w:val="2"/>
            <w:vMerge w:val="restart"/>
            <w:shd w:val="clear" w:color="auto" w:fill="CCECFF"/>
          </w:tcPr>
          <w:p>
            <w:pPr>
              <w:ind w:left="180"/>
              <w:spacing w:after="0"/>
              <w:rPr>
                <w:sz w:val="20"/>
                <w:szCs w:val="20"/>
                <w:color w:val="auto"/>
              </w:rPr>
            </w:pPr>
            <w:r>
              <w:rPr>
                <w:rFonts w:ascii="Calibri" w:cs="Calibri" w:eastAsia="Calibri" w:hAnsi="Calibri"/>
                <w:sz w:val="14"/>
                <w:szCs w:val="14"/>
                <w:color w:val="auto"/>
              </w:rPr>
              <w:t>$</w:t>
            </w:r>
          </w:p>
        </w:tc>
        <w:tc>
          <w:tcPr>
            <w:tcW w:w="700" w:type="dxa"/>
            <w:vAlign w:val="bottom"/>
            <w:vMerge w:val="restart"/>
            <w:shd w:val="clear" w:color="auto" w:fill="CCECFF"/>
          </w:tcPr>
          <w:p>
            <w:pPr>
              <w:jc w:val="right"/>
              <w:spacing w:after="0"/>
              <w:rPr>
                <w:sz w:val="20"/>
                <w:szCs w:val="20"/>
                <w:color w:val="auto"/>
              </w:rPr>
            </w:pPr>
            <w:r>
              <w:rPr>
                <w:rFonts w:ascii="Calibri" w:cs="Calibri" w:eastAsia="Calibri" w:hAnsi="Calibri"/>
                <w:sz w:val="14"/>
                <w:szCs w:val="14"/>
                <w:color w:val="auto"/>
              </w:rPr>
              <w:t>111.96</w:t>
            </w:r>
          </w:p>
        </w:tc>
        <w:tc>
          <w:tcPr>
            <w:tcW w:w="340" w:type="dxa"/>
            <w:vAlign w:val="bottom"/>
            <w:gridSpan w:val="2"/>
            <w:vMerge w:val="restart"/>
            <w:shd w:val="clear" w:color="auto" w:fill="CCECFF"/>
          </w:tcPr>
          <w:p>
            <w:pPr>
              <w:ind w:left="180"/>
              <w:spacing w:after="0"/>
              <w:rPr>
                <w:sz w:val="20"/>
                <w:szCs w:val="20"/>
                <w:color w:val="auto"/>
              </w:rPr>
            </w:pPr>
            <w:r>
              <w:rPr>
                <w:rFonts w:ascii="Calibri" w:cs="Calibri" w:eastAsia="Calibri" w:hAnsi="Calibri"/>
                <w:sz w:val="14"/>
                <w:szCs w:val="14"/>
                <w:color w:val="auto"/>
              </w:rPr>
              <w:t>$</w:t>
            </w:r>
          </w:p>
        </w:tc>
        <w:tc>
          <w:tcPr>
            <w:tcW w:w="700" w:type="dxa"/>
            <w:vAlign w:val="bottom"/>
            <w:vMerge w:val="restart"/>
            <w:shd w:val="clear" w:color="auto" w:fill="CCECFF"/>
          </w:tcPr>
          <w:p>
            <w:pPr>
              <w:jc w:val="right"/>
              <w:spacing w:after="0"/>
              <w:rPr>
                <w:sz w:val="20"/>
                <w:szCs w:val="20"/>
                <w:color w:val="auto"/>
              </w:rPr>
            </w:pPr>
            <w:r>
              <w:rPr>
                <w:rFonts w:ascii="Calibri" w:cs="Calibri" w:eastAsia="Calibri" w:hAnsi="Calibri"/>
                <w:sz w:val="14"/>
                <w:szCs w:val="14"/>
                <w:color w:val="auto"/>
              </w:rPr>
              <w:t>98.50</w:t>
            </w:r>
          </w:p>
        </w:tc>
        <w:tc>
          <w:tcPr>
            <w:tcW w:w="2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1680" w:type="dxa"/>
            <w:vAlign w:val="bottom"/>
            <w:vMerge w:val="restart"/>
            <w:shd w:val="clear" w:color="auto" w:fill="CCECFF"/>
          </w:tcPr>
          <w:p>
            <w:pPr>
              <w:ind w:left="80"/>
              <w:spacing w:after="0"/>
              <w:rPr>
                <w:sz w:val="20"/>
                <w:szCs w:val="20"/>
                <w:color w:val="auto"/>
              </w:rPr>
            </w:pPr>
            <w:r>
              <w:rPr>
                <w:rFonts w:ascii="Calibri" w:cs="Calibri" w:eastAsia="Calibri" w:hAnsi="Calibri"/>
                <w:sz w:val="14"/>
                <w:szCs w:val="14"/>
                <w:color w:val="auto"/>
              </w:rPr>
              <w:t>Pharmaceutcal Inc.</w:t>
            </w:r>
          </w:p>
        </w:tc>
        <w:tc>
          <w:tcPr>
            <w:tcW w:w="80" w:type="dxa"/>
            <w:vAlign w:val="bottom"/>
            <w:shd w:val="clear" w:color="auto" w:fill="CCECFF"/>
          </w:tcPr>
          <w:p>
            <w:pPr>
              <w:spacing w:after="0"/>
              <w:rPr>
                <w:sz w:val="6"/>
                <w:szCs w:val="6"/>
                <w:color w:val="auto"/>
              </w:rPr>
            </w:pPr>
          </w:p>
        </w:tc>
        <w:tc>
          <w:tcPr>
            <w:tcW w:w="840" w:type="dxa"/>
            <w:vAlign w:val="bottom"/>
            <w:vMerge w:val="continue"/>
            <w:shd w:val="clear" w:color="auto" w:fill="CCECFF"/>
          </w:tcPr>
          <w:p>
            <w:pPr>
              <w:spacing w:after="0"/>
              <w:rPr>
                <w:sz w:val="6"/>
                <w:szCs w:val="6"/>
                <w:color w:val="auto"/>
              </w:rPr>
            </w:pPr>
          </w:p>
        </w:tc>
        <w:tc>
          <w:tcPr>
            <w:tcW w:w="180" w:type="dxa"/>
            <w:vAlign w:val="bottom"/>
            <w:gridSpan w:val="2"/>
            <w:vMerge w:val="continue"/>
            <w:shd w:val="clear" w:color="auto" w:fill="CCECFF"/>
          </w:tcPr>
          <w:p>
            <w:pPr>
              <w:spacing w:after="0"/>
              <w:rPr>
                <w:sz w:val="6"/>
                <w:szCs w:val="6"/>
                <w:color w:val="auto"/>
              </w:rPr>
            </w:pPr>
          </w:p>
        </w:tc>
        <w:tc>
          <w:tcPr>
            <w:tcW w:w="780" w:type="dxa"/>
            <w:vAlign w:val="bottom"/>
            <w:vMerge w:val="continue"/>
            <w:shd w:val="clear" w:color="auto" w:fill="CCECFF"/>
          </w:tcPr>
          <w:p>
            <w:pPr>
              <w:spacing w:after="0"/>
              <w:rPr>
                <w:sz w:val="6"/>
                <w:szCs w:val="6"/>
                <w:color w:val="auto"/>
              </w:rPr>
            </w:pPr>
          </w:p>
        </w:tc>
        <w:tc>
          <w:tcPr>
            <w:tcW w:w="260" w:type="dxa"/>
            <w:vAlign w:val="bottom"/>
            <w:gridSpan w:val="2"/>
            <w:vMerge w:val="continue"/>
            <w:shd w:val="clear" w:color="auto" w:fill="CCECFF"/>
          </w:tcPr>
          <w:p>
            <w:pPr>
              <w:spacing w:after="0"/>
              <w:rPr>
                <w:sz w:val="6"/>
                <w:szCs w:val="6"/>
                <w:color w:val="auto"/>
              </w:rPr>
            </w:pPr>
          </w:p>
        </w:tc>
        <w:tc>
          <w:tcPr>
            <w:tcW w:w="780" w:type="dxa"/>
            <w:vAlign w:val="bottom"/>
            <w:vMerge w:val="continue"/>
            <w:shd w:val="clear" w:color="auto" w:fill="CCECFF"/>
          </w:tcPr>
          <w:p>
            <w:pPr>
              <w:spacing w:after="0"/>
              <w:rPr>
                <w:sz w:val="6"/>
                <w:szCs w:val="6"/>
                <w:color w:val="auto"/>
              </w:rPr>
            </w:pPr>
          </w:p>
        </w:tc>
        <w:tc>
          <w:tcPr>
            <w:tcW w:w="260" w:type="dxa"/>
            <w:vAlign w:val="bottom"/>
            <w:gridSpan w:val="2"/>
            <w:vMerge w:val="continue"/>
            <w:shd w:val="clear" w:color="auto" w:fill="CCECFF"/>
          </w:tcPr>
          <w:p>
            <w:pPr>
              <w:spacing w:after="0"/>
              <w:rPr>
                <w:sz w:val="6"/>
                <w:szCs w:val="6"/>
                <w:color w:val="auto"/>
              </w:rPr>
            </w:pPr>
          </w:p>
        </w:tc>
        <w:tc>
          <w:tcPr>
            <w:tcW w:w="780" w:type="dxa"/>
            <w:vAlign w:val="bottom"/>
            <w:vMerge w:val="continue"/>
            <w:shd w:val="clear" w:color="auto" w:fill="CCECFF"/>
          </w:tcPr>
          <w:p>
            <w:pPr>
              <w:spacing w:after="0"/>
              <w:rPr>
                <w:sz w:val="6"/>
                <w:szCs w:val="6"/>
                <w:color w:val="auto"/>
              </w:rPr>
            </w:pPr>
          </w:p>
        </w:tc>
        <w:tc>
          <w:tcPr>
            <w:tcW w:w="340" w:type="dxa"/>
            <w:vAlign w:val="bottom"/>
            <w:gridSpan w:val="2"/>
            <w:vMerge w:val="continue"/>
            <w:shd w:val="clear" w:color="auto" w:fill="CCECFF"/>
          </w:tcPr>
          <w:p>
            <w:pPr>
              <w:spacing w:after="0"/>
              <w:rPr>
                <w:sz w:val="6"/>
                <w:szCs w:val="6"/>
                <w:color w:val="auto"/>
              </w:rPr>
            </w:pPr>
          </w:p>
        </w:tc>
        <w:tc>
          <w:tcPr>
            <w:tcW w:w="700" w:type="dxa"/>
            <w:vAlign w:val="bottom"/>
            <w:vMerge w:val="continue"/>
            <w:shd w:val="clear" w:color="auto" w:fill="CCECFF"/>
          </w:tcPr>
          <w:p>
            <w:pPr>
              <w:spacing w:after="0"/>
              <w:rPr>
                <w:sz w:val="6"/>
                <w:szCs w:val="6"/>
                <w:color w:val="auto"/>
              </w:rPr>
            </w:pPr>
          </w:p>
        </w:tc>
        <w:tc>
          <w:tcPr>
            <w:tcW w:w="340" w:type="dxa"/>
            <w:vAlign w:val="bottom"/>
            <w:gridSpan w:val="2"/>
            <w:vMerge w:val="continue"/>
            <w:shd w:val="clear" w:color="auto" w:fill="CCECFF"/>
          </w:tcPr>
          <w:p>
            <w:pPr>
              <w:spacing w:after="0"/>
              <w:rPr>
                <w:sz w:val="6"/>
                <w:szCs w:val="6"/>
                <w:color w:val="auto"/>
              </w:rPr>
            </w:pPr>
          </w:p>
        </w:tc>
        <w:tc>
          <w:tcPr>
            <w:tcW w:w="700" w:type="dxa"/>
            <w:vAlign w:val="bottom"/>
            <w:vMerge w:val="continue"/>
            <w:shd w:val="clear" w:color="auto" w:fill="CCECFF"/>
          </w:tcPr>
          <w:p>
            <w:pPr>
              <w:spacing w:after="0"/>
              <w:rPr>
                <w:sz w:val="6"/>
                <w:szCs w:val="6"/>
                <w:color w:val="auto"/>
              </w:rPr>
            </w:pPr>
          </w:p>
        </w:tc>
        <w:tc>
          <w:tcPr>
            <w:tcW w:w="340" w:type="dxa"/>
            <w:vAlign w:val="bottom"/>
            <w:gridSpan w:val="2"/>
            <w:vMerge w:val="continue"/>
            <w:shd w:val="clear" w:color="auto" w:fill="CCECFF"/>
          </w:tcPr>
          <w:p>
            <w:pPr>
              <w:spacing w:after="0"/>
              <w:rPr>
                <w:sz w:val="6"/>
                <w:szCs w:val="6"/>
                <w:color w:val="auto"/>
              </w:rPr>
            </w:pPr>
          </w:p>
        </w:tc>
        <w:tc>
          <w:tcPr>
            <w:tcW w:w="700" w:type="dxa"/>
            <w:vAlign w:val="bottom"/>
            <w:vMerge w:val="continue"/>
            <w:shd w:val="clear" w:color="auto" w:fill="CCECFF"/>
          </w:tcPr>
          <w:p>
            <w:pPr>
              <w:spacing w:after="0"/>
              <w:rPr>
                <w:sz w:val="6"/>
                <w:szCs w:val="6"/>
                <w:color w:val="auto"/>
              </w:rPr>
            </w:pPr>
          </w:p>
        </w:tc>
        <w:tc>
          <w:tcPr>
            <w:tcW w:w="220" w:type="dxa"/>
            <w:vAlign w:val="bottom"/>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1680" w:type="dxa"/>
            <w:vAlign w:val="bottom"/>
            <w:tcBorders>
              <w:bottom w:val="single" w:sz="8" w:color="CCECFF"/>
            </w:tcBorders>
            <w:vMerge w:val="continue"/>
            <w:shd w:val="clear" w:color="auto" w:fill="CCECFF"/>
          </w:tcPr>
          <w:p>
            <w:pPr>
              <w:spacing w:after="0"/>
              <w:rPr>
                <w:sz w:val="8"/>
                <w:szCs w:val="8"/>
                <w:color w:val="auto"/>
              </w:rPr>
            </w:pPr>
          </w:p>
        </w:tc>
        <w:tc>
          <w:tcPr>
            <w:tcW w:w="80" w:type="dxa"/>
            <w:vAlign w:val="bottom"/>
            <w:tcBorders>
              <w:bottom w:val="single" w:sz="8" w:color="CCECFF"/>
            </w:tcBorders>
            <w:shd w:val="clear" w:color="auto" w:fill="CCECFF"/>
          </w:tcPr>
          <w:p>
            <w:pPr>
              <w:spacing w:after="0"/>
              <w:rPr>
                <w:sz w:val="8"/>
                <w:szCs w:val="8"/>
                <w:color w:val="auto"/>
              </w:rPr>
            </w:pPr>
          </w:p>
        </w:tc>
        <w:tc>
          <w:tcPr>
            <w:tcW w:w="840" w:type="dxa"/>
            <w:vAlign w:val="bottom"/>
            <w:tcBorders>
              <w:bottom w:val="single" w:sz="8" w:color="CCECFF"/>
            </w:tcBorders>
            <w:shd w:val="clear" w:color="auto" w:fill="CCECFF"/>
          </w:tcPr>
          <w:p>
            <w:pPr>
              <w:spacing w:after="0"/>
              <w:rPr>
                <w:sz w:val="8"/>
                <w:szCs w:val="8"/>
                <w:color w:val="auto"/>
              </w:rPr>
            </w:pPr>
          </w:p>
        </w:tc>
        <w:tc>
          <w:tcPr>
            <w:tcW w:w="80" w:type="dxa"/>
            <w:vAlign w:val="bottom"/>
            <w:tcBorders>
              <w:bottom w:val="single" w:sz="8" w:color="CCECFF"/>
            </w:tcBorders>
            <w:shd w:val="clear" w:color="auto" w:fill="CCECFF"/>
          </w:tcPr>
          <w:p>
            <w:pPr>
              <w:spacing w:after="0"/>
              <w:rPr>
                <w:sz w:val="8"/>
                <w:szCs w:val="8"/>
                <w:color w:val="auto"/>
              </w:rPr>
            </w:pPr>
          </w:p>
        </w:tc>
        <w:tc>
          <w:tcPr>
            <w:tcW w:w="100" w:type="dxa"/>
            <w:vAlign w:val="bottom"/>
            <w:tcBorders>
              <w:bottom w:val="single" w:sz="8" w:color="CCECFF"/>
            </w:tcBorders>
            <w:shd w:val="clear" w:color="auto" w:fill="CCECFF"/>
          </w:tcPr>
          <w:p>
            <w:pPr>
              <w:spacing w:after="0"/>
              <w:rPr>
                <w:sz w:val="8"/>
                <w:szCs w:val="8"/>
                <w:color w:val="auto"/>
              </w:rPr>
            </w:pPr>
          </w:p>
        </w:tc>
        <w:tc>
          <w:tcPr>
            <w:tcW w:w="780" w:type="dxa"/>
            <w:vAlign w:val="bottom"/>
            <w:tcBorders>
              <w:bottom w:val="single" w:sz="8" w:color="CCECFF"/>
            </w:tcBorders>
            <w:shd w:val="clear" w:color="auto" w:fill="CCECFF"/>
          </w:tcPr>
          <w:p>
            <w:pPr>
              <w:spacing w:after="0"/>
              <w:rPr>
                <w:sz w:val="8"/>
                <w:szCs w:val="8"/>
                <w:color w:val="auto"/>
              </w:rPr>
            </w:pPr>
          </w:p>
        </w:tc>
        <w:tc>
          <w:tcPr>
            <w:tcW w:w="80" w:type="dxa"/>
            <w:vAlign w:val="bottom"/>
            <w:tcBorders>
              <w:bottom w:val="single" w:sz="8" w:color="CCECFF"/>
            </w:tcBorders>
            <w:shd w:val="clear" w:color="auto" w:fill="CCECFF"/>
          </w:tcPr>
          <w:p>
            <w:pPr>
              <w:spacing w:after="0"/>
              <w:rPr>
                <w:sz w:val="8"/>
                <w:szCs w:val="8"/>
                <w:color w:val="auto"/>
              </w:rPr>
            </w:pPr>
          </w:p>
        </w:tc>
        <w:tc>
          <w:tcPr>
            <w:tcW w:w="180" w:type="dxa"/>
            <w:vAlign w:val="bottom"/>
            <w:tcBorders>
              <w:bottom w:val="single" w:sz="8" w:color="CCECFF"/>
            </w:tcBorders>
            <w:shd w:val="clear" w:color="auto" w:fill="CCECFF"/>
          </w:tcPr>
          <w:p>
            <w:pPr>
              <w:spacing w:after="0"/>
              <w:rPr>
                <w:sz w:val="8"/>
                <w:szCs w:val="8"/>
                <w:color w:val="auto"/>
              </w:rPr>
            </w:pPr>
          </w:p>
        </w:tc>
        <w:tc>
          <w:tcPr>
            <w:tcW w:w="780" w:type="dxa"/>
            <w:vAlign w:val="bottom"/>
            <w:tcBorders>
              <w:bottom w:val="single" w:sz="8" w:color="CCECFF"/>
            </w:tcBorders>
            <w:shd w:val="clear" w:color="auto" w:fill="CCECFF"/>
          </w:tcPr>
          <w:p>
            <w:pPr>
              <w:spacing w:after="0"/>
              <w:rPr>
                <w:sz w:val="8"/>
                <w:szCs w:val="8"/>
                <w:color w:val="auto"/>
              </w:rPr>
            </w:pPr>
          </w:p>
        </w:tc>
        <w:tc>
          <w:tcPr>
            <w:tcW w:w="80" w:type="dxa"/>
            <w:vAlign w:val="bottom"/>
            <w:tcBorders>
              <w:bottom w:val="single" w:sz="8" w:color="CCECFF"/>
            </w:tcBorders>
            <w:shd w:val="clear" w:color="auto" w:fill="CCECFF"/>
          </w:tcPr>
          <w:p>
            <w:pPr>
              <w:spacing w:after="0"/>
              <w:rPr>
                <w:sz w:val="8"/>
                <w:szCs w:val="8"/>
                <w:color w:val="auto"/>
              </w:rPr>
            </w:pPr>
          </w:p>
        </w:tc>
        <w:tc>
          <w:tcPr>
            <w:tcW w:w="180" w:type="dxa"/>
            <w:vAlign w:val="bottom"/>
            <w:tcBorders>
              <w:bottom w:val="single" w:sz="8" w:color="CCECFF"/>
            </w:tcBorders>
            <w:shd w:val="clear" w:color="auto" w:fill="CCECFF"/>
          </w:tcPr>
          <w:p>
            <w:pPr>
              <w:spacing w:after="0"/>
              <w:rPr>
                <w:sz w:val="8"/>
                <w:szCs w:val="8"/>
                <w:color w:val="auto"/>
              </w:rPr>
            </w:pPr>
          </w:p>
        </w:tc>
        <w:tc>
          <w:tcPr>
            <w:tcW w:w="780" w:type="dxa"/>
            <w:vAlign w:val="bottom"/>
            <w:tcBorders>
              <w:bottom w:val="single" w:sz="8" w:color="CCECFF"/>
            </w:tcBorders>
            <w:shd w:val="clear" w:color="auto" w:fill="CCECFF"/>
          </w:tcPr>
          <w:p>
            <w:pPr>
              <w:spacing w:after="0"/>
              <w:rPr>
                <w:sz w:val="8"/>
                <w:szCs w:val="8"/>
                <w:color w:val="auto"/>
              </w:rPr>
            </w:pPr>
          </w:p>
        </w:tc>
        <w:tc>
          <w:tcPr>
            <w:tcW w:w="80" w:type="dxa"/>
            <w:vAlign w:val="bottom"/>
            <w:tcBorders>
              <w:bottom w:val="single" w:sz="8" w:color="CCECFF"/>
            </w:tcBorders>
            <w:shd w:val="clear" w:color="auto" w:fill="CCECFF"/>
          </w:tcPr>
          <w:p>
            <w:pPr>
              <w:spacing w:after="0"/>
              <w:rPr>
                <w:sz w:val="8"/>
                <w:szCs w:val="8"/>
                <w:color w:val="auto"/>
              </w:rPr>
            </w:pPr>
          </w:p>
        </w:tc>
        <w:tc>
          <w:tcPr>
            <w:tcW w:w="260" w:type="dxa"/>
            <w:vAlign w:val="bottom"/>
            <w:tcBorders>
              <w:bottom w:val="single" w:sz="8" w:color="CCECFF"/>
            </w:tcBorders>
            <w:shd w:val="clear" w:color="auto" w:fill="CCECFF"/>
          </w:tcPr>
          <w:p>
            <w:pPr>
              <w:spacing w:after="0"/>
              <w:rPr>
                <w:sz w:val="8"/>
                <w:szCs w:val="8"/>
                <w:color w:val="auto"/>
              </w:rPr>
            </w:pPr>
          </w:p>
        </w:tc>
        <w:tc>
          <w:tcPr>
            <w:tcW w:w="700" w:type="dxa"/>
            <w:vAlign w:val="bottom"/>
            <w:tcBorders>
              <w:bottom w:val="single" w:sz="8" w:color="CCECFF"/>
            </w:tcBorders>
            <w:shd w:val="clear" w:color="auto" w:fill="CCECFF"/>
          </w:tcPr>
          <w:p>
            <w:pPr>
              <w:spacing w:after="0"/>
              <w:rPr>
                <w:sz w:val="8"/>
                <w:szCs w:val="8"/>
                <w:color w:val="auto"/>
              </w:rPr>
            </w:pPr>
          </w:p>
        </w:tc>
        <w:tc>
          <w:tcPr>
            <w:tcW w:w="160" w:type="dxa"/>
            <w:vAlign w:val="bottom"/>
            <w:tcBorders>
              <w:bottom w:val="single" w:sz="8" w:color="CCECFF"/>
            </w:tcBorders>
            <w:shd w:val="clear" w:color="auto" w:fill="CCECFF"/>
          </w:tcPr>
          <w:p>
            <w:pPr>
              <w:spacing w:after="0"/>
              <w:rPr>
                <w:sz w:val="8"/>
                <w:szCs w:val="8"/>
                <w:color w:val="auto"/>
              </w:rPr>
            </w:pPr>
          </w:p>
        </w:tc>
        <w:tc>
          <w:tcPr>
            <w:tcW w:w="180" w:type="dxa"/>
            <w:vAlign w:val="bottom"/>
            <w:tcBorders>
              <w:bottom w:val="single" w:sz="8" w:color="CCECFF"/>
            </w:tcBorders>
            <w:shd w:val="clear" w:color="auto" w:fill="CCECFF"/>
          </w:tcPr>
          <w:p>
            <w:pPr>
              <w:spacing w:after="0"/>
              <w:rPr>
                <w:sz w:val="8"/>
                <w:szCs w:val="8"/>
                <w:color w:val="auto"/>
              </w:rPr>
            </w:pPr>
          </w:p>
        </w:tc>
        <w:tc>
          <w:tcPr>
            <w:tcW w:w="700" w:type="dxa"/>
            <w:vAlign w:val="bottom"/>
            <w:tcBorders>
              <w:bottom w:val="single" w:sz="8" w:color="CCECFF"/>
            </w:tcBorders>
            <w:shd w:val="clear" w:color="auto" w:fill="CCECFF"/>
          </w:tcPr>
          <w:p>
            <w:pPr>
              <w:spacing w:after="0"/>
              <w:rPr>
                <w:sz w:val="8"/>
                <w:szCs w:val="8"/>
                <w:color w:val="auto"/>
              </w:rPr>
            </w:pPr>
          </w:p>
        </w:tc>
        <w:tc>
          <w:tcPr>
            <w:tcW w:w="160" w:type="dxa"/>
            <w:vAlign w:val="bottom"/>
            <w:tcBorders>
              <w:bottom w:val="single" w:sz="8" w:color="CCECFF"/>
            </w:tcBorders>
            <w:shd w:val="clear" w:color="auto" w:fill="CCECFF"/>
          </w:tcPr>
          <w:p>
            <w:pPr>
              <w:spacing w:after="0"/>
              <w:rPr>
                <w:sz w:val="8"/>
                <w:szCs w:val="8"/>
                <w:color w:val="auto"/>
              </w:rPr>
            </w:pPr>
          </w:p>
        </w:tc>
        <w:tc>
          <w:tcPr>
            <w:tcW w:w="180" w:type="dxa"/>
            <w:vAlign w:val="bottom"/>
            <w:tcBorders>
              <w:bottom w:val="single" w:sz="8" w:color="CCECFF"/>
            </w:tcBorders>
            <w:shd w:val="clear" w:color="auto" w:fill="CCECFF"/>
          </w:tcPr>
          <w:p>
            <w:pPr>
              <w:spacing w:after="0"/>
              <w:rPr>
                <w:sz w:val="8"/>
                <w:szCs w:val="8"/>
                <w:color w:val="auto"/>
              </w:rPr>
            </w:pPr>
          </w:p>
        </w:tc>
        <w:tc>
          <w:tcPr>
            <w:tcW w:w="700" w:type="dxa"/>
            <w:vAlign w:val="bottom"/>
            <w:tcBorders>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680" w:type="dxa"/>
            <w:vAlign w:val="bottom"/>
          </w:tcPr>
          <w:p>
            <w:pPr>
              <w:ind w:left="80"/>
              <w:spacing w:after="0"/>
              <w:rPr>
                <w:sz w:val="20"/>
                <w:szCs w:val="20"/>
                <w:color w:val="auto"/>
              </w:rPr>
            </w:pPr>
            <w:r>
              <w:rPr>
                <w:rFonts w:ascii="Calibri" w:cs="Calibri" w:eastAsia="Calibri" w:hAnsi="Calibri"/>
                <w:sz w:val="14"/>
                <w:szCs w:val="14"/>
                <w:color w:val="auto"/>
              </w:rPr>
              <w:t>NASDAQ Composite Index</w:t>
            </w:r>
          </w:p>
        </w:tc>
        <w:tc>
          <w:tcPr>
            <w:tcW w:w="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Calibri" w:cs="Calibri" w:eastAsia="Calibri" w:hAnsi="Calibri"/>
                <w:sz w:val="14"/>
                <w:szCs w:val="14"/>
                <w:color w:val="auto"/>
              </w:rPr>
              <w:t>^IXIC</w:t>
            </w:r>
          </w:p>
        </w:tc>
        <w:tc>
          <w:tcPr>
            <w:tcW w:w="180" w:type="dxa"/>
            <w:vAlign w:val="bottom"/>
            <w:gridSpan w:val="2"/>
          </w:tcPr>
          <w:p>
            <w:pPr>
              <w:jc w:val="right"/>
              <w:ind w:right="20"/>
              <w:spacing w:after="0"/>
              <w:rPr>
                <w:sz w:val="20"/>
                <w:szCs w:val="20"/>
                <w:color w:val="auto"/>
              </w:rPr>
            </w:pPr>
            <w:r>
              <w:rPr>
                <w:rFonts w:ascii="Calibri" w:cs="Calibri" w:eastAsia="Calibri" w:hAnsi="Calibri"/>
                <w:sz w:val="14"/>
                <w:szCs w:val="14"/>
                <w:color w:val="auto"/>
              </w:rPr>
              <w:t>$</w:t>
            </w:r>
          </w:p>
        </w:tc>
        <w:tc>
          <w:tcPr>
            <w:tcW w:w="780" w:type="dxa"/>
            <w:vAlign w:val="bottom"/>
          </w:tcPr>
          <w:p>
            <w:pPr>
              <w:jc w:val="right"/>
              <w:spacing w:after="0"/>
              <w:rPr>
                <w:sz w:val="20"/>
                <w:szCs w:val="20"/>
                <w:color w:val="auto"/>
              </w:rPr>
            </w:pPr>
            <w:r>
              <w:rPr>
                <w:rFonts w:ascii="Calibri" w:cs="Calibri" w:eastAsia="Calibri" w:hAnsi="Calibri"/>
                <w:sz w:val="14"/>
                <w:szCs w:val="14"/>
                <w:color w:val="auto"/>
              </w:rPr>
              <w:t>100.00</w:t>
            </w:r>
          </w:p>
        </w:tc>
        <w:tc>
          <w:tcPr>
            <w:tcW w:w="260" w:type="dxa"/>
            <w:vAlign w:val="bottom"/>
            <w:gridSpan w:val="2"/>
          </w:tcPr>
          <w:p>
            <w:pPr>
              <w:jc w:val="right"/>
              <w:ind w:right="20"/>
              <w:spacing w:after="0"/>
              <w:rPr>
                <w:sz w:val="20"/>
                <w:szCs w:val="20"/>
                <w:color w:val="auto"/>
              </w:rPr>
            </w:pPr>
            <w:r>
              <w:rPr>
                <w:rFonts w:ascii="Calibri" w:cs="Calibri" w:eastAsia="Calibri" w:hAnsi="Calibri"/>
                <w:sz w:val="14"/>
                <w:szCs w:val="14"/>
                <w:color w:val="auto"/>
              </w:rPr>
              <w:t>$</w:t>
            </w:r>
          </w:p>
        </w:tc>
        <w:tc>
          <w:tcPr>
            <w:tcW w:w="780" w:type="dxa"/>
            <w:vAlign w:val="bottom"/>
          </w:tcPr>
          <w:p>
            <w:pPr>
              <w:jc w:val="right"/>
              <w:spacing w:after="0"/>
              <w:rPr>
                <w:sz w:val="20"/>
                <w:szCs w:val="20"/>
                <w:color w:val="auto"/>
              </w:rPr>
            </w:pPr>
            <w:r>
              <w:rPr>
                <w:rFonts w:ascii="Calibri" w:cs="Calibri" w:eastAsia="Calibri" w:hAnsi="Calibri"/>
                <w:sz w:val="14"/>
                <w:szCs w:val="14"/>
                <w:color w:val="auto"/>
              </w:rPr>
              <w:t>143.64</w:t>
            </w:r>
          </w:p>
        </w:tc>
        <w:tc>
          <w:tcPr>
            <w:tcW w:w="260" w:type="dxa"/>
            <w:vAlign w:val="bottom"/>
            <w:gridSpan w:val="2"/>
          </w:tcPr>
          <w:p>
            <w:pPr>
              <w:jc w:val="right"/>
              <w:ind w:right="20"/>
              <w:spacing w:after="0"/>
              <w:rPr>
                <w:sz w:val="20"/>
                <w:szCs w:val="20"/>
                <w:color w:val="auto"/>
              </w:rPr>
            </w:pPr>
            <w:r>
              <w:rPr>
                <w:rFonts w:ascii="Calibri" w:cs="Calibri" w:eastAsia="Calibri" w:hAnsi="Calibri"/>
                <w:sz w:val="14"/>
                <w:szCs w:val="14"/>
                <w:color w:val="auto"/>
              </w:rPr>
              <w:t>$</w:t>
            </w:r>
          </w:p>
        </w:tc>
        <w:tc>
          <w:tcPr>
            <w:tcW w:w="780" w:type="dxa"/>
            <w:vAlign w:val="bottom"/>
          </w:tcPr>
          <w:p>
            <w:pPr>
              <w:jc w:val="right"/>
              <w:spacing w:after="0"/>
              <w:rPr>
                <w:sz w:val="20"/>
                <w:szCs w:val="20"/>
                <w:color w:val="auto"/>
              </w:rPr>
            </w:pPr>
            <w:r>
              <w:rPr>
                <w:rFonts w:ascii="Calibri" w:cs="Calibri" w:eastAsia="Calibri" w:hAnsi="Calibri"/>
                <w:sz w:val="14"/>
                <w:szCs w:val="14"/>
                <w:color w:val="auto"/>
              </w:rPr>
              <w:t>174.36</w:t>
            </w:r>
          </w:p>
        </w:tc>
        <w:tc>
          <w:tcPr>
            <w:tcW w:w="340" w:type="dxa"/>
            <w:vAlign w:val="bottom"/>
            <w:gridSpan w:val="2"/>
          </w:tcPr>
          <w:p>
            <w:pPr>
              <w:ind w:left="180"/>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116.65</w:t>
            </w:r>
          </w:p>
        </w:tc>
        <w:tc>
          <w:tcPr>
            <w:tcW w:w="340" w:type="dxa"/>
            <w:vAlign w:val="bottom"/>
            <w:gridSpan w:val="2"/>
          </w:tcPr>
          <w:p>
            <w:pPr>
              <w:ind w:left="180"/>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167.30</w:t>
            </w:r>
          </w:p>
        </w:tc>
        <w:tc>
          <w:tcPr>
            <w:tcW w:w="340" w:type="dxa"/>
            <w:vAlign w:val="bottom"/>
            <w:gridSpan w:val="2"/>
          </w:tcPr>
          <w:p>
            <w:pPr>
              <w:ind w:left="180"/>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215.22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680" w:type="dxa"/>
            <w:vAlign w:val="bottom"/>
            <w:shd w:val="clear" w:color="auto" w:fill="CCECFF"/>
          </w:tcPr>
          <w:p>
            <w:pPr>
              <w:ind w:left="80"/>
              <w:spacing w:after="0" w:line="164" w:lineRule="exact"/>
              <w:rPr>
                <w:sz w:val="20"/>
                <w:szCs w:val="20"/>
                <w:color w:val="auto"/>
              </w:rPr>
            </w:pPr>
            <w:r>
              <w:rPr>
                <w:rFonts w:ascii="Calibri" w:cs="Calibri" w:eastAsia="Calibri" w:hAnsi="Calibri"/>
                <w:sz w:val="14"/>
                <w:szCs w:val="14"/>
                <w:color w:val="auto"/>
              </w:rPr>
              <w:t>NASDAQ Biotechnology</w:t>
            </w:r>
          </w:p>
        </w:tc>
        <w:tc>
          <w:tcPr>
            <w:tcW w:w="80" w:type="dxa"/>
            <w:vAlign w:val="bottom"/>
            <w:shd w:val="clear" w:color="auto" w:fill="CCECFF"/>
          </w:tcPr>
          <w:p>
            <w:pPr>
              <w:spacing w:after="0"/>
              <w:rPr>
                <w:sz w:val="14"/>
                <w:szCs w:val="14"/>
                <w:color w:val="auto"/>
              </w:rPr>
            </w:pPr>
          </w:p>
        </w:tc>
        <w:tc>
          <w:tcPr>
            <w:tcW w:w="840" w:type="dxa"/>
            <w:vAlign w:val="bottom"/>
            <w:vMerge w:val="restart"/>
            <w:shd w:val="clear" w:color="auto" w:fill="CCECFF"/>
          </w:tcPr>
          <w:p>
            <w:pPr>
              <w:jc w:val="center"/>
              <w:spacing w:after="0"/>
              <w:rPr>
                <w:sz w:val="20"/>
                <w:szCs w:val="20"/>
                <w:color w:val="auto"/>
              </w:rPr>
            </w:pPr>
            <w:r>
              <w:rPr>
                <w:rFonts w:ascii="Calibri" w:cs="Calibri" w:eastAsia="Calibri" w:hAnsi="Calibri"/>
                <w:sz w:val="14"/>
                <w:szCs w:val="14"/>
                <w:color w:val="auto"/>
              </w:rPr>
              <w:t>^NBI</w:t>
            </w:r>
          </w:p>
        </w:tc>
        <w:tc>
          <w:tcPr>
            <w:tcW w:w="180" w:type="dxa"/>
            <w:vAlign w:val="bottom"/>
            <w:gridSpan w:val="2"/>
            <w:vMerge w:val="restart"/>
            <w:shd w:val="clear" w:color="auto" w:fill="CCECFF"/>
          </w:tcPr>
          <w:p>
            <w:pPr>
              <w:jc w:val="right"/>
              <w:ind w:right="20"/>
              <w:spacing w:after="0"/>
              <w:rPr>
                <w:sz w:val="20"/>
                <w:szCs w:val="20"/>
                <w:color w:val="auto"/>
              </w:rPr>
            </w:pPr>
            <w:r>
              <w:rPr>
                <w:rFonts w:ascii="Calibri" w:cs="Calibri" w:eastAsia="Calibri" w:hAnsi="Calibri"/>
                <w:sz w:val="14"/>
                <w:szCs w:val="14"/>
                <w:color w:val="auto"/>
              </w:rPr>
              <w:t>$</w:t>
            </w:r>
          </w:p>
        </w:tc>
        <w:tc>
          <w:tcPr>
            <w:tcW w:w="780" w:type="dxa"/>
            <w:vAlign w:val="bottom"/>
            <w:vMerge w:val="restart"/>
            <w:shd w:val="clear" w:color="auto" w:fill="CCECFF"/>
          </w:tcPr>
          <w:p>
            <w:pPr>
              <w:jc w:val="right"/>
              <w:spacing w:after="0"/>
              <w:rPr>
                <w:sz w:val="20"/>
                <w:szCs w:val="20"/>
                <w:color w:val="auto"/>
              </w:rPr>
            </w:pPr>
            <w:r>
              <w:rPr>
                <w:rFonts w:ascii="Calibri" w:cs="Calibri" w:eastAsia="Calibri" w:hAnsi="Calibri"/>
                <w:sz w:val="14"/>
                <w:szCs w:val="14"/>
                <w:color w:val="auto"/>
              </w:rPr>
              <w:t>100.00</w:t>
            </w:r>
          </w:p>
        </w:tc>
        <w:tc>
          <w:tcPr>
            <w:tcW w:w="260" w:type="dxa"/>
            <w:vAlign w:val="bottom"/>
            <w:gridSpan w:val="2"/>
            <w:vMerge w:val="restart"/>
            <w:shd w:val="clear" w:color="auto" w:fill="CCECFF"/>
          </w:tcPr>
          <w:p>
            <w:pPr>
              <w:jc w:val="right"/>
              <w:ind w:right="20"/>
              <w:spacing w:after="0"/>
              <w:rPr>
                <w:sz w:val="20"/>
                <w:szCs w:val="20"/>
                <w:color w:val="auto"/>
              </w:rPr>
            </w:pPr>
            <w:r>
              <w:rPr>
                <w:rFonts w:ascii="Calibri" w:cs="Calibri" w:eastAsia="Calibri" w:hAnsi="Calibri"/>
                <w:sz w:val="14"/>
                <w:szCs w:val="14"/>
                <w:color w:val="auto"/>
              </w:rPr>
              <w:t>$</w:t>
            </w:r>
          </w:p>
        </w:tc>
        <w:tc>
          <w:tcPr>
            <w:tcW w:w="780" w:type="dxa"/>
            <w:vAlign w:val="bottom"/>
            <w:vMerge w:val="restart"/>
            <w:shd w:val="clear" w:color="auto" w:fill="CCECFF"/>
          </w:tcPr>
          <w:p>
            <w:pPr>
              <w:jc w:val="right"/>
              <w:spacing w:after="0"/>
              <w:rPr>
                <w:sz w:val="20"/>
                <w:szCs w:val="20"/>
                <w:color w:val="auto"/>
              </w:rPr>
            </w:pPr>
            <w:r>
              <w:rPr>
                <w:rFonts w:ascii="Calibri" w:cs="Calibri" w:eastAsia="Calibri" w:hAnsi="Calibri"/>
                <w:sz w:val="14"/>
                <w:szCs w:val="14"/>
                <w:color w:val="auto"/>
              </w:rPr>
              <w:t>125.69</w:t>
            </w:r>
          </w:p>
        </w:tc>
        <w:tc>
          <w:tcPr>
            <w:tcW w:w="260" w:type="dxa"/>
            <w:vAlign w:val="bottom"/>
            <w:gridSpan w:val="2"/>
            <w:vMerge w:val="restart"/>
            <w:shd w:val="clear" w:color="auto" w:fill="CCECFF"/>
          </w:tcPr>
          <w:p>
            <w:pPr>
              <w:jc w:val="right"/>
              <w:ind w:right="20"/>
              <w:spacing w:after="0"/>
              <w:rPr>
                <w:sz w:val="20"/>
                <w:szCs w:val="20"/>
                <w:color w:val="auto"/>
              </w:rPr>
            </w:pPr>
            <w:r>
              <w:rPr>
                <w:rFonts w:ascii="Calibri" w:cs="Calibri" w:eastAsia="Calibri" w:hAnsi="Calibri"/>
                <w:sz w:val="14"/>
                <w:szCs w:val="14"/>
                <w:color w:val="auto"/>
              </w:rPr>
              <w:t>$</w:t>
            </w:r>
          </w:p>
        </w:tc>
        <w:tc>
          <w:tcPr>
            <w:tcW w:w="780" w:type="dxa"/>
            <w:vAlign w:val="bottom"/>
            <w:vMerge w:val="restart"/>
            <w:shd w:val="clear" w:color="auto" w:fill="CCECFF"/>
          </w:tcPr>
          <w:p>
            <w:pPr>
              <w:jc w:val="right"/>
              <w:spacing w:after="0"/>
              <w:rPr>
                <w:sz w:val="20"/>
                <w:szCs w:val="20"/>
                <w:color w:val="auto"/>
              </w:rPr>
            </w:pPr>
            <w:r>
              <w:rPr>
                <w:rFonts w:ascii="Calibri" w:cs="Calibri" w:eastAsia="Calibri" w:hAnsi="Calibri"/>
                <w:sz w:val="14"/>
                <w:szCs w:val="14"/>
                <w:color w:val="auto"/>
              </w:rPr>
              <w:t>124.89</w:t>
            </w:r>
          </w:p>
        </w:tc>
        <w:tc>
          <w:tcPr>
            <w:tcW w:w="340" w:type="dxa"/>
            <w:vAlign w:val="bottom"/>
            <w:gridSpan w:val="2"/>
            <w:vMerge w:val="restart"/>
            <w:shd w:val="clear" w:color="auto" w:fill="CCECFF"/>
          </w:tcPr>
          <w:p>
            <w:pPr>
              <w:ind w:left="180"/>
              <w:spacing w:after="0"/>
              <w:rPr>
                <w:sz w:val="20"/>
                <w:szCs w:val="20"/>
                <w:color w:val="auto"/>
              </w:rPr>
            </w:pPr>
            <w:r>
              <w:rPr>
                <w:rFonts w:ascii="Calibri" w:cs="Calibri" w:eastAsia="Calibri" w:hAnsi="Calibri"/>
                <w:sz w:val="14"/>
                <w:szCs w:val="14"/>
                <w:color w:val="auto"/>
              </w:rPr>
              <w:t>$</w:t>
            </w:r>
          </w:p>
        </w:tc>
        <w:tc>
          <w:tcPr>
            <w:tcW w:w="700" w:type="dxa"/>
            <w:vAlign w:val="bottom"/>
            <w:vMerge w:val="restart"/>
            <w:shd w:val="clear" w:color="auto" w:fill="CCECFF"/>
          </w:tcPr>
          <w:p>
            <w:pPr>
              <w:jc w:val="right"/>
              <w:spacing w:after="0"/>
              <w:rPr>
                <w:sz w:val="20"/>
                <w:szCs w:val="20"/>
                <w:color w:val="auto"/>
              </w:rPr>
            </w:pPr>
            <w:r>
              <w:rPr>
                <w:rFonts w:ascii="Calibri" w:cs="Calibri" w:eastAsia="Calibri" w:hAnsi="Calibri"/>
                <w:sz w:val="14"/>
                <w:szCs w:val="14"/>
                <w:color w:val="auto"/>
              </w:rPr>
              <w:t>111.27</w:t>
            </w:r>
          </w:p>
        </w:tc>
        <w:tc>
          <w:tcPr>
            <w:tcW w:w="340" w:type="dxa"/>
            <w:vAlign w:val="bottom"/>
            <w:gridSpan w:val="2"/>
            <w:vMerge w:val="restart"/>
            <w:shd w:val="clear" w:color="auto" w:fill="CCECFF"/>
          </w:tcPr>
          <w:p>
            <w:pPr>
              <w:ind w:left="180"/>
              <w:spacing w:after="0"/>
              <w:rPr>
                <w:sz w:val="20"/>
                <w:szCs w:val="20"/>
                <w:color w:val="auto"/>
              </w:rPr>
            </w:pPr>
            <w:r>
              <w:rPr>
                <w:rFonts w:ascii="Calibri" w:cs="Calibri" w:eastAsia="Calibri" w:hAnsi="Calibri"/>
                <w:sz w:val="14"/>
                <w:szCs w:val="14"/>
                <w:color w:val="auto"/>
              </w:rPr>
              <w:t>$</w:t>
            </w:r>
          </w:p>
        </w:tc>
        <w:tc>
          <w:tcPr>
            <w:tcW w:w="700" w:type="dxa"/>
            <w:vAlign w:val="bottom"/>
            <w:vMerge w:val="restart"/>
            <w:shd w:val="clear" w:color="auto" w:fill="CCECFF"/>
          </w:tcPr>
          <w:p>
            <w:pPr>
              <w:jc w:val="right"/>
              <w:spacing w:after="0"/>
              <w:rPr>
                <w:sz w:val="20"/>
                <w:szCs w:val="20"/>
                <w:color w:val="auto"/>
              </w:rPr>
            </w:pPr>
            <w:r>
              <w:rPr>
                <w:rFonts w:ascii="Calibri" w:cs="Calibri" w:eastAsia="Calibri" w:hAnsi="Calibri"/>
                <w:sz w:val="14"/>
                <w:szCs w:val="14"/>
                <w:color w:val="auto"/>
              </w:rPr>
              <w:t>115.42</w:t>
            </w:r>
          </w:p>
        </w:tc>
        <w:tc>
          <w:tcPr>
            <w:tcW w:w="340" w:type="dxa"/>
            <w:vAlign w:val="bottom"/>
            <w:gridSpan w:val="2"/>
            <w:vMerge w:val="restart"/>
            <w:shd w:val="clear" w:color="auto" w:fill="CCECFF"/>
          </w:tcPr>
          <w:p>
            <w:pPr>
              <w:ind w:left="180"/>
              <w:spacing w:after="0"/>
              <w:rPr>
                <w:sz w:val="20"/>
                <w:szCs w:val="20"/>
                <w:color w:val="auto"/>
              </w:rPr>
            </w:pPr>
            <w:r>
              <w:rPr>
                <w:rFonts w:ascii="Calibri" w:cs="Calibri" w:eastAsia="Calibri" w:hAnsi="Calibri"/>
                <w:sz w:val="14"/>
                <w:szCs w:val="14"/>
                <w:color w:val="auto"/>
              </w:rPr>
              <w:t>$</w:t>
            </w:r>
          </w:p>
        </w:tc>
        <w:tc>
          <w:tcPr>
            <w:tcW w:w="700" w:type="dxa"/>
            <w:vAlign w:val="bottom"/>
            <w:vMerge w:val="restart"/>
            <w:shd w:val="clear" w:color="auto" w:fill="CCECFF"/>
          </w:tcPr>
          <w:p>
            <w:pPr>
              <w:jc w:val="right"/>
              <w:spacing w:after="0"/>
              <w:rPr>
                <w:sz w:val="20"/>
                <w:szCs w:val="20"/>
                <w:color w:val="auto"/>
              </w:rPr>
            </w:pPr>
            <w:r>
              <w:rPr>
                <w:rFonts w:ascii="Calibri" w:cs="Calibri" w:eastAsia="Calibri" w:hAnsi="Calibri"/>
                <w:sz w:val="14"/>
                <w:szCs w:val="14"/>
                <w:color w:val="auto"/>
              </w:rPr>
              <w:t>113.84</w:t>
            </w:r>
          </w:p>
        </w:tc>
        <w:tc>
          <w:tcPr>
            <w:tcW w:w="2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1680" w:type="dxa"/>
            <w:vAlign w:val="bottom"/>
            <w:vMerge w:val="restart"/>
            <w:shd w:val="clear" w:color="auto" w:fill="CCECFF"/>
          </w:tcPr>
          <w:p>
            <w:pPr>
              <w:ind w:left="80"/>
              <w:spacing w:after="0"/>
              <w:rPr>
                <w:sz w:val="20"/>
                <w:szCs w:val="20"/>
                <w:color w:val="auto"/>
              </w:rPr>
            </w:pPr>
            <w:r>
              <w:rPr>
                <w:rFonts w:ascii="Calibri" w:cs="Calibri" w:eastAsia="Calibri" w:hAnsi="Calibri"/>
                <w:sz w:val="14"/>
                <w:szCs w:val="14"/>
                <w:color w:val="auto"/>
              </w:rPr>
              <w:t>Index</w:t>
            </w:r>
          </w:p>
        </w:tc>
        <w:tc>
          <w:tcPr>
            <w:tcW w:w="80" w:type="dxa"/>
            <w:vAlign w:val="bottom"/>
            <w:shd w:val="clear" w:color="auto" w:fill="CCECFF"/>
          </w:tcPr>
          <w:p>
            <w:pPr>
              <w:spacing w:after="0"/>
              <w:rPr>
                <w:sz w:val="6"/>
                <w:szCs w:val="6"/>
                <w:color w:val="auto"/>
              </w:rPr>
            </w:pPr>
          </w:p>
        </w:tc>
        <w:tc>
          <w:tcPr>
            <w:tcW w:w="840" w:type="dxa"/>
            <w:vAlign w:val="bottom"/>
            <w:vMerge w:val="continue"/>
            <w:shd w:val="clear" w:color="auto" w:fill="CCECFF"/>
          </w:tcPr>
          <w:p>
            <w:pPr>
              <w:spacing w:after="0"/>
              <w:rPr>
                <w:sz w:val="6"/>
                <w:szCs w:val="6"/>
                <w:color w:val="auto"/>
              </w:rPr>
            </w:pPr>
          </w:p>
        </w:tc>
        <w:tc>
          <w:tcPr>
            <w:tcW w:w="180" w:type="dxa"/>
            <w:vAlign w:val="bottom"/>
            <w:gridSpan w:val="2"/>
            <w:vMerge w:val="continue"/>
            <w:shd w:val="clear" w:color="auto" w:fill="CCECFF"/>
          </w:tcPr>
          <w:p>
            <w:pPr>
              <w:spacing w:after="0"/>
              <w:rPr>
                <w:sz w:val="6"/>
                <w:szCs w:val="6"/>
                <w:color w:val="auto"/>
              </w:rPr>
            </w:pPr>
          </w:p>
        </w:tc>
        <w:tc>
          <w:tcPr>
            <w:tcW w:w="780" w:type="dxa"/>
            <w:vAlign w:val="bottom"/>
            <w:vMerge w:val="continue"/>
            <w:shd w:val="clear" w:color="auto" w:fill="CCECFF"/>
          </w:tcPr>
          <w:p>
            <w:pPr>
              <w:spacing w:after="0"/>
              <w:rPr>
                <w:sz w:val="6"/>
                <w:szCs w:val="6"/>
                <w:color w:val="auto"/>
              </w:rPr>
            </w:pPr>
          </w:p>
        </w:tc>
        <w:tc>
          <w:tcPr>
            <w:tcW w:w="260" w:type="dxa"/>
            <w:vAlign w:val="bottom"/>
            <w:gridSpan w:val="2"/>
            <w:vMerge w:val="continue"/>
            <w:shd w:val="clear" w:color="auto" w:fill="CCECFF"/>
          </w:tcPr>
          <w:p>
            <w:pPr>
              <w:spacing w:after="0"/>
              <w:rPr>
                <w:sz w:val="6"/>
                <w:szCs w:val="6"/>
                <w:color w:val="auto"/>
              </w:rPr>
            </w:pPr>
          </w:p>
        </w:tc>
        <w:tc>
          <w:tcPr>
            <w:tcW w:w="780" w:type="dxa"/>
            <w:vAlign w:val="bottom"/>
            <w:vMerge w:val="continue"/>
            <w:shd w:val="clear" w:color="auto" w:fill="CCECFF"/>
          </w:tcPr>
          <w:p>
            <w:pPr>
              <w:spacing w:after="0"/>
              <w:rPr>
                <w:sz w:val="6"/>
                <w:szCs w:val="6"/>
                <w:color w:val="auto"/>
              </w:rPr>
            </w:pPr>
          </w:p>
        </w:tc>
        <w:tc>
          <w:tcPr>
            <w:tcW w:w="260" w:type="dxa"/>
            <w:vAlign w:val="bottom"/>
            <w:gridSpan w:val="2"/>
            <w:vMerge w:val="continue"/>
            <w:shd w:val="clear" w:color="auto" w:fill="CCECFF"/>
          </w:tcPr>
          <w:p>
            <w:pPr>
              <w:spacing w:after="0"/>
              <w:rPr>
                <w:sz w:val="6"/>
                <w:szCs w:val="6"/>
                <w:color w:val="auto"/>
              </w:rPr>
            </w:pPr>
          </w:p>
        </w:tc>
        <w:tc>
          <w:tcPr>
            <w:tcW w:w="780" w:type="dxa"/>
            <w:vAlign w:val="bottom"/>
            <w:vMerge w:val="continue"/>
            <w:shd w:val="clear" w:color="auto" w:fill="CCECFF"/>
          </w:tcPr>
          <w:p>
            <w:pPr>
              <w:spacing w:after="0"/>
              <w:rPr>
                <w:sz w:val="6"/>
                <w:szCs w:val="6"/>
                <w:color w:val="auto"/>
              </w:rPr>
            </w:pPr>
          </w:p>
        </w:tc>
        <w:tc>
          <w:tcPr>
            <w:tcW w:w="340" w:type="dxa"/>
            <w:vAlign w:val="bottom"/>
            <w:gridSpan w:val="2"/>
            <w:vMerge w:val="continue"/>
            <w:shd w:val="clear" w:color="auto" w:fill="CCECFF"/>
          </w:tcPr>
          <w:p>
            <w:pPr>
              <w:spacing w:after="0"/>
              <w:rPr>
                <w:sz w:val="6"/>
                <w:szCs w:val="6"/>
                <w:color w:val="auto"/>
              </w:rPr>
            </w:pPr>
          </w:p>
        </w:tc>
        <w:tc>
          <w:tcPr>
            <w:tcW w:w="700" w:type="dxa"/>
            <w:vAlign w:val="bottom"/>
            <w:vMerge w:val="continue"/>
            <w:shd w:val="clear" w:color="auto" w:fill="CCECFF"/>
          </w:tcPr>
          <w:p>
            <w:pPr>
              <w:spacing w:after="0"/>
              <w:rPr>
                <w:sz w:val="6"/>
                <w:szCs w:val="6"/>
                <w:color w:val="auto"/>
              </w:rPr>
            </w:pPr>
          </w:p>
        </w:tc>
        <w:tc>
          <w:tcPr>
            <w:tcW w:w="340" w:type="dxa"/>
            <w:vAlign w:val="bottom"/>
            <w:gridSpan w:val="2"/>
            <w:vMerge w:val="continue"/>
            <w:shd w:val="clear" w:color="auto" w:fill="CCECFF"/>
          </w:tcPr>
          <w:p>
            <w:pPr>
              <w:spacing w:after="0"/>
              <w:rPr>
                <w:sz w:val="6"/>
                <w:szCs w:val="6"/>
                <w:color w:val="auto"/>
              </w:rPr>
            </w:pPr>
          </w:p>
        </w:tc>
        <w:tc>
          <w:tcPr>
            <w:tcW w:w="700" w:type="dxa"/>
            <w:vAlign w:val="bottom"/>
            <w:vMerge w:val="continue"/>
            <w:shd w:val="clear" w:color="auto" w:fill="CCECFF"/>
          </w:tcPr>
          <w:p>
            <w:pPr>
              <w:spacing w:after="0"/>
              <w:rPr>
                <w:sz w:val="6"/>
                <w:szCs w:val="6"/>
                <w:color w:val="auto"/>
              </w:rPr>
            </w:pPr>
          </w:p>
        </w:tc>
        <w:tc>
          <w:tcPr>
            <w:tcW w:w="340" w:type="dxa"/>
            <w:vAlign w:val="bottom"/>
            <w:gridSpan w:val="2"/>
            <w:vMerge w:val="continue"/>
            <w:shd w:val="clear" w:color="auto" w:fill="CCECFF"/>
          </w:tcPr>
          <w:p>
            <w:pPr>
              <w:spacing w:after="0"/>
              <w:rPr>
                <w:sz w:val="6"/>
                <w:szCs w:val="6"/>
                <w:color w:val="auto"/>
              </w:rPr>
            </w:pPr>
          </w:p>
        </w:tc>
        <w:tc>
          <w:tcPr>
            <w:tcW w:w="700" w:type="dxa"/>
            <w:vAlign w:val="bottom"/>
            <w:vMerge w:val="continue"/>
            <w:shd w:val="clear" w:color="auto" w:fill="CCECFF"/>
          </w:tcPr>
          <w:p>
            <w:pPr>
              <w:spacing w:after="0"/>
              <w:rPr>
                <w:sz w:val="6"/>
                <w:szCs w:val="6"/>
                <w:color w:val="auto"/>
              </w:rPr>
            </w:pPr>
          </w:p>
        </w:tc>
        <w:tc>
          <w:tcPr>
            <w:tcW w:w="220" w:type="dxa"/>
            <w:vAlign w:val="bottom"/>
            <w:shd w:val="clear" w:color="auto" w:fill="CCECFF"/>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1680" w:type="dxa"/>
            <w:vAlign w:val="bottom"/>
            <w:vMerge w:val="continue"/>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84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78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180" w:type="dxa"/>
            <w:vAlign w:val="bottom"/>
            <w:shd w:val="clear" w:color="auto" w:fill="CCECFF"/>
          </w:tcPr>
          <w:p>
            <w:pPr>
              <w:spacing w:after="0"/>
              <w:rPr>
                <w:sz w:val="8"/>
                <w:szCs w:val="8"/>
                <w:color w:val="auto"/>
              </w:rPr>
            </w:pPr>
          </w:p>
        </w:tc>
        <w:tc>
          <w:tcPr>
            <w:tcW w:w="78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180" w:type="dxa"/>
            <w:vAlign w:val="bottom"/>
            <w:shd w:val="clear" w:color="auto" w:fill="CCECFF"/>
          </w:tcPr>
          <w:p>
            <w:pPr>
              <w:spacing w:after="0"/>
              <w:rPr>
                <w:sz w:val="8"/>
                <w:szCs w:val="8"/>
                <w:color w:val="auto"/>
              </w:rPr>
            </w:pPr>
          </w:p>
        </w:tc>
        <w:tc>
          <w:tcPr>
            <w:tcW w:w="78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26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18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18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680" w:type="dxa"/>
            <w:vAlign w:val="bottom"/>
            <w:shd w:val="clear" w:color="auto" w:fill="CCECFF"/>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840" w:type="dxa"/>
            <w:vAlign w:val="bottom"/>
            <w:shd w:val="clear" w:color="auto" w:fill="CCECFF"/>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780" w:type="dxa"/>
            <w:vAlign w:val="bottom"/>
            <w:shd w:val="clear" w:color="auto" w:fill="CCECFF"/>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780" w:type="dxa"/>
            <w:vAlign w:val="bottom"/>
            <w:shd w:val="clear" w:color="auto" w:fill="CCECFF"/>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780" w:type="dxa"/>
            <w:vAlign w:val="bottom"/>
            <w:shd w:val="clear" w:color="auto" w:fill="CCECFF"/>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700" w:type="dxa"/>
            <w:vAlign w:val="bottom"/>
            <w:shd w:val="clear" w:color="auto" w:fill="CCECFF"/>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700" w:type="dxa"/>
            <w:vAlign w:val="bottom"/>
            <w:shd w:val="clear" w:color="auto" w:fill="CCECFF"/>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700" w:type="dxa"/>
            <w:vAlign w:val="bottom"/>
            <w:shd w:val="clear" w:color="auto" w:fill="CCECFF"/>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Dividend Policy</w:t>
      </w:r>
    </w:p>
    <w:p>
      <w:pPr>
        <w:spacing w:after="0" w:line="82" w:lineRule="exact"/>
        <w:rPr>
          <w:sz w:val="20"/>
          <w:szCs w:val="20"/>
          <w:color w:val="auto"/>
        </w:rPr>
      </w:pPr>
    </w:p>
    <w:p>
      <w:pPr>
        <w:ind w:firstLine="509"/>
        <w:spacing w:after="0" w:line="254" w:lineRule="auto"/>
        <w:rPr>
          <w:sz w:val="20"/>
          <w:szCs w:val="20"/>
          <w:color w:val="auto"/>
        </w:rPr>
      </w:pPr>
      <w:r>
        <w:rPr>
          <w:rFonts w:ascii="Calibri" w:cs="Calibri" w:eastAsia="Calibri" w:hAnsi="Calibri"/>
          <w:sz w:val="17"/>
          <w:szCs w:val="17"/>
          <w:color w:val="auto"/>
        </w:rPr>
        <w:t>We have never declared or paid cash dividends on our common stock. We currently intend to retain all available funds and any future earnings, if any, to fund the development, operaton, and expansion of our business, and we do not antcipate paying any cash dividends on our common stock in the foreseeable future. Any future determinaton to pay dividends will be made at the discreton of our board of directors or any authorized commitee thereof.</w:t>
      </w:r>
    </w:p>
    <w:p>
      <w:pPr>
        <w:spacing w:after="0" w:line="22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Unregistered Sales of Equity Securites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None.</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Issuer’s Purchases of Equity Securites</w:t>
      </w:r>
    </w:p>
    <w:p>
      <w:pPr>
        <w:jc w:val="center"/>
        <w:ind w:right="-39"/>
        <w:spacing w:after="0" w:line="235" w:lineRule="auto"/>
        <w:rPr>
          <w:sz w:val="20"/>
          <w:szCs w:val="20"/>
          <w:color w:val="auto"/>
        </w:rPr>
      </w:pPr>
      <w:r>
        <w:rPr>
          <w:rFonts w:ascii="Calibri" w:cs="Calibri" w:eastAsia="Calibri" w:hAnsi="Calibri"/>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69" w:name="page70"/>
    <w:bookmarkEnd w:id="69"/>
    <w:p>
      <w:pPr>
        <w:ind w:left="520"/>
        <w:spacing w:after="0"/>
        <w:rPr>
          <w:sz w:val="20"/>
          <w:szCs w:val="20"/>
          <w:color w:val="auto"/>
        </w:rPr>
      </w:pPr>
      <w:r>
        <w:rPr>
          <w:rFonts w:ascii="Calibri" w:cs="Calibri" w:eastAsia="Calibri" w:hAnsi="Calibri"/>
          <w:sz w:val="18"/>
          <w:szCs w:val="18"/>
          <w:color w:val="auto"/>
        </w:rPr>
        <w:t>None.</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6. </w:t>
      </w:r>
      <w:r>
        <w:rPr>
          <w:rFonts w:ascii="Calibri" w:cs="Calibri" w:eastAsia="Calibri" w:hAnsi="Calibri"/>
          <w:sz w:val="18"/>
          <w:szCs w:val="18"/>
          <w:b w:val="1"/>
          <w:bCs w:val="1"/>
          <w:i w:val="1"/>
          <w:iCs w:val="1"/>
          <w:color w:val="auto"/>
        </w:rPr>
        <w:t>Reserved</w:t>
      </w:r>
    </w:p>
    <w:p>
      <w:pPr>
        <w:jc w:val="right"/>
        <w:ind w:right="4419"/>
        <w:spacing w:after="0" w:line="235" w:lineRule="auto"/>
        <w:rPr>
          <w:sz w:val="20"/>
          <w:szCs w:val="20"/>
          <w:color w:val="auto"/>
        </w:rPr>
      </w:pPr>
      <w:r>
        <w:rPr>
          <w:rFonts w:ascii="Calibri" w:cs="Calibri" w:eastAsia="Calibri" w:hAnsi="Calibri"/>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4" w:right="1440" w:bottom="1440" w:gutter="0" w:footer="0" w:header="0"/>
        </w:sectPr>
      </w:pPr>
    </w:p>
    <w:bookmarkStart w:id="70" w:name="page71"/>
    <w:bookmarkEnd w:id="70"/>
    <w:p>
      <w:pPr>
        <w:spacing w:after="0"/>
        <w:rPr>
          <w:sz w:val="20"/>
          <w:szCs w:val="20"/>
          <w:color w:val="auto"/>
        </w:rPr>
      </w:pPr>
      <w:r>
        <w:rPr>
          <w:rFonts w:ascii="Calibri" w:cs="Calibri" w:eastAsia="Calibri" w:hAnsi="Calibri"/>
          <w:sz w:val="18"/>
          <w:szCs w:val="18"/>
          <w:b w:val="1"/>
          <w:bCs w:val="1"/>
          <w:color w:val="auto"/>
        </w:rPr>
        <w:t xml:space="preserve">Item 7. </w:t>
      </w:r>
      <w:r>
        <w:rPr>
          <w:rFonts w:ascii="Calibri" w:cs="Calibri" w:eastAsia="Calibri" w:hAnsi="Calibri"/>
          <w:sz w:val="18"/>
          <w:szCs w:val="18"/>
          <w:b w:val="1"/>
          <w:bCs w:val="1"/>
          <w:i w:val="1"/>
          <w:iCs w:val="1"/>
          <w:color w:val="auto"/>
        </w:rPr>
        <w:t>Management’s Discussion and Analysis of Financial Conditon and Results of Operatons</w:t>
      </w:r>
    </w:p>
    <w:p>
      <w:pPr>
        <w:spacing w:after="0" w:line="239"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auto"/>
        </w:rPr>
        <w:t>MANAGEMENT’S DISCUSSION AND ANALYSIS OF</w:t>
      </w:r>
    </w:p>
    <w:p>
      <w:pPr>
        <w:jc w:val="center"/>
        <w:ind w:right="20"/>
        <w:spacing w:after="0" w:line="235" w:lineRule="auto"/>
        <w:rPr>
          <w:sz w:val="20"/>
          <w:szCs w:val="20"/>
          <w:color w:val="auto"/>
        </w:rPr>
      </w:pPr>
      <w:r>
        <w:rPr>
          <w:rFonts w:ascii="Calibri" w:cs="Calibri" w:eastAsia="Calibri" w:hAnsi="Calibri"/>
          <w:sz w:val="18"/>
          <w:szCs w:val="18"/>
          <w:b w:val="1"/>
          <w:bCs w:val="1"/>
          <w:color w:val="auto"/>
        </w:rPr>
        <w:t>FINANCIAL CONDITION AND RESULTS OF OPERATIONS</w:t>
      </w:r>
    </w:p>
    <w:p>
      <w:pPr>
        <w:spacing w:after="0" w:line="83" w:lineRule="exact"/>
        <w:rPr>
          <w:sz w:val="20"/>
          <w:szCs w:val="20"/>
          <w:color w:val="auto"/>
        </w:rPr>
      </w:pPr>
    </w:p>
    <w:p>
      <w:pPr>
        <w:ind w:right="380" w:firstLine="509"/>
        <w:spacing w:after="0" w:line="235" w:lineRule="auto"/>
        <w:rPr>
          <w:sz w:val="20"/>
          <w:szCs w:val="20"/>
          <w:color w:val="auto"/>
        </w:rPr>
      </w:pPr>
      <w:r>
        <w:rPr>
          <w:rFonts w:ascii="Calibri" w:cs="Calibri" w:eastAsia="Calibri" w:hAnsi="Calibri"/>
          <w:sz w:val="18"/>
          <w:szCs w:val="18"/>
          <w:i w:val="1"/>
          <w:iCs w:val="1"/>
          <w:color w:val="auto"/>
        </w:rPr>
        <w:t>You should read the following discussion and analysis of our fnancial conditon and results of operatons together with our Consolidated Financial Statements and related notes included elsewhere in this Annual Report.</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i w:val="1"/>
          <w:iCs w:val="1"/>
          <w:color w:val="auto"/>
        </w:rPr>
        <w:t>This discussion and analysis generally covers our fnancial conditon and results of operatons for the year ended December 31, 2024, including year-over-year comparisons versus the year ended December 31, 2023. Our Annual Report on Form 10-K for the year ended December 31, 2023 includes a discussion and analysis of our fnancial conditon and results of operatons for the year ended December 31, 2022 in "Part II, Item 7. Management’s Discussion and Analysis of Financial Conditon and Results of Operatons.”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Overview</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Ultragenyx Pharmaceutcal Inc., we or the Company, is a biopharmaceutcal company commited to bringing novel products to patents for the treatment of serious rare and ultrarare genetc diseases. We have built a diverse portolio of approved therapies and product candidates aimed at addressing diseases with high unmet medical need and clear biology for treatment, for which there are typically no approved therapies treatng the underlying disease. Our strategy is predicated upon tme- and cost-efcient drug development, with the goal of delivering safe and efectve therapies to patents with the utmost urgency.</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Approved Therapies and Clinical Product Candidates</w:t>
      </w:r>
    </w:p>
    <w:p>
      <w:pPr>
        <w:spacing w:after="0" w:line="82"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Our current approved therapies and clinical-stage pipeline consist of four product categories: biologics, small molecules, AAV gene therapy, and nucleic acid product candidates. We have four commercially approved products, consistng of Crysvita® (burosumab) for the treatment of X-linked hypophosphatemia, or XLH, and tumor-induced osteomalacia, or TIO, Mepsevii® (vestronidase alfa) for the treatment of mucopolysaccharidosis VII, or MPSVII or Sly Syndrome, Dojolvi® (triheptanoin) for the treatment of long-chain faty acid oxidaton disorders, or LC-FAOD, and Evkeeza® (evinacumab) for the treatment of homozygous familial hypercholesterolemia, or HoFH. Please see “Item 1. Business” above for a descripton of our approved products and our clinical stage pipeline products.</w:t>
      </w: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Financial Operatons Overview</w:t>
      </w:r>
    </w:p>
    <w:p>
      <w:pPr>
        <w:spacing w:after="0" w:line="8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We are a biopharmaceutcal company with a limited operatng history. To date, we have invested substantally all of our eforts and fnancial resources in identfying, acquiring, and developing our products and product candidates, including conductng clinical studies and providing selling, general and administratve support for these operatons. To date, we have funded our operatons primarily from the sale of our equity securites, revenues from our commercial products, the sale of certain future royaltes, and strategic collaboraton arrangements.</w:t>
      </w:r>
    </w:p>
    <w:p>
      <w:pPr>
        <w:spacing w:after="0" w:line="84"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We have incurred net losses in each year since incepton. Our net losses were $569.2 million and $606.6 million for the years ended December 31, 2024 and 2023, respectvely. Substantally all of our net losses have resulted from costs incurred in connecton with our research and development programs and from selling, general and administratve costs associated with our operatons.</w:t>
      </w:r>
    </w:p>
    <w:p>
      <w:pPr>
        <w:spacing w:after="0" w:line="84"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For the year ended December 31, 2024, our total revenues increased to $560.2 million, compared to $434.2 million for the same period in 2023. The increase in revenue was driven by higher demand for our approved products.</w:t>
      </w:r>
    </w:p>
    <w:p>
      <w:pPr>
        <w:spacing w:after="0" w:line="78"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As of December 31, 2024, we had $745.0 million in available cash, cash equivalents and marketable debt securites.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Critcal Accountng Policies and Signifcant Judgments and Estmates</w:t>
      </w:r>
    </w:p>
    <w:p>
      <w:pPr>
        <w:spacing w:after="0" w:line="109"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Our management’s discussion and analysis of our fnancial conditon and results of operatons is based on our Consolidated Financial Statements, which have been prepared in accordance with U.S. generally accepted accountng principles, or GAAP. The preparaton of these Consolidated Financial Statements requires us to make estmates and assumptons that afect the reported amounts of assets and liabilites and the disclosure of contngent assets and liabilites at the date of the fnancial statements, as well as the reported expenses incurred during the reportng periods. Our estmates are based on our historical experience and on various other factors that we believe are reasonable under the circumstances, the results of which form the basis for making judgments about the carrying value of assets and liabilites that are not readily apparent from other sources. Actual results may difer from these estmates under diferent assumptons or conditons. We periodically review our estmates as a result of changes in circumstances, facts and experience. The efects of material revisions in estmates are refected in the fnancial statements prospectvely from the date of the change in estmate. Our signifcant accountng policies are more fully described in “Note 2. Summary of Signifcant Accountng Policies” to our fnancial statements included elsewhere in this Annual Report.</w:t>
      </w:r>
    </w:p>
    <w:p>
      <w:pPr>
        <w:spacing w:after="0" w:line="4"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71" w:name="page72"/>
    <w:bookmarkEnd w:id="71"/>
    <w:p>
      <w:pPr>
        <w:ind w:right="20" w:firstLine="509"/>
        <w:spacing w:after="0" w:line="235" w:lineRule="auto"/>
        <w:rPr>
          <w:sz w:val="20"/>
          <w:szCs w:val="20"/>
          <w:color w:val="auto"/>
        </w:rPr>
      </w:pPr>
      <w:r>
        <w:rPr>
          <w:rFonts w:ascii="Calibri" w:cs="Calibri" w:eastAsia="Calibri" w:hAnsi="Calibri"/>
          <w:sz w:val="18"/>
          <w:szCs w:val="18"/>
          <w:color w:val="auto"/>
        </w:rPr>
        <w:t>We defne our critcal accountng policies as those GAAP accountng principles that require us to make subjectve estmates and judgments about maters that are uncertain and are likely to have a material impact on our fnancial conditon and results of operatons as well as the specifc manner in which we apply those principles. We believe the critcal accountng policies used in the preparaton of our fnancial statements that require signifcant estmates and judgments are as follows: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Accrued Research and Development, and Research and Development Expenses</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As part of the process of preparing consolidated fnancial statements, we are required to estmate and accrue expenses, the largest of which is related to accrued research and development expenses. This process involves reviewing contracts and purchase orders, identfying services that have been performed on our behalf, and estmatng the level of service performed and the associated cost incurred for the service when we have not yet been invoiced or otherwise notfed of the actual costs.</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record accruals for estmated costs of research, preclinical and clinical studies, and manufacturing development. These costs are a signifcant component of our research and development expenses. A substantal porton of our ongoing research and development actvites is conducted by third-party service providers. We accrue the costs incurred under our agreements with these third partes based on actual work completed in accordance with agreements established with these third partes. We determine the actual costs through discussions with internal personnel and external service providers as to the progress or stage of completon of the services and the agreed-upon fee to be paid for such services. We make judgments and estmates in determining the accrual balance in each reportng period. As actual costs become known, we adjust our accruals. Although we do not expect our estmates to be materially diferent from amounts actually incurred, our understanding of the status and tming of services performed relatve to the actual status and tming of services performed may vary and could result in us reportng amounts that are too high or too low in any partcular period. Our accrual is dependent, in part, upon the receipt of tmely and accurate reportng from clinical research organizatons and other third-party vendors.</w:t>
      </w:r>
    </w:p>
    <w:p>
      <w:pPr>
        <w:spacing w:after="0" w:line="89"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Research and development costs are expensed as incurred and consist of salaries and benefts, stock-based compensaton, lab supplies, materials and facility costs, as well as fees paid to other nonemployees and enttes that conduct certain research and development actvites on our behalf. Amounts incurred in connecton with collaboraton and license agreements are also included in research and development expense. Payments made prior to the receipt of goods or services to be used in research and development are capitalized untl the goods or services are received.</w:t>
      </w:r>
    </w:p>
    <w:p>
      <w:pPr>
        <w:spacing w:after="0" w:line="84"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To date, there have been no material diferences from our accrued estmated expenses to the actual clinical trial expenses; however, due to the nature of estmates, we cannot assure you that we will not make changes to our estmates in the future as we become aware of additonal informaton about the status or conduct of our clinical studies and other research actvites.</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Revenue Recogniton</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Product Sales</w:t>
      </w:r>
    </w:p>
    <w:p>
      <w:pPr>
        <w:spacing w:after="0" w:line="82" w:lineRule="exact"/>
        <w:rPr>
          <w:sz w:val="20"/>
          <w:szCs w:val="20"/>
          <w:color w:val="auto"/>
        </w:rPr>
      </w:pPr>
    </w:p>
    <w:p>
      <w:pPr>
        <w:ind w:right="120" w:firstLine="530"/>
        <w:spacing w:after="0" w:line="235" w:lineRule="auto"/>
        <w:rPr>
          <w:sz w:val="20"/>
          <w:szCs w:val="20"/>
          <w:color w:val="auto"/>
        </w:rPr>
      </w:pPr>
      <w:r>
        <w:rPr>
          <w:rFonts w:ascii="Calibri" w:cs="Calibri" w:eastAsia="Calibri" w:hAnsi="Calibri"/>
          <w:sz w:val="18"/>
          <w:szCs w:val="18"/>
          <w:color w:val="auto"/>
        </w:rPr>
        <w:t xml:space="preserve">We sell our approved products through a limited number of distributors. Under Accountng Standards Codifcaton, or ASC, 606, </w:t>
      </w:r>
      <w:r>
        <w:rPr>
          <w:rFonts w:ascii="Calibri" w:cs="Calibri" w:eastAsia="Calibri" w:hAnsi="Calibri"/>
          <w:sz w:val="18"/>
          <w:szCs w:val="18"/>
          <w:i w:val="1"/>
          <w:iCs w:val="1"/>
          <w:color w:val="auto"/>
        </w:rPr>
        <w:t>Revenue from</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Contracts with Customers</w:t>
      </w:r>
      <w:r>
        <w:rPr>
          <w:rFonts w:ascii="Calibri" w:cs="Calibri" w:eastAsia="Calibri" w:hAnsi="Calibri"/>
          <w:sz w:val="18"/>
          <w:szCs w:val="18"/>
          <w:color w:val="auto"/>
        </w:rPr>
        <w:t>, revenue from product sales is recognized at the point in tme when control is transferred to these distributors. We also recognize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revenue from sales of certain products on a “named patent” basis, which are allowed in certain countries prior to the commercial approval of the product. Prior to recognizing revenue, we make estmates of the transacton price, including any variable consideraton that is subject to a constraint. Amounts of variable consideraton are included in the transacton price to the extent that it is probable that a signifcant reversal in the amount of cumulatve revenue recognized will not occur and when the uncertainty associated with the variable consideraton is subsequently resolved. Product sales are recorded net of estmated government-mandated rebates and chargebacks, estmated product returns, and other deductons.</w:t>
      </w:r>
    </w:p>
    <w:p>
      <w:pPr>
        <w:spacing w:after="0" w:line="87"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Provisions for returns and other adjustments are provided for in the period the related revenue is recorded, as estmated by management. These reserves are based on estmates of the amounts earned or to be claimed on the related sales and are reviewed periodically and adjusted as necessary. Our estmates of government mandated rebates, chargebacks, estmated product returns, and other deductons depends on the identfcaton of key customer contract terms and conditons, negotated pricing, as well as estmates of sales volumes to diferent classes of payors. If actual results vary, we may need to adjust these estmates, which could have a material efect on earnings in the period of the adjustment.</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Collaboraton, License and Royalty Revenue</w:t>
      </w:r>
    </w:p>
    <w:p>
      <w:pPr>
        <w:spacing w:after="0" w:line="69" w:lineRule="exact"/>
        <w:rPr>
          <w:sz w:val="20"/>
          <w:szCs w:val="20"/>
          <w:color w:val="auto"/>
        </w:rPr>
      </w:pPr>
    </w:p>
    <w:p>
      <w:pPr>
        <w:ind w:right="180" w:firstLine="526"/>
        <w:spacing w:after="0" w:line="235" w:lineRule="auto"/>
        <w:rPr>
          <w:sz w:val="20"/>
          <w:szCs w:val="20"/>
          <w:color w:val="auto"/>
        </w:rPr>
      </w:pPr>
      <w:r>
        <w:rPr>
          <w:rFonts w:ascii="Calibri" w:cs="Calibri" w:eastAsia="Calibri" w:hAnsi="Calibri"/>
          <w:sz w:val="18"/>
          <w:szCs w:val="18"/>
          <w:color w:val="auto"/>
        </w:rPr>
        <w:t xml:space="preserve">We have certain license and collaboraton agreements that are within the scope of ASC 808, </w:t>
      </w:r>
      <w:r>
        <w:rPr>
          <w:rFonts w:ascii="Calibri" w:cs="Calibri" w:eastAsia="Calibri" w:hAnsi="Calibri"/>
          <w:sz w:val="18"/>
          <w:szCs w:val="18"/>
          <w:i w:val="1"/>
          <w:iCs w:val="1"/>
          <w:color w:val="auto"/>
        </w:rPr>
        <w:t>Collaboratve Agreements</w:t>
      </w:r>
      <w:r>
        <w:rPr>
          <w:rFonts w:ascii="Calibri" w:cs="Calibri" w:eastAsia="Calibri" w:hAnsi="Calibri"/>
          <w:sz w:val="18"/>
          <w:szCs w:val="18"/>
          <w:color w:val="auto"/>
        </w:rPr>
        <w:t>, which provides guidance on the presentaton and disclosure of collaboratve arrangements. Generally, the classifcaton of the transactons under the collaboratve arrangements is determined based on the nature of contractual terms of the arrangement, along with the nature of the operatons of the partcipants. We record our share of collaboraton revenue, net of transfer pricing related to net sales in the period in which such sales occur, if we are considered as an agent in the arrangement. We are considered an agent when</w:t>
      </w:r>
    </w:p>
    <w:p>
      <w:pPr>
        <w:jc w:val="center"/>
        <w:ind w:right="-19"/>
        <w:spacing w:after="0"/>
        <w:rPr>
          <w:sz w:val="20"/>
          <w:szCs w:val="20"/>
          <w:color w:val="auto"/>
        </w:rPr>
      </w:pPr>
      <w:r>
        <w:rPr>
          <w:rFonts w:ascii="Calibri" w:cs="Calibri" w:eastAsia="Calibri" w:hAnsi="Calibri"/>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2" w:name="page73"/>
    <w:bookmarkEnd w:id="72"/>
    <w:p>
      <w:pPr>
        <w:ind w:right="100"/>
        <w:spacing w:after="0" w:line="235" w:lineRule="auto"/>
        <w:rPr>
          <w:sz w:val="20"/>
          <w:szCs w:val="20"/>
          <w:color w:val="auto"/>
        </w:rPr>
      </w:pPr>
      <w:r>
        <w:rPr>
          <w:rFonts w:ascii="Calibri" w:cs="Calibri" w:eastAsia="Calibri" w:hAnsi="Calibri"/>
          <w:sz w:val="18"/>
          <w:szCs w:val="18"/>
          <w:color w:val="auto"/>
        </w:rPr>
        <w:t>the collaboraton partner controls the product before transfer to the customers and has the ability to direct the use of and obtain substantally all of the remaining benefts from the product. Funding received related to research and development services and commercializaton costs is generally classifed as a reducton of research and development expenses and selling, general and administratve expenses, respectvely, in the Consolidated Statement of Operatons, because the provision of such services for collaboratve partners are not considered to be part of our ongoing major or central operatons.</w:t>
      </w:r>
    </w:p>
    <w:p>
      <w:pPr>
        <w:spacing w:after="0" w:line="80" w:lineRule="exact"/>
        <w:rPr>
          <w:sz w:val="20"/>
          <w:szCs w:val="20"/>
          <w:color w:val="auto"/>
        </w:rPr>
      </w:pPr>
    </w:p>
    <w:p>
      <w:pPr>
        <w:ind w:left="540"/>
        <w:spacing w:after="0"/>
        <w:rPr>
          <w:sz w:val="20"/>
          <w:szCs w:val="20"/>
          <w:color w:val="auto"/>
        </w:rPr>
      </w:pPr>
      <w:r>
        <w:rPr>
          <w:rFonts w:ascii="Calibri" w:cs="Calibri" w:eastAsia="Calibri" w:hAnsi="Calibri"/>
          <w:sz w:val="18"/>
          <w:szCs w:val="18"/>
          <w:color w:val="auto"/>
        </w:rPr>
        <w:t>We also record royalty revenues under certain of our license or collaboraton agreements in exchange for license of intellectual property.</w:t>
      </w:r>
    </w:p>
    <w:p>
      <w:pPr>
        <w:spacing w:after="0" w:line="69" w:lineRule="exact"/>
        <w:rPr>
          <w:sz w:val="20"/>
          <w:szCs w:val="20"/>
          <w:color w:val="auto"/>
        </w:rPr>
      </w:pPr>
    </w:p>
    <w:p>
      <w:pPr>
        <w:ind w:right="40" w:firstLine="526"/>
        <w:spacing w:after="0" w:line="235" w:lineRule="auto"/>
        <w:rPr>
          <w:sz w:val="20"/>
          <w:szCs w:val="20"/>
          <w:color w:val="auto"/>
        </w:rPr>
      </w:pPr>
      <w:r>
        <w:rPr>
          <w:rFonts w:ascii="Calibri" w:cs="Calibri" w:eastAsia="Calibri" w:hAnsi="Calibri"/>
          <w:sz w:val="18"/>
          <w:szCs w:val="18"/>
          <w:color w:val="auto"/>
        </w:rPr>
        <w:t>We utlize certain informaton from our collaboraton partners to record collaboraton revenue, including revenue from the sale of the product, associated reserves on revenue, and costs incurred for development and sales actvites. For the periods covered in the fnancial statements presented, there have been no material changes to prior period estmates of revenues and expenses.</w:t>
      </w:r>
    </w:p>
    <w:p>
      <w:pPr>
        <w:spacing w:after="0" w:line="70" w:lineRule="exact"/>
        <w:rPr>
          <w:sz w:val="20"/>
          <w:szCs w:val="20"/>
          <w:color w:val="auto"/>
        </w:rPr>
      </w:pPr>
    </w:p>
    <w:p>
      <w:pPr>
        <w:ind w:right="40" w:firstLine="526"/>
        <w:spacing w:after="0" w:line="235" w:lineRule="auto"/>
        <w:rPr>
          <w:sz w:val="20"/>
          <w:szCs w:val="20"/>
          <w:color w:val="auto"/>
        </w:rPr>
      </w:pPr>
      <w:r>
        <w:rPr>
          <w:rFonts w:ascii="Calibri" w:cs="Calibri" w:eastAsia="Calibri" w:hAnsi="Calibri"/>
          <w:sz w:val="18"/>
          <w:szCs w:val="18"/>
          <w:color w:val="auto"/>
        </w:rPr>
        <w:t>We sold the right to receive certain royalty payments from net sales of Crysvita in certain territories to RPI Finance Trust, or RPI, an afliate of Royalty Pharma, and to OCM LS23 Holdings LP, an investment vehicle for Ontario Municipal Employees Retrement System, or OMERS, as further described in “Liabilites for Sales of Future Royaltes” below.</w:t>
      </w:r>
    </w:p>
    <w:p>
      <w:pPr>
        <w:spacing w:after="0" w:line="84" w:lineRule="exact"/>
        <w:rPr>
          <w:sz w:val="20"/>
          <w:szCs w:val="20"/>
          <w:color w:val="auto"/>
        </w:rPr>
      </w:pPr>
    </w:p>
    <w:p>
      <w:pPr>
        <w:ind w:right="300" w:firstLine="526"/>
        <w:spacing w:after="0" w:line="235" w:lineRule="auto"/>
        <w:rPr>
          <w:sz w:val="20"/>
          <w:szCs w:val="20"/>
          <w:color w:val="auto"/>
        </w:rPr>
      </w:pPr>
      <w:r>
        <w:rPr>
          <w:rFonts w:ascii="Calibri" w:cs="Calibri" w:eastAsia="Calibri" w:hAnsi="Calibri"/>
          <w:sz w:val="18"/>
          <w:szCs w:val="18"/>
          <w:color w:val="auto"/>
        </w:rPr>
        <w:t>We record the royalty revenue from the net sales of Crysvita in the applicable territories on a prospectve basis as non-cash royalty revenue in the Consolidated Statements of Operatons over the term of the applicable arrangement.</w:t>
      </w:r>
    </w:p>
    <w:p>
      <w:pPr>
        <w:spacing w:after="0" w:line="69" w:lineRule="exact"/>
        <w:rPr>
          <w:sz w:val="20"/>
          <w:szCs w:val="20"/>
          <w:color w:val="auto"/>
        </w:rPr>
      </w:pPr>
    </w:p>
    <w:p>
      <w:pPr>
        <w:ind w:firstLine="530"/>
        <w:spacing w:after="0" w:line="235" w:lineRule="auto"/>
        <w:rPr>
          <w:sz w:val="20"/>
          <w:szCs w:val="20"/>
          <w:color w:val="auto"/>
        </w:rPr>
      </w:pPr>
      <w:r>
        <w:rPr>
          <w:rFonts w:ascii="Calibri" w:cs="Calibri" w:eastAsia="Calibri" w:hAnsi="Calibri"/>
          <w:sz w:val="18"/>
          <w:szCs w:val="18"/>
          <w:color w:val="auto"/>
        </w:rPr>
        <w:t xml:space="preserve">The terms of our collaboraton and license agreements may contain multple performance obligatons, which may include licenses and research and development actvites. We evaluate these agreements under ASC 606, </w:t>
      </w:r>
      <w:r>
        <w:rPr>
          <w:rFonts w:ascii="Calibri" w:cs="Calibri" w:eastAsia="Calibri" w:hAnsi="Calibri"/>
          <w:sz w:val="18"/>
          <w:szCs w:val="18"/>
          <w:i w:val="1"/>
          <w:iCs w:val="1"/>
          <w:color w:val="auto"/>
        </w:rPr>
        <w:t>Revenue from Contracts with Customers</w:t>
      </w:r>
      <w:r>
        <w:rPr>
          <w:rFonts w:ascii="Calibri" w:cs="Calibri" w:eastAsia="Calibri" w:hAnsi="Calibri"/>
          <w:sz w:val="18"/>
          <w:szCs w:val="18"/>
          <w:color w:val="auto"/>
        </w:rPr>
        <w:t>, to determine the distnct performance obligatons. We analogize to ASC 606 for the accountng for distnct performance obligatons for which there is a customer relatonship. Prior to recognizing revenue, we make estmates of the transacton price, including variable consideraton that is subject to a constraint. Amounts of variable consideraton are included in the transacton price to the extent that it is probable that a signifcant reversal in the amount of cumulatve revenue recognized will not occur and when the uncertainty associated with the variable consideraton is subsequently resolved. Total consideraton may include nonrefundable upfront license fees, payments for research and development actvites, reimbursement of certain third-party costs, payments based upon the achievement of specifed milestones, and royalty payments based on product sales derived from the collaboraton.</w:t>
      </w:r>
    </w:p>
    <w:p>
      <w:pPr>
        <w:spacing w:after="0" w:line="74" w:lineRule="exact"/>
        <w:rPr>
          <w:sz w:val="20"/>
          <w:szCs w:val="20"/>
          <w:color w:val="auto"/>
        </w:rPr>
      </w:pPr>
    </w:p>
    <w:p>
      <w:pPr>
        <w:ind w:right="20" w:firstLine="530"/>
        <w:spacing w:after="0" w:line="235" w:lineRule="auto"/>
        <w:rPr>
          <w:sz w:val="20"/>
          <w:szCs w:val="20"/>
          <w:color w:val="auto"/>
        </w:rPr>
      </w:pPr>
      <w:r>
        <w:rPr>
          <w:rFonts w:ascii="Calibri" w:cs="Calibri" w:eastAsia="Calibri" w:hAnsi="Calibri"/>
          <w:sz w:val="18"/>
          <w:szCs w:val="18"/>
          <w:color w:val="auto"/>
        </w:rPr>
        <w:t>If there are multple distnct performance obligatons, we allocate the transacton price to each distnct performance obligaton based on our relatve standalone selling price. The standalone selling price is generally determined based on the prices charged to customers or using expected cost-plus margin. We estmate the eforts needed to complete the performance obligatons and recognize revenue by measuring the progress towards complete satsfacton of the performance obligatons using input measures.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Inventory</w:t>
      </w:r>
    </w:p>
    <w:p>
      <w:pPr>
        <w:spacing w:after="0" w:line="82" w:lineRule="exact"/>
        <w:rPr>
          <w:sz w:val="20"/>
          <w:szCs w:val="20"/>
          <w:color w:val="auto"/>
        </w:rPr>
      </w:pPr>
    </w:p>
    <w:p>
      <w:pPr>
        <w:jc w:val="both"/>
        <w:ind w:right="20" w:firstLine="509"/>
        <w:spacing w:after="0" w:line="254" w:lineRule="auto"/>
        <w:rPr>
          <w:sz w:val="20"/>
          <w:szCs w:val="20"/>
          <w:color w:val="auto"/>
        </w:rPr>
      </w:pPr>
      <w:r>
        <w:rPr>
          <w:rFonts w:ascii="Calibri" w:cs="Calibri" w:eastAsia="Calibri" w:hAnsi="Calibri"/>
          <w:sz w:val="17"/>
          <w:szCs w:val="17"/>
          <w:color w:val="auto"/>
        </w:rPr>
        <w:t>We expense costs associated with the manufacture of our products prior to regulatory approval. Typically, capitalizaton of such costs begins when we have received the regulatory approval of the product. Prior to the approval of our products by the U.S. Food and Drug Administraton, or FDA, manufacturing and related costs are expensed. As of December 31, 2024, we do not hold a material amount of previously expensed inventory for our approved products.</w:t>
      </w:r>
    </w:p>
    <w:p>
      <w:pPr>
        <w:spacing w:after="0" w:line="70" w:lineRule="exact"/>
        <w:rPr>
          <w:sz w:val="20"/>
          <w:szCs w:val="20"/>
          <w:color w:val="auto"/>
        </w:rPr>
      </w:pPr>
    </w:p>
    <w:p>
      <w:pPr>
        <w:ind w:right="480" w:firstLine="509"/>
        <w:spacing w:after="0" w:line="235" w:lineRule="auto"/>
        <w:rPr>
          <w:sz w:val="20"/>
          <w:szCs w:val="20"/>
          <w:color w:val="auto"/>
        </w:rPr>
      </w:pPr>
      <w:r>
        <w:rPr>
          <w:rFonts w:ascii="Calibri" w:cs="Calibri" w:eastAsia="Calibri" w:hAnsi="Calibri"/>
          <w:sz w:val="18"/>
          <w:szCs w:val="18"/>
          <w:color w:val="auto"/>
        </w:rPr>
        <w:t>Inventory that is manufactured afer regulatory approval is valued at the lower of cost and net realizable value and cost is determined using the average-cost method.</w:t>
      </w:r>
    </w:p>
    <w:p>
      <w:pPr>
        <w:spacing w:after="0" w:line="83" w:lineRule="exact"/>
        <w:rPr>
          <w:sz w:val="20"/>
          <w:szCs w:val="20"/>
          <w:color w:val="auto"/>
        </w:rPr>
      </w:pPr>
    </w:p>
    <w:p>
      <w:pPr>
        <w:ind w:right="360" w:firstLine="509"/>
        <w:spacing w:after="0" w:line="235" w:lineRule="auto"/>
        <w:rPr>
          <w:sz w:val="20"/>
          <w:szCs w:val="20"/>
          <w:color w:val="auto"/>
        </w:rPr>
      </w:pPr>
      <w:r>
        <w:rPr>
          <w:rFonts w:ascii="Calibri" w:cs="Calibri" w:eastAsia="Calibri" w:hAnsi="Calibri"/>
          <w:sz w:val="18"/>
          <w:szCs w:val="18"/>
          <w:color w:val="auto"/>
        </w:rPr>
        <w:t>We periodically review our inventories for excess amounts or obsolescence and write down obsolete or otherwise unmarketable inventory to the estmated net realizable value.</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Liabilites for Sales of Future Royaltes</w:t>
      </w:r>
    </w:p>
    <w:p>
      <w:pPr>
        <w:spacing w:after="0" w:line="82" w:lineRule="exact"/>
        <w:rPr>
          <w:sz w:val="20"/>
          <w:szCs w:val="20"/>
          <w:color w:val="auto"/>
        </w:rPr>
      </w:pPr>
    </w:p>
    <w:p>
      <w:pPr>
        <w:ind w:firstLine="526"/>
        <w:spacing w:after="0" w:line="235" w:lineRule="auto"/>
        <w:rPr>
          <w:sz w:val="20"/>
          <w:szCs w:val="20"/>
          <w:color w:val="auto"/>
        </w:rPr>
      </w:pPr>
      <w:r>
        <w:rPr>
          <w:rFonts w:ascii="Calibri" w:cs="Calibri" w:eastAsia="Calibri" w:hAnsi="Calibri"/>
          <w:sz w:val="18"/>
          <w:szCs w:val="18"/>
          <w:color w:val="auto"/>
        </w:rPr>
        <w:t>In December 2019, we entered into a Royalty Purchase Agreement with RPI. Pursuant to the agreement, RPI paid us $320.0 million in consideraton for our right to receive royalty payments on the net sales of Crysvita in the European Union, or the EU, the UK, and Switzerland, efectve January 1, 2020, under the terms of our Collaboraton and License Agreement with Kyowa Kirin Co., Ltd., or KKC. The agreement with RPI will automatcally terminate, and the payment of royaltes to RPI will cease, in the event aggregate royalty payments received by RPI are equal to or greater than the capped amount of $608.0 million prior to December 31, 2030, or in the event aggregate royalty payments received by RPI are less than $608.0 million prior to December 31, 2030, when aggregate royalty payments received by RPI are equal to $800.0 million.</w:t>
      </w:r>
    </w:p>
    <w:p>
      <w:pPr>
        <w:spacing w:after="0" w:line="73" w:lineRule="exact"/>
        <w:rPr>
          <w:sz w:val="20"/>
          <w:szCs w:val="20"/>
          <w:color w:val="auto"/>
        </w:rPr>
      </w:pPr>
    </w:p>
    <w:p>
      <w:pPr>
        <w:ind w:right="100" w:firstLine="526"/>
        <w:spacing w:after="0" w:line="235" w:lineRule="auto"/>
        <w:rPr>
          <w:sz w:val="20"/>
          <w:szCs w:val="20"/>
          <w:color w:val="auto"/>
        </w:rPr>
      </w:pPr>
      <w:r>
        <w:rPr>
          <w:rFonts w:ascii="Calibri" w:cs="Calibri" w:eastAsia="Calibri" w:hAnsi="Calibri"/>
          <w:sz w:val="18"/>
          <w:szCs w:val="18"/>
          <w:color w:val="auto"/>
        </w:rPr>
        <w:t>In July 2022, we entered into a Royalty Purchase Agreement with OMERS. Pursuant to the agreement, OMERS paid $500.0 million to us in consideraton for the right to receive 30% of the future royalty payments due to us from KKC based on net sales of Crysvita in the U.S. and Canada under the terms of the KKC Collaboraton Agreement. The calculaton of royalty payments to OMERS</w:t>
      </w:r>
    </w:p>
    <w:p>
      <w:pPr>
        <w:jc w:val="center"/>
        <w:ind w:right="-19"/>
        <w:spacing w:after="0" w:line="237" w:lineRule="auto"/>
        <w:rPr>
          <w:sz w:val="20"/>
          <w:szCs w:val="20"/>
          <w:color w:val="auto"/>
        </w:rPr>
      </w:pPr>
      <w:r>
        <w:rPr>
          <w:rFonts w:ascii="Calibri" w:cs="Calibri" w:eastAsia="Calibri" w:hAnsi="Calibri"/>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73" w:name="page74"/>
    <w:bookmarkEnd w:id="73"/>
    <w:p>
      <w:pPr>
        <w:ind w:right="160"/>
        <w:spacing w:after="0" w:line="235" w:lineRule="auto"/>
        <w:rPr>
          <w:sz w:val="20"/>
          <w:szCs w:val="20"/>
          <w:color w:val="auto"/>
        </w:rPr>
      </w:pPr>
      <w:r>
        <w:rPr>
          <w:rFonts w:ascii="Calibri" w:cs="Calibri" w:eastAsia="Calibri" w:hAnsi="Calibri"/>
          <w:sz w:val="18"/>
          <w:szCs w:val="18"/>
          <w:color w:val="auto"/>
        </w:rPr>
        <w:t>is based on net sales of Crysvita beginning in April 2023 and contnuing untl expiraton, which is the earlier of the date on which aggregate payments received by OMERS equals $725.0 million or the date the fnal royalty payment is made to us under the KKC Collaboraton Agreement. Proceeds from these transactons were recorded as liabilites (specifcally, liabilites for sales of future royaltes on the Consolidated Balance Sheets). We are amortzing $320.0 million and $500.0 million, net of transacton costs of $5.8 million and $9.1 million for RPI and OMERS, respectvely.</w:t>
      </w:r>
    </w:p>
    <w:p>
      <w:pPr>
        <w:spacing w:after="0" w:line="84" w:lineRule="exact"/>
        <w:rPr>
          <w:sz w:val="20"/>
          <w:szCs w:val="20"/>
          <w:color w:val="auto"/>
        </w:rPr>
      </w:pPr>
    </w:p>
    <w:p>
      <w:pPr>
        <w:ind w:right="40" w:firstLine="526"/>
        <w:spacing w:after="0" w:line="235" w:lineRule="auto"/>
        <w:rPr>
          <w:sz w:val="20"/>
          <w:szCs w:val="20"/>
          <w:color w:val="auto"/>
        </w:rPr>
      </w:pPr>
      <w:r>
        <w:rPr>
          <w:rFonts w:ascii="Calibri" w:cs="Calibri" w:eastAsia="Calibri" w:hAnsi="Calibri"/>
          <w:sz w:val="18"/>
          <w:szCs w:val="18"/>
          <w:color w:val="auto"/>
        </w:rPr>
        <w:t>We record the royalty revenue arising from the net sales of Crysvita in the applicable territories as non-cash royalty revenue in the Consolidated Statements of Operatons over the term of the arrangements. Our efectve annual interest rates were 6.2% and 7.5%, for RPI and OMERS, respectvely, as of December 31, 2024.</w:t>
      </w:r>
    </w:p>
    <w:p>
      <w:pPr>
        <w:spacing w:after="0" w:line="70" w:lineRule="exact"/>
        <w:rPr>
          <w:sz w:val="20"/>
          <w:szCs w:val="20"/>
          <w:color w:val="auto"/>
        </w:rPr>
      </w:pPr>
    </w:p>
    <w:p>
      <w:pPr>
        <w:ind w:firstLine="526"/>
        <w:spacing w:after="0" w:line="235" w:lineRule="auto"/>
        <w:rPr>
          <w:sz w:val="20"/>
          <w:szCs w:val="20"/>
          <w:color w:val="auto"/>
        </w:rPr>
      </w:pPr>
      <w:r>
        <w:rPr>
          <w:rFonts w:ascii="Calibri" w:cs="Calibri" w:eastAsia="Calibri" w:hAnsi="Calibri"/>
          <w:sz w:val="18"/>
          <w:szCs w:val="18"/>
          <w:color w:val="auto"/>
        </w:rPr>
        <w:t>There are a number of factors that could materially afect the amount and tming of royalty payments from KKC in the applicable territories, most of which are not within our control. Such factors include, but are not limited to, the success of KKC’s sales and promoton of Crysvita, changing standards of care, macroeconomic and infatonary pressures, the introducton of competng products, pricing for reimbursement in various territories, manufacturing or other delays, intellectual property maters, adverse events that result in governmental health authority imposed restrictons on the use of Crysvita, signifcant changes in foreign exchange rates as the royalty payments are made in U.S. dollars, or USD, while signifcant portons of the underlying sales of Crysvita are made in currencies other than USD, and other events or circumstances that could result in reduced royalty payments from sales of Crysvita, all of which would result in a reducton of non-cash royalty revenue and the non-cash interest expense over the life of the arrangement. Conversely, if sales of Crysvita in the relevant territories are more than expected, the non-cash royalty revenue and the non-cash interest expense recorded by us would be greater over the term of the arrangements.</w:t>
      </w:r>
    </w:p>
    <w:p>
      <w:pPr>
        <w:spacing w:after="0" w:line="24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Stock-Based Compensaton</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Stock-based compensaton costs related to equity awards granted to employees are measured at the date of grant based on the estmated fair value of the award, net of estmated forfeitures. We estmate the grant date fair value of optons, and the resultng stock-based compensaton expense, using the Black-Scholes opton-pricing model. The grant date fair value of the stock-based awards is recognized on a straight-line basis over the requisite service period, which is generally the vestng period of the respectve awards. We expect to contnue to grant equity awards in the future, and to the extent that we do, our actual stock-based compensaton expense will likely increase. The Black-Scholes opton-pricing model requires the use of certain subjectve assumptons which determine the estmated fair value of stock-based awards.</w:t>
      </w:r>
    </w:p>
    <w:p>
      <w:pPr>
        <w:spacing w:after="0" w:line="100" w:lineRule="exact"/>
        <w:rPr>
          <w:sz w:val="20"/>
          <w:szCs w:val="20"/>
          <w:color w:val="auto"/>
        </w:rPr>
      </w:pPr>
    </w:p>
    <w:p>
      <w:pPr>
        <w:ind w:left="900" w:right="20" w:hanging="383"/>
        <w:spacing w:after="0" w:line="235" w:lineRule="auto"/>
        <w:tabs>
          <w:tab w:leader="none" w:pos="900" w:val="left"/>
        </w:tabs>
        <w:numPr>
          <w:ilvl w:val="0"/>
          <w:numId w:val="33"/>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 xml:space="preserve">Expected Term </w:t>
      </w:r>
      <w:r>
        <w:rPr>
          <w:rFonts w:ascii="Calibri" w:cs="Calibri" w:eastAsia="Calibri" w:hAnsi="Calibri"/>
          <w:sz w:val="18"/>
          <w:szCs w:val="18"/>
          <w:color w:val="auto"/>
        </w:rPr>
        <w:t>— The expected term represents the period that the stock-based awards are expected to be outstanding and is determined using</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the simplifed method (based on the midpoint between the vestng date and the end of the contractual term).</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 xml:space="preserve">Expected Volatlity— </w:t>
      </w:r>
      <w:r>
        <w:rPr>
          <w:rFonts w:ascii="Calibri" w:cs="Calibri" w:eastAsia="Calibri" w:hAnsi="Calibri"/>
          <w:sz w:val="18"/>
          <w:szCs w:val="18"/>
          <w:color w:val="auto"/>
        </w:rPr>
        <w:t>The expected volatlity is based on historical volatlity over the look-back period corresponding to the expected term.</w:t>
      </w:r>
    </w:p>
    <w:p>
      <w:pPr>
        <w:spacing w:after="0" w:line="82"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Calibri" w:cs="Calibri" w:eastAsia="Calibri" w:hAnsi="Calibri"/>
          <w:sz w:val="17"/>
          <w:szCs w:val="17"/>
          <w:color w:val="auto"/>
        </w:rPr>
        <w:t>Strike price for optons, including performance stock optons, or PSOs, is equal to the closing market value of our common stock on the date of grant.</w:t>
      </w:r>
    </w:p>
    <w:p>
      <w:pPr>
        <w:spacing w:after="0" w:line="89"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In additon to the assumptons used in the Black-Scholes opton-pricing model, we also estmate a forfeiture rate to calculate the stock-based compensaton for our awards. We will contnue to use judgment in evaluatng the expected volatlity, expected terms, and forfeiture rates utlized for our stock-based compensaton calculatons on a prospectve basis and will revise in subsequent periods, if actual forfeitures difer from those estmates.</w:t>
      </w:r>
    </w:p>
    <w:p>
      <w:pPr>
        <w:spacing w:after="0" w:line="84"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For restricted stock units, or RSUs, and performance stock units, or PSUs, the fair value is based on the market value of our common stock on the date of grant, except for certain PSUs with a market vestng conditon, for which fair value is estmated using a Monte Carlo simulaton model. Stock-based compensaton expense for RSUs is recognized on a straight-line basis over the requisite service period. PSUs are subject to vest only if certain specifed criteria are achieved and the employees’ contnued service with the Company. For certain PSUs, the number of PSUs that may vest are also subject to the achievement of certain specifed criteria, including both performance conditons and market conditons. Compensaton expense for PSUs is recognized only afer the achievement of the specifed criteria is considered probable and recognized on a straight-line basis between the grant date and the expected vest date, with a catch-up for previously unrecognized expense, if any, recognized in the period the achievement criteria is deemed probable.</w:t>
      </w:r>
    </w:p>
    <w:p>
      <w:pPr>
        <w:spacing w:after="0" w:line="87" w:lineRule="exact"/>
        <w:rPr>
          <w:sz w:val="20"/>
          <w:szCs w:val="20"/>
          <w:color w:val="auto"/>
        </w:rPr>
      </w:pPr>
    </w:p>
    <w:p>
      <w:pPr>
        <w:jc w:val="both"/>
        <w:ind w:right="100" w:firstLine="509"/>
        <w:spacing w:after="0" w:line="235" w:lineRule="auto"/>
        <w:rPr>
          <w:sz w:val="20"/>
          <w:szCs w:val="20"/>
          <w:color w:val="auto"/>
        </w:rPr>
      </w:pPr>
      <w:r>
        <w:rPr>
          <w:rFonts w:ascii="Calibri" w:cs="Calibri" w:eastAsia="Calibri" w:hAnsi="Calibri"/>
          <w:sz w:val="18"/>
          <w:szCs w:val="18"/>
          <w:color w:val="auto"/>
        </w:rPr>
        <w:t>For the years ended December 31, 2024, 2023, and 2022, stock-based compensaton expense was $158.1 million, $135.2 million, and $130.4 million, respectvely. As of December 31, 2024, we had $256.8 million of total unrecognized stock-based compensaton costs, net of estmated forfeitures, which we expect to recognize over a weighted-average period of 2 years.</w:t>
      </w:r>
    </w:p>
    <w:p>
      <w:pPr>
        <w:jc w:val="center"/>
        <w:ind w:right="-39"/>
        <w:spacing w:after="0" w:line="237" w:lineRule="auto"/>
        <w:rPr>
          <w:sz w:val="20"/>
          <w:szCs w:val="20"/>
          <w:color w:val="auto"/>
        </w:rPr>
      </w:pPr>
      <w:r>
        <w:rPr>
          <w:rFonts w:ascii="Calibri" w:cs="Calibri" w:eastAsia="Calibri" w:hAnsi="Calibri"/>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6" w:right="359" w:bottom="1440" w:gutter="0" w:footer="0" w:header="0"/>
        </w:sectPr>
      </w:pPr>
    </w:p>
    <w:bookmarkStart w:id="74" w:name="page75"/>
    <w:bookmarkEnd w:id="74"/>
    <w:p>
      <w:pPr>
        <w:spacing w:after="0"/>
        <w:rPr>
          <w:sz w:val="20"/>
          <w:szCs w:val="20"/>
          <w:color w:val="auto"/>
        </w:rPr>
      </w:pPr>
      <w:r>
        <w:rPr>
          <w:rFonts w:ascii="Calibri" w:cs="Calibri" w:eastAsia="Calibri" w:hAnsi="Calibri"/>
          <w:sz w:val="18"/>
          <w:szCs w:val="18"/>
          <w:b w:val="1"/>
          <w:bCs w:val="1"/>
          <w:i w:val="1"/>
          <w:iCs w:val="1"/>
          <w:color w:val="auto"/>
        </w:rPr>
        <w:t>Income Taxes</w:t>
      </w:r>
    </w:p>
    <w:p>
      <w:pPr>
        <w:spacing w:after="0" w:line="82"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We use the liability method of accountng for income taxes. Under this method, deferred tax assets and liabilites are determined based on the diferences between the fnancial reportng and the tax bases of assets and liabilites and are measured using the enacted tax rates and laws that will be in efect when the diferences are expected to reverse. We assess the likelihood that the resultng deferred tax assets will be realized. A valuaton allowance is provided when it is more likely than not that some porton or all of a deferred tax asset will not be realized.</w:t>
      </w:r>
    </w:p>
    <w:p>
      <w:pPr>
        <w:spacing w:after="0" w:line="84"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We recognize benefts of uncertain tax positons if it is more likely than not that such positons will be sustained upon examinaton based solely on their technical merits, as the largest amount of beneft that is more likely than not to be realized upon the ultmate setlement. Our policy is to recognize interest and penaltes related to the underpayment of income taxes as a component of income tax expense or beneft. To date, there have been no interest or penaltes charged in relaton to the unrecognized tax benefts.</w:t>
      </w:r>
    </w:p>
    <w:p>
      <w:pPr>
        <w:spacing w:after="0" w:line="84"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As of December 31, 2024, our total gross deferred tax assets were $1,213.7 million. Due to our lack of earnings history and uncertaintes surrounding our ability to generate future taxable income, the net deferred tax assets have been fully ofset by a valuaton allowance. The deferred tax assets were primarily comprised of federal and state tax net operatng losses and tax credit carryforwards. Utlizaton of the net operatng loss and tax credit carryforwards may be subject to an annual limitaton due to historical or future ownership percentage change rules provided by the Internal Revenue Code of 1986, and similar state provisions. The annual limitaton may result in the expiraton of certain net operatng loss and tax credit carryforwards before their utlizaton.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780" w:type="dxa"/>
            <w:vAlign w:val="bottom"/>
            <w:gridSpan w:val="3"/>
          </w:tcPr>
          <w:p>
            <w:pPr>
              <w:spacing w:after="0"/>
              <w:rPr>
                <w:sz w:val="20"/>
                <w:szCs w:val="20"/>
                <w:color w:val="auto"/>
              </w:rPr>
            </w:pPr>
            <w:r>
              <w:rPr>
                <w:rFonts w:ascii="Calibri" w:cs="Calibri" w:eastAsia="Calibri" w:hAnsi="Calibri"/>
                <w:sz w:val="18"/>
                <w:szCs w:val="18"/>
                <w:b w:val="1"/>
                <w:bCs w:val="1"/>
                <w:color w:val="auto"/>
              </w:rPr>
              <w:t>Results of Operatons</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4780" w:type="dxa"/>
            <w:vAlign w:val="bottom"/>
            <w:gridSpan w:val="3"/>
          </w:tcPr>
          <w:p>
            <w:pPr>
              <w:spacing w:after="0"/>
              <w:rPr>
                <w:sz w:val="20"/>
                <w:szCs w:val="20"/>
                <w:color w:val="auto"/>
              </w:rPr>
            </w:pPr>
            <w:r>
              <w:rPr>
                <w:rFonts w:ascii="Calibri" w:cs="Calibri" w:eastAsia="Calibri" w:hAnsi="Calibri"/>
                <w:sz w:val="18"/>
                <w:szCs w:val="18"/>
                <w:b w:val="1"/>
                <w:bCs w:val="1"/>
                <w:i w:val="1"/>
                <w:iCs w:val="1"/>
                <w:color w:val="auto"/>
              </w:rPr>
              <w:t>Comparison of Years Ended December 31, 2024 and 2023</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780" w:type="dxa"/>
            <w:vAlign w:val="bottom"/>
            <w:gridSpan w:val="3"/>
          </w:tcPr>
          <w:p>
            <w:pPr>
              <w:spacing w:after="0"/>
              <w:rPr>
                <w:sz w:val="20"/>
                <w:szCs w:val="20"/>
                <w:color w:val="auto"/>
              </w:rPr>
            </w:pPr>
            <w:r>
              <w:rPr>
                <w:rFonts w:ascii="Calibri" w:cs="Calibri" w:eastAsia="Calibri" w:hAnsi="Calibri"/>
                <w:sz w:val="18"/>
                <w:szCs w:val="18"/>
                <w:i w:val="1"/>
                <w:iCs w:val="1"/>
                <w:color w:val="auto"/>
              </w:rPr>
              <w:t>Revenues (dollars in thousands)</w:t>
            </w: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58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right"/>
              <w:ind w:right="290"/>
              <w:spacing w:after="0"/>
              <w:rPr>
                <w:sz w:val="20"/>
                <w:szCs w:val="20"/>
                <w:color w:val="auto"/>
              </w:rPr>
            </w:pPr>
            <w:r>
              <w:rPr>
                <w:rFonts w:ascii="Calibri" w:cs="Calibri" w:eastAsia="Calibri" w:hAnsi="Calibri"/>
                <w:sz w:val="18"/>
                <w:szCs w:val="18"/>
                <w:b w:val="1"/>
                <w:bCs w:val="1"/>
                <w:color w:val="auto"/>
              </w:rPr>
              <w:t>Year Ended December 31,</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3"/>
          </w:tcPr>
          <w:p>
            <w:pPr>
              <w:jc w:val="center"/>
              <w:ind w:right="540"/>
              <w:spacing w:after="0"/>
              <w:rPr>
                <w:sz w:val="20"/>
                <w:szCs w:val="20"/>
                <w:color w:val="auto"/>
              </w:rPr>
            </w:pPr>
            <w:r>
              <w:rPr>
                <w:rFonts w:ascii="Calibri" w:cs="Calibri" w:eastAsia="Calibri" w:hAnsi="Calibri"/>
                <w:sz w:val="18"/>
                <w:szCs w:val="18"/>
                <w:b w:val="1"/>
                <w:bCs w:val="1"/>
                <w:color w:val="auto"/>
                <w:w w:val="97"/>
              </w:rPr>
              <w:t>Dollar</w:t>
            </w:r>
          </w:p>
        </w:tc>
        <w:tc>
          <w:tcPr>
            <w:tcW w:w="1420" w:type="dxa"/>
            <w:vAlign w:val="bottom"/>
          </w:tcPr>
          <w:p>
            <w:pPr>
              <w:ind w:left="420"/>
              <w:spacing w:after="0"/>
              <w:rPr>
                <w:sz w:val="20"/>
                <w:szCs w:val="20"/>
                <w:color w:val="auto"/>
              </w:rPr>
            </w:pPr>
            <w:r>
              <w:rPr>
                <w:rFonts w:ascii="Calibri" w:cs="Calibri" w:eastAsia="Calibri" w:hAnsi="Calibri"/>
                <w:sz w:val="18"/>
                <w:szCs w:val="18"/>
                <w:b w:val="1"/>
                <w:bCs w:val="1"/>
                <w:color w:val="auto"/>
              </w:rPr>
              <w:t>Percent</w:t>
            </w: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30"/>
              <w:spacing w:after="0" w:line="215" w:lineRule="exact"/>
              <w:rPr>
                <w:sz w:val="20"/>
                <w:szCs w:val="20"/>
                <w:color w:val="auto"/>
              </w:rPr>
            </w:pPr>
            <w:r>
              <w:rPr>
                <w:rFonts w:ascii="Calibri" w:cs="Calibri" w:eastAsia="Calibri" w:hAnsi="Calibri"/>
                <w:sz w:val="18"/>
                <w:szCs w:val="18"/>
                <w:b w:val="1"/>
                <w:bCs w:val="1"/>
                <w:color w:val="auto"/>
              </w:rPr>
              <w:t>2024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30"/>
              <w:spacing w:after="0" w:line="215" w:lineRule="exact"/>
              <w:rPr>
                <w:sz w:val="20"/>
                <w:szCs w:val="20"/>
                <w:color w:val="auto"/>
              </w:rPr>
            </w:pPr>
            <w:r>
              <w:rPr>
                <w:rFonts w:ascii="Calibri" w:cs="Calibri" w:eastAsia="Calibri" w:hAnsi="Calibri"/>
                <w:sz w:val="18"/>
                <w:szCs w:val="18"/>
                <w:b w:val="1"/>
                <w:bCs w:val="1"/>
                <w:color w:val="auto"/>
              </w:rPr>
              <w:t>2023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center"/>
              <w:ind w:right="520"/>
              <w:spacing w:after="0" w:line="193" w:lineRule="exact"/>
              <w:rPr>
                <w:sz w:val="20"/>
                <w:szCs w:val="20"/>
                <w:color w:val="auto"/>
              </w:rPr>
            </w:pPr>
            <w:r>
              <w:rPr>
                <w:rFonts w:ascii="Calibri" w:cs="Calibri" w:eastAsia="Calibri" w:hAnsi="Calibri"/>
                <w:sz w:val="18"/>
                <w:szCs w:val="18"/>
                <w:b w:val="1"/>
                <w:bCs w:val="1"/>
                <w:color w:val="auto"/>
                <w:w w:val="97"/>
              </w:rPr>
              <w:t>Change</w:t>
            </w:r>
          </w:p>
        </w:tc>
        <w:tc>
          <w:tcPr>
            <w:tcW w:w="1420" w:type="dxa"/>
            <w:vAlign w:val="bottom"/>
          </w:tcPr>
          <w:p>
            <w:pPr>
              <w:ind w:left="420"/>
              <w:spacing w:after="0" w:line="193" w:lineRule="exact"/>
              <w:rPr>
                <w:sz w:val="20"/>
                <w:szCs w:val="20"/>
                <w:color w:val="auto"/>
              </w:rPr>
            </w:pPr>
            <w:r>
              <w:rPr>
                <w:rFonts w:ascii="Calibri" w:cs="Calibri" w:eastAsia="Calibri" w:hAnsi="Calibri"/>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200" w:type="dxa"/>
            <w:vAlign w:val="bottom"/>
            <w:gridSpan w:val="2"/>
            <w:shd w:val="clear" w:color="auto" w:fill="CCECFF"/>
          </w:tcPr>
          <w:p>
            <w:pPr>
              <w:spacing w:after="0" w:line="210" w:lineRule="exact"/>
              <w:rPr>
                <w:sz w:val="20"/>
                <w:szCs w:val="20"/>
                <w:color w:val="auto"/>
              </w:rPr>
            </w:pPr>
            <w:r>
              <w:rPr>
                <w:rFonts w:ascii="Calibri" w:cs="Calibri" w:eastAsia="Calibri" w:hAnsi="Calibri"/>
                <w:sz w:val="18"/>
                <w:szCs w:val="18"/>
                <w:color w:val="auto"/>
              </w:rPr>
              <w:t>Product sales:</w:t>
            </w:r>
          </w:p>
        </w:tc>
        <w:tc>
          <w:tcPr>
            <w:tcW w:w="240" w:type="dxa"/>
            <w:vAlign w:val="bottom"/>
            <w:tcBorders>
              <w:top w:val="single" w:sz="8" w:color="auto"/>
            </w:tcBorders>
            <w:shd w:val="clear" w:color="auto" w:fill="CCECFF"/>
          </w:tcPr>
          <w:p>
            <w:pPr>
              <w:spacing w:after="0"/>
              <w:rPr>
                <w:sz w:val="18"/>
                <w:szCs w:val="18"/>
                <w:color w:val="auto"/>
              </w:rPr>
            </w:pPr>
          </w:p>
        </w:tc>
        <w:tc>
          <w:tcPr>
            <w:tcW w:w="940" w:type="dxa"/>
            <w:vAlign w:val="bottom"/>
            <w:tcBorders>
              <w:top w:val="single" w:sz="8" w:color="auto"/>
            </w:tcBorders>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260" w:type="dxa"/>
            <w:vAlign w:val="bottom"/>
            <w:tcBorders>
              <w:top w:val="single" w:sz="8" w:color="auto"/>
            </w:tcBorders>
            <w:shd w:val="clear" w:color="auto" w:fill="CCECFF"/>
          </w:tcPr>
          <w:p>
            <w:pPr>
              <w:spacing w:after="0"/>
              <w:rPr>
                <w:sz w:val="18"/>
                <w:szCs w:val="18"/>
                <w:color w:val="auto"/>
              </w:rPr>
            </w:pPr>
          </w:p>
        </w:tc>
        <w:tc>
          <w:tcPr>
            <w:tcW w:w="920" w:type="dxa"/>
            <w:vAlign w:val="bottom"/>
            <w:tcBorders>
              <w:top w:val="single" w:sz="8" w:color="auto"/>
            </w:tcBorders>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260" w:type="dxa"/>
            <w:vAlign w:val="bottom"/>
            <w:tcBorders>
              <w:top w:val="single" w:sz="8" w:color="auto"/>
            </w:tcBorders>
            <w:shd w:val="clear" w:color="auto" w:fill="CCECFF"/>
          </w:tcPr>
          <w:p>
            <w:pPr>
              <w:spacing w:after="0"/>
              <w:rPr>
                <w:sz w:val="18"/>
                <w:szCs w:val="18"/>
                <w:color w:val="auto"/>
              </w:rPr>
            </w:pPr>
          </w:p>
        </w:tc>
        <w:tc>
          <w:tcPr>
            <w:tcW w:w="1080" w:type="dxa"/>
            <w:vAlign w:val="bottom"/>
            <w:tcBorders>
              <w:top w:val="single" w:sz="8" w:color="auto"/>
            </w:tcBorders>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420" w:type="dxa"/>
            <w:vAlign w:val="bottom"/>
            <w:tcBorders>
              <w:top w:val="single" w:sz="8" w:color="auto"/>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200" w:type="dxa"/>
            <w:vAlign w:val="bottom"/>
            <w:gridSpan w:val="2"/>
          </w:tcPr>
          <w:p>
            <w:pPr>
              <w:ind w:left="100"/>
              <w:spacing w:after="0" w:line="215" w:lineRule="exact"/>
              <w:rPr>
                <w:sz w:val="20"/>
                <w:szCs w:val="20"/>
                <w:color w:val="auto"/>
              </w:rPr>
            </w:pPr>
            <w:r>
              <w:rPr>
                <w:rFonts w:ascii="Calibri" w:cs="Calibri" w:eastAsia="Calibri" w:hAnsi="Calibri"/>
                <w:sz w:val="18"/>
                <w:szCs w:val="18"/>
                <w:color w:val="auto"/>
              </w:rPr>
              <w:t>Crysvita</w:t>
            </w: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134,709</w:t>
            </w:r>
          </w:p>
        </w:tc>
        <w:tc>
          <w:tcPr>
            <w:tcW w:w="520" w:type="dxa"/>
            <w:vAlign w:val="bottom"/>
            <w:gridSpan w:val="3"/>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75,697</w:t>
            </w:r>
          </w:p>
        </w:tc>
        <w:tc>
          <w:tcPr>
            <w:tcW w:w="52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59,012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spacing w:after="0" w:line="215" w:lineRule="exact"/>
              <w:rPr>
                <w:sz w:val="20"/>
                <w:szCs w:val="20"/>
                <w:color w:val="auto"/>
              </w:rPr>
            </w:pPr>
            <w:r>
              <w:rPr>
                <w:rFonts w:ascii="Calibri" w:cs="Calibri" w:eastAsia="Calibri" w:hAnsi="Calibri"/>
                <w:sz w:val="18"/>
                <w:szCs w:val="18"/>
                <w:color w:val="auto"/>
              </w:rPr>
              <w:t>78%</w:t>
            </w: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200" w:type="dxa"/>
            <w:vAlign w:val="bottom"/>
            <w:gridSpan w:val="2"/>
            <w:shd w:val="clear" w:color="auto" w:fill="CCEEFF"/>
          </w:tcPr>
          <w:p>
            <w:pPr>
              <w:ind w:left="100"/>
              <w:spacing w:after="0" w:line="216" w:lineRule="exact"/>
              <w:rPr>
                <w:sz w:val="20"/>
                <w:szCs w:val="20"/>
                <w:color w:val="auto"/>
              </w:rPr>
            </w:pPr>
            <w:r>
              <w:rPr>
                <w:rFonts w:ascii="Calibri" w:cs="Calibri" w:eastAsia="Calibri" w:hAnsi="Calibri"/>
                <w:sz w:val="18"/>
                <w:szCs w:val="18"/>
                <w:color w:val="auto"/>
              </w:rPr>
              <w:t>Dojolvi</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88,194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70,633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17,561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line="216" w:lineRule="exact"/>
              <w:rPr>
                <w:sz w:val="20"/>
                <w:szCs w:val="20"/>
                <w:color w:val="auto"/>
              </w:rPr>
            </w:pPr>
            <w:r>
              <w:rPr>
                <w:rFonts w:ascii="Calibri" w:cs="Calibri" w:eastAsia="Calibri" w:hAnsi="Calibri"/>
                <w:sz w:val="18"/>
                <w:szCs w:val="18"/>
                <w:color w:val="auto"/>
              </w:rPr>
              <w:t>25%</w:t>
            </w: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200" w:type="dxa"/>
            <w:vAlign w:val="bottom"/>
            <w:gridSpan w:val="2"/>
          </w:tcPr>
          <w:p>
            <w:pPr>
              <w:ind w:left="100"/>
              <w:spacing w:after="0" w:line="215" w:lineRule="exact"/>
              <w:rPr>
                <w:sz w:val="20"/>
                <w:szCs w:val="20"/>
                <w:color w:val="auto"/>
              </w:rPr>
            </w:pPr>
            <w:r>
              <w:rPr>
                <w:rFonts w:ascii="Calibri" w:cs="Calibri" w:eastAsia="Calibri" w:hAnsi="Calibri"/>
                <w:sz w:val="18"/>
                <w:szCs w:val="18"/>
                <w:color w:val="auto"/>
              </w:rPr>
              <w:t>Evkeeza</w:t>
            </w:r>
          </w:p>
        </w:tc>
        <w:tc>
          <w:tcPr>
            <w:tcW w:w="24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32,162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3,642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28,520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spacing w:after="0" w:line="215" w:lineRule="exact"/>
              <w:rPr>
                <w:sz w:val="20"/>
                <w:szCs w:val="20"/>
                <w:color w:val="auto"/>
              </w:rPr>
            </w:pPr>
            <w:r>
              <w:rPr>
                <w:rFonts w:ascii="Calibri" w:cs="Calibri" w:eastAsia="Calibri" w:hAnsi="Calibri"/>
                <w:sz w:val="18"/>
                <w:szCs w:val="18"/>
                <w:color w:val="auto"/>
                <w:w w:val="88"/>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00" w:type="dxa"/>
            <w:vAlign w:val="bottom"/>
            <w:gridSpan w:val="2"/>
            <w:shd w:val="clear" w:color="auto" w:fill="CCEEFF"/>
          </w:tcPr>
          <w:p>
            <w:pPr>
              <w:ind w:left="100"/>
              <w:spacing w:after="0" w:line="216" w:lineRule="exact"/>
              <w:rPr>
                <w:sz w:val="20"/>
                <w:szCs w:val="20"/>
                <w:color w:val="auto"/>
              </w:rPr>
            </w:pPr>
            <w:r>
              <w:rPr>
                <w:rFonts w:ascii="Calibri" w:cs="Calibri" w:eastAsia="Calibri" w:hAnsi="Calibri"/>
                <w:sz w:val="18"/>
                <w:szCs w:val="18"/>
                <w:color w:val="auto"/>
              </w:rPr>
              <w:t>Mepsevii</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30,350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30,441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(91 )</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line="216" w:lineRule="exact"/>
              <w:rPr>
                <w:sz w:val="20"/>
                <w:szCs w:val="20"/>
                <w:color w:val="auto"/>
              </w:rPr>
            </w:pPr>
            <w:r>
              <w:rPr>
                <w:rFonts w:ascii="Calibri" w:cs="Calibri" w:eastAsia="Calibri" w:hAnsi="Calibri"/>
                <w:sz w:val="18"/>
                <w:szCs w:val="18"/>
                <w:color w:val="auto"/>
                <w:w w:val="90"/>
              </w:rPr>
              <w:t>0%</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200" w:type="dxa"/>
            <w:vAlign w:val="bottom"/>
            <w:tcBorders>
              <w:top w:val="single" w:sz="8" w:color="CCEEFF"/>
            </w:tcBorders>
            <w:gridSpan w:val="2"/>
          </w:tcPr>
          <w:p>
            <w:pPr>
              <w:ind w:left="180"/>
              <w:spacing w:after="0" w:line="209" w:lineRule="exact"/>
              <w:rPr>
                <w:sz w:val="20"/>
                <w:szCs w:val="20"/>
                <w:color w:val="auto"/>
              </w:rPr>
            </w:pPr>
            <w:r>
              <w:rPr>
                <w:rFonts w:ascii="Calibri" w:cs="Calibri" w:eastAsia="Calibri" w:hAnsi="Calibri"/>
                <w:sz w:val="18"/>
                <w:szCs w:val="18"/>
                <w:color w:val="auto"/>
              </w:rPr>
              <w:t>Total product sales</w:t>
            </w: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285,415</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180,413</w:t>
            </w: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105,002</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jc w:val="center"/>
              <w:spacing w:after="0" w:line="209" w:lineRule="exact"/>
              <w:rPr>
                <w:sz w:val="20"/>
                <w:szCs w:val="20"/>
                <w:color w:val="auto"/>
              </w:rPr>
            </w:pPr>
            <w:r>
              <w:rPr>
                <w:rFonts w:ascii="Calibri" w:cs="Calibri" w:eastAsia="Calibri" w:hAnsi="Calibri"/>
                <w:sz w:val="18"/>
                <w:szCs w:val="18"/>
                <w:color w:val="auto"/>
              </w:rPr>
              <w:t>58%</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200" w:type="dxa"/>
            <w:vAlign w:val="bottom"/>
            <w:tcBorders>
              <w:bottom w:val="single" w:sz="8" w:color="CCEEFF"/>
            </w:tcBorders>
            <w:gridSpan w:val="2"/>
            <w:shd w:val="clear" w:color="auto" w:fill="CCEEFF"/>
          </w:tcPr>
          <w:p>
            <w:pPr>
              <w:spacing w:after="0" w:line="209" w:lineRule="exact"/>
              <w:rPr>
                <w:sz w:val="20"/>
                <w:szCs w:val="20"/>
                <w:color w:val="auto"/>
              </w:rPr>
            </w:pPr>
            <w:r>
              <w:rPr>
                <w:rFonts w:ascii="Calibri" w:cs="Calibri" w:eastAsia="Calibri" w:hAnsi="Calibri"/>
                <w:sz w:val="18"/>
                <w:szCs w:val="18"/>
                <w:color w:val="auto"/>
              </w:rPr>
              <w:t>Crysvita royalty revenue</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line="209" w:lineRule="exact"/>
              <w:rPr>
                <w:sz w:val="20"/>
                <w:szCs w:val="20"/>
                <w:color w:val="auto"/>
              </w:rPr>
            </w:pPr>
            <w:r>
              <w:rPr>
                <w:rFonts w:ascii="Calibri" w:cs="Calibri" w:eastAsia="Calibri" w:hAnsi="Calibri"/>
                <w:sz w:val="18"/>
                <w:szCs w:val="18"/>
                <w:color w:val="auto"/>
              </w:rPr>
              <w:t>274,815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line="209" w:lineRule="exact"/>
              <w:rPr>
                <w:sz w:val="20"/>
                <w:szCs w:val="20"/>
                <w:color w:val="auto"/>
              </w:rPr>
            </w:pPr>
            <w:r>
              <w:rPr>
                <w:rFonts w:ascii="Calibri" w:cs="Calibri" w:eastAsia="Calibri" w:hAnsi="Calibri"/>
                <w:sz w:val="18"/>
                <w:szCs w:val="18"/>
                <w:color w:val="auto"/>
              </w:rPr>
              <w:t>182,652</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line="209" w:lineRule="exact"/>
              <w:rPr>
                <w:sz w:val="20"/>
                <w:szCs w:val="20"/>
                <w:color w:val="auto"/>
              </w:rPr>
            </w:pPr>
            <w:r>
              <w:rPr>
                <w:rFonts w:ascii="Calibri" w:cs="Calibri" w:eastAsia="Calibri" w:hAnsi="Calibri"/>
                <w:sz w:val="18"/>
                <w:szCs w:val="18"/>
                <w:color w:val="auto"/>
              </w:rPr>
              <w:t>92,163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center"/>
              <w:spacing w:after="0" w:line="209" w:lineRule="exact"/>
              <w:rPr>
                <w:sz w:val="20"/>
                <w:szCs w:val="20"/>
                <w:color w:val="auto"/>
              </w:rPr>
            </w:pPr>
            <w:r>
              <w:rPr>
                <w:rFonts w:ascii="Calibri" w:cs="Calibri" w:eastAsia="Calibri" w:hAnsi="Calibri"/>
                <w:sz w:val="18"/>
                <w:szCs w:val="18"/>
                <w:color w:val="auto"/>
              </w:rPr>
              <w:t>50%</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200" w:type="dxa"/>
            <w:vAlign w:val="bottom"/>
            <w:gridSpan w:val="2"/>
          </w:tcPr>
          <w:p>
            <w:pPr>
              <w:spacing w:after="0" w:line="209" w:lineRule="exact"/>
              <w:rPr>
                <w:sz w:val="20"/>
                <w:szCs w:val="20"/>
                <w:color w:val="auto"/>
              </w:rPr>
            </w:pPr>
            <w:r>
              <w:rPr>
                <w:rFonts w:ascii="Calibri" w:cs="Calibri" w:eastAsia="Calibri" w:hAnsi="Calibri"/>
                <w:sz w:val="18"/>
                <w:szCs w:val="18"/>
                <w:color w:val="auto"/>
              </w:rPr>
              <w:t>Collaboraton and license revenue:</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4200" w:type="dxa"/>
            <w:vAlign w:val="bottom"/>
            <w:gridSpan w:val="2"/>
            <w:shd w:val="clear" w:color="auto" w:fill="CCECFF"/>
          </w:tcPr>
          <w:p>
            <w:pPr>
              <w:ind w:left="100"/>
              <w:spacing w:after="0" w:line="194" w:lineRule="exact"/>
              <w:rPr>
                <w:sz w:val="20"/>
                <w:szCs w:val="20"/>
                <w:color w:val="auto"/>
              </w:rPr>
            </w:pPr>
            <w:r>
              <w:rPr>
                <w:rFonts w:ascii="Calibri" w:cs="Calibri" w:eastAsia="Calibri" w:hAnsi="Calibri"/>
                <w:sz w:val="18"/>
                <w:szCs w:val="18"/>
                <w:color w:val="auto"/>
              </w:rPr>
              <w:t>Crysvita collaboraton revenue in Proft-Share</w:t>
            </w:r>
          </w:p>
        </w:tc>
        <w:tc>
          <w:tcPr>
            <w:tcW w:w="240" w:type="dxa"/>
            <w:vAlign w:val="bottom"/>
            <w:shd w:val="clear" w:color="auto" w:fill="CCECFF"/>
          </w:tcPr>
          <w:p>
            <w:pPr>
              <w:spacing w:after="0"/>
              <w:rPr>
                <w:sz w:val="16"/>
                <w:szCs w:val="16"/>
                <w:color w:val="auto"/>
              </w:rPr>
            </w:pPr>
          </w:p>
        </w:tc>
        <w:tc>
          <w:tcPr>
            <w:tcW w:w="94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2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108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160" w:type="dxa"/>
            <w:vAlign w:val="bottom"/>
            <w:shd w:val="clear" w:color="auto" w:fill="CCECFF"/>
          </w:tcPr>
          <w:p>
            <w:pPr>
              <w:spacing w:after="0"/>
              <w:rPr>
                <w:sz w:val="16"/>
                <w:szCs w:val="16"/>
                <w:color w:val="auto"/>
              </w:rPr>
            </w:pPr>
          </w:p>
        </w:tc>
        <w:tc>
          <w:tcPr>
            <w:tcW w:w="1420" w:type="dxa"/>
            <w:vAlign w:val="bottom"/>
            <w:vMerge w:val="restart"/>
            <w:shd w:val="clear" w:color="auto" w:fill="CCEEFF"/>
          </w:tcPr>
          <w:p>
            <w:pPr>
              <w:jc w:val="center"/>
              <w:spacing w:after="0"/>
              <w:rPr>
                <w:sz w:val="20"/>
                <w:szCs w:val="20"/>
                <w:color w:val="auto"/>
              </w:rPr>
            </w:pPr>
            <w:r>
              <w:rPr>
                <w:rFonts w:ascii="Calibri" w:cs="Calibri" w:eastAsia="Calibri" w:hAnsi="Calibri"/>
                <w:sz w:val="18"/>
                <w:szCs w:val="18"/>
                <w:color w:val="auto"/>
                <w:w w:val="88"/>
              </w:rPr>
              <w:t>*</w:t>
            </w: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4200" w:type="dxa"/>
            <w:vAlign w:val="bottom"/>
            <w:gridSpan w:val="2"/>
            <w:vMerge w:val="restart"/>
            <w:shd w:val="clear" w:color="auto" w:fill="CCECFF"/>
          </w:tcPr>
          <w:p>
            <w:pPr>
              <w:ind w:left="260"/>
              <w:spacing w:after="0" w:line="215" w:lineRule="exact"/>
              <w:rPr>
                <w:sz w:val="20"/>
                <w:szCs w:val="20"/>
                <w:color w:val="auto"/>
              </w:rPr>
            </w:pPr>
            <w:r>
              <w:rPr>
                <w:rFonts w:ascii="Calibri" w:cs="Calibri" w:eastAsia="Calibri" w:hAnsi="Calibri"/>
                <w:sz w:val="18"/>
                <w:szCs w:val="18"/>
                <w:color w:val="auto"/>
              </w:rPr>
              <w:t>Territory</w:t>
            </w:r>
          </w:p>
        </w:tc>
        <w:tc>
          <w:tcPr>
            <w:tcW w:w="240" w:type="dxa"/>
            <w:vAlign w:val="bottom"/>
            <w:shd w:val="clear" w:color="auto" w:fill="CCECFF"/>
          </w:tcPr>
          <w:p>
            <w:pPr>
              <w:spacing w:after="0"/>
              <w:rPr>
                <w:sz w:val="9"/>
                <w:szCs w:val="9"/>
                <w:color w:val="auto"/>
              </w:rPr>
            </w:pPr>
          </w:p>
        </w:tc>
        <w:tc>
          <w:tcPr>
            <w:tcW w:w="940" w:type="dxa"/>
            <w:vAlign w:val="bottom"/>
            <w:vMerge w:val="restart"/>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260" w:type="dxa"/>
            <w:vAlign w:val="bottom"/>
            <w:shd w:val="clear" w:color="auto" w:fill="CCECFF"/>
          </w:tcPr>
          <w:p>
            <w:pPr>
              <w:spacing w:after="0"/>
              <w:rPr>
                <w:sz w:val="9"/>
                <w:szCs w:val="9"/>
                <w:color w:val="auto"/>
              </w:rPr>
            </w:pPr>
          </w:p>
        </w:tc>
        <w:tc>
          <w:tcPr>
            <w:tcW w:w="920" w:type="dxa"/>
            <w:vAlign w:val="bottom"/>
            <w:vMerge w:val="restart"/>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69,705</w:t>
            </w:r>
          </w:p>
        </w:tc>
        <w:tc>
          <w:tcPr>
            <w:tcW w:w="260" w:type="dxa"/>
            <w:vAlign w:val="bottom"/>
            <w:shd w:val="clear" w:color="auto" w:fill="CCECFF"/>
          </w:tcPr>
          <w:p>
            <w:pPr>
              <w:spacing w:after="0"/>
              <w:rPr>
                <w:sz w:val="9"/>
                <w:szCs w:val="9"/>
                <w:color w:val="auto"/>
              </w:rPr>
            </w:pPr>
          </w:p>
        </w:tc>
        <w:tc>
          <w:tcPr>
            <w:tcW w:w="260" w:type="dxa"/>
            <w:vAlign w:val="bottom"/>
            <w:shd w:val="clear" w:color="auto" w:fill="CCECFF"/>
          </w:tcPr>
          <w:p>
            <w:pPr>
              <w:spacing w:after="0"/>
              <w:rPr>
                <w:sz w:val="9"/>
                <w:szCs w:val="9"/>
                <w:color w:val="auto"/>
              </w:rPr>
            </w:pPr>
          </w:p>
        </w:tc>
        <w:tc>
          <w:tcPr>
            <w:tcW w:w="1180" w:type="dxa"/>
            <w:vAlign w:val="bottom"/>
            <w:gridSpan w:val="2"/>
            <w:vMerge w:val="restart"/>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(69,705 )</w:t>
            </w:r>
          </w:p>
        </w:tc>
        <w:tc>
          <w:tcPr>
            <w:tcW w:w="160" w:type="dxa"/>
            <w:vAlign w:val="bottom"/>
            <w:shd w:val="clear" w:color="auto" w:fill="CCEC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80" w:type="dxa"/>
            <w:vAlign w:val="bottom"/>
          </w:tcPr>
          <w:p>
            <w:pPr>
              <w:spacing w:after="0"/>
              <w:rPr>
                <w:sz w:val="9"/>
                <w:szCs w:val="9"/>
                <w:color w:val="auto"/>
              </w:rPr>
            </w:pPr>
          </w:p>
        </w:tc>
        <w:tc>
          <w:tcPr>
            <w:tcW w:w="4200" w:type="dxa"/>
            <w:vAlign w:val="bottom"/>
            <w:tcBorders>
              <w:bottom w:val="single" w:sz="8" w:color="CCECFF"/>
            </w:tcBorders>
            <w:gridSpan w:val="2"/>
            <w:vMerge w:val="continue"/>
            <w:shd w:val="clear" w:color="auto" w:fill="CCECFF"/>
          </w:tcPr>
          <w:p>
            <w:pPr>
              <w:spacing w:after="0"/>
              <w:rPr>
                <w:sz w:val="9"/>
                <w:szCs w:val="9"/>
                <w:color w:val="auto"/>
              </w:rPr>
            </w:pPr>
          </w:p>
        </w:tc>
        <w:tc>
          <w:tcPr>
            <w:tcW w:w="240" w:type="dxa"/>
            <w:vAlign w:val="bottom"/>
            <w:tcBorders>
              <w:bottom w:val="single" w:sz="8" w:color="CCECFF"/>
            </w:tcBorders>
            <w:shd w:val="clear" w:color="auto" w:fill="CCECFF"/>
          </w:tcPr>
          <w:p>
            <w:pPr>
              <w:spacing w:after="0"/>
              <w:rPr>
                <w:sz w:val="9"/>
                <w:szCs w:val="9"/>
                <w:color w:val="auto"/>
              </w:rPr>
            </w:pPr>
          </w:p>
        </w:tc>
        <w:tc>
          <w:tcPr>
            <w:tcW w:w="940" w:type="dxa"/>
            <w:vAlign w:val="bottom"/>
            <w:tcBorders>
              <w:bottom w:val="single" w:sz="8" w:color="CCECFF"/>
            </w:tcBorders>
            <w:vMerge w:val="continue"/>
            <w:shd w:val="clear" w:color="auto" w:fill="CCECFF"/>
          </w:tcPr>
          <w:p>
            <w:pPr>
              <w:spacing w:after="0"/>
              <w:rPr>
                <w:sz w:val="9"/>
                <w:szCs w:val="9"/>
                <w:color w:val="auto"/>
              </w:rPr>
            </w:pPr>
          </w:p>
        </w:tc>
        <w:tc>
          <w:tcPr>
            <w:tcW w:w="100" w:type="dxa"/>
            <w:vAlign w:val="bottom"/>
            <w:tcBorders>
              <w:bottom w:val="single" w:sz="8" w:color="CCECFF"/>
            </w:tcBorders>
            <w:shd w:val="clear" w:color="auto" w:fill="CCECFF"/>
          </w:tcPr>
          <w:p>
            <w:pPr>
              <w:spacing w:after="0"/>
              <w:rPr>
                <w:sz w:val="9"/>
                <w:szCs w:val="9"/>
                <w:color w:val="auto"/>
              </w:rPr>
            </w:pPr>
          </w:p>
        </w:tc>
        <w:tc>
          <w:tcPr>
            <w:tcW w:w="160" w:type="dxa"/>
            <w:vAlign w:val="bottom"/>
            <w:tcBorders>
              <w:bottom w:val="single" w:sz="8" w:color="CCECFF"/>
            </w:tcBorders>
            <w:shd w:val="clear" w:color="auto" w:fill="CCECFF"/>
          </w:tcPr>
          <w:p>
            <w:pPr>
              <w:spacing w:after="0"/>
              <w:rPr>
                <w:sz w:val="9"/>
                <w:szCs w:val="9"/>
                <w:color w:val="auto"/>
              </w:rPr>
            </w:pPr>
          </w:p>
        </w:tc>
        <w:tc>
          <w:tcPr>
            <w:tcW w:w="260" w:type="dxa"/>
            <w:vAlign w:val="bottom"/>
            <w:tcBorders>
              <w:bottom w:val="single" w:sz="8" w:color="CCECFF"/>
            </w:tcBorders>
            <w:shd w:val="clear" w:color="auto" w:fill="CCECFF"/>
          </w:tcPr>
          <w:p>
            <w:pPr>
              <w:spacing w:after="0"/>
              <w:rPr>
                <w:sz w:val="9"/>
                <w:szCs w:val="9"/>
                <w:color w:val="auto"/>
              </w:rPr>
            </w:pPr>
          </w:p>
        </w:tc>
        <w:tc>
          <w:tcPr>
            <w:tcW w:w="920" w:type="dxa"/>
            <w:vAlign w:val="bottom"/>
            <w:tcBorders>
              <w:bottom w:val="single" w:sz="8" w:color="CCECFF"/>
            </w:tcBorders>
            <w:vMerge w:val="continue"/>
            <w:shd w:val="clear" w:color="auto" w:fill="CCECFF"/>
          </w:tcPr>
          <w:p>
            <w:pPr>
              <w:spacing w:after="0"/>
              <w:rPr>
                <w:sz w:val="9"/>
                <w:szCs w:val="9"/>
                <w:color w:val="auto"/>
              </w:rPr>
            </w:pPr>
          </w:p>
        </w:tc>
        <w:tc>
          <w:tcPr>
            <w:tcW w:w="260" w:type="dxa"/>
            <w:vAlign w:val="bottom"/>
            <w:tcBorders>
              <w:bottom w:val="single" w:sz="8" w:color="CCECFF"/>
            </w:tcBorders>
            <w:shd w:val="clear" w:color="auto" w:fill="CCECFF"/>
          </w:tcPr>
          <w:p>
            <w:pPr>
              <w:spacing w:after="0"/>
              <w:rPr>
                <w:sz w:val="9"/>
                <w:szCs w:val="9"/>
                <w:color w:val="auto"/>
              </w:rPr>
            </w:pPr>
          </w:p>
        </w:tc>
        <w:tc>
          <w:tcPr>
            <w:tcW w:w="260" w:type="dxa"/>
            <w:vAlign w:val="bottom"/>
            <w:tcBorders>
              <w:bottom w:val="single" w:sz="8" w:color="CCECFF"/>
            </w:tcBorders>
            <w:shd w:val="clear" w:color="auto" w:fill="CCECFF"/>
          </w:tcPr>
          <w:p>
            <w:pPr>
              <w:spacing w:after="0"/>
              <w:rPr>
                <w:sz w:val="9"/>
                <w:szCs w:val="9"/>
                <w:color w:val="auto"/>
              </w:rPr>
            </w:pPr>
          </w:p>
        </w:tc>
        <w:tc>
          <w:tcPr>
            <w:tcW w:w="1180" w:type="dxa"/>
            <w:vAlign w:val="bottom"/>
            <w:tcBorders>
              <w:bottom w:val="single" w:sz="8" w:color="CCECFF"/>
            </w:tcBorders>
            <w:gridSpan w:val="2"/>
            <w:vMerge w:val="continue"/>
            <w:shd w:val="clear" w:color="auto" w:fill="CCECFF"/>
          </w:tcPr>
          <w:p>
            <w:pPr>
              <w:spacing w:after="0"/>
              <w:rPr>
                <w:sz w:val="9"/>
                <w:szCs w:val="9"/>
                <w:color w:val="auto"/>
              </w:rPr>
            </w:pPr>
          </w:p>
        </w:tc>
        <w:tc>
          <w:tcPr>
            <w:tcW w:w="160" w:type="dxa"/>
            <w:vAlign w:val="bottom"/>
            <w:tcBorders>
              <w:bottom w:val="single" w:sz="8" w:color="CCECFF"/>
            </w:tcBorders>
            <w:shd w:val="clear" w:color="auto" w:fill="CCECFF"/>
          </w:tcPr>
          <w:p>
            <w:pPr>
              <w:spacing w:after="0"/>
              <w:rPr>
                <w:sz w:val="9"/>
                <w:szCs w:val="9"/>
                <w:color w:val="auto"/>
              </w:rPr>
            </w:pPr>
          </w:p>
        </w:tc>
        <w:tc>
          <w:tcPr>
            <w:tcW w:w="142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580" w:type="dxa"/>
            <w:vAlign w:val="bottom"/>
          </w:tcPr>
          <w:p>
            <w:pPr>
              <w:spacing w:after="0"/>
              <w:rPr>
                <w:sz w:val="20"/>
                <w:szCs w:val="20"/>
                <w:color w:val="auto"/>
              </w:rPr>
            </w:pPr>
          </w:p>
        </w:tc>
        <w:tc>
          <w:tcPr>
            <w:tcW w:w="4200" w:type="dxa"/>
            <w:vAlign w:val="bottom"/>
            <w:gridSpan w:val="2"/>
          </w:tcPr>
          <w:p>
            <w:pPr>
              <w:ind w:left="100"/>
              <w:spacing w:after="0" w:line="215" w:lineRule="exact"/>
              <w:rPr>
                <w:sz w:val="20"/>
                <w:szCs w:val="20"/>
                <w:color w:val="auto"/>
              </w:rPr>
            </w:pPr>
            <w:r>
              <w:rPr>
                <w:rFonts w:ascii="Calibri" w:cs="Calibri" w:eastAsia="Calibri" w:hAnsi="Calibri"/>
                <w:sz w:val="18"/>
                <w:szCs w:val="18"/>
                <w:color w:val="auto"/>
              </w:rPr>
              <w:t>Other</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1,479</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(1,479 )</w:t>
            </w:r>
          </w:p>
        </w:tc>
        <w:tc>
          <w:tcPr>
            <w:tcW w:w="160" w:type="dxa"/>
            <w:vAlign w:val="bottom"/>
          </w:tcPr>
          <w:p>
            <w:pPr>
              <w:spacing w:after="0"/>
              <w:rPr>
                <w:sz w:val="20"/>
                <w:szCs w:val="20"/>
                <w:color w:val="auto"/>
              </w:rPr>
            </w:pPr>
          </w:p>
        </w:tc>
        <w:tc>
          <w:tcPr>
            <w:tcW w:w="1420" w:type="dxa"/>
            <w:vAlign w:val="bottom"/>
          </w:tcPr>
          <w:p>
            <w:pPr>
              <w:jc w:val="center"/>
              <w:spacing w:after="0" w:line="215" w:lineRule="exact"/>
              <w:rPr>
                <w:sz w:val="20"/>
                <w:szCs w:val="20"/>
                <w:color w:val="auto"/>
              </w:rPr>
            </w:pPr>
            <w:r>
              <w:rPr>
                <w:rFonts w:ascii="Calibri" w:cs="Calibri" w:eastAsia="Calibri" w:hAnsi="Calibri"/>
                <w:sz w:val="18"/>
                <w:szCs w:val="18"/>
                <w:color w:val="auto"/>
                <w:w w:val="88"/>
              </w:rPr>
              <w:t>*</w:t>
            </w: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4200" w:type="dxa"/>
            <w:vAlign w:val="bottom"/>
            <w:tcBorders>
              <w:top w:val="single" w:sz="8" w:color="CCEEFF"/>
              <w:bottom w:val="single" w:sz="8" w:color="CCEEFF"/>
            </w:tcBorders>
            <w:gridSpan w:val="2"/>
            <w:shd w:val="clear" w:color="auto" w:fill="CCEEFF"/>
          </w:tcPr>
          <w:p>
            <w:pPr>
              <w:ind w:left="180"/>
              <w:spacing w:after="0" w:line="195" w:lineRule="exact"/>
              <w:rPr>
                <w:sz w:val="20"/>
                <w:szCs w:val="20"/>
                <w:color w:val="auto"/>
              </w:rPr>
            </w:pPr>
            <w:r>
              <w:rPr>
                <w:rFonts w:ascii="Calibri" w:cs="Calibri" w:eastAsia="Calibri" w:hAnsi="Calibri"/>
                <w:sz w:val="18"/>
                <w:szCs w:val="18"/>
                <w:color w:val="auto"/>
              </w:rPr>
              <w:t>Total collaboraton and license revenue</w:t>
            </w:r>
          </w:p>
        </w:tc>
        <w:tc>
          <w:tcPr>
            <w:tcW w:w="240" w:type="dxa"/>
            <w:vAlign w:val="bottom"/>
            <w:tcBorders>
              <w:top w:val="single" w:sz="8" w:color="CCECFF"/>
              <w:bottom w:val="single" w:sz="8" w:color="auto"/>
            </w:tcBorders>
            <w:shd w:val="clear" w:color="auto" w:fill="CCECFF"/>
          </w:tcPr>
          <w:p>
            <w:pPr>
              <w:spacing w:after="0"/>
              <w:rPr>
                <w:sz w:val="17"/>
                <w:szCs w:val="17"/>
                <w:color w:val="auto"/>
              </w:rPr>
            </w:pPr>
          </w:p>
        </w:tc>
        <w:tc>
          <w:tcPr>
            <w:tcW w:w="940" w:type="dxa"/>
            <w:vAlign w:val="bottom"/>
            <w:tcBorders>
              <w:top w:val="single" w:sz="8" w:color="CCECFF"/>
              <w:bottom w:val="single" w:sz="8" w:color="auto"/>
            </w:tcBorders>
            <w:shd w:val="clear" w:color="auto" w:fill="CCECFF"/>
          </w:tcPr>
          <w:p>
            <w:pPr>
              <w:jc w:val="right"/>
              <w:spacing w:after="0" w:line="195" w:lineRule="exact"/>
              <w:rPr>
                <w:sz w:val="20"/>
                <w:szCs w:val="20"/>
                <w:color w:val="auto"/>
              </w:rPr>
            </w:pPr>
            <w:r>
              <w:rPr>
                <w:rFonts w:ascii="Calibri" w:cs="Calibri" w:eastAsia="Calibri" w:hAnsi="Calibri"/>
                <w:sz w:val="18"/>
                <w:szCs w:val="18"/>
                <w:color w:val="auto"/>
              </w:rPr>
              <w:t>—</w:t>
            </w:r>
          </w:p>
        </w:tc>
        <w:tc>
          <w:tcPr>
            <w:tcW w:w="100" w:type="dxa"/>
            <w:vAlign w:val="bottom"/>
            <w:tcBorders>
              <w:top w:val="single" w:sz="8" w:color="CCECFF"/>
              <w:bottom w:val="single" w:sz="8" w:color="CCECFF"/>
            </w:tcBorders>
            <w:shd w:val="clear" w:color="auto" w:fill="CCEC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Calibri" w:cs="Calibri" w:eastAsia="Calibri" w:hAnsi="Calibri"/>
                <w:sz w:val="18"/>
                <w:szCs w:val="18"/>
                <w:color w:val="auto"/>
              </w:rPr>
              <w:t>71,184</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Calibri" w:cs="Calibri" w:eastAsia="Calibri" w:hAnsi="Calibri"/>
                <w:sz w:val="18"/>
                <w:szCs w:val="18"/>
                <w:color w:val="auto"/>
              </w:rPr>
              <w:t>(71,184</w:t>
            </w:r>
          </w:p>
        </w:tc>
        <w:tc>
          <w:tcPr>
            <w:tcW w:w="100" w:type="dxa"/>
            <w:vAlign w:val="bottom"/>
            <w:tcBorders>
              <w:top w:val="single" w:sz="8" w:color="CCEEFF"/>
              <w:bottom w:val="single" w:sz="8" w:color="CCEEFF"/>
            </w:tcBorders>
            <w:shd w:val="clear" w:color="auto" w:fill="CCEEFF"/>
          </w:tcPr>
          <w:p>
            <w:pPr>
              <w:jc w:val="right"/>
              <w:spacing w:after="0" w:line="195" w:lineRule="exact"/>
              <w:rPr>
                <w:sz w:val="20"/>
                <w:szCs w:val="20"/>
                <w:color w:val="auto"/>
              </w:rPr>
            </w:pPr>
            <w:r>
              <w:rPr>
                <w:rFonts w:ascii="Calibri" w:cs="Calibri" w:eastAsia="Calibri" w:hAnsi="Calibri"/>
                <w:sz w:val="18"/>
                <w:szCs w:val="18"/>
                <w:color w:val="auto"/>
                <w:w w:val="72"/>
              </w:rPr>
              <w:t>)</w:t>
            </w:r>
          </w:p>
        </w:tc>
        <w:tc>
          <w:tcPr>
            <w:tcW w:w="160" w:type="dxa"/>
            <w:vAlign w:val="bottom"/>
            <w:tcBorders>
              <w:top w:val="single" w:sz="8" w:color="CCECFF"/>
              <w:bottom w:val="single" w:sz="8" w:color="CCECFF"/>
            </w:tcBorders>
            <w:shd w:val="clear" w:color="auto" w:fill="CCECFF"/>
          </w:tcPr>
          <w:p>
            <w:pPr>
              <w:spacing w:after="0"/>
              <w:rPr>
                <w:sz w:val="17"/>
                <w:szCs w:val="17"/>
                <w:color w:val="auto"/>
              </w:rPr>
            </w:pPr>
          </w:p>
        </w:tc>
        <w:tc>
          <w:tcPr>
            <w:tcW w:w="1420" w:type="dxa"/>
            <w:vAlign w:val="bottom"/>
            <w:tcBorders>
              <w:top w:val="single" w:sz="8" w:color="CCEEFF"/>
              <w:bottom w:val="single" w:sz="8" w:color="CCEEFF"/>
            </w:tcBorders>
            <w:shd w:val="clear" w:color="auto" w:fill="CCEEFF"/>
          </w:tcPr>
          <w:p>
            <w:pPr>
              <w:jc w:val="center"/>
              <w:spacing w:after="0" w:line="195" w:lineRule="exact"/>
              <w:rPr>
                <w:sz w:val="20"/>
                <w:szCs w:val="20"/>
                <w:color w:val="auto"/>
              </w:rPr>
            </w:pPr>
            <w:r>
              <w:rPr>
                <w:rFonts w:ascii="Calibri" w:cs="Calibri" w:eastAsia="Calibri" w:hAnsi="Calibri"/>
                <w:sz w:val="18"/>
                <w:szCs w:val="18"/>
                <w:color w:val="auto"/>
                <w:w w:val="88"/>
              </w:rPr>
              <w:t>*</w:t>
            </w: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4200" w:type="dxa"/>
            <w:vAlign w:val="bottom"/>
            <w:gridSpan w:val="2"/>
          </w:tcPr>
          <w:p>
            <w:pPr>
              <w:ind w:left="360"/>
              <w:spacing w:after="0" w:line="210" w:lineRule="exact"/>
              <w:rPr>
                <w:sz w:val="20"/>
                <w:szCs w:val="20"/>
                <w:color w:val="auto"/>
              </w:rPr>
            </w:pPr>
            <w:r>
              <w:rPr>
                <w:rFonts w:ascii="Calibri" w:cs="Calibri" w:eastAsia="Calibri" w:hAnsi="Calibri"/>
                <w:sz w:val="18"/>
                <w:szCs w:val="18"/>
                <w:color w:val="auto"/>
              </w:rPr>
              <w:t>Total revenues</w:t>
            </w:r>
          </w:p>
        </w:tc>
        <w:tc>
          <w:tcPr>
            <w:tcW w:w="240" w:type="dxa"/>
            <w:vAlign w:val="bottom"/>
          </w:tcPr>
          <w:p>
            <w:pPr>
              <w:jc w:val="right"/>
              <w:ind w:right="50"/>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tcPr>
          <w:p>
            <w:pPr>
              <w:jc w:val="right"/>
              <w:spacing w:after="0" w:line="210" w:lineRule="exact"/>
              <w:rPr>
                <w:sz w:val="20"/>
                <w:szCs w:val="20"/>
                <w:color w:val="auto"/>
              </w:rPr>
            </w:pPr>
            <w:r>
              <w:rPr>
                <w:rFonts w:ascii="Calibri" w:cs="Calibri" w:eastAsia="Calibri" w:hAnsi="Calibri"/>
                <w:sz w:val="18"/>
                <w:szCs w:val="18"/>
                <w:color w:val="auto"/>
              </w:rPr>
              <w:t>560,230</w:t>
            </w:r>
          </w:p>
        </w:tc>
        <w:tc>
          <w:tcPr>
            <w:tcW w:w="100" w:type="dxa"/>
            <w:vAlign w:val="bottom"/>
          </w:tcPr>
          <w:p>
            <w:pPr>
              <w:spacing w:after="0"/>
              <w:rPr>
                <w:sz w:val="18"/>
                <w:szCs w:val="18"/>
                <w:color w:val="auto"/>
              </w:rPr>
            </w:pPr>
          </w:p>
        </w:tc>
        <w:tc>
          <w:tcPr>
            <w:tcW w:w="42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line="210" w:lineRule="exact"/>
              <w:rPr>
                <w:sz w:val="20"/>
                <w:szCs w:val="20"/>
                <w:color w:val="auto"/>
              </w:rPr>
            </w:pPr>
            <w:r>
              <w:rPr>
                <w:rFonts w:ascii="Calibri" w:cs="Calibri" w:eastAsia="Calibri" w:hAnsi="Calibri"/>
                <w:sz w:val="18"/>
                <w:szCs w:val="18"/>
                <w:color w:val="auto"/>
              </w:rPr>
              <w:t>434,249</w:t>
            </w:r>
          </w:p>
        </w:tc>
        <w:tc>
          <w:tcPr>
            <w:tcW w:w="52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color w:val="auto"/>
              </w:rPr>
              <w:t>$</w:t>
            </w:r>
          </w:p>
        </w:tc>
        <w:tc>
          <w:tcPr>
            <w:tcW w:w="1080" w:type="dxa"/>
            <w:vAlign w:val="bottom"/>
          </w:tcPr>
          <w:p>
            <w:pPr>
              <w:jc w:val="right"/>
              <w:spacing w:after="0" w:line="210" w:lineRule="exact"/>
              <w:rPr>
                <w:sz w:val="20"/>
                <w:szCs w:val="20"/>
                <w:color w:val="auto"/>
              </w:rPr>
            </w:pPr>
            <w:r>
              <w:rPr>
                <w:rFonts w:ascii="Calibri" w:cs="Calibri" w:eastAsia="Calibri" w:hAnsi="Calibri"/>
                <w:sz w:val="18"/>
                <w:szCs w:val="18"/>
                <w:color w:val="auto"/>
              </w:rPr>
              <w:t>125,981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spacing w:after="0" w:line="210" w:lineRule="exact"/>
              <w:rPr>
                <w:sz w:val="20"/>
                <w:szCs w:val="20"/>
                <w:color w:val="auto"/>
              </w:rPr>
            </w:pPr>
            <w:r>
              <w:rPr>
                <w:rFonts w:ascii="Calibri" w:cs="Calibri" w:eastAsia="Calibri" w:hAnsi="Calibri"/>
                <w:sz w:val="18"/>
                <w:szCs w:val="18"/>
                <w:color w:val="auto"/>
              </w:rPr>
              <w:t>29%</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200" w:type="dxa"/>
            <w:vAlign w:val="bottom"/>
            <w:gridSpan w:val="2"/>
            <w:shd w:val="clear" w:color="auto" w:fill="CCEEFF"/>
          </w:tcPr>
          <w:p>
            <w:pPr>
              <w:spacing w:after="0" w:line="196" w:lineRule="exact"/>
              <w:rPr>
                <w:sz w:val="20"/>
                <w:szCs w:val="20"/>
                <w:color w:val="auto"/>
              </w:rPr>
            </w:pPr>
            <w:r>
              <w:rPr>
                <w:rFonts w:ascii="Calibri" w:cs="Calibri" w:eastAsia="Calibri" w:hAnsi="Calibri"/>
                <w:sz w:val="18"/>
                <w:szCs w:val="18"/>
                <w:color w:val="auto"/>
              </w:rPr>
              <w:t>* not meaningful</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-1310640</wp:posOffset>
            </wp:positionV>
            <wp:extent cx="603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-1310640</wp:posOffset>
            </wp:positionV>
            <wp:extent cx="603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-1310640</wp:posOffset>
            </wp:positionV>
            <wp:extent cx="603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-1019175</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-1019175</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-1019175</wp:posOffset>
            </wp:positionV>
            <wp:extent cx="603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-307975</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4690110</wp:posOffset>
            </wp:positionH>
            <wp:positionV relativeFrom="paragraph">
              <wp:posOffset>-466090</wp:posOffset>
            </wp:positionV>
            <wp:extent cx="85725" cy="1797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5701665</wp:posOffset>
            </wp:positionH>
            <wp:positionV relativeFrom="paragraph">
              <wp:posOffset>-466090</wp:posOffset>
            </wp:positionV>
            <wp:extent cx="85725" cy="1797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39"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Our product sales increased $105.0 million for the year ended December 31, 2024, compared to the same period in 2023. The increase was primarily due to an increase in demand for Crysvita in Latn America resultng from an increase in the number of patents on therapy, ongoing launch of Evkeeza in Japan and in Europe, Middle East and Africa territories, or EMEA, and contnued increase in demand for our other approved products.</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Our Crysvita royalty revenue and collaboraton revenue in the Proft-Share Territory increased by a net $22.5 million for the year ended December 31, 2024, compared to the same period in 2023; this increase in Crysvita revenue is primarily due to an increase in the number of patents on therapy. We transitoned commercial responsibilites to KKC in the Proft-Share Territory in April 2023. Post transiton, we recognize our revenue share for Crysvita sales in the Proft-Share Territory as royalty revenue, which was recorded as collaboraton revenue prior to the transiton.</w:t>
      </w:r>
    </w:p>
    <w:p>
      <w:pPr>
        <w:spacing w:after="0" w:line="84"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212529"/>
        </w:rPr>
        <w:t>Other revenue decreased by $1.5 million for the year ended December 31, 2024, compared to the same period in 2023. The decrease was due to the completon of the technology transfer and the technology transfer period related to the Daiichi Sankyo agreement as of March 31, 2023.</w:t>
      </w:r>
    </w:p>
    <w:p>
      <w:pPr>
        <w:jc w:val="center"/>
        <w:ind w:right="-19"/>
        <w:spacing w:after="0" w:line="236" w:lineRule="auto"/>
        <w:rPr>
          <w:sz w:val="20"/>
          <w:szCs w:val="20"/>
          <w:color w:val="auto"/>
        </w:rPr>
      </w:pPr>
      <w:r>
        <w:rPr>
          <w:rFonts w:ascii="Calibri" w:cs="Calibri" w:eastAsia="Calibri" w:hAnsi="Calibri"/>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6" w:right="35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20"/>
        </w:trPr>
        <w:tc>
          <w:tcPr>
            <w:tcW w:w="5360" w:type="dxa"/>
            <w:vAlign w:val="bottom"/>
            <w:gridSpan w:val="3"/>
          </w:tcPr>
          <w:p>
            <w:pPr>
              <w:spacing w:after="0"/>
              <w:rPr>
                <w:sz w:val="20"/>
                <w:szCs w:val="20"/>
                <w:color w:val="auto"/>
              </w:rPr>
            </w:pPr>
            <w:r>
              <w:rPr>
                <w:rFonts w:ascii="Calibri" w:cs="Calibri" w:eastAsia="Calibri" w:hAnsi="Calibri"/>
                <w:sz w:val="18"/>
                <w:szCs w:val="18"/>
                <w:i w:val="1"/>
                <w:iCs w:val="1"/>
                <w:color w:val="auto"/>
              </w:rPr>
              <w:t>Cost of Sales (dollars in thousands)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25"/>
        </w:trPr>
        <w:tc>
          <w:tcPr>
            <w:tcW w:w="58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28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230"/>
              <w:spacing w:after="0"/>
              <w:rPr>
                <w:sz w:val="20"/>
                <w:szCs w:val="20"/>
                <w:color w:val="auto"/>
              </w:rPr>
            </w:pPr>
            <w:r>
              <w:rPr>
                <w:rFonts w:ascii="Calibri" w:cs="Calibri" w:eastAsia="Calibri" w:hAnsi="Calibri"/>
                <w:sz w:val="18"/>
                <w:szCs w:val="18"/>
                <w:b w:val="1"/>
                <w:bCs w:val="1"/>
                <w:color w:val="auto"/>
              </w:rPr>
              <w:t>Year Ended December 31,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center"/>
              <w:ind w:right="110"/>
              <w:spacing w:after="0"/>
              <w:rPr>
                <w:sz w:val="20"/>
                <w:szCs w:val="20"/>
                <w:color w:val="auto"/>
              </w:rPr>
            </w:pPr>
            <w:r>
              <w:rPr>
                <w:rFonts w:ascii="Calibri" w:cs="Calibri" w:eastAsia="Calibri" w:hAnsi="Calibri"/>
                <w:sz w:val="18"/>
                <w:szCs w:val="18"/>
                <w:b w:val="1"/>
                <w:bCs w:val="1"/>
                <w:color w:val="auto"/>
              </w:rPr>
              <w:t>Dollar</w:t>
            </w:r>
          </w:p>
        </w:tc>
        <w:tc>
          <w:tcPr>
            <w:tcW w:w="2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Calibri" w:cs="Calibri" w:eastAsia="Calibri" w:hAnsi="Calibri"/>
                <w:sz w:val="18"/>
                <w:szCs w:val="18"/>
                <w:b w:val="1"/>
                <w:bCs w:val="1"/>
                <w:color w:val="auto"/>
                <w:w w:val="97"/>
              </w:rPr>
              <w:t>Percent</w:t>
            </w:r>
          </w:p>
        </w:tc>
      </w:tr>
      <w:tr>
        <w:trPr>
          <w:trHeight w:val="215"/>
        </w:trPr>
        <w:tc>
          <w:tcPr>
            <w:tcW w:w="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line="215" w:lineRule="exact"/>
              <w:rPr>
                <w:sz w:val="20"/>
                <w:szCs w:val="20"/>
                <w:color w:val="auto"/>
              </w:rPr>
            </w:pPr>
            <w:r>
              <w:rPr>
                <w:rFonts w:ascii="Calibri" w:cs="Calibri" w:eastAsia="Calibri" w:hAnsi="Calibri"/>
                <w:sz w:val="18"/>
                <w:szCs w:val="18"/>
                <w:b w:val="1"/>
                <w:bCs w:val="1"/>
                <w:color w:val="auto"/>
              </w:rPr>
              <w:t>2024</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line="215" w:lineRule="exact"/>
              <w:rPr>
                <w:sz w:val="20"/>
                <w:szCs w:val="20"/>
                <w:color w:val="auto"/>
              </w:rPr>
            </w:pPr>
            <w:r>
              <w:rPr>
                <w:rFonts w:ascii="Calibri" w:cs="Calibri" w:eastAsia="Calibri" w:hAnsi="Calibri"/>
                <w:sz w:val="18"/>
                <w:szCs w:val="18"/>
                <w:b w:val="1"/>
                <w:bCs w:val="1"/>
                <w:color w:val="auto"/>
              </w:rPr>
              <w:t>2023</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10"/>
              <w:spacing w:after="0" w:line="193" w:lineRule="exact"/>
              <w:rPr>
                <w:sz w:val="20"/>
                <w:szCs w:val="20"/>
                <w:color w:val="auto"/>
              </w:rPr>
            </w:pPr>
            <w:r>
              <w:rPr>
                <w:rFonts w:ascii="Calibri" w:cs="Calibri" w:eastAsia="Calibri" w:hAnsi="Calibri"/>
                <w:sz w:val="18"/>
                <w:szCs w:val="18"/>
                <w:b w:val="1"/>
                <w:bCs w:val="1"/>
                <w:color w:val="auto"/>
                <w:w w:val="97"/>
              </w:rPr>
              <w:t>Change</w:t>
            </w:r>
          </w:p>
        </w:tc>
        <w:tc>
          <w:tcPr>
            <w:tcW w:w="240" w:type="dxa"/>
            <w:vAlign w:val="bottom"/>
          </w:tcPr>
          <w:p>
            <w:pPr>
              <w:spacing w:after="0"/>
              <w:rPr>
                <w:sz w:val="18"/>
                <w:szCs w:val="18"/>
                <w:color w:val="auto"/>
              </w:rPr>
            </w:pPr>
          </w:p>
        </w:tc>
        <w:tc>
          <w:tcPr>
            <w:tcW w:w="1220" w:type="dxa"/>
            <w:vAlign w:val="bottom"/>
            <w:tcBorders>
              <w:bottom w:val="single" w:sz="8" w:color="auto"/>
            </w:tcBorders>
          </w:tcPr>
          <w:p>
            <w:pPr>
              <w:jc w:val="center"/>
              <w:spacing w:after="0" w:line="193" w:lineRule="exact"/>
              <w:rPr>
                <w:sz w:val="20"/>
                <w:szCs w:val="20"/>
                <w:color w:val="auto"/>
              </w:rPr>
            </w:pPr>
            <w:r>
              <w:rPr>
                <w:rFonts w:ascii="Calibri" w:cs="Calibri" w:eastAsia="Calibri" w:hAnsi="Calibri"/>
                <w:sz w:val="18"/>
                <w:szCs w:val="18"/>
                <w:b w:val="1"/>
                <w:bCs w:val="1"/>
                <w:color w:val="auto"/>
              </w:rPr>
              <w:t>Change</w:t>
            </w:r>
          </w:p>
        </w:tc>
      </w:tr>
      <w:tr>
        <w:trPr>
          <w:trHeight w:val="211"/>
        </w:trPr>
        <w:tc>
          <w:tcPr>
            <w:tcW w:w="580" w:type="dxa"/>
            <w:vAlign w:val="bottom"/>
          </w:tcPr>
          <w:p>
            <w:pPr>
              <w:spacing w:after="0"/>
              <w:rPr>
                <w:sz w:val="18"/>
                <w:szCs w:val="18"/>
                <w:color w:val="auto"/>
              </w:rPr>
            </w:pPr>
          </w:p>
        </w:tc>
        <w:tc>
          <w:tcPr>
            <w:tcW w:w="4780" w:type="dxa"/>
            <w:vAlign w:val="bottom"/>
            <w:gridSpan w:val="2"/>
            <w:shd w:val="clear" w:color="auto" w:fill="CCECFF"/>
          </w:tcPr>
          <w:p>
            <w:pPr>
              <w:spacing w:after="0" w:line="210" w:lineRule="exact"/>
              <w:rPr>
                <w:sz w:val="20"/>
                <w:szCs w:val="20"/>
                <w:color w:val="auto"/>
              </w:rPr>
            </w:pPr>
            <w:r>
              <w:rPr>
                <w:rFonts w:ascii="Calibri" w:cs="Calibri" w:eastAsia="Calibri" w:hAnsi="Calibri"/>
                <w:sz w:val="18"/>
                <w:szCs w:val="18"/>
                <w:color w:val="auto"/>
              </w:rPr>
              <w:t>Cost of sales</w:t>
            </w:r>
          </w:p>
        </w:tc>
        <w:tc>
          <w:tcPr>
            <w:tcW w:w="20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76,728</w:t>
            </w:r>
          </w:p>
        </w:tc>
        <w:tc>
          <w:tcPr>
            <w:tcW w:w="260" w:type="dxa"/>
            <w:vAlign w:val="bottom"/>
            <w:shd w:val="clear" w:color="auto" w:fill="CCECFF"/>
          </w:tcPr>
          <w:p>
            <w:pPr>
              <w:spacing w:after="0"/>
              <w:rPr>
                <w:sz w:val="18"/>
                <w:szCs w:val="18"/>
                <w:color w:val="auto"/>
              </w:rPr>
            </w:pPr>
          </w:p>
        </w:tc>
        <w:tc>
          <w:tcPr>
            <w:tcW w:w="240" w:type="dxa"/>
            <w:vAlign w:val="bottom"/>
            <w:shd w:val="clear" w:color="auto" w:fill="CCECFF"/>
          </w:tcPr>
          <w:p>
            <w:pPr>
              <w:jc w:val="right"/>
              <w:ind w:right="50"/>
              <w:spacing w:after="0" w:line="210" w:lineRule="exact"/>
              <w:rPr>
                <w:sz w:val="20"/>
                <w:szCs w:val="20"/>
                <w:color w:val="auto"/>
              </w:rPr>
            </w:pPr>
            <w:r>
              <w:rPr>
                <w:rFonts w:ascii="Calibri" w:cs="Calibri" w:eastAsia="Calibri" w:hAnsi="Calibri"/>
                <w:sz w:val="18"/>
                <w:szCs w:val="18"/>
                <w:color w:val="auto"/>
                <w:w w:val="87"/>
              </w:rPr>
              <w:t>$</w:t>
            </w:r>
          </w:p>
        </w:tc>
        <w:tc>
          <w:tcPr>
            <w:tcW w:w="88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45,209</w:t>
            </w:r>
          </w:p>
        </w:tc>
        <w:tc>
          <w:tcPr>
            <w:tcW w:w="240" w:type="dxa"/>
            <w:vAlign w:val="bottom"/>
            <w:shd w:val="clear" w:color="auto" w:fill="CCECFF"/>
          </w:tcPr>
          <w:p>
            <w:pPr>
              <w:spacing w:after="0"/>
              <w:rPr>
                <w:sz w:val="18"/>
                <w:szCs w:val="18"/>
                <w:color w:val="auto"/>
              </w:rPr>
            </w:pPr>
          </w:p>
        </w:tc>
        <w:tc>
          <w:tcPr>
            <w:tcW w:w="18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31,519</w:t>
            </w:r>
          </w:p>
        </w:tc>
        <w:tc>
          <w:tcPr>
            <w:tcW w:w="240" w:type="dxa"/>
            <w:vAlign w:val="bottom"/>
            <w:shd w:val="clear" w:color="auto" w:fill="CCECFF"/>
          </w:tcPr>
          <w:p>
            <w:pPr>
              <w:spacing w:after="0"/>
              <w:rPr>
                <w:sz w:val="18"/>
                <w:szCs w:val="18"/>
                <w:color w:val="auto"/>
              </w:rPr>
            </w:pPr>
          </w:p>
        </w:tc>
        <w:tc>
          <w:tcPr>
            <w:tcW w:w="1220" w:type="dxa"/>
            <w:vAlign w:val="bottom"/>
            <w:shd w:val="clear" w:color="auto" w:fill="CCEEFF"/>
          </w:tcPr>
          <w:p>
            <w:pPr>
              <w:jc w:val="center"/>
              <w:spacing w:after="0" w:line="210" w:lineRule="exact"/>
              <w:rPr>
                <w:sz w:val="20"/>
                <w:szCs w:val="20"/>
                <w:color w:val="auto"/>
              </w:rPr>
            </w:pPr>
            <w:r>
              <w:rPr>
                <w:rFonts w:ascii="Calibri" w:cs="Calibri" w:eastAsia="Calibri" w:hAnsi="Calibri"/>
                <w:sz w:val="18"/>
                <w:szCs w:val="18"/>
                <w:color w:val="auto"/>
              </w:rPr>
              <w:t>70%</w:t>
            </w:r>
          </w:p>
        </w:tc>
      </w:tr>
    </w:tbl>
    <w:p>
      <w:pPr>
        <w:spacing w:after="0" w:line="59"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Cost of sales increased by $31.5 million for the year ended December 31, 2024, compared to the same period in 2023. The increase in cost of sales was due to an increase in demand for our approved products, primarily Crysvita in Latn America and Evkeeza in EMEA and Japan.</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Research and Development Expenses (dollars in thousands)</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Research and development expenses include internal and external costs incurred for research and development of our programs and program candidates and expenses related to certain technology that we acquire or license through business development transactons. These expenses consist primarily of clinical studies performed by contract research organizatons, manufacturing of drug substance and drug product performed by contract manufacturing organizatons and at our gene therapy manufacturing facility, materials and supplies, fees from collaboratve and other arrangements including milestones, licenses and other fees, personnel costs including salaries, benefts and stock-based compensaton, and overhead allocatons consistng of various support and infrastructure costs.</w:t>
      </w:r>
    </w:p>
    <w:p>
      <w:pPr>
        <w:spacing w:after="0" w:line="86"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Clinical programs include study conduct and manufacturing costs related to clinical program candidates. Translatonal research includes costs for preclinical study work and costs related to preclinical programs prior to IND fling. Upfront license, acquisiton, and milestone fees include any signifcant expenses related to strategic licensing agreements. Approved products include costs for disease monitoring programs for post-marketng clinical studies, medical afairs actvites to support scientfc discovery eforts on existng programs, and regulatory costs for unapproved regions. Infrastructure costs include direct costs related to laboratory, IT, and equipment depreciaton costs, and overhead allocatons for human resources, IT, and other allocable costs.</w:t>
      </w:r>
    </w:p>
    <w:p>
      <w:pPr>
        <w:spacing w:after="0" w:line="85"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manage our research and development expenses by identfying the research and development actvites we expect to be performed during a given period and then prioritzing eforts based on antcipated probability of successful technical development and regulatory approval, market potental, available human and capital resources, scientfc data and other consideratons. We regularly review our research and development actvites based on unmet medical need and, as necessary, reallocate resources among our research and development portolio that we believe will best support the long-term growth of our business. We allocate and analyze certain operatonal expenses by individual product candidates, specifcally costs to conduct clinical studies, including expenses incurred with clinical research organizatons, direct manufacturing costs, and salaries and benefts. Other operatonal expenses are not allocated and analyzed by individual product candidates. For instance, costs associated with Chemistry, Manufacturing and Controls, or CMC costs, are primarily purchases of materials for our internal gene therapy manufacturing actvites that qualify as research and development expenses at the tme of purchase but for which the allocaton and consumpton of such costs by a specifc product candidate is not determined; accordingly, CMC costs for gene therapy programs are generally spread across multple product candidates. Although we do track and allocate certain operatonal R&amp;D costs at the individual product candidate level, as described above and as refected in the table below, we do not fully track and allocate research and development expenses at the individual product candidate level.</w:t>
      </w:r>
    </w:p>
    <w:p>
      <w:pPr>
        <w:spacing w:after="0" w:line="91" w:lineRule="exact"/>
        <w:rPr>
          <w:sz w:val="20"/>
          <w:szCs w:val="20"/>
          <w:color w:val="auto"/>
        </w:rPr>
      </w:pPr>
    </w:p>
    <w:p>
      <w:pPr>
        <w:ind w:right="620" w:firstLine="509"/>
        <w:spacing w:after="0" w:line="235" w:lineRule="auto"/>
        <w:rPr>
          <w:sz w:val="20"/>
          <w:szCs w:val="20"/>
          <w:color w:val="auto"/>
        </w:rPr>
      </w:pPr>
      <w:r>
        <w:rPr>
          <w:rFonts w:ascii="Calibri" w:cs="Calibri" w:eastAsia="Calibri" w:hAnsi="Calibri"/>
          <w:sz w:val="18"/>
          <w:szCs w:val="18"/>
          <w:color w:val="auto"/>
        </w:rPr>
        <w:t>The following table provides a breakout of our research and development expenses by individual product candidate under each major clinical program type and other research and development categories:</w:t>
      </w:r>
    </w:p>
    <w:p>
      <w:pPr>
        <w:spacing w:after="0" w:line="78"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6" w:right="359" w:bottom="1440" w:gutter="0" w:footer="0" w:header="0"/>
        </w:sectPr>
      </w:pPr>
    </w:p>
    <w:bookmarkStart w:id="76" w:name="page77"/>
    <w:bookmarkEnd w:id="76"/>
    <w:tbl>
      <w:tblPr>
        <w:tblLayout w:type="fixed"/>
        <w:tblInd w:w="580" w:type="dxa"/>
        <w:tblCellMar>
          <w:top w:w="0" w:type="dxa"/>
          <w:left w:w="0" w:type="dxa"/>
          <w:bottom w:w="0" w:type="dxa"/>
          <w:right w:w="0" w:type="dxa"/>
        </w:tblCellMar>
      </w:tblPr>
      <w:tr>
        <w:trPr>
          <w:trHeight w:val="237"/>
        </w:trPr>
        <w:tc>
          <w:tcPr>
            <w:tcW w:w="4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370"/>
              <w:spacing w:after="0"/>
              <w:rPr>
                <w:sz w:val="20"/>
                <w:szCs w:val="20"/>
                <w:color w:val="auto"/>
              </w:rPr>
            </w:pPr>
            <w:r>
              <w:rPr>
                <w:rFonts w:ascii="Calibri" w:cs="Calibri" w:eastAsia="Calibri" w:hAnsi="Calibri"/>
                <w:sz w:val="18"/>
                <w:szCs w:val="18"/>
                <w:b w:val="1"/>
                <w:bCs w:val="1"/>
                <w:color w:val="auto"/>
              </w:rPr>
              <w:t>Year Ended December 31,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660"/>
              <w:spacing w:after="0"/>
              <w:rPr>
                <w:sz w:val="20"/>
                <w:szCs w:val="20"/>
                <w:color w:val="auto"/>
              </w:rPr>
            </w:pPr>
            <w:r>
              <w:rPr>
                <w:rFonts w:ascii="Calibri" w:cs="Calibri" w:eastAsia="Calibri" w:hAnsi="Calibri"/>
                <w:sz w:val="18"/>
                <w:szCs w:val="18"/>
                <w:b w:val="1"/>
                <w:bCs w:val="1"/>
                <w:color w:val="auto"/>
              </w:rPr>
              <w:t>Dollar</w:t>
            </w:r>
          </w:p>
        </w:tc>
        <w:tc>
          <w:tcPr>
            <w:tcW w:w="1400" w:type="dxa"/>
            <w:vAlign w:val="bottom"/>
          </w:tcPr>
          <w:p>
            <w:pPr>
              <w:ind w:left="420"/>
              <w:spacing w:after="0"/>
              <w:rPr>
                <w:sz w:val="20"/>
                <w:szCs w:val="20"/>
                <w:color w:val="auto"/>
              </w:rPr>
            </w:pPr>
            <w:r>
              <w:rPr>
                <w:rFonts w:ascii="Calibri" w:cs="Calibri" w:eastAsia="Calibri" w:hAnsi="Calibri"/>
                <w:sz w:val="18"/>
                <w:szCs w:val="18"/>
                <w:b w:val="1"/>
                <w:bCs w:val="1"/>
                <w:color w:val="auto"/>
              </w:rPr>
              <w:t>Percent</w:t>
            </w:r>
          </w:p>
        </w:tc>
      </w:tr>
      <w:tr>
        <w:trPr>
          <w:trHeight w:val="215"/>
        </w:trPr>
        <w:tc>
          <w:tcPr>
            <w:tcW w:w="4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70"/>
              <w:spacing w:after="0" w:line="215" w:lineRule="exact"/>
              <w:rPr>
                <w:sz w:val="20"/>
                <w:szCs w:val="20"/>
                <w:color w:val="auto"/>
              </w:rPr>
            </w:pPr>
            <w:r>
              <w:rPr>
                <w:rFonts w:ascii="Calibri" w:cs="Calibri" w:eastAsia="Calibri" w:hAnsi="Calibri"/>
                <w:sz w:val="18"/>
                <w:szCs w:val="18"/>
                <w:b w:val="1"/>
                <w:bCs w:val="1"/>
                <w:color w:val="auto"/>
              </w:rPr>
              <w:t>2024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70"/>
              <w:spacing w:after="0" w:line="215" w:lineRule="exact"/>
              <w:rPr>
                <w:sz w:val="20"/>
                <w:szCs w:val="20"/>
                <w:color w:val="auto"/>
              </w:rPr>
            </w:pPr>
            <w:r>
              <w:rPr>
                <w:rFonts w:ascii="Calibri" w:cs="Calibri" w:eastAsia="Calibri" w:hAnsi="Calibri"/>
                <w:sz w:val="18"/>
                <w:szCs w:val="18"/>
                <w:b w:val="1"/>
                <w:bCs w:val="1"/>
                <w:color w:val="auto"/>
              </w:rPr>
              <w:t>2023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600"/>
              <w:spacing w:after="0" w:line="193" w:lineRule="exact"/>
              <w:rPr>
                <w:sz w:val="20"/>
                <w:szCs w:val="20"/>
                <w:color w:val="auto"/>
              </w:rPr>
            </w:pPr>
            <w:r>
              <w:rPr>
                <w:rFonts w:ascii="Calibri" w:cs="Calibri" w:eastAsia="Calibri" w:hAnsi="Calibri"/>
                <w:sz w:val="18"/>
                <w:szCs w:val="18"/>
                <w:b w:val="1"/>
                <w:bCs w:val="1"/>
                <w:color w:val="auto"/>
              </w:rPr>
              <w:t>Change</w:t>
            </w:r>
          </w:p>
        </w:tc>
        <w:tc>
          <w:tcPr>
            <w:tcW w:w="1400" w:type="dxa"/>
            <w:vAlign w:val="bottom"/>
          </w:tcPr>
          <w:p>
            <w:pPr>
              <w:ind w:left="420"/>
              <w:spacing w:after="0" w:line="193" w:lineRule="exact"/>
              <w:rPr>
                <w:sz w:val="20"/>
                <w:szCs w:val="20"/>
                <w:color w:val="auto"/>
              </w:rPr>
            </w:pPr>
            <w:r>
              <w:rPr>
                <w:rFonts w:ascii="Calibri" w:cs="Calibri" w:eastAsia="Calibri" w:hAnsi="Calibri"/>
                <w:sz w:val="18"/>
                <w:szCs w:val="18"/>
                <w:b w:val="1"/>
                <w:bCs w:val="1"/>
                <w:color w:val="auto"/>
              </w:rPr>
              <w:t>Change</w:t>
            </w:r>
          </w:p>
        </w:tc>
      </w:tr>
      <w:tr>
        <w:trPr>
          <w:trHeight w:val="210"/>
        </w:trPr>
        <w:tc>
          <w:tcPr>
            <w:tcW w:w="4160" w:type="dxa"/>
            <w:vAlign w:val="bottom"/>
            <w:shd w:val="clear" w:color="auto" w:fill="CCEEFF"/>
          </w:tcPr>
          <w:p>
            <w:pPr>
              <w:spacing w:after="0" w:line="210" w:lineRule="exact"/>
              <w:rPr>
                <w:sz w:val="20"/>
                <w:szCs w:val="20"/>
                <w:color w:val="auto"/>
              </w:rPr>
            </w:pPr>
            <w:r>
              <w:rPr>
                <w:rFonts w:ascii="Calibri" w:cs="Calibri" w:eastAsia="Calibri" w:hAnsi="Calibri"/>
                <w:sz w:val="18"/>
                <w:szCs w:val="18"/>
                <w:color w:val="auto"/>
              </w:rPr>
              <w:t>Clinical programs:</w:t>
            </w: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15"/>
        </w:trPr>
        <w:tc>
          <w:tcPr>
            <w:tcW w:w="4160" w:type="dxa"/>
            <w:vAlign w:val="bottom"/>
          </w:tcPr>
          <w:p>
            <w:pPr>
              <w:ind w:left="180"/>
              <w:spacing w:after="0" w:line="215" w:lineRule="exact"/>
              <w:rPr>
                <w:sz w:val="20"/>
                <w:szCs w:val="20"/>
                <w:color w:val="auto"/>
              </w:rPr>
            </w:pPr>
            <w:r>
              <w:rPr>
                <w:rFonts w:ascii="Calibri" w:cs="Calibri" w:eastAsia="Calibri" w:hAnsi="Calibri"/>
                <w:sz w:val="18"/>
                <w:szCs w:val="18"/>
                <w:color w:val="auto"/>
              </w:rPr>
              <w:t>Gene therapy programs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7"/>
        </w:trPr>
        <w:tc>
          <w:tcPr>
            <w:tcW w:w="4160" w:type="dxa"/>
            <w:vAlign w:val="bottom"/>
            <w:shd w:val="clear" w:color="auto" w:fill="CCECFF"/>
          </w:tcPr>
          <w:p>
            <w:pPr>
              <w:ind w:left="280"/>
              <w:spacing w:after="0" w:line="216" w:lineRule="exact"/>
              <w:rPr>
                <w:sz w:val="20"/>
                <w:szCs w:val="20"/>
                <w:color w:val="auto"/>
              </w:rPr>
            </w:pPr>
            <w:r>
              <w:rPr>
                <w:rFonts w:ascii="Calibri" w:cs="Calibri" w:eastAsia="Calibri" w:hAnsi="Calibri"/>
                <w:sz w:val="18"/>
                <w:szCs w:val="18"/>
                <w:color w:val="auto"/>
              </w:rPr>
              <w:t>DTX301</w:t>
            </w:r>
          </w:p>
        </w:tc>
        <w:tc>
          <w:tcPr>
            <w:tcW w:w="280" w:type="dxa"/>
            <w:vAlign w:val="bottom"/>
            <w:shd w:val="clear" w:color="auto" w:fill="CCECFF"/>
          </w:tcPr>
          <w:p>
            <w:pPr>
              <w:jc w:val="right"/>
              <w:ind w:right="70"/>
              <w:spacing w:after="0" w:line="216" w:lineRule="exact"/>
              <w:rPr>
                <w:sz w:val="20"/>
                <w:szCs w:val="20"/>
                <w:color w:val="auto"/>
              </w:rPr>
            </w:pPr>
            <w:r>
              <w:rPr>
                <w:rFonts w:ascii="Calibri" w:cs="Calibri" w:eastAsia="Calibri" w:hAnsi="Calibri"/>
                <w:sz w:val="18"/>
                <w:szCs w:val="18"/>
                <w:color w:val="auto"/>
              </w:rPr>
              <w:t>$</w:t>
            </w:r>
          </w:p>
        </w:tc>
        <w:tc>
          <w:tcPr>
            <w:tcW w:w="100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40,831</w:t>
            </w:r>
          </w:p>
        </w:tc>
        <w:tc>
          <w:tcPr>
            <w:tcW w:w="520" w:type="dxa"/>
            <w:vAlign w:val="bottom"/>
            <w:gridSpan w:val="2"/>
            <w:shd w:val="clear" w:color="auto" w:fill="CCECFF"/>
          </w:tcPr>
          <w:p>
            <w:pPr>
              <w:jc w:val="right"/>
              <w:ind w:right="180"/>
              <w:spacing w:after="0" w:line="216" w:lineRule="exact"/>
              <w:rPr>
                <w:sz w:val="20"/>
                <w:szCs w:val="20"/>
                <w:color w:val="auto"/>
              </w:rPr>
            </w:pPr>
            <w:r>
              <w:rPr>
                <w:rFonts w:ascii="Calibri" w:cs="Calibri" w:eastAsia="Calibri" w:hAnsi="Calibri"/>
                <w:sz w:val="18"/>
                <w:szCs w:val="18"/>
                <w:color w:val="auto"/>
              </w:rPr>
              <w:t>$</w:t>
            </w:r>
          </w:p>
        </w:tc>
        <w:tc>
          <w:tcPr>
            <w:tcW w:w="100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31,439</w:t>
            </w:r>
          </w:p>
        </w:tc>
        <w:tc>
          <w:tcPr>
            <w:tcW w:w="460" w:type="dxa"/>
            <w:vAlign w:val="bottom"/>
            <w:gridSpan w:val="2"/>
            <w:shd w:val="clear" w:color="auto" w:fill="CCECFF"/>
          </w:tcPr>
          <w:p>
            <w:pPr>
              <w:jc w:val="right"/>
              <w:ind w:right="120"/>
              <w:spacing w:after="0" w:line="216" w:lineRule="exact"/>
              <w:rPr>
                <w:sz w:val="20"/>
                <w:szCs w:val="20"/>
                <w:color w:val="auto"/>
              </w:rPr>
            </w:pPr>
            <w:r>
              <w:rPr>
                <w:rFonts w:ascii="Calibri" w:cs="Calibri" w:eastAsia="Calibri" w:hAnsi="Calibri"/>
                <w:sz w:val="18"/>
                <w:szCs w:val="18"/>
                <w:color w:val="auto"/>
              </w:rPr>
              <w:t>$</w:t>
            </w:r>
          </w:p>
        </w:tc>
        <w:tc>
          <w:tcPr>
            <w:tcW w:w="106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9,392</w:t>
            </w:r>
          </w:p>
        </w:tc>
        <w:tc>
          <w:tcPr>
            <w:tcW w:w="220" w:type="dxa"/>
            <w:vAlign w:val="bottom"/>
            <w:shd w:val="clear" w:color="auto" w:fill="CCECFF"/>
          </w:tcPr>
          <w:p>
            <w:pPr>
              <w:spacing w:after="0"/>
              <w:rPr>
                <w:sz w:val="18"/>
                <w:szCs w:val="18"/>
                <w:color w:val="auto"/>
              </w:rPr>
            </w:pPr>
          </w:p>
        </w:tc>
        <w:tc>
          <w:tcPr>
            <w:tcW w:w="1400" w:type="dxa"/>
            <w:vAlign w:val="bottom"/>
            <w:shd w:val="clear" w:color="auto" w:fill="CCECFF"/>
          </w:tcPr>
          <w:p>
            <w:pPr>
              <w:jc w:val="center"/>
              <w:spacing w:after="0" w:line="216" w:lineRule="exact"/>
              <w:rPr>
                <w:sz w:val="20"/>
                <w:szCs w:val="20"/>
                <w:color w:val="auto"/>
              </w:rPr>
            </w:pPr>
            <w:r>
              <w:rPr>
                <w:rFonts w:ascii="Calibri" w:cs="Calibri" w:eastAsia="Calibri" w:hAnsi="Calibri"/>
                <w:sz w:val="18"/>
                <w:szCs w:val="18"/>
                <w:color w:val="auto"/>
                <w:w w:val="96"/>
              </w:rPr>
              <w:t>30%</w:t>
            </w:r>
          </w:p>
        </w:tc>
      </w:tr>
      <w:tr>
        <w:trPr>
          <w:trHeight w:val="215"/>
        </w:trPr>
        <w:tc>
          <w:tcPr>
            <w:tcW w:w="4160" w:type="dxa"/>
            <w:vAlign w:val="bottom"/>
          </w:tcPr>
          <w:p>
            <w:pPr>
              <w:ind w:left="280"/>
              <w:spacing w:after="0" w:line="215" w:lineRule="exact"/>
              <w:rPr>
                <w:sz w:val="20"/>
                <w:szCs w:val="20"/>
                <w:color w:val="auto"/>
              </w:rPr>
            </w:pPr>
            <w:r>
              <w:rPr>
                <w:rFonts w:ascii="Calibri" w:cs="Calibri" w:eastAsia="Calibri" w:hAnsi="Calibri"/>
                <w:sz w:val="18"/>
                <w:szCs w:val="18"/>
                <w:color w:val="auto"/>
              </w:rPr>
              <w:t>DTX401</w:t>
            </w:r>
          </w:p>
        </w:tc>
        <w:tc>
          <w:tcPr>
            <w:tcW w:w="28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75,340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72,103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3,237</w:t>
            </w:r>
          </w:p>
        </w:tc>
        <w:tc>
          <w:tcPr>
            <w:tcW w:w="220" w:type="dxa"/>
            <w:vAlign w:val="bottom"/>
          </w:tcPr>
          <w:p>
            <w:pPr>
              <w:spacing w:after="0"/>
              <w:rPr>
                <w:sz w:val="18"/>
                <w:szCs w:val="18"/>
                <w:color w:val="auto"/>
              </w:rPr>
            </w:pPr>
          </w:p>
        </w:tc>
        <w:tc>
          <w:tcPr>
            <w:tcW w:w="1400" w:type="dxa"/>
            <w:vAlign w:val="bottom"/>
          </w:tcPr>
          <w:p>
            <w:pPr>
              <w:jc w:val="center"/>
              <w:spacing w:after="0" w:line="215" w:lineRule="exact"/>
              <w:rPr>
                <w:sz w:val="20"/>
                <w:szCs w:val="20"/>
                <w:color w:val="auto"/>
              </w:rPr>
            </w:pPr>
            <w:r>
              <w:rPr>
                <w:rFonts w:ascii="Calibri" w:cs="Calibri" w:eastAsia="Calibri" w:hAnsi="Calibri"/>
                <w:sz w:val="18"/>
                <w:szCs w:val="18"/>
                <w:color w:val="auto"/>
                <w:w w:val="99"/>
              </w:rPr>
              <w:t>4%</w:t>
            </w:r>
          </w:p>
        </w:tc>
      </w:tr>
      <w:tr>
        <w:trPr>
          <w:trHeight w:val="217"/>
        </w:trPr>
        <w:tc>
          <w:tcPr>
            <w:tcW w:w="4160" w:type="dxa"/>
            <w:vAlign w:val="bottom"/>
            <w:shd w:val="clear" w:color="auto" w:fill="CCECFF"/>
          </w:tcPr>
          <w:p>
            <w:pPr>
              <w:ind w:left="280"/>
              <w:spacing w:after="0" w:line="216" w:lineRule="exact"/>
              <w:rPr>
                <w:sz w:val="20"/>
                <w:szCs w:val="20"/>
                <w:color w:val="auto"/>
              </w:rPr>
            </w:pPr>
            <w:r>
              <w:rPr>
                <w:rFonts w:ascii="Calibri" w:cs="Calibri" w:eastAsia="Calibri" w:hAnsi="Calibri"/>
                <w:sz w:val="18"/>
                <w:szCs w:val="18"/>
                <w:color w:val="auto"/>
              </w:rPr>
              <w:t>UX701</w:t>
            </w:r>
          </w:p>
        </w:tc>
        <w:tc>
          <w:tcPr>
            <w:tcW w:w="280" w:type="dxa"/>
            <w:vAlign w:val="bottom"/>
            <w:shd w:val="clear" w:color="auto" w:fill="CCECFF"/>
          </w:tcPr>
          <w:p>
            <w:pPr>
              <w:spacing w:after="0"/>
              <w:rPr>
                <w:sz w:val="18"/>
                <w:szCs w:val="18"/>
                <w:color w:val="auto"/>
              </w:rPr>
            </w:pPr>
          </w:p>
        </w:tc>
        <w:tc>
          <w:tcPr>
            <w:tcW w:w="100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33,207</w:t>
            </w:r>
          </w:p>
        </w:tc>
        <w:tc>
          <w:tcPr>
            <w:tcW w:w="24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00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24,079</w:t>
            </w:r>
          </w:p>
        </w:tc>
        <w:tc>
          <w:tcPr>
            <w:tcW w:w="2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06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9,128</w:t>
            </w:r>
          </w:p>
        </w:tc>
        <w:tc>
          <w:tcPr>
            <w:tcW w:w="220" w:type="dxa"/>
            <w:vAlign w:val="bottom"/>
            <w:shd w:val="clear" w:color="auto" w:fill="CCECFF"/>
          </w:tcPr>
          <w:p>
            <w:pPr>
              <w:spacing w:after="0"/>
              <w:rPr>
                <w:sz w:val="18"/>
                <w:szCs w:val="18"/>
                <w:color w:val="auto"/>
              </w:rPr>
            </w:pPr>
          </w:p>
        </w:tc>
        <w:tc>
          <w:tcPr>
            <w:tcW w:w="1400" w:type="dxa"/>
            <w:vAlign w:val="bottom"/>
            <w:shd w:val="clear" w:color="auto" w:fill="CCECFF"/>
          </w:tcPr>
          <w:p>
            <w:pPr>
              <w:jc w:val="center"/>
              <w:spacing w:after="0" w:line="216" w:lineRule="exact"/>
              <w:rPr>
                <w:sz w:val="20"/>
                <w:szCs w:val="20"/>
                <w:color w:val="auto"/>
              </w:rPr>
            </w:pPr>
            <w:r>
              <w:rPr>
                <w:rFonts w:ascii="Calibri" w:cs="Calibri" w:eastAsia="Calibri" w:hAnsi="Calibri"/>
                <w:sz w:val="18"/>
                <w:szCs w:val="18"/>
                <w:color w:val="auto"/>
                <w:w w:val="96"/>
              </w:rPr>
              <w:t>38%</w:t>
            </w:r>
          </w:p>
        </w:tc>
      </w:tr>
      <w:tr>
        <w:trPr>
          <w:trHeight w:val="215"/>
        </w:trPr>
        <w:tc>
          <w:tcPr>
            <w:tcW w:w="4160" w:type="dxa"/>
            <w:vAlign w:val="bottom"/>
          </w:tcPr>
          <w:p>
            <w:pPr>
              <w:ind w:left="280"/>
              <w:spacing w:after="0" w:line="215" w:lineRule="exact"/>
              <w:rPr>
                <w:sz w:val="20"/>
                <w:szCs w:val="20"/>
                <w:color w:val="auto"/>
              </w:rPr>
            </w:pPr>
            <w:r>
              <w:rPr>
                <w:rFonts w:ascii="Calibri" w:cs="Calibri" w:eastAsia="Calibri" w:hAnsi="Calibri"/>
                <w:sz w:val="18"/>
                <w:szCs w:val="18"/>
                <w:color w:val="auto"/>
              </w:rPr>
              <w:t>UX111</w:t>
            </w:r>
          </w:p>
        </w:tc>
        <w:tc>
          <w:tcPr>
            <w:tcW w:w="28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41,323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24,412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16,911</w:t>
            </w:r>
          </w:p>
        </w:tc>
        <w:tc>
          <w:tcPr>
            <w:tcW w:w="220" w:type="dxa"/>
            <w:vAlign w:val="bottom"/>
          </w:tcPr>
          <w:p>
            <w:pPr>
              <w:spacing w:after="0"/>
              <w:rPr>
                <w:sz w:val="18"/>
                <w:szCs w:val="18"/>
                <w:color w:val="auto"/>
              </w:rPr>
            </w:pPr>
          </w:p>
        </w:tc>
        <w:tc>
          <w:tcPr>
            <w:tcW w:w="1400" w:type="dxa"/>
            <w:vAlign w:val="bottom"/>
          </w:tcPr>
          <w:p>
            <w:pPr>
              <w:jc w:val="center"/>
              <w:spacing w:after="0" w:line="215" w:lineRule="exact"/>
              <w:rPr>
                <w:sz w:val="20"/>
                <w:szCs w:val="20"/>
                <w:color w:val="auto"/>
              </w:rPr>
            </w:pPr>
            <w:r>
              <w:rPr>
                <w:rFonts w:ascii="Calibri" w:cs="Calibri" w:eastAsia="Calibri" w:hAnsi="Calibri"/>
                <w:sz w:val="18"/>
                <w:szCs w:val="18"/>
                <w:color w:val="auto"/>
                <w:w w:val="96"/>
              </w:rPr>
              <w:t>69%</w:t>
            </w:r>
          </w:p>
        </w:tc>
      </w:tr>
      <w:tr>
        <w:trPr>
          <w:trHeight w:val="216"/>
        </w:trPr>
        <w:tc>
          <w:tcPr>
            <w:tcW w:w="4160" w:type="dxa"/>
            <w:vAlign w:val="bottom"/>
            <w:shd w:val="clear" w:color="auto" w:fill="CCECFF"/>
          </w:tcPr>
          <w:p>
            <w:pPr>
              <w:ind w:left="280"/>
              <w:spacing w:after="0" w:line="216" w:lineRule="exact"/>
              <w:rPr>
                <w:sz w:val="20"/>
                <w:szCs w:val="20"/>
                <w:color w:val="auto"/>
              </w:rPr>
            </w:pPr>
            <w:r>
              <w:rPr>
                <w:rFonts w:ascii="Calibri" w:cs="Calibri" w:eastAsia="Calibri" w:hAnsi="Calibri"/>
                <w:sz w:val="18"/>
                <w:szCs w:val="18"/>
                <w:color w:val="auto"/>
              </w:rPr>
              <w:t>CMC costs</w:t>
            </w:r>
          </w:p>
        </w:tc>
        <w:tc>
          <w:tcPr>
            <w:tcW w:w="280" w:type="dxa"/>
            <w:vAlign w:val="bottom"/>
            <w:shd w:val="clear" w:color="auto" w:fill="CCECFF"/>
          </w:tcPr>
          <w:p>
            <w:pPr>
              <w:spacing w:after="0"/>
              <w:rPr>
                <w:sz w:val="18"/>
                <w:szCs w:val="18"/>
                <w:color w:val="auto"/>
              </w:rPr>
            </w:pPr>
          </w:p>
        </w:tc>
        <w:tc>
          <w:tcPr>
            <w:tcW w:w="100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3,459</w:t>
            </w:r>
          </w:p>
        </w:tc>
        <w:tc>
          <w:tcPr>
            <w:tcW w:w="24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00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16,672</w:t>
            </w:r>
          </w:p>
        </w:tc>
        <w:tc>
          <w:tcPr>
            <w:tcW w:w="2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280" w:type="dxa"/>
            <w:vAlign w:val="bottom"/>
            <w:gridSpan w:val="2"/>
            <w:shd w:val="clear" w:color="auto" w:fill="CCECFF"/>
          </w:tcPr>
          <w:p>
            <w:pPr>
              <w:jc w:val="right"/>
              <w:ind w:right="160"/>
              <w:spacing w:after="0" w:line="216" w:lineRule="exact"/>
              <w:rPr>
                <w:sz w:val="20"/>
                <w:szCs w:val="20"/>
                <w:color w:val="auto"/>
              </w:rPr>
            </w:pPr>
            <w:r>
              <w:rPr>
                <w:rFonts w:ascii="Calibri" w:cs="Calibri" w:eastAsia="Calibri" w:hAnsi="Calibri"/>
                <w:sz w:val="18"/>
                <w:szCs w:val="18"/>
                <w:color w:val="auto"/>
              </w:rPr>
              <w:t>(13,213 )</w:t>
            </w:r>
          </w:p>
        </w:tc>
        <w:tc>
          <w:tcPr>
            <w:tcW w:w="1400" w:type="dxa"/>
            <w:vAlign w:val="bottom"/>
            <w:shd w:val="clear" w:color="auto" w:fill="CCECFF"/>
          </w:tcPr>
          <w:p>
            <w:pPr>
              <w:jc w:val="center"/>
              <w:spacing w:after="0" w:line="216" w:lineRule="exact"/>
              <w:rPr>
                <w:sz w:val="20"/>
                <w:szCs w:val="20"/>
                <w:color w:val="auto"/>
              </w:rPr>
            </w:pPr>
            <w:r>
              <w:rPr>
                <w:rFonts w:ascii="Calibri" w:cs="Calibri" w:eastAsia="Calibri" w:hAnsi="Calibri"/>
                <w:sz w:val="18"/>
                <w:szCs w:val="18"/>
                <w:color w:val="auto"/>
                <w:w w:val="98"/>
              </w:rPr>
              <w:t>-79%</w:t>
            </w:r>
          </w:p>
        </w:tc>
      </w:tr>
      <w:tr>
        <w:trPr>
          <w:trHeight w:val="209"/>
        </w:trPr>
        <w:tc>
          <w:tcPr>
            <w:tcW w:w="4160" w:type="dxa"/>
            <w:vAlign w:val="bottom"/>
            <w:tcBorders>
              <w:top w:val="single" w:sz="8" w:color="CCECFF"/>
            </w:tcBorders>
          </w:tcPr>
          <w:p>
            <w:pPr>
              <w:ind w:left="360"/>
              <w:spacing w:after="0" w:line="209" w:lineRule="exact"/>
              <w:rPr>
                <w:sz w:val="20"/>
                <w:szCs w:val="20"/>
                <w:color w:val="auto"/>
              </w:rPr>
            </w:pPr>
            <w:r>
              <w:rPr>
                <w:rFonts w:ascii="Calibri" w:cs="Calibri" w:eastAsia="Calibri" w:hAnsi="Calibri"/>
                <w:sz w:val="18"/>
                <w:szCs w:val="18"/>
                <w:color w:val="auto"/>
              </w:rPr>
              <w:t>Total gene therapy programs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194,160</w:t>
            </w:r>
          </w:p>
        </w:tc>
        <w:tc>
          <w:tcPr>
            <w:tcW w:w="240" w:type="dxa"/>
            <w:vAlign w:val="bottom"/>
            <w:tcBorders>
              <w:top w:val="single" w:sz="8" w:color="CCEC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168,705</w:t>
            </w:r>
          </w:p>
        </w:tc>
        <w:tc>
          <w:tcPr>
            <w:tcW w:w="240" w:type="dxa"/>
            <w:vAlign w:val="bottom"/>
            <w:tcBorders>
              <w:top w:val="single" w:sz="8" w:color="CCEC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25,455</w:t>
            </w:r>
          </w:p>
        </w:tc>
        <w:tc>
          <w:tcPr>
            <w:tcW w:w="220" w:type="dxa"/>
            <w:vAlign w:val="bottom"/>
            <w:tcBorders>
              <w:top w:val="single" w:sz="8" w:color="CCECFF"/>
            </w:tcBorders>
          </w:tcPr>
          <w:p>
            <w:pPr>
              <w:spacing w:after="0"/>
              <w:rPr>
                <w:sz w:val="18"/>
                <w:szCs w:val="18"/>
                <w:color w:val="auto"/>
              </w:rPr>
            </w:pPr>
          </w:p>
        </w:tc>
        <w:tc>
          <w:tcPr>
            <w:tcW w:w="1400" w:type="dxa"/>
            <w:vAlign w:val="bottom"/>
            <w:tcBorders>
              <w:top w:val="single" w:sz="8" w:color="CCECFF"/>
            </w:tcBorders>
          </w:tcPr>
          <w:p>
            <w:pPr>
              <w:jc w:val="center"/>
              <w:spacing w:after="0" w:line="209" w:lineRule="exact"/>
              <w:rPr>
                <w:sz w:val="20"/>
                <w:szCs w:val="20"/>
                <w:color w:val="auto"/>
              </w:rPr>
            </w:pPr>
            <w:r>
              <w:rPr>
                <w:rFonts w:ascii="Calibri" w:cs="Calibri" w:eastAsia="Calibri" w:hAnsi="Calibri"/>
                <w:sz w:val="18"/>
                <w:szCs w:val="18"/>
                <w:color w:val="auto"/>
                <w:w w:val="96"/>
              </w:rPr>
              <w:t>15%</w:t>
            </w:r>
          </w:p>
        </w:tc>
      </w:tr>
      <w:tr>
        <w:trPr>
          <w:trHeight w:val="217"/>
        </w:trPr>
        <w:tc>
          <w:tcPr>
            <w:tcW w:w="4160" w:type="dxa"/>
            <w:vAlign w:val="bottom"/>
            <w:shd w:val="clear" w:color="auto" w:fill="CCECFF"/>
          </w:tcPr>
          <w:p>
            <w:pPr>
              <w:ind w:left="180"/>
              <w:spacing w:after="0" w:line="216" w:lineRule="exact"/>
              <w:rPr>
                <w:sz w:val="20"/>
                <w:szCs w:val="20"/>
                <w:color w:val="auto"/>
              </w:rPr>
            </w:pPr>
            <w:r>
              <w:rPr>
                <w:rFonts w:ascii="Calibri" w:cs="Calibri" w:eastAsia="Calibri" w:hAnsi="Calibri"/>
                <w:sz w:val="18"/>
                <w:szCs w:val="18"/>
                <w:color w:val="auto"/>
              </w:rPr>
              <w:t>Biologic and nucleic acid programs</w:t>
            </w:r>
          </w:p>
        </w:tc>
        <w:tc>
          <w:tcPr>
            <w:tcW w:w="280" w:type="dxa"/>
            <w:vAlign w:val="bottom"/>
            <w:shd w:val="clear" w:color="auto" w:fill="CCECFF"/>
          </w:tcPr>
          <w:p>
            <w:pPr>
              <w:spacing w:after="0"/>
              <w:rPr>
                <w:sz w:val="18"/>
                <w:szCs w:val="18"/>
                <w:color w:val="auto"/>
              </w:rPr>
            </w:pPr>
          </w:p>
        </w:tc>
        <w:tc>
          <w:tcPr>
            <w:tcW w:w="10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0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06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400" w:type="dxa"/>
            <w:vAlign w:val="bottom"/>
            <w:shd w:val="clear" w:color="auto" w:fill="CCECFF"/>
          </w:tcPr>
          <w:p>
            <w:pPr>
              <w:spacing w:after="0"/>
              <w:rPr>
                <w:sz w:val="18"/>
                <w:szCs w:val="18"/>
                <w:color w:val="auto"/>
              </w:rPr>
            </w:pPr>
          </w:p>
        </w:tc>
      </w:tr>
      <w:tr>
        <w:trPr>
          <w:trHeight w:val="215"/>
        </w:trPr>
        <w:tc>
          <w:tcPr>
            <w:tcW w:w="4160" w:type="dxa"/>
            <w:vAlign w:val="bottom"/>
          </w:tcPr>
          <w:p>
            <w:pPr>
              <w:ind w:left="280"/>
              <w:spacing w:after="0" w:line="215" w:lineRule="exact"/>
              <w:rPr>
                <w:sz w:val="20"/>
                <w:szCs w:val="20"/>
                <w:color w:val="auto"/>
              </w:rPr>
            </w:pPr>
            <w:r>
              <w:rPr>
                <w:rFonts w:ascii="Calibri" w:cs="Calibri" w:eastAsia="Calibri" w:hAnsi="Calibri"/>
                <w:sz w:val="18"/>
                <w:szCs w:val="18"/>
                <w:color w:val="auto"/>
              </w:rPr>
              <w:t>GTX102</w:t>
            </w:r>
          </w:p>
        </w:tc>
        <w:tc>
          <w:tcPr>
            <w:tcW w:w="28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50,757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31,121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19,636</w:t>
            </w:r>
          </w:p>
        </w:tc>
        <w:tc>
          <w:tcPr>
            <w:tcW w:w="220" w:type="dxa"/>
            <w:vAlign w:val="bottom"/>
          </w:tcPr>
          <w:p>
            <w:pPr>
              <w:spacing w:after="0"/>
              <w:rPr>
                <w:sz w:val="18"/>
                <w:szCs w:val="18"/>
                <w:color w:val="auto"/>
              </w:rPr>
            </w:pPr>
          </w:p>
        </w:tc>
        <w:tc>
          <w:tcPr>
            <w:tcW w:w="1400" w:type="dxa"/>
            <w:vAlign w:val="bottom"/>
          </w:tcPr>
          <w:p>
            <w:pPr>
              <w:jc w:val="center"/>
              <w:spacing w:after="0" w:line="215" w:lineRule="exact"/>
              <w:rPr>
                <w:sz w:val="20"/>
                <w:szCs w:val="20"/>
                <w:color w:val="auto"/>
              </w:rPr>
            </w:pPr>
            <w:r>
              <w:rPr>
                <w:rFonts w:ascii="Calibri" w:cs="Calibri" w:eastAsia="Calibri" w:hAnsi="Calibri"/>
                <w:sz w:val="18"/>
                <w:szCs w:val="18"/>
                <w:color w:val="auto"/>
                <w:w w:val="96"/>
              </w:rPr>
              <w:t>63%</w:t>
            </w:r>
          </w:p>
        </w:tc>
      </w:tr>
      <w:tr>
        <w:trPr>
          <w:trHeight w:val="217"/>
        </w:trPr>
        <w:tc>
          <w:tcPr>
            <w:tcW w:w="4160" w:type="dxa"/>
            <w:vAlign w:val="bottom"/>
            <w:shd w:val="clear" w:color="auto" w:fill="CCECFF"/>
          </w:tcPr>
          <w:p>
            <w:pPr>
              <w:ind w:left="280"/>
              <w:spacing w:after="0" w:line="216" w:lineRule="exact"/>
              <w:rPr>
                <w:sz w:val="20"/>
                <w:szCs w:val="20"/>
                <w:color w:val="auto"/>
              </w:rPr>
            </w:pPr>
            <w:r>
              <w:rPr>
                <w:rFonts w:ascii="Calibri" w:cs="Calibri" w:eastAsia="Calibri" w:hAnsi="Calibri"/>
                <w:sz w:val="18"/>
                <w:szCs w:val="18"/>
                <w:color w:val="auto"/>
              </w:rPr>
              <w:t>UX053</w:t>
            </w:r>
          </w:p>
        </w:tc>
        <w:tc>
          <w:tcPr>
            <w:tcW w:w="280" w:type="dxa"/>
            <w:vAlign w:val="bottom"/>
            <w:shd w:val="clear" w:color="auto" w:fill="CCECFF"/>
          </w:tcPr>
          <w:p>
            <w:pPr>
              <w:spacing w:after="0"/>
              <w:rPr>
                <w:sz w:val="18"/>
                <w:szCs w:val="18"/>
                <w:color w:val="auto"/>
              </w:rPr>
            </w:pPr>
          </w:p>
        </w:tc>
        <w:tc>
          <w:tcPr>
            <w:tcW w:w="100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374</w:t>
            </w:r>
          </w:p>
        </w:tc>
        <w:tc>
          <w:tcPr>
            <w:tcW w:w="24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00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12,821</w:t>
            </w:r>
          </w:p>
        </w:tc>
        <w:tc>
          <w:tcPr>
            <w:tcW w:w="2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280" w:type="dxa"/>
            <w:vAlign w:val="bottom"/>
            <w:gridSpan w:val="2"/>
            <w:shd w:val="clear" w:color="auto" w:fill="CCECFF"/>
          </w:tcPr>
          <w:p>
            <w:pPr>
              <w:jc w:val="right"/>
              <w:ind w:right="160"/>
              <w:spacing w:after="0" w:line="216" w:lineRule="exact"/>
              <w:rPr>
                <w:sz w:val="20"/>
                <w:szCs w:val="20"/>
                <w:color w:val="auto"/>
              </w:rPr>
            </w:pPr>
            <w:r>
              <w:rPr>
                <w:rFonts w:ascii="Calibri" w:cs="Calibri" w:eastAsia="Calibri" w:hAnsi="Calibri"/>
                <w:sz w:val="18"/>
                <w:szCs w:val="18"/>
                <w:color w:val="auto"/>
              </w:rPr>
              <w:t>(12,447 )</w:t>
            </w:r>
          </w:p>
        </w:tc>
        <w:tc>
          <w:tcPr>
            <w:tcW w:w="1400" w:type="dxa"/>
            <w:vAlign w:val="bottom"/>
            <w:shd w:val="clear" w:color="auto" w:fill="CCECFF"/>
          </w:tcPr>
          <w:p>
            <w:pPr>
              <w:jc w:val="center"/>
              <w:spacing w:after="0" w:line="216" w:lineRule="exact"/>
              <w:rPr>
                <w:sz w:val="20"/>
                <w:szCs w:val="20"/>
                <w:color w:val="auto"/>
              </w:rPr>
            </w:pPr>
            <w:r>
              <w:rPr>
                <w:rFonts w:ascii="Calibri" w:cs="Calibri" w:eastAsia="Calibri" w:hAnsi="Calibri"/>
                <w:sz w:val="18"/>
                <w:szCs w:val="18"/>
                <w:color w:val="auto"/>
                <w:w w:val="98"/>
              </w:rPr>
              <w:t>-97%</w:t>
            </w:r>
          </w:p>
        </w:tc>
      </w:tr>
      <w:tr>
        <w:trPr>
          <w:trHeight w:val="215"/>
        </w:trPr>
        <w:tc>
          <w:tcPr>
            <w:tcW w:w="4160" w:type="dxa"/>
            <w:vAlign w:val="bottom"/>
          </w:tcPr>
          <w:p>
            <w:pPr>
              <w:ind w:left="280"/>
              <w:spacing w:after="0" w:line="215" w:lineRule="exact"/>
              <w:rPr>
                <w:sz w:val="20"/>
                <w:szCs w:val="20"/>
                <w:color w:val="auto"/>
              </w:rPr>
            </w:pPr>
            <w:r>
              <w:rPr>
                <w:rFonts w:ascii="Calibri" w:cs="Calibri" w:eastAsia="Calibri" w:hAnsi="Calibri"/>
                <w:sz w:val="18"/>
                <w:szCs w:val="18"/>
                <w:color w:val="auto"/>
              </w:rPr>
              <w:t>UX143</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89,118</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64,972</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24,146</w:t>
            </w:r>
          </w:p>
        </w:tc>
        <w:tc>
          <w:tcPr>
            <w:tcW w:w="220" w:type="dxa"/>
            <w:vAlign w:val="bottom"/>
          </w:tcPr>
          <w:p>
            <w:pPr>
              <w:spacing w:after="0"/>
              <w:rPr>
                <w:sz w:val="18"/>
                <w:szCs w:val="18"/>
                <w:color w:val="auto"/>
              </w:rPr>
            </w:pPr>
          </w:p>
        </w:tc>
        <w:tc>
          <w:tcPr>
            <w:tcW w:w="1400" w:type="dxa"/>
            <w:vAlign w:val="bottom"/>
          </w:tcPr>
          <w:p>
            <w:pPr>
              <w:jc w:val="center"/>
              <w:spacing w:after="0" w:line="215" w:lineRule="exact"/>
              <w:rPr>
                <w:sz w:val="20"/>
                <w:szCs w:val="20"/>
                <w:color w:val="auto"/>
              </w:rPr>
            </w:pPr>
            <w:r>
              <w:rPr>
                <w:rFonts w:ascii="Calibri" w:cs="Calibri" w:eastAsia="Calibri" w:hAnsi="Calibri"/>
                <w:sz w:val="18"/>
                <w:szCs w:val="18"/>
                <w:color w:val="auto"/>
                <w:w w:val="96"/>
              </w:rPr>
              <w:t>37%</w:t>
            </w:r>
          </w:p>
        </w:tc>
      </w:tr>
      <w:tr>
        <w:trPr>
          <w:trHeight w:val="210"/>
        </w:trPr>
        <w:tc>
          <w:tcPr>
            <w:tcW w:w="4160" w:type="dxa"/>
            <w:vAlign w:val="bottom"/>
            <w:shd w:val="clear" w:color="auto" w:fill="CCECFF"/>
          </w:tcPr>
          <w:p>
            <w:pPr>
              <w:ind w:left="360"/>
              <w:spacing w:after="0" w:line="210" w:lineRule="exact"/>
              <w:rPr>
                <w:sz w:val="20"/>
                <w:szCs w:val="20"/>
                <w:color w:val="auto"/>
              </w:rPr>
            </w:pPr>
            <w:r>
              <w:rPr>
                <w:rFonts w:ascii="Calibri" w:cs="Calibri" w:eastAsia="Calibri" w:hAnsi="Calibri"/>
                <w:sz w:val="18"/>
                <w:szCs w:val="18"/>
                <w:color w:val="auto"/>
              </w:rPr>
              <w:t>Total biologic and nucleic acid programs</w:t>
            </w:r>
          </w:p>
        </w:tc>
        <w:tc>
          <w:tcPr>
            <w:tcW w:w="280" w:type="dxa"/>
            <w:vAlign w:val="bottom"/>
            <w:shd w:val="clear" w:color="auto" w:fill="CCECFF"/>
          </w:tcPr>
          <w:p>
            <w:pPr>
              <w:spacing w:after="0"/>
              <w:rPr>
                <w:sz w:val="18"/>
                <w:szCs w:val="18"/>
                <w:color w:val="auto"/>
              </w:rPr>
            </w:pPr>
          </w:p>
        </w:tc>
        <w:tc>
          <w:tcPr>
            <w:tcW w:w="100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140,249</w:t>
            </w:r>
          </w:p>
        </w:tc>
        <w:tc>
          <w:tcPr>
            <w:tcW w:w="24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00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108,914</w:t>
            </w:r>
          </w:p>
        </w:tc>
        <w:tc>
          <w:tcPr>
            <w:tcW w:w="2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06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31,335</w:t>
            </w:r>
          </w:p>
        </w:tc>
        <w:tc>
          <w:tcPr>
            <w:tcW w:w="220" w:type="dxa"/>
            <w:vAlign w:val="bottom"/>
            <w:shd w:val="clear" w:color="auto" w:fill="CCECFF"/>
          </w:tcPr>
          <w:p>
            <w:pPr>
              <w:spacing w:after="0"/>
              <w:rPr>
                <w:sz w:val="18"/>
                <w:szCs w:val="18"/>
                <w:color w:val="auto"/>
              </w:rPr>
            </w:pPr>
          </w:p>
        </w:tc>
        <w:tc>
          <w:tcPr>
            <w:tcW w:w="1400" w:type="dxa"/>
            <w:vAlign w:val="bottom"/>
            <w:shd w:val="clear" w:color="auto" w:fill="CCECFF"/>
          </w:tcPr>
          <w:p>
            <w:pPr>
              <w:jc w:val="center"/>
              <w:spacing w:after="0" w:line="210" w:lineRule="exact"/>
              <w:rPr>
                <w:sz w:val="20"/>
                <w:szCs w:val="20"/>
                <w:color w:val="auto"/>
              </w:rPr>
            </w:pPr>
            <w:r>
              <w:rPr>
                <w:rFonts w:ascii="Calibri" w:cs="Calibri" w:eastAsia="Calibri" w:hAnsi="Calibri"/>
                <w:sz w:val="18"/>
                <w:szCs w:val="18"/>
                <w:color w:val="auto"/>
                <w:w w:val="96"/>
              </w:rPr>
              <w:t>29%</w:t>
            </w:r>
          </w:p>
        </w:tc>
      </w:tr>
      <w:tr>
        <w:trPr>
          <w:trHeight w:val="215"/>
        </w:trPr>
        <w:tc>
          <w:tcPr>
            <w:tcW w:w="4160" w:type="dxa"/>
            <w:vAlign w:val="bottom"/>
          </w:tcPr>
          <w:p>
            <w:pPr>
              <w:spacing w:after="0" w:line="215" w:lineRule="exact"/>
              <w:rPr>
                <w:sz w:val="20"/>
                <w:szCs w:val="20"/>
                <w:color w:val="auto"/>
              </w:rPr>
            </w:pPr>
            <w:r>
              <w:rPr>
                <w:rFonts w:ascii="Calibri" w:cs="Calibri" w:eastAsia="Calibri" w:hAnsi="Calibri"/>
                <w:sz w:val="18"/>
                <w:szCs w:val="18"/>
                <w:color w:val="auto"/>
              </w:rPr>
              <w:t>Translatonal research</w:t>
            </w:r>
          </w:p>
        </w:tc>
        <w:tc>
          <w:tcPr>
            <w:tcW w:w="28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45,702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71,820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(26,118 )</w:t>
            </w:r>
          </w:p>
        </w:tc>
        <w:tc>
          <w:tcPr>
            <w:tcW w:w="1400" w:type="dxa"/>
            <w:vAlign w:val="bottom"/>
          </w:tcPr>
          <w:p>
            <w:pPr>
              <w:jc w:val="center"/>
              <w:spacing w:after="0" w:line="215" w:lineRule="exact"/>
              <w:rPr>
                <w:sz w:val="20"/>
                <w:szCs w:val="20"/>
                <w:color w:val="auto"/>
              </w:rPr>
            </w:pPr>
            <w:r>
              <w:rPr>
                <w:rFonts w:ascii="Calibri" w:cs="Calibri" w:eastAsia="Calibri" w:hAnsi="Calibri"/>
                <w:sz w:val="18"/>
                <w:szCs w:val="18"/>
                <w:color w:val="auto"/>
                <w:w w:val="98"/>
              </w:rPr>
              <w:t>-36%</w:t>
            </w:r>
          </w:p>
        </w:tc>
      </w:tr>
      <w:tr>
        <w:trPr>
          <w:trHeight w:val="217"/>
        </w:trPr>
        <w:tc>
          <w:tcPr>
            <w:tcW w:w="4160" w:type="dxa"/>
            <w:vAlign w:val="bottom"/>
            <w:shd w:val="clear" w:color="auto" w:fill="CCECFF"/>
          </w:tcPr>
          <w:p>
            <w:pPr>
              <w:spacing w:after="0" w:line="216" w:lineRule="exact"/>
              <w:rPr>
                <w:sz w:val="20"/>
                <w:szCs w:val="20"/>
                <w:color w:val="auto"/>
              </w:rPr>
            </w:pPr>
            <w:r>
              <w:rPr>
                <w:rFonts w:ascii="Calibri" w:cs="Calibri" w:eastAsia="Calibri" w:hAnsi="Calibri"/>
                <w:sz w:val="18"/>
                <w:szCs w:val="18"/>
                <w:color w:val="auto"/>
              </w:rPr>
              <w:t>Upfront license, acquisiton, and milestone fees</w:t>
            </w:r>
          </w:p>
        </w:tc>
        <w:tc>
          <w:tcPr>
            <w:tcW w:w="280" w:type="dxa"/>
            <w:vAlign w:val="bottom"/>
            <w:shd w:val="clear" w:color="auto" w:fill="CCECFF"/>
          </w:tcPr>
          <w:p>
            <w:pPr>
              <w:spacing w:after="0"/>
              <w:rPr>
                <w:sz w:val="18"/>
                <w:szCs w:val="18"/>
                <w:color w:val="auto"/>
              </w:rPr>
            </w:pPr>
          </w:p>
        </w:tc>
        <w:tc>
          <w:tcPr>
            <w:tcW w:w="100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30,450</w:t>
            </w:r>
          </w:p>
        </w:tc>
        <w:tc>
          <w:tcPr>
            <w:tcW w:w="24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00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9,000</w:t>
            </w:r>
          </w:p>
        </w:tc>
        <w:tc>
          <w:tcPr>
            <w:tcW w:w="2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06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21,450</w:t>
            </w:r>
          </w:p>
        </w:tc>
        <w:tc>
          <w:tcPr>
            <w:tcW w:w="220" w:type="dxa"/>
            <w:vAlign w:val="bottom"/>
            <w:shd w:val="clear" w:color="auto" w:fill="CCECFF"/>
          </w:tcPr>
          <w:p>
            <w:pPr>
              <w:spacing w:after="0"/>
              <w:rPr>
                <w:sz w:val="18"/>
                <w:szCs w:val="18"/>
                <w:color w:val="auto"/>
              </w:rPr>
            </w:pPr>
          </w:p>
        </w:tc>
        <w:tc>
          <w:tcPr>
            <w:tcW w:w="1400" w:type="dxa"/>
            <w:vAlign w:val="bottom"/>
            <w:shd w:val="clear" w:color="auto" w:fill="CCECFF"/>
          </w:tcPr>
          <w:p>
            <w:pPr>
              <w:jc w:val="center"/>
              <w:spacing w:after="0" w:line="216" w:lineRule="exact"/>
              <w:rPr>
                <w:sz w:val="20"/>
                <w:szCs w:val="20"/>
                <w:color w:val="auto"/>
              </w:rPr>
            </w:pPr>
            <w:r>
              <w:rPr>
                <w:rFonts w:ascii="Calibri" w:cs="Calibri" w:eastAsia="Calibri" w:hAnsi="Calibri"/>
                <w:sz w:val="18"/>
                <w:szCs w:val="18"/>
                <w:color w:val="auto"/>
                <w:w w:val="99"/>
              </w:rPr>
              <w:t>238%</w:t>
            </w:r>
          </w:p>
        </w:tc>
      </w:tr>
      <w:tr>
        <w:trPr>
          <w:trHeight w:val="215"/>
        </w:trPr>
        <w:tc>
          <w:tcPr>
            <w:tcW w:w="4160" w:type="dxa"/>
            <w:vAlign w:val="bottom"/>
          </w:tcPr>
          <w:p>
            <w:pPr>
              <w:spacing w:after="0" w:line="215" w:lineRule="exact"/>
              <w:rPr>
                <w:sz w:val="20"/>
                <w:szCs w:val="20"/>
                <w:color w:val="auto"/>
              </w:rPr>
            </w:pPr>
            <w:r>
              <w:rPr>
                <w:rFonts w:ascii="Calibri" w:cs="Calibri" w:eastAsia="Calibri" w:hAnsi="Calibri"/>
                <w:sz w:val="18"/>
                <w:szCs w:val="18"/>
                <w:color w:val="auto"/>
              </w:rPr>
              <w:t>Approved products</w:t>
            </w:r>
          </w:p>
        </w:tc>
        <w:tc>
          <w:tcPr>
            <w:tcW w:w="28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35,432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53,478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(18,046 )</w:t>
            </w:r>
          </w:p>
        </w:tc>
        <w:tc>
          <w:tcPr>
            <w:tcW w:w="1400" w:type="dxa"/>
            <w:vAlign w:val="bottom"/>
          </w:tcPr>
          <w:p>
            <w:pPr>
              <w:jc w:val="center"/>
              <w:spacing w:after="0" w:line="215" w:lineRule="exact"/>
              <w:rPr>
                <w:sz w:val="20"/>
                <w:szCs w:val="20"/>
                <w:color w:val="auto"/>
              </w:rPr>
            </w:pPr>
            <w:r>
              <w:rPr>
                <w:rFonts w:ascii="Calibri" w:cs="Calibri" w:eastAsia="Calibri" w:hAnsi="Calibri"/>
                <w:sz w:val="18"/>
                <w:szCs w:val="18"/>
                <w:color w:val="auto"/>
                <w:w w:val="98"/>
              </w:rPr>
              <w:t>-34%</w:t>
            </w:r>
          </w:p>
        </w:tc>
      </w:tr>
      <w:tr>
        <w:trPr>
          <w:trHeight w:val="217"/>
        </w:trPr>
        <w:tc>
          <w:tcPr>
            <w:tcW w:w="4160" w:type="dxa"/>
            <w:vAlign w:val="bottom"/>
            <w:shd w:val="clear" w:color="auto" w:fill="CCECFF"/>
          </w:tcPr>
          <w:p>
            <w:pPr>
              <w:spacing w:after="0" w:line="216" w:lineRule="exact"/>
              <w:rPr>
                <w:sz w:val="20"/>
                <w:szCs w:val="20"/>
                <w:color w:val="auto"/>
              </w:rPr>
            </w:pPr>
            <w:r>
              <w:rPr>
                <w:rFonts w:ascii="Calibri" w:cs="Calibri" w:eastAsia="Calibri" w:hAnsi="Calibri"/>
                <w:sz w:val="18"/>
                <w:szCs w:val="18"/>
                <w:color w:val="auto"/>
              </w:rPr>
              <w:t>Infrastructure</w:t>
            </w:r>
          </w:p>
        </w:tc>
        <w:tc>
          <w:tcPr>
            <w:tcW w:w="280" w:type="dxa"/>
            <w:vAlign w:val="bottom"/>
            <w:shd w:val="clear" w:color="auto" w:fill="CCECFF"/>
          </w:tcPr>
          <w:p>
            <w:pPr>
              <w:spacing w:after="0"/>
              <w:rPr>
                <w:sz w:val="18"/>
                <w:szCs w:val="18"/>
                <w:color w:val="auto"/>
              </w:rPr>
            </w:pPr>
          </w:p>
        </w:tc>
        <w:tc>
          <w:tcPr>
            <w:tcW w:w="100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81,034</w:t>
            </w:r>
          </w:p>
        </w:tc>
        <w:tc>
          <w:tcPr>
            <w:tcW w:w="24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00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78,929</w:t>
            </w:r>
          </w:p>
        </w:tc>
        <w:tc>
          <w:tcPr>
            <w:tcW w:w="2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06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2,105</w:t>
            </w:r>
          </w:p>
        </w:tc>
        <w:tc>
          <w:tcPr>
            <w:tcW w:w="220" w:type="dxa"/>
            <w:vAlign w:val="bottom"/>
            <w:shd w:val="clear" w:color="auto" w:fill="CCECFF"/>
          </w:tcPr>
          <w:p>
            <w:pPr>
              <w:spacing w:after="0"/>
              <w:rPr>
                <w:sz w:val="18"/>
                <w:szCs w:val="18"/>
                <w:color w:val="auto"/>
              </w:rPr>
            </w:pPr>
          </w:p>
        </w:tc>
        <w:tc>
          <w:tcPr>
            <w:tcW w:w="1400" w:type="dxa"/>
            <w:vAlign w:val="bottom"/>
            <w:shd w:val="clear" w:color="auto" w:fill="CCECFF"/>
          </w:tcPr>
          <w:p>
            <w:pPr>
              <w:jc w:val="center"/>
              <w:spacing w:after="0" w:line="216" w:lineRule="exact"/>
              <w:rPr>
                <w:sz w:val="20"/>
                <w:szCs w:val="20"/>
                <w:color w:val="auto"/>
              </w:rPr>
            </w:pPr>
            <w:r>
              <w:rPr>
                <w:rFonts w:ascii="Calibri" w:cs="Calibri" w:eastAsia="Calibri" w:hAnsi="Calibri"/>
                <w:sz w:val="18"/>
                <w:szCs w:val="18"/>
                <w:color w:val="auto"/>
                <w:w w:val="99"/>
              </w:rPr>
              <w:t>3%</w:t>
            </w:r>
          </w:p>
        </w:tc>
      </w:tr>
      <w:tr>
        <w:trPr>
          <w:trHeight w:val="215"/>
        </w:trPr>
        <w:tc>
          <w:tcPr>
            <w:tcW w:w="4160" w:type="dxa"/>
            <w:vAlign w:val="bottom"/>
          </w:tcPr>
          <w:p>
            <w:pPr>
              <w:spacing w:after="0" w:line="215" w:lineRule="exact"/>
              <w:rPr>
                <w:sz w:val="20"/>
                <w:szCs w:val="20"/>
                <w:color w:val="auto"/>
              </w:rPr>
            </w:pPr>
            <w:r>
              <w:rPr>
                <w:rFonts w:ascii="Calibri" w:cs="Calibri" w:eastAsia="Calibri" w:hAnsi="Calibri"/>
                <w:sz w:val="18"/>
                <w:szCs w:val="18"/>
                <w:color w:val="auto"/>
              </w:rPr>
              <w:t>Stock-based compensaton</w:t>
            </w:r>
          </w:p>
        </w:tc>
        <w:tc>
          <w:tcPr>
            <w:tcW w:w="28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86,616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74,531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12,085</w:t>
            </w:r>
          </w:p>
        </w:tc>
        <w:tc>
          <w:tcPr>
            <w:tcW w:w="220" w:type="dxa"/>
            <w:vAlign w:val="bottom"/>
          </w:tcPr>
          <w:p>
            <w:pPr>
              <w:spacing w:after="0"/>
              <w:rPr>
                <w:sz w:val="18"/>
                <w:szCs w:val="18"/>
                <w:color w:val="auto"/>
              </w:rPr>
            </w:pPr>
          </w:p>
        </w:tc>
        <w:tc>
          <w:tcPr>
            <w:tcW w:w="1400" w:type="dxa"/>
            <w:vAlign w:val="bottom"/>
          </w:tcPr>
          <w:p>
            <w:pPr>
              <w:jc w:val="center"/>
              <w:spacing w:after="0" w:line="215" w:lineRule="exact"/>
              <w:rPr>
                <w:sz w:val="20"/>
                <w:szCs w:val="20"/>
                <w:color w:val="auto"/>
              </w:rPr>
            </w:pPr>
            <w:r>
              <w:rPr>
                <w:rFonts w:ascii="Calibri" w:cs="Calibri" w:eastAsia="Calibri" w:hAnsi="Calibri"/>
                <w:sz w:val="18"/>
                <w:szCs w:val="18"/>
                <w:color w:val="auto"/>
                <w:w w:val="96"/>
              </w:rPr>
              <w:t>16%</w:t>
            </w:r>
          </w:p>
        </w:tc>
      </w:tr>
      <w:tr>
        <w:trPr>
          <w:trHeight w:val="216"/>
        </w:trPr>
        <w:tc>
          <w:tcPr>
            <w:tcW w:w="4160" w:type="dxa"/>
            <w:vAlign w:val="bottom"/>
            <w:tcBorders>
              <w:bottom w:val="single" w:sz="8" w:color="CCECFF"/>
            </w:tcBorders>
            <w:shd w:val="clear" w:color="auto" w:fill="CCECFF"/>
          </w:tcPr>
          <w:p>
            <w:pPr>
              <w:spacing w:after="0" w:line="216" w:lineRule="exact"/>
              <w:rPr>
                <w:sz w:val="20"/>
                <w:szCs w:val="20"/>
                <w:color w:val="auto"/>
              </w:rPr>
            </w:pPr>
            <w:r>
              <w:rPr>
                <w:rFonts w:ascii="Calibri" w:cs="Calibri" w:eastAsia="Calibri" w:hAnsi="Calibri"/>
                <w:sz w:val="18"/>
                <w:szCs w:val="18"/>
                <w:color w:val="auto"/>
              </w:rPr>
              <w:t>Other research and development</w:t>
            </w:r>
          </w:p>
        </w:tc>
        <w:tc>
          <w:tcPr>
            <w:tcW w:w="280" w:type="dxa"/>
            <w:vAlign w:val="bottom"/>
            <w:tcBorders>
              <w:bottom w:val="single" w:sz="8" w:color="auto"/>
            </w:tcBorders>
            <w:shd w:val="clear" w:color="auto" w:fill="CCECFF"/>
          </w:tcPr>
          <w:p>
            <w:pPr>
              <w:spacing w:after="0"/>
              <w:rPr>
                <w:sz w:val="18"/>
                <w:szCs w:val="18"/>
                <w:color w:val="auto"/>
              </w:rPr>
            </w:pPr>
          </w:p>
        </w:tc>
        <w:tc>
          <w:tcPr>
            <w:tcW w:w="1000" w:type="dxa"/>
            <w:vAlign w:val="bottom"/>
            <w:tcBorders>
              <w:bottom w:val="single" w:sz="8" w:color="auto"/>
            </w:tcBorders>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84,222</w:t>
            </w:r>
          </w:p>
        </w:tc>
        <w:tc>
          <w:tcPr>
            <w:tcW w:w="24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auto"/>
            </w:tcBorders>
            <w:shd w:val="clear" w:color="auto" w:fill="CCECFF"/>
          </w:tcPr>
          <w:p>
            <w:pPr>
              <w:spacing w:after="0"/>
              <w:rPr>
                <w:sz w:val="18"/>
                <w:szCs w:val="18"/>
                <w:color w:val="auto"/>
              </w:rPr>
            </w:pPr>
          </w:p>
        </w:tc>
        <w:tc>
          <w:tcPr>
            <w:tcW w:w="1000" w:type="dxa"/>
            <w:vAlign w:val="bottom"/>
            <w:tcBorders>
              <w:bottom w:val="single" w:sz="8" w:color="auto"/>
            </w:tcBorders>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83,072</w:t>
            </w:r>
          </w:p>
        </w:tc>
        <w:tc>
          <w:tcPr>
            <w:tcW w:w="24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auto"/>
            </w:tcBorders>
            <w:shd w:val="clear" w:color="auto" w:fill="CCECFF"/>
          </w:tcPr>
          <w:p>
            <w:pPr>
              <w:spacing w:after="0"/>
              <w:rPr>
                <w:sz w:val="18"/>
                <w:szCs w:val="18"/>
                <w:color w:val="auto"/>
              </w:rPr>
            </w:pPr>
          </w:p>
        </w:tc>
        <w:tc>
          <w:tcPr>
            <w:tcW w:w="1060" w:type="dxa"/>
            <w:vAlign w:val="bottom"/>
            <w:tcBorders>
              <w:bottom w:val="single" w:sz="8" w:color="auto"/>
            </w:tcBorders>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1,150</w:t>
            </w:r>
          </w:p>
        </w:tc>
        <w:tc>
          <w:tcPr>
            <w:tcW w:w="220" w:type="dxa"/>
            <w:vAlign w:val="bottom"/>
            <w:tcBorders>
              <w:bottom w:val="single" w:sz="8" w:color="CCECFF"/>
            </w:tcBorders>
            <w:shd w:val="clear" w:color="auto" w:fill="CCECFF"/>
          </w:tcPr>
          <w:p>
            <w:pPr>
              <w:spacing w:after="0"/>
              <w:rPr>
                <w:sz w:val="18"/>
                <w:szCs w:val="18"/>
                <w:color w:val="auto"/>
              </w:rPr>
            </w:pPr>
          </w:p>
        </w:tc>
        <w:tc>
          <w:tcPr>
            <w:tcW w:w="1400" w:type="dxa"/>
            <w:vAlign w:val="bottom"/>
            <w:tcBorders>
              <w:bottom w:val="single" w:sz="8" w:color="CCECFF"/>
            </w:tcBorders>
            <w:shd w:val="clear" w:color="auto" w:fill="CCECFF"/>
          </w:tcPr>
          <w:p>
            <w:pPr>
              <w:jc w:val="center"/>
              <w:spacing w:after="0" w:line="216" w:lineRule="exact"/>
              <w:rPr>
                <w:sz w:val="20"/>
                <w:szCs w:val="20"/>
                <w:color w:val="auto"/>
              </w:rPr>
            </w:pPr>
            <w:r>
              <w:rPr>
                <w:rFonts w:ascii="Calibri" w:cs="Calibri" w:eastAsia="Calibri" w:hAnsi="Calibri"/>
                <w:sz w:val="18"/>
                <w:szCs w:val="18"/>
                <w:color w:val="auto"/>
                <w:w w:val="99"/>
              </w:rPr>
              <w:t>1%</w:t>
            </w:r>
          </w:p>
        </w:tc>
      </w:tr>
      <w:tr>
        <w:trPr>
          <w:trHeight w:val="210"/>
        </w:trPr>
        <w:tc>
          <w:tcPr>
            <w:tcW w:w="4160" w:type="dxa"/>
            <w:vAlign w:val="bottom"/>
          </w:tcPr>
          <w:p>
            <w:pPr>
              <w:ind w:left="280"/>
              <w:spacing w:after="0" w:line="210" w:lineRule="exact"/>
              <w:rPr>
                <w:sz w:val="20"/>
                <w:szCs w:val="20"/>
                <w:color w:val="auto"/>
              </w:rPr>
            </w:pPr>
            <w:r>
              <w:rPr>
                <w:rFonts w:ascii="Calibri" w:cs="Calibri" w:eastAsia="Calibri" w:hAnsi="Calibri"/>
                <w:sz w:val="18"/>
                <w:szCs w:val="18"/>
                <w:color w:val="auto"/>
              </w:rPr>
              <w:t>Total research and development expenses</w:t>
            </w:r>
          </w:p>
        </w:tc>
        <w:tc>
          <w:tcPr>
            <w:tcW w:w="280" w:type="dxa"/>
            <w:vAlign w:val="bottom"/>
          </w:tcPr>
          <w:p>
            <w:pPr>
              <w:jc w:val="right"/>
              <w:ind w:right="70"/>
              <w:spacing w:after="0" w:line="210" w:lineRule="exact"/>
              <w:rPr>
                <w:sz w:val="20"/>
                <w:szCs w:val="20"/>
                <w:color w:val="auto"/>
              </w:rPr>
            </w:pPr>
            <w:r>
              <w:rPr>
                <w:rFonts w:ascii="Calibri" w:cs="Calibri" w:eastAsia="Calibri" w:hAnsi="Calibri"/>
                <w:sz w:val="18"/>
                <w:szCs w:val="18"/>
                <w:color w:val="auto"/>
              </w:rPr>
              <w:t>$</w:t>
            </w:r>
          </w:p>
        </w:tc>
        <w:tc>
          <w:tcPr>
            <w:tcW w:w="1000" w:type="dxa"/>
            <w:vAlign w:val="bottom"/>
          </w:tcPr>
          <w:p>
            <w:pPr>
              <w:jc w:val="right"/>
              <w:spacing w:after="0" w:line="210" w:lineRule="exact"/>
              <w:rPr>
                <w:sz w:val="20"/>
                <w:szCs w:val="20"/>
                <w:color w:val="auto"/>
              </w:rPr>
            </w:pPr>
            <w:r>
              <w:rPr>
                <w:rFonts w:ascii="Calibri" w:cs="Calibri" w:eastAsia="Calibri" w:hAnsi="Calibri"/>
                <w:sz w:val="18"/>
                <w:szCs w:val="18"/>
                <w:color w:val="auto"/>
              </w:rPr>
              <w:t>697,865</w:t>
            </w:r>
          </w:p>
        </w:tc>
        <w:tc>
          <w:tcPr>
            <w:tcW w:w="520" w:type="dxa"/>
            <w:vAlign w:val="bottom"/>
            <w:gridSpan w:val="2"/>
          </w:tcPr>
          <w:p>
            <w:pPr>
              <w:jc w:val="right"/>
              <w:ind w:right="180"/>
              <w:spacing w:after="0" w:line="210" w:lineRule="exact"/>
              <w:rPr>
                <w:sz w:val="20"/>
                <w:szCs w:val="20"/>
                <w:color w:val="auto"/>
              </w:rPr>
            </w:pPr>
            <w:r>
              <w:rPr>
                <w:rFonts w:ascii="Calibri" w:cs="Calibri" w:eastAsia="Calibri" w:hAnsi="Calibri"/>
                <w:sz w:val="18"/>
                <w:szCs w:val="18"/>
                <w:color w:val="auto"/>
              </w:rPr>
              <w:t>$</w:t>
            </w:r>
          </w:p>
        </w:tc>
        <w:tc>
          <w:tcPr>
            <w:tcW w:w="1000" w:type="dxa"/>
            <w:vAlign w:val="bottom"/>
          </w:tcPr>
          <w:p>
            <w:pPr>
              <w:jc w:val="right"/>
              <w:spacing w:after="0" w:line="210" w:lineRule="exact"/>
              <w:rPr>
                <w:sz w:val="20"/>
                <w:szCs w:val="20"/>
                <w:color w:val="auto"/>
              </w:rPr>
            </w:pPr>
            <w:r>
              <w:rPr>
                <w:rFonts w:ascii="Calibri" w:cs="Calibri" w:eastAsia="Calibri" w:hAnsi="Calibri"/>
                <w:sz w:val="18"/>
                <w:szCs w:val="18"/>
                <w:color w:val="auto"/>
              </w:rPr>
              <w:t>648,449</w:t>
            </w:r>
          </w:p>
        </w:tc>
        <w:tc>
          <w:tcPr>
            <w:tcW w:w="460" w:type="dxa"/>
            <w:vAlign w:val="bottom"/>
            <w:gridSpan w:val="2"/>
          </w:tcPr>
          <w:p>
            <w:pPr>
              <w:jc w:val="right"/>
              <w:ind w:right="120"/>
              <w:spacing w:after="0" w:line="210" w:lineRule="exact"/>
              <w:rPr>
                <w:sz w:val="20"/>
                <w:szCs w:val="20"/>
                <w:color w:val="auto"/>
              </w:rPr>
            </w:pPr>
            <w:r>
              <w:rPr>
                <w:rFonts w:ascii="Calibri" w:cs="Calibri" w:eastAsia="Calibri" w:hAnsi="Calibri"/>
                <w:sz w:val="18"/>
                <w:szCs w:val="18"/>
                <w:color w:val="auto"/>
              </w:rPr>
              <w:t>$</w:t>
            </w:r>
          </w:p>
        </w:tc>
        <w:tc>
          <w:tcPr>
            <w:tcW w:w="1060" w:type="dxa"/>
            <w:vAlign w:val="bottom"/>
          </w:tcPr>
          <w:p>
            <w:pPr>
              <w:jc w:val="right"/>
              <w:spacing w:after="0" w:line="210" w:lineRule="exact"/>
              <w:rPr>
                <w:sz w:val="20"/>
                <w:szCs w:val="20"/>
                <w:color w:val="auto"/>
              </w:rPr>
            </w:pPr>
            <w:r>
              <w:rPr>
                <w:rFonts w:ascii="Calibri" w:cs="Calibri" w:eastAsia="Calibri" w:hAnsi="Calibri"/>
                <w:sz w:val="18"/>
                <w:szCs w:val="18"/>
                <w:color w:val="auto"/>
              </w:rPr>
              <w:t>49,416</w:t>
            </w:r>
          </w:p>
        </w:tc>
        <w:tc>
          <w:tcPr>
            <w:tcW w:w="220" w:type="dxa"/>
            <w:vAlign w:val="bottom"/>
          </w:tcPr>
          <w:p>
            <w:pPr>
              <w:spacing w:after="0"/>
              <w:rPr>
                <w:sz w:val="18"/>
                <w:szCs w:val="18"/>
                <w:color w:val="auto"/>
              </w:rPr>
            </w:pPr>
          </w:p>
        </w:tc>
        <w:tc>
          <w:tcPr>
            <w:tcW w:w="1400" w:type="dxa"/>
            <w:vAlign w:val="bottom"/>
          </w:tcPr>
          <w:p>
            <w:pPr>
              <w:jc w:val="center"/>
              <w:spacing w:after="0" w:line="210" w:lineRule="exact"/>
              <w:rPr>
                <w:sz w:val="20"/>
                <w:szCs w:val="20"/>
                <w:color w:val="auto"/>
              </w:rPr>
            </w:pPr>
            <w:r>
              <w:rPr>
                <w:rFonts w:ascii="Calibri" w:cs="Calibri" w:eastAsia="Calibri" w:hAnsi="Calibri"/>
                <w:sz w:val="18"/>
                <w:szCs w:val="18"/>
                <w:color w:val="auto"/>
                <w:w w:val="99"/>
              </w:rPr>
              <w:t>8%</w:t>
            </w:r>
          </w:p>
        </w:tc>
      </w:tr>
      <w:tr>
        <w:trPr>
          <w:trHeight w:val="20"/>
        </w:trPr>
        <w:tc>
          <w:tcPr>
            <w:tcW w:w="4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-1833880</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-1833880</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-1833880</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-170815</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-170815</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-170815</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Total research and development expenses increased $49.4 million for the year ended December 31, 2024 compared to the same period in 2023. The change in research and development expenses was due to:</w:t>
      </w:r>
    </w:p>
    <w:p>
      <w:pPr>
        <w:spacing w:after="0" w:line="96" w:lineRule="exact"/>
        <w:rPr>
          <w:sz w:val="20"/>
          <w:szCs w:val="20"/>
          <w:color w:val="auto"/>
        </w:rPr>
      </w:pPr>
    </w:p>
    <w:p>
      <w:pPr>
        <w:ind w:left="900" w:right="40" w:hanging="383"/>
        <w:spacing w:after="0" w:line="235" w:lineRule="auto"/>
        <w:tabs>
          <w:tab w:leader="none" w:pos="900" w:val="left"/>
        </w:tabs>
        <w:numPr>
          <w:ilvl w:val="0"/>
          <w:numId w:val="34"/>
        </w:numPr>
        <w:rPr>
          <w:rFonts w:ascii="Times New Roman" w:cs="Times New Roman" w:eastAsia="Times New Roman" w:hAnsi="Times New Roman"/>
          <w:sz w:val="18"/>
          <w:szCs w:val="18"/>
          <w:color w:val="auto"/>
        </w:rPr>
      </w:pPr>
      <w:r>
        <w:rPr>
          <w:rFonts w:ascii="Calibri" w:cs="Calibri" w:eastAsia="Calibri" w:hAnsi="Calibri"/>
          <w:sz w:val="18"/>
          <w:szCs w:val="18"/>
          <w:color w:val="auto"/>
        </w:rPr>
        <w:t>for gene therapy programs, an increase of $25.5 million, primarily related to BLA fling actvites for UX111, and contnued clinical progress of the other programs, combined with the transiton of certain programs to in-house manufacturing which resulted in a decrease in CMC costs and an increase in internal manufacturing costs;</w:t>
      </w:r>
    </w:p>
    <w:p>
      <w:pPr>
        <w:spacing w:after="0" w:line="97" w:lineRule="exact"/>
        <w:rPr>
          <w:rFonts w:ascii="Times New Roman" w:cs="Times New Roman" w:eastAsia="Times New Roman" w:hAnsi="Times New Roman"/>
          <w:sz w:val="18"/>
          <w:szCs w:val="18"/>
          <w:color w:val="auto"/>
        </w:rPr>
      </w:pPr>
    </w:p>
    <w:p>
      <w:pPr>
        <w:jc w:val="both"/>
        <w:ind w:left="900" w:hanging="383"/>
        <w:spacing w:after="0" w:line="235" w:lineRule="auto"/>
        <w:tabs>
          <w:tab w:leader="none" w:pos="900" w:val="left"/>
        </w:tabs>
        <w:numPr>
          <w:ilvl w:val="0"/>
          <w:numId w:val="34"/>
        </w:numPr>
        <w:rPr>
          <w:rFonts w:ascii="Times New Roman" w:cs="Times New Roman" w:eastAsia="Times New Roman" w:hAnsi="Times New Roman"/>
          <w:sz w:val="18"/>
          <w:szCs w:val="18"/>
          <w:color w:val="auto"/>
        </w:rPr>
      </w:pPr>
      <w:r>
        <w:rPr>
          <w:rFonts w:ascii="Calibri" w:cs="Calibri" w:eastAsia="Calibri" w:hAnsi="Calibri"/>
          <w:sz w:val="18"/>
          <w:szCs w:val="18"/>
          <w:color w:val="auto"/>
        </w:rPr>
        <w:t>for biologic and nucleic acid programs, an increase of $31.3 million, primarily related to the contnued clinical progress of the UX143 and GTX102 programs and associated clinical development and manufacturing expenses, partally ofset by a reducton in development expense on UX053 for the treatment of Glycogen Storage Disease Type III due to cessaton of development actvites for the program;</w:t>
      </w:r>
    </w:p>
    <w:p>
      <w:pPr>
        <w:spacing w:after="0" w:line="97" w:lineRule="exact"/>
        <w:rPr>
          <w:rFonts w:ascii="Times New Roman" w:cs="Times New Roman" w:eastAsia="Times New Roman" w:hAnsi="Times New Roman"/>
          <w:sz w:val="18"/>
          <w:szCs w:val="18"/>
          <w:color w:val="auto"/>
        </w:rPr>
      </w:pPr>
    </w:p>
    <w:p>
      <w:pPr>
        <w:ind w:left="900" w:right="260" w:hanging="383"/>
        <w:spacing w:after="0" w:line="235" w:lineRule="auto"/>
        <w:tabs>
          <w:tab w:leader="none" w:pos="900" w:val="left"/>
        </w:tabs>
        <w:numPr>
          <w:ilvl w:val="0"/>
          <w:numId w:val="34"/>
        </w:numPr>
        <w:rPr>
          <w:rFonts w:ascii="Times New Roman" w:cs="Times New Roman" w:eastAsia="Times New Roman" w:hAnsi="Times New Roman"/>
          <w:sz w:val="18"/>
          <w:szCs w:val="18"/>
          <w:color w:val="auto"/>
        </w:rPr>
      </w:pPr>
      <w:r>
        <w:rPr>
          <w:rFonts w:ascii="Calibri" w:cs="Calibri" w:eastAsia="Calibri" w:hAnsi="Calibri"/>
          <w:sz w:val="18"/>
          <w:szCs w:val="18"/>
          <w:color w:val="auto"/>
        </w:rPr>
        <w:t>for translatonal research, a decrease of $26.1 million, primarily related to decreases in manufacturing and headcount expense for early stage and IND-stage projects;</w:t>
      </w:r>
    </w:p>
    <w:p>
      <w:pPr>
        <w:spacing w:after="0" w:line="96" w:lineRule="exact"/>
        <w:rPr>
          <w:rFonts w:ascii="Times New Roman" w:cs="Times New Roman" w:eastAsia="Times New Roman" w:hAnsi="Times New Roman"/>
          <w:sz w:val="18"/>
          <w:szCs w:val="18"/>
          <w:color w:val="auto"/>
        </w:rPr>
      </w:pPr>
    </w:p>
    <w:p>
      <w:pPr>
        <w:ind w:left="900" w:right="320" w:hanging="383"/>
        <w:spacing w:after="0" w:line="235" w:lineRule="auto"/>
        <w:tabs>
          <w:tab w:leader="none" w:pos="900" w:val="left"/>
        </w:tabs>
        <w:numPr>
          <w:ilvl w:val="0"/>
          <w:numId w:val="34"/>
        </w:numPr>
        <w:rPr>
          <w:rFonts w:ascii="Times New Roman" w:cs="Times New Roman" w:eastAsia="Times New Roman" w:hAnsi="Times New Roman"/>
          <w:sz w:val="18"/>
          <w:szCs w:val="18"/>
          <w:color w:val="auto"/>
        </w:rPr>
      </w:pPr>
      <w:r>
        <w:rPr>
          <w:rFonts w:ascii="Calibri" w:cs="Calibri" w:eastAsia="Calibri" w:hAnsi="Calibri"/>
          <w:sz w:val="18"/>
          <w:szCs w:val="18"/>
          <w:color w:val="auto"/>
        </w:rPr>
        <w:t>for upfront license, acquisiton, and milestone fees, an increase of $21.5 million, primarily related to the achievement of a clinical enrollment milestone on the GTX-102 program during 2024;</w:t>
      </w:r>
    </w:p>
    <w:p>
      <w:pPr>
        <w:spacing w:after="0" w:line="96" w:lineRule="exact"/>
        <w:rPr>
          <w:rFonts w:ascii="Times New Roman" w:cs="Times New Roman" w:eastAsia="Times New Roman" w:hAnsi="Times New Roman"/>
          <w:sz w:val="18"/>
          <w:szCs w:val="18"/>
          <w:color w:val="auto"/>
        </w:rPr>
      </w:pPr>
    </w:p>
    <w:p>
      <w:pPr>
        <w:jc w:val="both"/>
        <w:ind w:left="900" w:right="380" w:hanging="383"/>
        <w:spacing w:after="0" w:line="258" w:lineRule="auto"/>
        <w:tabs>
          <w:tab w:leader="none" w:pos="900" w:val="left"/>
        </w:tabs>
        <w:numPr>
          <w:ilvl w:val="0"/>
          <w:numId w:val="34"/>
        </w:numPr>
        <w:rPr>
          <w:rFonts w:ascii="Times New Roman" w:cs="Times New Roman" w:eastAsia="Times New Roman" w:hAnsi="Times New Roman"/>
          <w:sz w:val="17"/>
          <w:szCs w:val="17"/>
          <w:color w:val="auto"/>
        </w:rPr>
      </w:pPr>
      <w:r>
        <w:rPr>
          <w:rFonts w:ascii="Calibri" w:cs="Calibri" w:eastAsia="Calibri" w:hAnsi="Calibri"/>
          <w:sz w:val="17"/>
          <w:szCs w:val="17"/>
          <w:color w:val="auto"/>
        </w:rPr>
        <w:t>for approved products, a decrease of $18.0 million, primarily due to reduced reimbursement of Regeneron collaboraton expenses with the completon of the pediatric and open label extension trials for Evkeeza and reduced operatng expenses for Crysvita post-marketng studies;</w:t>
      </w:r>
    </w:p>
    <w:p>
      <w:pPr>
        <w:spacing w:after="0" w:line="80" w:lineRule="exact"/>
        <w:rPr>
          <w:rFonts w:ascii="Times New Roman" w:cs="Times New Roman" w:eastAsia="Times New Roman" w:hAnsi="Times New Roman"/>
          <w:sz w:val="17"/>
          <w:szCs w:val="17"/>
          <w:color w:val="auto"/>
        </w:rPr>
      </w:pPr>
    </w:p>
    <w:p>
      <w:pPr>
        <w:ind w:left="900" w:right="540" w:hanging="383"/>
        <w:spacing w:after="0" w:line="235" w:lineRule="auto"/>
        <w:tabs>
          <w:tab w:leader="none" w:pos="900" w:val="left"/>
        </w:tabs>
        <w:numPr>
          <w:ilvl w:val="0"/>
          <w:numId w:val="34"/>
        </w:numPr>
        <w:rPr>
          <w:rFonts w:ascii="Times New Roman" w:cs="Times New Roman" w:eastAsia="Times New Roman" w:hAnsi="Times New Roman"/>
          <w:sz w:val="18"/>
          <w:szCs w:val="18"/>
          <w:color w:val="auto"/>
        </w:rPr>
      </w:pPr>
      <w:r>
        <w:rPr>
          <w:rFonts w:ascii="Calibri" w:cs="Calibri" w:eastAsia="Calibri" w:hAnsi="Calibri"/>
          <w:sz w:val="18"/>
          <w:szCs w:val="18"/>
          <w:color w:val="auto"/>
        </w:rPr>
        <w:t>for infrastructure, an increase of $2.1 million, primarily related to depreciaton of the gene therapy manufacturing facility, depreciaton of laboratory-related leasehold improvements and equipment, and IT-related expenses;</w:t>
      </w:r>
    </w:p>
    <w:p>
      <w:pPr>
        <w:spacing w:after="0" w:line="96" w:lineRule="exact"/>
        <w:rPr>
          <w:rFonts w:ascii="Times New Roman" w:cs="Times New Roman" w:eastAsia="Times New Roman" w:hAnsi="Times New Roman"/>
          <w:sz w:val="18"/>
          <w:szCs w:val="18"/>
          <w:color w:val="auto"/>
        </w:rPr>
      </w:pPr>
    </w:p>
    <w:p>
      <w:pPr>
        <w:ind w:left="900" w:right="420" w:hanging="383"/>
        <w:spacing w:after="0" w:line="235" w:lineRule="auto"/>
        <w:tabs>
          <w:tab w:leader="none" w:pos="900" w:val="left"/>
        </w:tabs>
        <w:numPr>
          <w:ilvl w:val="0"/>
          <w:numId w:val="34"/>
        </w:numPr>
        <w:rPr>
          <w:rFonts w:ascii="Times New Roman" w:cs="Times New Roman" w:eastAsia="Times New Roman" w:hAnsi="Times New Roman"/>
          <w:sz w:val="18"/>
          <w:szCs w:val="18"/>
          <w:color w:val="auto"/>
        </w:rPr>
      </w:pPr>
      <w:r>
        <w:rPr>
          <w:rFonts w:ascii="Calibri" w:cs="Calibri" w:eastAsia="Calibri" w:hAnsi="Calibri"/>
          <w:sz w:val="18"/>
          <w:szCs w:val="18"/>
          <w:color w:val="auto"/>
        </w:rPr>
        <w:t>for stock-based compensaton an increase of $12.1 million, primarily related to the increase in total value of stock-based awards granted to employees; and</w:t>
      </w:r>
    </w:p>
    <w:p>
      <w:pPr>
        <w:spacing w:after="0" w:line="96" w:lineRule="exact"/>
        <w:rPr>
          <w:rFonts w:ascii="Times New Roman" w:cs="Times New Roman" w:eastAsia="Times New Roman" w:hAnsi="Times New Roman"/>
          <w:sz w:val="18"/>
          <w:szCs w:val="18"/>
          <w:color w:val="auto"/>
        </w:rPr>
      </w:pPr>
    </w:p>
    <w:p>
      <w:pPr>
        <w:ind w:left="900" w:right="960" w:hanging="383"/>
        <w:spacing w:after="0" w:line="235" w:lineRule="auto"/>
        <w:tabs>
          <w:tab w:leader="none" w:pos="900" w:val="left"/>
        </w:tabs>
        <w:numPr>
          <w:ilvl w:val="0"/>
          <w:numId w:val="34"/>
        </w:numPr>
        <w:rPr>
          <w:rFonts w:ascii="Times New Roman" w:cs="Times New Roman" w:eastAsia="Times New Roman" w:hAnsi="Times New Roman"/>
          <w:sz w:val="18"/>
          <w:szCs w:val="18"/>
          <w:color w:val="auto"/>
        </w:rPr>
      </w:pPr>
      <w:r>
        <w:rPr>
          <w:rFonts w:ascii="Calibri" w:cs="Calibri" w:eastAsia="Calibri" w:hAnsi="Calibri"/>
          <w:sz w:val="18"/>
          <w:szCs w:val="18"/>
          <w:color w:val="auto"/>
        </w:rPr>
        <w:t>for other research and development expenses, an increase of $1.2 million, primarily related to increased stafng to support internal manufacturing, and administratve and general support.</w:t>
      </w:r>
    </w:p>
    <w:p>
      <w:pPr>
        <w:spacing w:after="0" w:line="83" w:lineRule="exact"/>
        <w:rPr>
          <w:sz w:val="20"/>
          <w:szCs w:val="20"/>
          <w:color w:val="auto"/>
        </w:rPr>
      </w:pPr>
    </w:p>
    <w:p>
      <w:pPr>
        <w:ind w:right="100" w:firstLine="509"/>
        <w:spacing w:after="0" w:line="249" w:lineRule="auto"/>
        <w:rPr>
          <w:sz w:val="20"/>
          <w:szCs w:val="20"/>
          <w:color w:val="auto"/>
        </w:rPr>
      </w:pPr>
      <w:r>
        <w:rPr>
          <w:rFonts w:ascii="Calibri" w:cs="Calibri" w:eastAsia="Calibri" w:hAnsi="Calibri"/>
          <w:sz w:val="17"/>
          <w:szCs w:val="17"/>
          <w:color w:val="auto"/>
        </w:rPr>
        <w:t>We expect our annual research and development expenses to moderate in the future as we advance our product candidates through clinical development. The tming and amount of expenses incurred will depend largely upon the outcomes of current or future clinical studies for our product candidates as well as the related regulatory requirements, manufacturing costs, and any costs associated with the advancement of our preclinical programs.</w:t>
      </w:r>
    </w:p>
    <w:p>
      <w:pPr>
        <w:jc w:val="center"/>
        <w:ind w:right="-19"/>
        <w:spacing w:after="0" w:line="237" w:lineRule="auto"/>
        <w:rPr>
          <w:sz w:val="20"/>
          <w:szCs w:val="20"/>
          <w:color w:val="auto"/>
        </w:rPr>
      </w:pPr>
      <w:r>
        <w:rPr>
          <w:rFonts w:ascii="Calibri" w:cs="Calibri" w:eastAsia="Calibri" w:hAnsi="Calibri"/>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20"/>
        </w:trPr>
        <w:tc>
          <w:tcPr>
            <w:tcW w:w="5360" w:type="dxa"/>
            <w:vAlign w:val="bottom"/>
            <w:gridSpan w:val="3"/>
          </w:tcPr>
          <w:p>
            <w:pPr>
              <w:spacing w:after="0"/>
              <w:rPr>
                <w:sz w:val="20"/>
                <w:szCs w:val="20"/>
                <w:color w:val="auto"/>
              </w:rPr>
            </w:pPr>
            <w:r>
              <w:rPr>
                <w:rFonts w:ascii="Calibri" w:cs="Calibri" w:eastAsia="Calibri" w:hAnsi="Calibri"/>
                <w:sz w:val="18"/>
                <w:szCs w:val="18"/>
                <w:i w:val="1"/>
                <w:iCs w:val="1"/>
                <w:color w:val="auto"/>
              </w:rPr>
              <w:t>Selling, General and Administratve Expenses (dollars in thousands)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24"/>
        </w:trPr>
        <w:tc>
          <w:tcPr>
            <w:tcW w:w="580" w:type="dxa"/>
            <w:vAlign w:val="bottom"/>
            <w:tcBorders>
              <w:top w:val="single" w:sz="8" w:color="auto"/>
            </w:tcBorders>
          </w:tcPr>
          <w:p>
            <w:pPr>
              <w:spacing w:after="0"/>
              <w:rPr>
                <w:sz w:val="24"/>
                <w:szCs w:val="24"/>
                <w:color w:val="auto"/>
              </w:rPr>
            </w:pPr>
          </w:p>
        </w:tc>
        <w:tc>
          <w:tcPr>
            <w:tcW w:w="418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230"/>
              <w:spacing w:after="0"/>
              <w:rPr>
                <w:sz w:val="20"/>
                <w:szCs w:val="20"/>
                <w:color w:val="auto"/>
              </w:rPr>
            </w:pPr>
            <w:r>
              <w:rPr>
                <w:rFonts w:ascii="Calibri" w:cs="Calibri" w:eastAsia="Calibri" w:hAnsi="Calibri"/>
                <w:sz w:val="18"/>
                <w:szCs w:val="18"/>
                <w:b w:val="1"/>
                <w:bCs w:val="1"/>
                <w:color w:val="auto"/>
              </w:rPr>
              <w:t>Year Ended December 31,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center"/>
              <w:ind w:right="110"/>
              <w:spacing w:after="0"/>
              <w:rPr>
                <w:sz w:val="20"/>
                <w:szCs w:val="20"/>
                <w:color w:val="auto"/>
              </w:rPr>
            </w:pPr>
            <w:r>
              <w:rPr>
                <w:rFonts w:ascii="Calibri" w:cs="Calibri" w:eastAsia="Calibri" w:hAnsi="Calibri"/>
                <w:sz w:val="18"/>
                <w:szCs w:val="18"/>
                <w:b w:val="1"/>
                <w:bCs w:val="1"/>
                <w:color w:val="auto"/>
              </w:rPr>
              <w:t>Dollar</w:t>
            </w:r>
          </w:p>
        </w:tc>
        <w:tc>
          <w:tcPr>
            <w:tcW w:w="2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Calibri" w:cs="Calibri" w:eastAsia="Calibri" w:hAnsi="Calibri"/>
                <w:sz w:val="18"/>
                <w:szCs w:val="18"/>
                <w:b w:val="1"/>
                <w:bCs w:val="1"/>
                <w:color w:val="auto"/>
                <w:w w:val="97"/>
              </w:rPr>
              <w:t>Percent</w:t>
            </w:r>
          </w:p>
        </w:tc>
      </w:tr>
      <w:tr>
        <w:trPr>
          <w:trHeight w:val="215"/>
        </w:trPr>
        <w:tc>
          <w:tcPr>
            <w:tcW w:w="5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line="215" w:lineRule="exact"/>
              <w:rPr>
                <w:sz w:val="20"/>
                <w:szCs w:val="20"/>
                <w:color w:val="auto"/>
              </w:rPr>
            </w:pPr>
            <w:r>
              <w:rPr>
                <w:rFonts w:ascii="Calibri" w:cs="Calibri" w:eastAsia="Calibri" w:hAnsi="Calibri"/>
                <w:sz w:val="18"/>
                <w:szCs w:val="18"/>
                <w:b w:val="1"/>
                <w:bCs w:val="1"/>
                <w:color w:val="auto"/>
              </w:rPr>
              <w:t>2024</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line="215" w:lineRule="exact"/>
              <w:rPr>
                <w:sz w:val="20"/>
                <w:szCs w:val="20"/>
                <w:color w:val="auto"/>
              </w:rPr>
            </w:pPr>
            <w:r>
              <w:rPr>
                <w:rFonts w:ascii="Calibri" w:cs="Calibri" w:eastAsia="Calibri" w:hAnsi="Calibri"/>
                <w:sz w:val="18"/>
                <w:szCs w:val="18"/>
                <w:b w:val="1"/>
                <w:bCs w:val="1"/>
                <w:color w:val="auto"/>
              </w:rPr>
              <w:t>2023</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10"/>
              <w:spacing w:after="0" w:line="193" w:lineRule="exact"/>
              <w:rPr>
                <w:sz w:val="20"/>
                <w:szCs w:val="20"/>
                <w:color w:val="auto"/>
              </w:rPr>
            </w:pPr>
            <w:r>
              <w:rPr>
                <w:rFonts w:ascii="Calibri" w:cs="Calibri" w:eastAsia="Calibri" w:hAnsi="Calibri"/>
                <w:sz w:val="18"/>
                <w:szCs w:val="18"/>
                <w:b w:val="1"/>
                <w:bCs w:val="1"/>
                <w:color w:val="auto"/>
                <w:w w:val="97"/>
              </w:rPr>
              <w:t>Change</w:t>
            </w:r>
          </w:p>
        </w:tc>
        <w:tc>
          <w:tcPr>
            <w:tcW w:w="240" w:type="dxa"/>
            <w:vAlign w:val="bottom"/>
          </w:tcPr>
          <w:p>
            <w:pPr>
              <w:spacing w:after="0"/>
              <w:rPr>
                <w:sz w:val="18"/>
                <w:szCs w:val="18"/>
                <w:color w:val="auto"/>
              </w:rPr>
            </w:pPr>
          </w:p>
        </w:tc>
        <w:tc>
          <w:tcPr>
            <w:tcW w:w="1220" w:type="dxa"/>
            <w:vAlign w:val="bottom"/>
            <w:tcBorders>
              <w:bottom w:val="single" w:sz="8" w:color="auto"/>
            </w:tcBorders>
          </w:tcPr>
          <w:p>
            <w:pPr>
              <w:jc w:val="center"/>
              <w:spacing w:after="0" w:line="193" w:lineRule="exact"/>
              <w:rPr>
                <w:sz w:val="20"/>
                <w:szCs w:val="20"/>
                <w:color w:val="auto"/>
              </w:rPr>
            </w:pPr>
            <w:r>
              <w:rPr>
                <w:rFonts w:ascii="Calibri" w:cs="Calibri" w:eastAsia="Calibri" w:hAnsi="Calibri"/>
                <w:sz w:val="18"/>
                <w:szCs w:val="18"/>
                <w:b w:val="1"/>
                <w:bCs w:val="1"/>
                <w:color w:val="auto"/>
              </w:rPr>
              <w:t>Change</w:t>
            </w:r>
          </w:p>
        </w:tc>
      </w:tr>
      <w:tr>
        <w:trPr>
          <w:trHeight w:val="211"/>
        </w:trPr>
        <w:tc>
          <w:tcPr>
            <w:tcW w:w="580" w:type="dxa"/>
            <w:vAlign w:val="bottom"/>
          </w:tcPr>
          <w:p>
            <w:pPr>
              <w:spacing w:after="0"/>
              <w:rPr>
                <w:sz w:val="18"/>
                <w:szCs w:val="18"/>
                <w:color w:val="auto"/>
              </w:rPr>
            </w:pPr>
          </w:p>
        </w:tc>
        <w:tc>
          <w:tcPr>
            <w:tcW w:w="4780" w:type="dxa"/>
            <w:vAlign w:val="bottom"/>
            <w:gridSpan w:val="2"/>
            <w:shd w:val="clear" w:color="auto" w:fill="CCECFF"/>
          </w:tcPr>
          <w:p>
            <w:pPr>
              <w:spacing w:after="0" w:line="210" w:lineRule="exact"/>
              <w:rPr>
                <w:sz w:val="20"/>
                <w:szCs w:val="20"/>
                <w:color w:val="auto"/>
              </w:rPr>
            </w:pPr>
            <w:r>
              <w:rPr>
                <w:rFonts w:ascii="Calibri" w:cs="Calibri" w:eastAsia="Calibri" w:hAnsi="Calibri"/>
                <w:sz w:val="18"/>
                <w:szCs w:val="18"/>
                <w:color w:val="auto"/>
              </w:rPr>
              <w:t>Selling, general and administratve</w:t>
            </w:r>
          </w:p>
        </w:tc>
        <w:tc>
          <w:tcPr>
            <w:tcW w:w="20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321,610</w:t>
            </w:r>
          </w:p>
        </w:tc>
        <w:tc>
          <w:tcPr>
            <w:tcW w:w="260" w:type="dxa"/>
            <w:vAlign w:val="bottom"/>
            <w:shd w:val="clear" w:color="auto" w:fill="CCECFF"/>
          </w:tcPr>
          <w:p>
            <w:pPr>
              <w:spacing w:after="0"/>
              <w:rPr>
                <w:sz w:val="18"/>
                <w:szCs w:val="18"/>
                <w:color w:val="auto"/>
              </w:rPr>
            </w:pPr>
          </w:p>
        </w:tc>
        <w:tc>
          <w:tcPr>
            <w:tcW w:w="240" w:type="dxa"/>
            <w:vAlign w:val="bottom"/>
            <w:shd w:val="clear" w:color="auto" w:fill="CCECFF"/>
          </w:tcPr>
          <w:p>
            <w:pPr>
              <w:jc w:val="right"/>
              <w:ind w:right="50"/>
              <w:spacing w:after="0" w:line="210" w:lineRule="exact"/>
              <w:rPr>
                <w:sz w:val="20"/>
                <w:szCs w:val="20"/>
                <w:color w:val="auto"/>
              </w:rPr>
            </w:pPr>
            <w:r>
              <w:rPr>
                <w:rFonts w:ascii="Calibri" w:cs="Calibri" w:eastAsia="Calibri" w:hAnsi="Calibri"/>
                <w:sz w:val="18"/>
                <w:szCs w:val="18"/>
                <w:color w:val="auto"/>
                <w:w w:val="87"/>
              </w:rPr>
              <w:t>$</w:t>
            </w:r>
          </w:p>
        </w:tc>
        <w:tc>
          <w:tcPr>
            <w:tcW w:w="88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309,799</w:t>
            </w:r>
          </w:p>
        </w:tc>
        <w:tc>
          <w:tcPr>
            <w:tcW w:w="240" w:type="dxa"/>
            <w:vAlign w:val="bottom"/>
            <w:shd w:val="clear" w:color="auto" w:fill="CCECFF"/>
          </w:tcPr>
          <w:p>
            <w:pPr>
              <w:spacing w:after="0"/>
              <w:rPr>
                <w:sz w:val="18"/>
                <w:szCs w:val="18"/>
                <w:color w:val="auto"/>
              </w:rPr>
            </w:pPr>
          </w:p>
        </w:tc>
        <w:tc>
          <w:tcPr>
            <w:tcW w:w="18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11,811</w:t>
            </w:r>
          </w:p>
        </w:tc>
        <w:tc>
          <w:tcPr>
            <w:tcW w:w="240" w:type="dxa"/>
            <w:vAlign w:val="bottom"/>
            <w:shd w:val="clear" w:color="auto" w:fill="CCECFF"/>
          </w:tcPr>
          <w:p>
            <w:pPr>
              <w:spacing w:after="0"/>
              <w:rPr>
                <w:sz w:val="18"/>
                <w:szCs w:val="18"/>
                <w:color w:val="auto"/>
              </w:rPr>
            </w:pPr>
          </w:p>
        </w:tc>
        <w:tc>
          <w:tcPr>
            <w:tcW w:w="1220" w:type="dxa"/>
            <w:vAlign w:val="bottom"/>
            <w:shd w:val="clear" w:color="auto" w:fill="CCEEFF"/>
          </w:tcPr>
          <w:p>
            <w:pPr>
              <w:jc w:val="center"/>
              <w:spacing w:after="0" w:line="210" w:lineRule="exact"/>
              <w:rPr>
                <w:sz w:val="20"/>
                <w:szCs w:val="20"/>
                <w:color w:val="auto"/>
              </w:rPr>
            </w:pPr>
            <w:r>
              <w:rPr>
                <w:rFonts w:ascii="Calibri" w:cs="Calibri" w:eastAsia="Calibri" w:hAnsi="Calibri"/>
                <w:sz w:val="18"/>
                <w:szCs w:val="18"/>
                <w:color w:val="auto"/>
                <w:w w:val="90"/>
              </w:rPr>
              <w:t>4%</w:t>
            </w:r>
          </w:p>
        </w:tc>
      </w:tr>
    </w:tbl>
    <w:p>
      <w:pPr>
        <w:spacing w:after="0" w:line="54"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Selling, general and administratve expenses increased $11.8 million for the year ended December 31, 2024, compared to the same period in 2023.</w:t>
      </w:r>
    </w:p>
    <w:p>
      <w:pPr>
        <w:spacing w:after="0" w:line="82"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We expect annual selling, general and administratve expenses to increase in the future as we contnue to support our existng approved products, multple clinical-stage product candidates, and planned launches of additonal products.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60" w:type="dxa"/>
            <w:vAlign w:val="bottom"/>
            <w:gridSpan w:val="3"/>
          </w:tcPr>
          <w:p>
            <w:pPr>
              <w:spacing w:after="0"/>
              <w:rPr>
                <w:sz w:val="20"/>
                <w:szCs w:val="20"/>
                <w:color w:val="auto"/>
              </w:rPr>
            </w:pPr>
            <w:r>
              <w:rPr>
                <w:rFonts w:ascii="Calibri" w:cs="Calibri" w:eastAsia="Calibri" w:hAnsi="Calibri"/>
                <w:sz w:val="18"/>
                <w:szCs w:val="18"/>
                <w:i w:val="1"/>
                <w:iCs w:val="1"/>
                <w:color w:val="auto"/>
              </w:rPr>
              <w:t>Interest Income (dollars in thousands)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25"/>
        </w:trPr>
        <w:tc>
          <w:tcPr>
            <w:tcW w:w="58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26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230"/>
              <w:spacing w:after="0"/>
              <w:rPr>
                <w:sz w:val="20"/>
                <w:szCs w:val="20"/>
                <w:color w:val="auto"/>
              </w:rPr>
            </w:pPr>
            <w:r>
              <w:rPr>
                <w:rFonts w:ascii="Calibri" w:cs="Calibri" w:eastAsia="Calibri" w:hAnsi="Calibri"/>
                <w:sz w:val="18"/>
                <w:szCs w:val="18"/>
                <w:b w:val="1"/>
                <w:bCs w:val="1"/>
                <w:color w:val="auto"/>
              </w:rPr>
              <w:t>Year Ended December 31,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center"/>
              <w:ind w:right="110"/>
              <w:spacing w:after="0"/>
              <w:rPr>
                <w:sz w:val="20"/>
                <w:szCs w:val="20"/>
                <w:color w:val="auto"/>
              </w:rPr>
            </w:pPr>
            <w:r>
              <w:rPr>
                <w:rFonts w:ascii="Calibri" w:cs="Calibri" w:eastAsia="Calibri" w:hAnsi="Calibri"/>
                <w:sz w:val="18"/>
                <w:szCs w:val="18"/>
                <w:b w:val="1"/>
                <w:bCs w:val="1"/>
                <w:color w:val="auto"/>
              </w:rPr>
              <w:t>Dollar</w:t>
            </w:r>
          </w:p>
        </w:tc>
        <w:tc>
          <w:tcPr>
            <w:tcW w:w="2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Calibri" w:cs="Calibri" w:eastAsia="Calibri" w:hAnsi="Calibri"/>
                <w:sz w:val="18"/>
                <w:szCs w:val="18"/>
                <w:b w:val="1"/>
                <w:bCs w:val="1"/>
                <w:color w:val="auto"/>
                <w:w w:val="97"/>
              </w:rPr>
              <w:t>Percent</w:t>
            </w:r>
          </w:p>
        </w:tc>
      </w:tr>
      <w:tr>
        <w:trPr>
          <w:trHeight w:val="215"/>
        </w:trPr>
        <w:tc>
          <w:tcPr>
            <w:tcW w:w="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line="215" w:lineRule="exact"/>
              <w:rPr>
                <w:sz w:val="20"/>
                <w:szCs w:val="20"/>
                <w:color w:val="auto"/>
              </w:rPr>
            </w:pPr>
            <w:r>
              <w:rPr>
                <w:rFonts w:ascii="Calibri" w:cs="Calibri" w:eastAsia="Calibri" w:hAnsi="Calibri"/>
                <w:sz w:val="18"/>
                <w:szCs w:val="18"/>
                <w:b w:val="1"/>
                <w:bCs w:val="1"/>
                <w:color w:val="auto"/>
              </w:rPr>
              <w:t>2024</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line="215" w:lineRule="exact"/>
              <w:rPr>
                <w:sz w:val="20"/>
                <w:szCs w:val="20"/>
                <w:color w:val="auto"/>
              </w:rPr>
            </w:pPr>
            <w:r>
              <w:rPr>
                <w:rFonts w:ascii="Calibri" w:cs="Calibri" w:eastAsia="Calibri" w:hAnsi="Calibri"/>
                <w:sz w:val="18"/>
                <w:szCs w:val="18"/>
                <w:b w:val="1"/>
                <w:bCs w:val="1"/>
                <w:color w:val="auto"/>
              </w:rPr>
              <w:t>2023</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10"/>
              <w:spacing w:after="0" w:line="193" w:lineRule="exact"/>
              <w:rPr>
                <w:sz w:val="20"/>
                <w:szCs w:val="20"/>
                <w:color w:val="auto"/>
              </w:rPr>
            </w:pPr>
            <w:r>
              <w:rPr>
                <w:rFonts w:ascii="Calibri" w:cs="Calibri" w:eastAsia="Calibri" w:hAnsi="Calibri"/>
                <w:sz w:val="18"/>
                <w:szCs w:val="18"/>
                <w:b w:val="1"/>
                <w:bCs w:val="1"/>
                <w:color w:val="auto"/>
                <w:w w:val="97"/>
              </w:rPr>
              <w:t>Change</w:t>
            </w:r>
          </w:p>
        </w:tc>
        <w:tc>
          <w:tcPr>
            <w:tcW w:w="240" w:type="dxa"/>
            <w:vAlign w:val="bottom"/>
          </w:tcPr>
          <w:p>
            <w:pPr>
              <w:spacing w:after="0"/>
              <w:rPr>
                <w:sz w:val="18"/>
                <w:szCs w:val="18"/>
                <w:color w:val="auto"/>
              </w:rPr>
            </w:pPr>
          </w:p>
        </w:tc>
        <w:tc>
          <w:tcPr>
            <w:tcW w:w="1220" w:type="dxa"/>
            <w:vAlign w:val="bottom"/>
            <w:tcBorders>
              <w:bottom w:val="single" w:sz="8" w:color="auto"/>
            </w:tcBorders>
          </w:tcPr>
          <w:p>
            <w:pPr>
              <w:jc w:val="center"/>
              <w:spacing w:after="0" w:line="193" w:lineRule="exact"/>
              <w:rPr>
                <w:sz w:val="20"/>
                <w:szCs w:val="20"/>
                <w:color w:val="auto"/>
              </w:rPr>
            </w:pPr>
            <w:r>
              <w:rPr>
                <w:rFonts w:ascii="Calibri" w:cs="Calibri" w:eastAsia="Calibri" w:hAnsi="Calibri"/>
                <w:sz w:val="18"/>
                <w:szCs w:val="18"/>
                <w:b w:val="1"/>
                <w:bCs w:val="1"/>
                <w:color w:val="auto"/>
              </w:rPr>
              <w:t>Change</w:t>
            </w:r>
          </w:p>
        </w:tc>
      </w:tr>
      <w:tr>
        <w:trPr>
          <w:trHeight w:val="211"/>
        </w:trPr>
        <w:tc>
          <w:tcPr>
            <w:tcW w:w="580" w:type="dxa"/>
            <w:vAlign w:val="bottom"/>
          </w:tcPr>
          <w:p>
            <w:pPr>
              <w:spacing w:after="0"/>
              <w:rPr>
                <w:sz w:val="18"/>
                <w:szCs w:val="18"/>
                <w:color w:val="auto"/>
              </w:rPr>
            </w:pPr>
          </w:p>
        </w:tc>
        <w:tc>
          <w:tcPr>
            <w:tcW w:w="4780" w:type="dxa"/>
            <w:vAlign w:val="bottom"/>
            <w:gridSpan w:val="2"/>
            <w:shd w:val="clear" w:color="auto" w:fill="CCECFF"/>
          </w:tcPr>
          <w:p>
            <w:pPr>
              <w:spacing w:after="0" w:line="210" w:lineRule="exact"/>
              <w:rPr>
                <w:sz w:val="20"/>
                <w:szCs w:val="20"/>
                <w:color w:val="auto"/>
              </w:rPr>
            </w:pPr>
            <w:r>
              <w:rPr>
                <w:rFonts w:ascii="Calibri" w:cs="Calibri" w:eastAsia="Calibri" w:hAnsi="Calibri"/>
                <w:sz w:val="18"/>
                <w:szCs w:val="18"/>
                <w:color w:val="auto"/>
              </w:rPr>
              <w:t>Interest income</w:t>
            </w:r>
          </w:p>
        </w:tc>
        <w:tc>
          <w:tcPr>
            <w:tcW w:w="20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36,506</w:t>
            </w:r>
          </w:p>
        </w:tc>
        <w:tc>
          <w:tcPr>
            <w:tcW w:w="260" w:type="dxa"/>
            <w:vAlign w:val="bottom"/>
            <w:shd w:val="clear" w:color="auto" w:fill="CCECFF"/>
          </w:tcPr>
          <w:p>
            <w:pPr>
              <w:spacing w:after="0"/>
              <w:rPr>
                <w:sz w:val="18"/>
                <w:szCs w:val="18"/>
                <w:color w:val="auto"/>
              </w:rPr>
            </w:pPr>
          </w:p>
        </w:tc>
        <w:tc>
          <w:tcPr>
            <w:tcW w:w="240" w:type="dxa"/>
            <w:vAlign w:val="bottom"/>
            <w:shd w:val="clear" w:color="auto" w:fill="CCECFF"/>
          </w:tcPr>
          <w:p>
            <w:pPr>
              <w:jc w:val="right"/>
              <w:ind w:right="50"/>
              <w:spacing w:after="0" w:line="210" w:lineRule="exact"/>
              <w:rPr>
                <w:sz w:val="20"/>
                <w:szCs w:val="20"/>
                <w:color w:val="auto"/>
              </w:rPr>
            </w:pPr>
            <w:r>
              <w:rPr>
                <w:rFonts w:ascii="Calibri" w:cs="Calibri" w:eastAsia="Calibri" w:hAnsi="Calibri"/>
                <w:sz w:val="18"/>
                <w:szCs w:val="18"/>
                <w:color w:val="auto"/>
                <w:w w:val="87"/>
              </w:rPr>
              <w:t>$</w:t>
            </w:r>
          </w:p>
        </w:tc>
        <w:tc>
          <w:tcPr>
            <w:tcW w:w="88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26,688</w:t>
            </w:r>
          </w:p>
        </w:tc>
        <w:tc>
          <w:tcPr>
            <w:tcW w:w="240" w:type="dxa"/>
            <w:vAlign w:val="bottom"/>
            <w:shd w:val="clear" w:color="auto" w:fill="CCECFF"/>
          </w:tcPr>
          <w:p>
            <w:pPr>
              <w:spacing w:after="0"/>
              <w:rPr>
                <w:sz w:val="18"/>
                <w:szCs w:val="18"/>
                <w:color w:val="auto"/>
              </w:rPr>
            </w:pPr>
          </w:p>
        </w:tc>
        <w:tc>
          <w:tcPr>
            <w:tcW w:w="18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9,818</w:t>
            </w:r>
          </w:p>
        </w:tc>
        <w:tc>
          <w:tcPr>
            <w:tcW w:w="240" w:type="dxa"/>
            <w:vAlign w:val="bottom"/>
            <w:shd w:val="clear" w:color="auto" w:fill="CCECFF"/>
          </w:tcPr>
          <w:p>
            <w:pPr>
              <w:spacing w:after="0"/>
              <w:rPr>
                <w:sz w:val="18"/>
                <w:szCs w:val="18"/>
                <w:color w:val="auto"/>
              </w:rPr>
            </w:pPr>
          </w:p>
        </w:tc>
        <w:tc>
          <w:tcPr>
            <w:tcW w:w="1220" w:type="dxa"/>
            <w:vAlign w:val="bottom"/>
            <w:shd w:val="clear" w:color="auto" w:fill="CCEEFF"/>
          </w:tcPr>
          <w:p>
            <w:pPr>
              <w:jc w:val="center"/>
              <w:spacing w:after="0" w:line="210" w:lineRule="exact"/>
              <w:rPr>
                <w:sz w:val="20"/>
                <w:szCs w:val="20"/>
                <w:color w:val="auto"/>
              </w:rPr>
            </w:pPr>
            <w:r>
              <w:rPr>
                <w:rFonts w:ascii="Calibri" w:cs="Calibri" w:eastAsia="Calibri" w:hAnsi="Calibri"/>
                <w:sz w:val="18"/>
                <w:szCs w:val="18"/>
                <w:color w:val="auto"/>
              </w:rPr>
              <w:t>37%</w:t>
            </w:r>
          </w:p>
        </w:tc>
      </w:tr>
    </w:tbl>
    <w:p>
      <w:pPr>
        <w:spacing w:after="0" w:line="167" w:lineRule="exact"/>
        <w:rPr>
          <w:sz w:val="20"/>
          <w:szCs w:val="20"/>
          <w:color w:val="auto"/>
        </w:rPr>
      </w:pPr>
    </w:p>
    <w:p>
      <w:pPr>
        <w:ind w:right="720" w:firstLine="509"/>
        <w:spacing w:after="0" w:line="235" w:lineRule="auto"/>
        <w:rPr>
          <w:sz w:val="20"/>
          <w:szCs w:val="20"/>
          <w:color w:val="auto"/>
        </w:rPr>
      </w:pPr>
      <w:r>
        <w:rPr>
          <w:rFonts w:ascii="Calibri" w:cs="Calibri" w:eastAsia="Calibri" w:hAnsi="Calibri"/>
          <w:sz w:val="18"/>
          <w:szCs w:val="18"/>
          <w:color w:val="auto"/>
        </w:rPr>
        <w:t>Interest income increased $9.8 million for the year ended December 31, 2024 compared to the same period in 2023, primarily due to higher marketable debt securites balances.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60" w:type="dxa"/>
            <w:vAlign w:val="bottom"/>
            <w:gridSpan w:val="3"/>
          </w:tcPr>
          <w:p>
            <w:pPr>
              <w:spacing w:after="0"/>
              <w:rPr>
                <w:sz w:val="20"/>
                <w:szCs w:val="20"/>
                <w:color w:val="auto"/>
              </w:rPr>
            </w:pPr>
            <w:r>
              <w:rPr>
                <w:rFonts w:ascii="Calibri" w:cs="Calibri" w:eastAsia="Calibri" w:hAnsi="Calibri"/>
                <w:sz w:val="18"/>
                <w:szCs w:val="18"/>
                <w:i w:val="1"/>
                <w:iCs w:val="1"/>
                <w:color w:val="auto"/>
              </w:rPr>
              <w:t>Change in Fair Value of Equity Investments (dollars in thousands)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25"/>
        </w:trPr>
        <w:tc>
          <w:tcPr>
            <w:tcW w:w="580" w:type="dxa"/>
            <w:vAlign w:val="bottom"/>
            <w:tcBorders>
              <w:top w:val="single" w:sz="8" w:color="auto"/>
            </w:tcBorders>
          </w:tcPr>
          <w:p>
            <w:pPr>
              <w:spacing w:after="0"/>
              <w:rPr>
                <w:sz w:val="24"/>
                <w:szCs w:val="24"/>
                <w:color w:val="auto"/>
              </w:rPr>
            </w:pPr>
          </w:p>
        </w:tc>
        <w:tc>
          <w:tcPr>
            <w:tcW w:w="404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spacing w:after="0"/>
              <w:rPr>
                <w:sz w:val="20"/>
                <w:szCs w:val="20"/>
                <w:color w:val="auto"/>
              </w:rPr>
            </w:pPr>
            <w:r>
              <w:rPr>
                <w:rFonts w:ascii="Calibri" w:cs="Calibri" w:eastAsia="Calibri" w:hAnsi="Calibri"/>
                <w:sz w:val="18"/>
                <w:szCs w:val="18"/>
                <w:b w:val="1"/>
                <w:bCs w:val="1"/>
                <w:color w:val="auto"/>
              </w:rPr>
              <w:t>Year Ended December 31,</w:t>
            </w:r>
          </w:p>
        </w:tc>
        <w:tc>
          <w:tcPr>
            <w:tcW w:w="3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center"/>
              <w:ind w:right="350"/>
              <w:spacing w:after="0"/>
              <w:rPr>
                <w:sz w:val="20"/>
                <w:szCs w:val="20"/>
                <w:color w:val="auto"/>
              </w:rPr>
            </w:pPr>
            <w:r>
              <w:rPr>
                <w:rFonts w:ascii="Calibri" w:cs="Calibri" w:eastAsia="Calibri" w:hAnsi="Calibri"/>
                <w:sz w:val="18"/>
                <w:szCs w:val="18"/>
                <w:b w:val="1"/>
                <w:bCs w:val="1"/>
                <w:color w:val="auto"/>
              </w:rPr>
              <w:t>Dollar</w:t>
            </w:r>
          </w:p>
        </w:tc>
        <w:tc>
          <w:tcPr>
            <w:tcW w:w="1220" w:type="dxa"/>
            <w:vAlign w:val="bottom"/>
          </w:tcPr>
          <w:p>
            <w:pPr>
              <w:jc w:val="center"/>
              <w:spacing w:after="0"/>
              <w:rPr>
                <w:sz w:val="20"/>
                <w:szCs w:val="20"/>
                <w:color w:val="auto"/>
              </w:rPr>
            </w:pPr>
            <w:r>
              <w:rPr>
                <w:rFonts w:ascii="Calibri" w:cs="Calibri" w:eastAsia="Calibri" w:hAnsi="Calibri"/>
                <w:sz w:val="18"/>
                <w:szCs w:val="18"/>
                <w:b w:val="1"/>
                <w:bCs w:val="1"/>
                <w:color w:val="auto"/>
                <w:w w:val="97"/>
              </w:rPr>
              <w:t>Percent</w:t>
            </w:r>
          </w:p>
        </w:tc>
      </w:tr>
      <w:tr>
        <w:trPr>
          <w:trHeight w:val="215"/>
        </w:trPr>
        <w:tc>
          <w:tcPr>
            <w:tcW w:w="5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290"/>
              <w:spacing w:after="0" w:line="215" w:lineRule="exact"/>
              <w:rPr>
                <w:sz w:val="20"/>
                <w:szCs w:val="20"/>
                <w:color w:val="auto"/>
              </w:rPr>
            </w:pPr>
            <w:r>
              <w:rPr>
                <w:rFonts w:ascii="Calibri" w:cs="Calibri" w:eastAsia="Calibri" w:hAnsi="Calibri"/>
                <w:sz w:val="18"/>
                <w:szCs w:val="18"/>
                <w:b w:val="1"/>
                <w:bCs w:val="1"/>
                <w:color w:val="auto"/>
              </w:rPr>
              <w:t>2024</w:t>
            </w:r>
          </w:p>
        </w:tc>
        <w:tc>
          <w:tcPr>
            <w:tcW w:w="260" w:type="dxa"/>
            <w:vAlign w:val="bottom"/>
          </w:tcPr>
          <w:p>
            <w:pPr>
              <w:spacing w:after="0"/>
              <w:rPr>
                <w:sz w:val="18"/>
                <w:szCs w:val="18"/>
                <w:color w:val="auto"/>
              </w:rPr>
            </w:pPr>
          </w:p>
        </w:tc>
        <w:tc>
          <w:tcPr>
            <w:tcW w:w="82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2023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50"/>
              <w:spacing w:after="0" w:line="193" w:lineRule="exact"/>
              <w:rPr>
                <w:sz w:val="20"/>
                <w:szCs w:val="20"/>
                <w:color w:val="auto"/>
              </w:rPr>
            </w:pPr>
            <w:r>
              <w:rPr>
                <w:rFonts w:ascii="Calibri" w:cs="Calibri" w:eastAsia="Calibri" w:hAnsi="Calibri"/>
                <w:sz w:val="18"/>
                <w:szCs w:val="18"/>
                <w:b w:val="1"/>
                <w:bCs w:val="1"/>
                <w:color w:val="auto"/>
                <w:w w:val="97"/>
              </w:rPr>
              <w:t>Change</w:t>
            </w:r>
          </w:p>
        </w:tc>
        <w:tc>
          <w:tcPr>
            <w:tcW w:w="1220" w:type="dxa"/>
            <w:vAlign w:val="bottom"/>
          </w:tcPr>
          <w:p>
            <w:pPr>
              <w:jc w:val="center"/>
              <w:spacing w:after="0" w:line="193" w:lineRule="exact"/>
              <w:rPr>
                <w:sz w:val="20"/>
                <w:szCs w:val="20"/>
                <w:color w:val="auto"/>
              </w:rPr>
            </w:pPr>
            <w:r>
              <w:rPr>
                <w:rFonts w:ascii="Calibri" w:cs="Calibri" w:eastAsia="Calibri" w:hAnsi="Calibri"/>
                <w:sz w:val="18"/>
                <w:szCs w:val="18"/>
                <w:b w:val="1"/>
                <w:bCs w:val="1"/>
                <w:color w:val="auto"/>
              </w:rPr>
              <w:t>Change</w:t>
            </w:r>
          </w:p>
        </w:tc>
      </w:tr>
      <w:tr>
        <w:trPr>
          <w:trHeight w:val="211"/>
        </w:trPr>
        <w:tc>
          <w:tcPr>
            <w:tcW w:w="580" w:type="dxa"/>
            <w:vAlign w:val="bottom"/>
          </w:tcPr>
          <w:p>
            <w:pPr>
              <w:spacing w:after="0"/>
              <w:rPr>
                <w:sz w:val="18"/>
                <w:szCs w:val="18"/>
                <w:color w:val="auto"/>
              </w:rPr>
            </w:pPr>
          </w:p>
        </w:tc>
        <w:tc>
          <w:tcPr>
            <w:tcW w:w="4780" w:type="dxa"/>
            <w:vAlign w:val="bottom"/>
            <w:gridSpan w:val="2"/>
            <w:shd w:val="clear" w:color="auto" w:fill="CCECFF"/>
          </w:tcPr>
          <w:p>
            <w:pPr>
              <w:spacing w:after="0" w:line="210" w:lineRule="exact"/>
              <w:rPr>
                <w:sz w:val="20"/>
                <w:szCs w:val="20"/>
                <w:color w:val="auto"/>
              </w:rPr>
            </w:pPr>
            <w:r>
              <w:rPr>
                <w:rFonts w:ascii="Calibri" w:cs="Calibri" w:eastAsia="Calibri" w:hAnsi="Calibri"/>
                <w:sz w:val="18"/>
                <w:szCs w:val="18"/>
                <w:color w:val="auto"/>
              </w:rPr>
              <w:t>Change in fair value of equity investments</w:t>
            </w:r>
          </w:p>
        </w:tc>
        <w:tc>
          <w:tcPr>
            <w:tcW w:w="200" w:type="dxa"/>
            <w:vAlign w:val="bottom"/>
            <w:tcBorders>
              <w:top w:val="single" w:sz="8" w:color="auto"/>
            </w:tcBorders>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w:t>
            </w:r>
          </w:p>
        </w:tc>
        <w:tc>
          <w:tcPr>
            <w:tcW w:w="920" w:type="dxa"/>
            <w:vAlign w:val="bottom"/>
            <w:tcBorders>
              <w:top w:val="single" w:sz="8" w:color="auto"/>
            </w:tcBorders>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(1,115</w:t>
            </w:r>
          </w:p>
        </w:tc>
        <w:tc>
          <w:tcPr>
            <w:tcW w:w="260" w:type="dxa"/>
            <w:vAlign w:val="bottom"/>
            <w:shd w:val="clear" w:color="auto" w:fill="CCECFF"/>
          </w:tcPr>
          <w:p>
            <w:pPr>
              <w:jc w:val="right"/>
              <w:ind w:right="90"/>
              <w:spacing w:after="0" w:line="210" w:lineRule="exact"/>
              <w:rPr>
                <w:sz w:val="20"/>
                <w:szCs w:val="20"/>
                <w:color w:val="auto"/>
              </w:rPr>
            </w:pPr>
            <w:r>
              <w:rPr>
                <w:rFonts w:ascii="Calibri" w:cs="Calibri" w:eastAsia="Calibri" w:hAnsi="Calibri"/>
                <w:sz w:val="18"/>
                <w:szCs w:val="18"/>
                <w:color w:val="auto"/>
              </w:rPr>
              <w:t>)</w:t>
            </w:r>
          </w:p>
        </w:tc>
        <w:tc>
          <w:tcPr>
            <w:tcW w:w="820" w:type="dxa"/>
            <w:vAlign w:val="bottom"/>
            <w:tcBorders>
              <w:top w:val="single" w:sz="8" w:color="auto"/>
            </w:tcBorders>
            <w:shd w:val="clear" w:color="auto" w:fill="CCECFF"/>
          </w:tcPr>
          <w:p>
            <w:pPr>
              <w:jc w:val="right"/>
              <w:ind w:right="630"/>
              <w:spacing w:after="0" w:line="210" w:lineRule="exact"/>
              <w:rPr>
                <w:sz w:val="20"/>
                <w:szCs w:val="20"/>
                <w:color w:val="auto"/>
              </w:rPr>
            </w:pPr>
            <w:r>
              <w:rPr>
                <w:rFonts w:ascii="Calibri" w:cs="Calibri" w:eastAsia="Calibri" w:hAnsi="Calibri"/>
                <w:sz w:val="18"/>
                <w:szCs w:val="18"/>
                <w:color w:val="auto"/>
                <w:w w:val="87"/>
              </w:rPr>
              <w:t>$</w:t>
            </w:r>
          </w:p>
        </w:tc>
        <w:tc>
          <w:tcPr>
            <w:tcW w:w="300" w:type="dxa"/>
            <w:vAlign w:val="bottom"/>
            <w:tcBorders>
              <w:top w:val="single" w:sz="8" w:color="auto"/>
            </w:tcBorders>
            <w:shd w:val="clear" w:color="auto" w:fill="CCECFF"/>
          </w:tcPr>
          <w:p>
            <w:pPr>
              <w:jc w:val="right"/>
              <w:spacing w:after="0" w:line="210" w:lineRule="exact"/>
              <w:rPr>
                <w:sz w:val="20"/>
                <w:szCs w:val="20"/>
                <w:color w:val="auto"/>
              </w:rPr>
            </w:pPr>
            <w:r>
              <w:rPr>
                <w:rFonts w:ascii="Calibri" w:cs="Calibri" w:eastAsia="Calibri" w:hAnsi="Calibri"/>
                <w:sz w:val="18"/>
                <w:szCs w:val="18"/>
                <w:color w:val="auto"/>
                <w:w w:val="87"/>
              </w:rPr>
              <w:t>397</w:t>
            </w:r>
          </w:p>
        </w:tc>
        <w:tc>
          <w:tcPr>
            <w:tcW w:w="240" w:type="dxa"/>
            <w:vAlign w:val="bottom"/>
            <w:shd w:val="clear" w:color="auto" w:fill="CCECFF"/>
          </w:tcPr>
          <w:p>
            <w:pPr>
              <w:spacing w:after="0"/>
              <w:rPr>
                <w:sz w:val="18"/>
                <w:szCs w:val="18"/>
                <w:color w:val="auto"/>
              </w:rPr>
            </w:pPr>
          </w:p>
        </w:tc>
        <w:tc>
          <w:tcPr>
            <w:tcW w:w="180" w:type="dxa"/>
            <w:vAlign w:val="bottom"/>
            <w:tcBorders>
              <w:top w:val="single" w:sz="8" w:color="auto"/>
            </w:tcBorders>
            <w:shd w:val="clear" w:color="auto" w:fill="CCEC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tcBorders>
              <w:top w:val="single" w:sz="8" w:color="auto"/>
            </w:tcBorders>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(1,512</w:t>
            </w:r>
          </w:p>
        </w:tc>
        <w:tc>
          <w:tcPr>
            <w:tcW w:w="240" w:type="dxa"/>
            <w:vAlign w:val="bottom"/>
            <w:shd w:val="clear" w:color="auto" w:fill="CCECFF"/>
          </w:tcPr>
          <w:p>
            <w:pPr>
              <w:jc w:val="right"/>
              <w:ind w:right="90"/>
              <w:spacing w:after="0" w:line="210" w:lineRule="exact"/>
              <w:rPr>
                <w:sz w:val="20"/>
                <w:szCs w:val="20"/>
                <w:color w:val="auto"/>
              </w:rPr>
            </w:pPr>
            <w:r>
              <w:rPr>
                <w:rFonts w:ascii="Calibri" w:cs="Calibri" w:eastAsia="Calibri" w:hAnsi="Calibri"/>
                <w:sz w:val="18"/>
                <w:szCs w:val="18"/>
                <w:color w:val="auto"/>
                <w:w w:val="72"/>
              </w:rPr>
              <w:t>)</w:t>
            </w:r>
          </w:p>
        </w:tc>
        <w:tc>
          <w:tcPr>
            <w:tcW w:w="1220" w:type="dxa"/>
            <w:vAlign w:val="bottom"/>
            <w:tcBorders>
              <w:top w:val="single" w:sz="8" w:color="auto"/>
            </w:tcBorders>
            <w:shd w:val="clear" w:color="auto" w:fill="CCEEFF"/>
          </w:tcPr>
          <w:p>
            <w:pPr>
              <w:jc w:val="center"/>
              <w:spacing w:after="0" w:line="210" w:lineRule="exact"/>
              <w:rPr>
                <w:sz w:val="20"/>
                <w:szCs w:val="20"/>
                <w:color w:val="auto"/>
              </w:rPr>
            </w:pPr>
            <w:r>
              <w:rPr>
                <w:rFonts w:ascii="Calibri" w:cs="Calibri" w:eastAsia="Calibri" w:hAnsi="Calibri"/>
                <w:sz w:val="18"/>
                <w:szCs w:val="18"/>
                <w:color w:val="auto"/>
                <w:w w:val="97"/>
              </w:rPr>
              <w:t>(381%)</w:t>
            </w:r>
          </w:p>
        </w:tc>
      </w:tr>
    </w:tbl>
    <w:p>
      <w:pPr>
        <w:spacing w:after="0" w:line="59" w:lineRule="exact"/>
        <w:rPr>
          <w:sz w:val="20"/>
          <w:szCs w:val="20"/>
          <w:color w:val="auto"/>
        </w:rPr>
      </w:pPr>
    </w:p>
    <w:p>
      <w:pPr>
        <w:ind w:right="160" w:firstLine="509"/>
        <w:spacing w:after="0" w:line="258" w:lineRule="auto"/>
        <w:rPr>
          <w:sz w:val="20"/>
          <w:szCs w:val="20"/>
          <w:color w:val="auto"/>
        </w:rPr>
      </w:pPr>
      <w:r>
        <w:rPr>
          <w:rFonts w:ascii="Calibri" w:cs="Calibri" w:eastAsia="Calibri" w:hAnsi="Calibri"/>
          <w:sz w:val="17"/>
          <w:szCs w:val="17"/>
          <w:color w:val="auto"/>
        </w:rPr>
        <w:t>For the years ended December 31, 2024 and 2023, we recorded a net decrease of $1.1 million and a net increase of $0.4 million, respectvely, in the fair value of our equity investments due to unrealized loss and gain, respectvely, on our investment in Solid Biosciences Inc., or Solid, common stock.</w:t>
      </w:r>
    </w:p>
    <w:p>
      <w:pPr>
        <w:spacing w:after="0" w:line="224"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Non-cash Interest Expense on Liabilites for Sales of Future Royaltes (dollars in thousands)</w:t>
      </w:r>
    </w:p>
    <w:p>
      <w:pPr>
        <w:spacing w:after="0" w:line="77"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4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230"/>
              <w:spacing w:after="0"/>
              <w:rPr>
                <w:sz w:val="20"/>
                <w:szCs w:val="20"/>
                <w:color w:val="auto"/>
              </w:rPr>
            </w:pPr>
            <w:r>
              <w:rPr>
                <w:rFonts w:ascii="Calibri" w:cs="Calibri" w:eastAsia="Calibri" w:hAnsi="Calibri"/>
                <w:sz w:val="18"/>
                <w:szCs w:val="18"/>
                <w:b w:val="1"/>
                <w:bCs w:val="1"/>
                <w:color w:val="auto"/>
              </w:rPr>
              <w:t>Year Ended December 31,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440"/>
              <w:spacing w:after="0"/>
              <w:rPr>
                <w:sz w:val="20"/>
                <w:szCs w:val="20"/>
                <w:color w:val="auto"/>
              </w:rPr>
            </w:pPr>
            <w:r>
              <w:rPr>
                <w:rFonts w:ascii="Calibri" w:cs="Calibri" w:eastAsia="Calibri" w:hAnsi="Calibri"/>
                <w:sz w:val="18"/>
                <w:szCs w:val="18"/>
                <w:b w:val="1"/>
                <w:bCs w:val="1"/>
                <w:color w:val="auto"/>
              </w:rPr>
              <w:t>Dollar</w:t>
            </w:r>
          </w:p>
        </w:tc>
        <w:tc>
          <w:tcPr>
            <w:tcW w:w="1220" w:type="dxa"/>
            <w:vAlign w:val="bottom"/>
          </w:tcPr>
          <w:p>
            <w:pPr>
              <w:jc w:val="center"/>
              <w:spacing w:after="0"/>
              <w:rPr>
                <w:sz w:val="20"/>
                <w:szCs w:val="20"/>
                <w:color w:val="auto"/>
              </w:rPr>
            </w:pPr>
            <w:r>
              <w:rPr>
                <w:rFonts w:ascii="Calibri" w:cs="Calibri" w:eastAsia="Calibri" w:hAnsi="Calibri"/>
                <w:sz w:val="18"/>
                <w:szCs w:val="18"/>
                <w:b w:val="1"/>
                <w:bCs w:val="1"/>
                <w:color w:val="auto"/>
                <w:w w:val="97"/>
              </w:rPr>
              <w:t>Percent</w:t>
            </w:r>
          </w:p>
        </w:tc>
      </w:tr>
      <w:tr>
        <w:trPr>
          <w:trHeight w:val="215"/>
        </w:trPr>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290"/>
              <w:spacing w:after="0" w:line="215" w:lineRule="exact"/>
              <w:rPr>
                <w:sz w:val="20"/>
                <w:szCs w:val="20"/>
                <w:color w:val="auto"/>
              </w:rPr>
            </w:pPr>
            <w:r>
              <w:rPr>
                <w:rFonts w:ascii="Calibri" w:cs="Calibri" w:eastAsia="Calibri" w:hAnsi="Calibri"/>
                <w:sz w:val="18"/>
                <w:szCs w:val="18"/>
                <w:b w:val="1"/>
                <w:bCs w:val="1"/>
                <w:color w:val="auto"/>
              </w:rPr>
              <w:t>2024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0"/>
              <w:spacing w:after="0" w:line="215" w:lineRule="exact"/>
              <w:rPr>
                <w:sz w:val="20"/>
                <w:szCs w:val="20"/>
                <w:color w:val="auto"/>
              </w:rPr>
            </w:pPr>
            <w:r>
              <w:rPr>
                <w:rFonts w:ascii="Calibri" w:cs="Calibri" w:eastAsia="Calibri" w:hAnsi="Calibri"/>
                <w:sz w:val="18"/>
                <w:szCs w:val="18"/>
                <w:b w:val="1"/>
                <w:bCs w:val="1"/>
                <w:color w:val="auto"/>
              </w:rPr>
              <w:t>2023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440"/>
              <w:spacing w:after="0" w:line="193" w:lineRule="exact"/>
              <w:rPr>
                <w:sz w:val="20"/>
                <w:szCs w:val="20"/>
                <w:color w:val="auto"/>
              </w:rPr>
            </w:pPr>
            <w:r>
              <w:rPr>
                <w:rFonts w:ascii="Calibri" w:cs="Calibri" w:eastAsia="Calibri" w:hAnsi="Calibri"/>
                <w:sz w:val="18"/>
                <w:szCs w:val="18"/>
                <w:b w:val="1"/>
                <w:bCs w:val="1"/>
                <w:color w:val="auto"/>
                <w:w w:val="97"/>
              </w:rPr>
              <w:t>Change</w:t>
            </w:r>
          </w:p>
        </w:tc>
        <w:tc>
          <w:tcPr>
            <w:tcW w:w="1220" w:type="dxa"/>
            <w:vAlign w:val="bottom"/>
          </w:tcPr>
          <w:p>
            <w:pPr>
              <w:jc w:val="center"/>
              <w:spacing w:after="0" w:line="193" w:lineRule="exact"/>
              <w:rPr>
                <w:sz w:val="20"/>
                <w:szCs w:val="20"/>
                <w:color w:val="auto"/>
              </w:rPr>
            </w:pPr>
            <w:r>
              <w:rPr>
                <w:rFonts w:ascii="Calibri" w:cs="Calibri" w:eastAsia="Calibri" w:hAnsi="Calibri"/>
                <w:sz w:val="18"/>
                <w:szCs w:val="18"/>
                <w:b w:val="1"/>
                <w:bCs w:val="1"/>
                <w:color w:val="auto"/>
              </w:rPr>
              <w:t>Change</w:t>
            </w:r>
          </w:p>
        </w:tc>
      </w:tr>
      <w:tr>
        <w:trPr>
          <w:trHeight w:val="188"/>
        </w:trPr>
        <w:tc>
          <w:tcPr>
            <w:tcW w:w="4780" w:type="dxa"/>
            <w:vAlign w:val="bottom"/>
            <w:shd w:val="clear" w:color="auto" w:fill="CCECFF"/>
          </w:tcPr>
          <w:p>
            <w:pPr>
              <w:spacing w:after="0" w:line="188" w:lineRule="exact"/>
              <w:rPr>
                <w:sz w:val="20"/>
                <w:szCs w:val="20"/>
                <w:color w:val="auto"/>
              </w:rPr>
            </w:pPr>
            <w:r>
              <w:rPr>
                <w:rFonts w:ascii="Calibri" w:cs="Calibri" w:eastAsia="Calibri" w:hAnsi="Calibri"/>
                <w:sz w:val="18"/>
                <w:szCs w:val="18"/>
                <w:color w:val="auto"/>
              </w:rPr>
              <w:t>Non-cash interest expense on liabilites for</w:t>
            </w:r>
          </w:p>
        </w:tc>
        <w:tc>
          <w:tcPr>
            <w:tcW w:w="200" w:type="dxa"/>
            <w:vAlign w:val="bottom"/>
            <w:tcBorders>
              <w:top w:val="single" w:sz="8" w:color="auto"/>
            </w:tcBorders>
            <w:shd w:val="clear" w:color="auto" w:fill="CCECFF"/>
          </w:tcPr>
          <w:p>
            <w:pPr>
              <w:spacing w:after="0"/>
              <w:rPr>
                <w:sz w:val="16"/>
                <w:szCs w:val="16"/>
                <w:color w:val="auto"/>
              </w:rPr>
            </w:pPr>
          </w:p>
        </w:tc>
        <w:tc>
          <w:tcPr>
            <w:tcW w:w="920" w:type="dxa"/>
            <w:vAlign w:val="bottom"/>
            <w:tcBorders>
              <w:top w:val="single" w:sz="8" w:color="auto"/>
            </w:tcBorders>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240" w:type="dxa"/>
            <w:vAlign w:val="bottom"/>
            <w:tcBorders>
              <w:top w:val="single" w:sz="8" w:color="auto"/>
            </w:tcBorders>
            <w:shd w:val="clear" w:color="auto" w:fill="CCECFF"/>
          </w:tcPr>
          <w:p>
            <w:pPr>
              <w:spacing w:after="0"/>
              <w:rPr>
                <w:sz w:val="16"/>
                <w:szCs w:val="16"/>
                <w:color w:val="auto"/>
              </w:rPr>
            </w:pPr>
          </w:p>
        </w:tc>
        <w:tc>
          <w:tcPr>
            <w:tcW w:w="880" w:type="dxa"/>
            <w:vAlign w:val="bottom"/>
            <w:tcBorders>
              <w:top w:val="single" w:sz="8" w:color="auto"/>
            </w:tcBorders>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80" w:type="dxa"/>
            <w:vAlign w:val="bottom"/>
            <w:tcBorders>
              <w:top w:val="single" w:sz="8" w:color="auto"/>
            </w:tcBorders>
            <w:shd w:val="clear" w:color="auto" w:fill="CCECFF"/>
          </w:tcPr>
          <w:p>
            <w:pPr>
              <w:spacing w:after="0"/>
              <w:rPr>
                <w:sz w:val="16"/>
                <w:szCs w:val="16"/>
                <w:color w:val="auto"/>
              </w:rPr>
            </w:pPr>
          </w:p>
        </w:tc>
        <w:tc>
          <w:tcPr>
            <w:tcW w:w="940" w:type="dxa"/>
            <w:vAlign w:val="bottom"/>
            <w:tcBorders>
              <w:top w:val="single" w:sz="8" w:color="auto"/>
            </w:tcBorders>
            <w:shd w:val="clear" w:color="auto" w:fill="CCECFF"/>
          </w:tcPr>
          <w:p>
            <w:pPr>
              <w:spacing w:after="0"/>
              <w:rPr>
                <w:sz w:val="16"/>
                <w:szCs w:val="16"/>
                <w:color w:val="auto"/>
              </w:rPr>
            </w:pPr>
          </w:p>
        </w:tc>
        <w:tc>
          <w:tcPr>
            <w:tcW w:w="240" w:type="dxa"/>
            <w:vAlign w:val="bottom"/>
            <w:shd w:val="clear" w:color="auto" w:fill="CCEC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r>
      <w:tr>
        <w:trPr>
          <w:trHeight w:val="215"/>
        </w:trPr>
        <w:tc>
          <w:tcPr>
            <w:tcW w:w="4780" w:type="dxa"/>
            <w:vAlign w:val="bottom"/>
            <w:shd w:val="clear" w:color="auto" w:fill="CCECFF"/>
          </w:tcPr>
          <w:p>
            <w:pPr>
              <w:ind w:left="160"/>
              <w:spacing w:after="0" w:line="215" w:lineRule="exact"/>
              <w:rPr>
                <w:sz w:val="20"/>
                <w:szCs w:val="20"/>
                <w:color w:val="auto"/>
              </w:rPr>
            </w:pPr>
            <w:r>
              <w:rPr>
                <w:rFonts w:ascii="Calibri" w:cs="Calibri" w:eastAsia="Calibri" w:hAnsi="Calibri"/>
                <w:sz w:val="18"/>
                <w:szCs w:val="18"/>
                <w:color w:val="auto"/>
              </w:rPr>
              <w:t>sales of future royaltes</w:t>
            </w:r>
          </w:p>
        </w:tc>
        <w:tc>
          <w:tcPr>
            <w:tcW w:w="200" w:type="dxa"/>
            <w:vAlign w:val="bottom"/>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63,041</w:t>
            </w:r>
          </w:p>
        </w:tc>
        <w:tc>
          <w:tcPr>
            <w:tcW w:w="500" w:type="dxa"/>
            <w:vAlign w:val="bottom"/>
            <w:gridSpan w:val="2"/>
            <w:shd w:val="clear" w:color="auto" w:fill="CCECFF"/>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80" w:type="dxa"/>
            <w:vAlign w:val="bottom"/>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66,004</w:t>
            </w:r>
          </w:p>
        </w:tc>
        <w:tc>
          <w:tcPr>
            <w:tcW w:w="420" w:type="dxa"/>
            <w:vAlign w:val="bottom"/>
            <w:gridSpan w:val="2"/>
            <w:shd w:val="clear" w:color="auto" w:fill="CCECFF"/>
          </w:tcPr>
          <w:p>
            <w:pPr>
              <w:jc w:val="right"/>
              <w:ind w:right="8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gridSpan w:val="2"/>
            <w:shd w:val="clear" w:color="auto" w:fill="CCECFF"/>
          </w:tcPr>
          <w:p>
            <w:pPr>
              <w:jc w:val="right"/>
              <w:ind w:right="180"/>
              <w:spacing w:after="0" w:line="215" w:lineRule="exact"/>
              <w:rPr>
                <w:sz w:val="20"/>
                <w:szCs w:val="20"/>
                <w:color w:val="auto"/>
              </w:rPr>
            </w:pPr>
            <w:r>
              <w:rPr>
                <w:rFonts w:ascii="Calibri" w:cs="Calibri" w:eastAsia="Calibri" w:hAnsi="Calibri"/>
                <w:sz w:val="18"/>
                <w:szCs w:val="18"/>
                <w:color w:val="auto"/>
              </w:rPr>
              <w:t>(2,963 )</w:t>
            </w:r>
          </w:p>
        </w:tc>
        <w:tc>
          <w:tcPr>
            <w:tcW w:w="1220" w:type="dxa"/>
            <w:vAlign w:val="bottom"/>
            <w:shd w:val="clear" w:color="auto" w:fill="CCEEFF"/>
          </w:tcPr>
          <w:p>
            <w:pPr>
              <w:jc w:val="center"/>
              <w:spacing w:after="0" w:line="215" w:lineRule="exact"/>
              <w:rPr>
                <w:sz w:val="20"/>
                <w:szCs w:val="20"/>
                <w:color w:val="auto"/>
              </w:rPr>
            </w:pPr>
            <w:r>
              <w:rPr>
                <w:rFonts w:ascii="Calibri" w:cs="Calibri" w:eastAsia="Calibri" w:hAnsi="Calibri"/>
                <w:sz w:val="18"/>
                <w:szCs w:val="18"/>
                <w:color w:val="auto"/>
                <w:w w:val="97"/>
              </w:rPr>
              <w:t>(4%)</w:t>
            </w:r>
          </w:p>
        </w:tc>
      </w:tr>
      <w:tr>
        <w:trPr>
          <w:trHeight w:val="23"/>
        </w:trPr>
        <w:tc>
          <w:tcPr>
            <w:tcW w:w="4780" w:type="dxa"/>
            <w:vAlign w:val="bottom"/>
            <w:shd w:val="clear" w:color="auto" w:fill="CCECFF"/>
          </w:tcPr>
          <w:p>
            <w:pPr>
              <w:spacing w:after="0"/>
              <w:rPr>
                <w:sz w:val="2"/>
                <w:szCs w:val="2"/>
                <w:color w:val="auto"/>
              </w:rPr>
            </w:pPr>
          </w:p>
        </w:tc>
        <w:tc>
          <w:tcPr>
            <w:tcW w:w="200" w:type="dxa"/>
            <w:vAlign w:val="bottom"/>
            <w:shd w:val="clear" w:color="auto" w:fill="CCECFF"/>
          </w:tcPr>
          <w:p>
            <w:pPr>
              <w:spacing w:after="0"/>
              <w:rPr>
                <w:sz w:val="2"/>
                <w:szCs w:val="2"/>
                <w:color w:val="auto"/>
              </w:rPr>
            </w:pPr>
          </w:p>
        </w:tc>
        <w:tc>
          <w:tcPr>
            <w:tcW w:w="920" w:type="dxa"/>
            <w:vAlign w:val="bottom"/>
            <w:shd w:val="clear" w:color="auto" w:fill="CCECFF"/>
          </w:tcPr>
          <w:p>
            <w:pPr>
              <w:spacing w:after="0"/>
              <w:rPr>
                <w:sz w:val="2"/>
                <w:szCs w:val="2"/>
                <w:color w:val="auto"/>
              </w:rPr>
            </w:pPr>
          </w:p>
        </w:tc>
        <w:tc>
          <w:tcPr>
            <w:tcW w:w="260" w:type="dxa"/>
            <w:vAlign w:val="bottom"/>
            <w:shd w:val="clear" w:color="auto" w:fill="CCECFF"/>
          </w:tcPr>
          <w:p>
            <w:pPr>
              <w:spacing w:after="0"/>
              <w:rPr>
                <w:sz w:val="2"/>
                <w:szCs w:val="2"/>
                <w:color w:val="auto"/>
              </w:rPr>
            </w:pPr>
          </w:p>
        </w:tc>
        <w:tc>
          <w:tcPr>
            <w:tcW w:w="240" w:type="dxa"/>
            <w:vAlign w:val="bottom"/>
            <w:shd w:val="clear" w:color="auto" w:fill="CCECFF"/>
          </w:tcPr>
          <w:p>
            <w:pPr>
              <w:spacing w:after="0"/>
              <w:rPr>
                <w:sz w:val="2"/>
                <w:szCs w:val="2"/>
                <w:color w:val="auto"/>
              </w:rPr>
            </w:pPr>
          </w:p>
        </w:tc>
        <w:tc>
          <w:tcPr>
            <w:tcW w:w="880" w:type="dxa"/>
            <w:vAlign w:val="bottom"/>
            <w:shd w:val="clear" w:color="auto" w:fill="CCECFF"/>
          </w:tcPr>
          <w:p>
            <w:pPr>
              <w:spacing w:after="0"/>
              <w:rPr>
                <w:sz w:val="2"/>
                <w:szCs w:val="2"/>
                <w:color w:val="auto"/>
              </w:rPr>
            </w:pPr>
          </w:p>
        </w:tc>
        <w:tc>
          <w:tcPr>
            <w:tcW w:w="240" w:type="dxa"/>
            <w:vAlign w:val="bottom"/>
            <w:shd w:val="clear" w:color="auto" w:fill="CCECFF"/>
          </w:tcPr>
          <w:p>
            <w:pPr>
              <w:spacing w:after="0"/>
              <w:rPr>
                <w:sz w:val="2"/>
                <w:szCs w:val="2"/>
                <w:color w:val="auto"/>
              </w:rPr>
            </w:pPr>
          </w:p>
        </w:tc>
        <w:tc>
          <w:tcPr>
            <w:tcW w:w="180" w:type="dxa"/>
            <w:vAlign w:val="bottom"/>
            <w:shd w:val="clear" w:color="auto" w:fill="CCECFF"/>
          </w:tcPr>
          <w:p>
            <w:pPr>
              <w:spacing w:after="0"/>
              <w:rPr>
                <w:sz w:val="2"/>
                <w:szCs w:val="2"/>
                <w:color w:val="auto"/>
              </w:rPr>
            </w:pPr>
          </w:p>
        </w:tc>
        <w:tc>
          <w:tcPr>
            <w:tcW w:w="940" w:type="dxa"/>
            <w:vAlign w:val="bottom"/>
            <w:shd w:val="clear" w:color="auto" w:fill="CCECFF"/>
          </w:tcPr>
          <w:p>
            <w:pPr>
              <w:spacing w:after="0"/>
              <w:rPr>
                <w:sz w:val="2"/>
                <w:szCs w:val="2"/>
                <w:color w:val="auto"/>
              </w:rPr>
            </w:pPr>
          </w:p>
        </w:tc>
        <w:tc>
          <w:tcPr>
            <w:tcW w:w="240" w:type="dxa"/>
            <w:vAlign w:val="bottom"/>
            <w:shd w:val="clear" w:color="auto" w:fill="CCEC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59"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non-cash interest expense on liabilites for sales of future royaltes decreased by $3.0 million for the year ended December 31, 2024, compared to the same period in 2023, primarily due to a reducton in total royalty obligaton balances as a result of increased royaltes generated from our collaboraton partner, KKC. To the extent the royalty payments are greater or less than our inital estmates or the tming of such payments is materially diferent than our original estmates, we prospectvely adjust the efectve interest rate.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60" w:type="dxa"/>
            <w:vAlign w:val="bottom"/>
            <w:gridSpan w:val="3"/>
          </w:tcPr>
          <w:p>
            <w:pPr>
              <w:spacing w:after="0"/>
              <w:rPr>
                <w:sz w:val="20"/>
                <w:szCs w:val="20"/>
                <w:color w:val="auto"/>
              </w:rPr>
            </w:pPr>
            <w:r>
              <w:rPr>
                <w:rFonts w:ascii="Calibri" w:cs="Calibri" w:eastAsia="Calibri" w:hAnsi="Calibri"/>
                <w:sz w:val="18"/>
                <w:szCs w:val="18"/>
                <w:i w:val="1"/>
                <w:iCs w:val="1"/>
                <w:color w:val="auto"/>
              </w:rPr>
              <w:t>Other Expense (dollars in thousands)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24"/>
        </w:trPr>
        <w:tc>
          <w:tcPr>
            <w:tcW w:w="580" w:type="dxa"/>
            <w:vAlign w:val="bottom"/>
            <w:tcBorders>
              <w:top w:val="single" w:sz="8" w:color="auto"/>
            </w:tcBorders>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2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20" w:type="dxa"/>
            <w:vAlign w:val="bottom"/>
            <w:gridSpan w:val="6"/>
          </w:tcPr>
          <w:p>
            <w:pPr>
              <w:jc w:val="right"/>
              <w:ind w:right="650"/>
              <w:spacing w:after="0"/>
              <w:rPr>
                <w:sz w:val="20"/>
                <w:szCs w:val="20"/>
                <w:color w:val="auto"/>
              </w:rPr>
            </w:pPr>
            <w:r>
              <w:rPr>
                <w:rFonts w:ascii="Calibri" w:cs="Calibri" w:eastAsia="Calibri" w:hAnsi="Calibri"/>
                <w:sz w:val="18"/>
                <w:szCs w:val="18"/>
                <w:b w:val="1"/>
                <w:bCs w:val="1"/>
                <w:color w:val="auto"/>
              </w:rPr>
              <w:t>Year Ended December 31,</w:t>
            </w:r>
          </w:p>
        </w:tc>
        <w:tc>
          <w:tcPr>
            <w:tcW w:w="1180" w:type="dxa"/>
            <w:vAlign w:val="bottom"/>
            <w:gridSpan w:val="2"/>
          </w:tcPr>
          <w:p>
            <w:pPr>
              <w:jc w:val="center"/>
              <w:ind w:right="350"/>
              <w:spacing w:after="0"/>
              <w:rPr>
                <w:sz w:val="20"/>
                <w:szCs w:val="20"/>
                <w:color w:val="auto"/>
              </w:rPr>
            </w:pPr>
            <w:r>
              <w:rPr>
                <w:rFonts w:ascii="Calibri" w:cs="Calibri" w:eastAsia="Calibri" w:hAnsi="Calibri"/>
                <w:sz w:val="18"/>
                <w:szCs w:val="18"/>
                <w:b w:val="1"/>
                <w:bCs w:val="1"/>
                <w:color w:val="auto"/>
              </w:rPr>
              <w:t>Dollar</w:t>
            </w:r>
          </w:p>
        </w:tc>
        <w:tc>
          <w:tcPr>
            <w:tcW w:w="1220" w:type="dxa"/>
            <w:vAlign w:val="bottom"/>
          </w:tcPr>
          <w:p>
            <w:pPr>
              <w:jc w:val="center"/>
              <w:spacing w:after="0"/>
              <w:rPr>
                <w:sz w:val="20"/>
                <w:szCs w:val="20"/>
                <w:color w:val="auto"/>
              </w:rPr>
            </w:pPr>
            <w:r>
              <w:rPr>
                <w:rFonts w:ascii="Calibri" w:cs="Calibri" w:eastAsia="Calibri" w:hAnsi="Calibri"/>
                <w:sz w:val="18"/>
                <w:szCs w:val="18"/>
                <w:b w:val="1"/>
                <w:bCs w:val="1"/>
                <w:color w:val="auto"/>
                <w:w w:val="97"/>
              </w:rPr>
              <w:t>Percent</w:t>
            </w:r>
          </w:p>
        </w:tc>
      </w:tr>
      <w:tr>
        <w:trPr>
          <w:trHeight w:val="215"/>
        </w:trPr>
        <w:tc>
          <w:tcPr>
            <w:tcW w:w="5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90"/>
              <w:spacing w:after="0" w:line="215" w:lineRule="exact"/>
              <w:rPr>
                <w:sz w:val="20"/>
                <w:szCs w:val="20"/>
                <w:color w:val="auto"/>
              </w:rPr>
            </w:pPr>
            <w:r>
              <w:rPr>
                <w:rFonts w:ascii="Calibri" w:cs="Calibri" w:eastAsia="Calibri" w:hAnsi="Calibri"/>
                <w:sz w:val="18"/>
                <w:szCs w:val="18"/>
                <w:b w:val="1"/>
                <w:bCs w:val="1"/>
                <w:color w:val="auto"/>
              </w:rPr>
              <w:t>2024</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10"/>
              <w:spacing w:after="0" w:line="215" w:lineRule="exact"/>
              <w:rPr>
                <w:sz w:val="20"/>
                <w:szCs w:val="20"/>
                <w:color w:val="auto"/>
              </w:rPr>
            </w:pPr>
            <w:r>
              <w:rPr>
                <w:rFonts w:ascii="Calibri" w:cs="Calibri" w:eastAsia="Calibri" w:hAnsi="Calibri"/>
                <w:sz w:val="18"/>
                <w:szCs w:val="18"/>
                <w:b w:val="1"/>
                <w:bCs w:val="1"/>
                <w:color w:val="auto"/>
              </w:rPr>
              <w:t>2023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50"/>
              <w:spacing w:after="0" w:line="193" w:lineRule="exact"/>
              <w:rPr>
                <w:sz w:val="20"/>
                <w:szCs w:val="20"/>
                <w:color w:val="auto"/>
              </w:rPr>
            </w:pPr>
            <w:r>
              <w:rPr>
                <w:rFonts w:ascii="Calibri" w:cs="Calibri" w:eastAsia="Calibri" w:hAnsi="Calibri"/>
                <w:sz w:val="18"/>
                <w:szCs w:val="18"/>
                <w:b w:val="1"/>
                <w:bCs w:val="1"/>
                <w:color w:val="auto"/>
                <w:w w:val="97"/>
              </w:rPr>
              <w:t>Change</w:t>
            </w:r>
          </w:p>
        </w:tc>
        <w:tc>
          <w:tcPr>
            <w:tcW w:w="1220" w:type="dxa"/>
            <w:vAlign w:val="bottom"/>
          </w:tcPr>
          <w:p>
            <w:pPr>
              <w:jc w:val="center"/>
              <w:spacing w:after="0" w:line="193" w:lineRule="exact"/>
              <w:rPr>
                <w:sz w:val="20"/>
                <w:szCs w:val="20"/>
                <w:color w:val="auto"/>
              </w:rPr>
            </w:pPr>
            <w:r>
              <w:rPr>
                <w:rFonts w:ascii="Calibri" w:cs="Calibri" w:eastAsia="Calibri" w:hAnsi="Calibri"/>
                <w:sz w:val="18"/>
                <w:szCs w:val="18"/>
                <w:b w:val="1"/>
                <w:bCs w:val="1"/>
                <w:color w:val="auto"/>
              </w:rPr>
              <w:t>Change</w:t>
            </w:r>
          </w:p>
        </w:tc>
      </w:tr>
      <w:tr>
        <w:trPr>
          <w:trHeight w:val="211"/>
        </w:trPr>
        <w:tc>
          <w:tcPr>
            <w:tcW w:w="580" w:type="dxa"/>
            <w:vAlign w:val="bottom"/>
          </w:tcPr>
          <w:p>
            <w:pPr>
              <w:spacing w:after="0"/>
              <w:rPr>
                <w:sz w:val="18"/>
                <w:szCs w:val="18"/>
                <w:color w:val="auto"/>
              </w:rPr>
            </w:pPr>
          </w:p>
        </w:tc>
        <w:tc>
          <w:tcPr>
            <w:tcW w:w="4780" w:type="dxa"/>
            <w:vAlign w:val="bottom"/>
            <w:gridSpan w:val="2"/>
            <w:shd w:val="clear" w:color="auto" w:fill="CCECFF"/>
          </w:tcPr>
          <w:p>
            <w:pPr>
              <w:spacing w:after="0" w:line="210" w:lineRule="exact"/>
              <w:rPr>
                <w:sz w:val="20"/>
                <w:szCs w:val="20"/>
                <w:color w:val="auto"/>
              </w:rPr>
            </w:pPr>
            <w:r>
              <w:rPr>
                <w:rFonts w:ascii="Calibri" w:cs="Calibri" w:eastAsia="Calibri" w:hAnsi="Calibri"/>
                <w:sz w:val="18"/>
                <w:szCs w:val="18"/>
                <w:color w:val="auto"/>
              </w:rPr>
              <w:t>Other expense</w:t>
            </w:r>
          </w:p>
        </w:tc>
        <w:tc>
          <w:tcPr>
            <w:tcW w:w="200" w:type="dxa"/>
            <w:vAlign w:val="bottom"/>
            <w:tcBorders>
              <w:top w:val="single" w:sz="8" w:color="auto"/>
            </w:tcBorders>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w:t>
            </w:r>
          </w:p>
        </w:tc>
        <w:tc>
          <w:tcPr>
            <w:tcW w:w="920" w:type="dxa"/>
            <w:vAlign w:val="bottom"/>
            <w:tcBorders>
              <w:top w:val="single" w:sz="8" w:color="auto"/>
            </w:tcBorders>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(3,963</w:t>
            </w:r>
          </w:p>
        </w:tc>
        <w:tc>
          <w:tcPr>
            <w:tcW w:w="260" w:type="dxa"/>
            <w:vAlign w:val="bottom"/>
            <w:shd w:val="clear" w:color="auto" w:fill="CCECFF"/>
          </w:tcPr>
          <w:p>
            <w:pPr>
              <w:jc w:val="right"/>
              <w:ind w:right="90"/>
              <w:spacing w:after="0" w:line="210" w:lineRule="exact"/>
              <w:rPr>
                <w:sz w:val="20"/>
                <w:szCs w:val="20"/>
                <w:color w:val="auto"/>
              </w:rPr>
            </w:pPr>
            <w:r>
              <w:rPr>
                <w:rFonts w:ascii="Calibri" w:cs="Calibri" w:eastAsia="Calibri" w:hAnsi="Calibri"/>
                <w:sz w:val="18"/>
                <w:szCs w:val="18"/>
                <w:color w:val="auto"/>
              </w:rPr>
              <w:t>)</w:t>
            </w:r>
          </w:p>
        </w:tc>
        <w:tc>
          <w:tcPr>
            <w:tcW w:w="240" w:type="dxa"/>
            <w:vAlign w:val="bottom"/>
            <w:tcBorders>
              <w:top w:val="single" w:sz="8" w:color="auto"/>
            </w:tcBorders>
            <w:shd w:val="clear" w:color="auto" w:fill="CCECFF"/>
          </w:tcPr>
          <w:p>
            <w:pPr>
              <w:jc w:val="right"/>
              <w:ind w:right="50"/>
              <w:spacing w:after="0" w:line="210" w:lineRule="exact"/>
              <w:rPr>
                <w:sz w:val="20"/>
                <w:szCs w:val="20"/>
                <w:color w:val="auto"/>
              </w:rPr>
            </w:pPr>
            <w:r>
              <w:rPr>
                <w:rFonts w:ascii="Calibri" w:cs="Calibri" w:eastAsia="Calibri" w:hAnsi="Calibri"/>
                <w:sz w:val="18"/>
                <w:szCs w:val="18"/>
                <w:color w:val="auto"/>
                <w:w w:val="87"/>
              </w:rPr>
              <w:t>$</w:t>
            </w:r>
          </w:p>
        </w:tc>
        <w:tc>
          <w:tcPr>
            <w:tcW w:w="880" w:type="dxa"/>
            <w:vAlign w:val="bottom"/>
            <w:tcBorders>
              <w:top w:val="single" w:sz="8" w:color="auto"/>
            </w:tcBorders>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(337</w:t>
            </w:r>
          </w:p>
        </w:tc>
        <w:tc>
          <w:tcPr>
            <w:tcW w:w="240" w:type="dxa"/>
            <w:vAlign w:val="bottom"/>
            <w:shd w:val="clear" w:color="auto" w:fill="CCECFF"/>
          </w:tcPr>
          <w:p>
            <w:pPr>
              <w:jc w:val="right"/>
              <w:ind w:right="90"/>
              <w:spacing w:after="0" w:line="210" w:lineRule="exact"/>
              <w:rPr>
                <w:sz w:val="20"/>
                <w:szCs w:val="20"/>
                <w:color w:val="auto"/>
              </w:rPr>
            </w:pPr>
            <w:r>
              <w:rPr>
                <w:rFonts w:ascii="Calibri" w:cs="Calibri" w:eastAsia="Calibri" w:hAnsi="Calibri"/>
                <w:sz w:val="18"/>
                <w:szCs w:val="18"/>
                <w:color w:val="auto"/>
                <w:w w:val="72"/>
              </w:rPr>
              <w:t>)</w:t>
            </w:r>
          </w:p>
        </w:tc>
        <w:tc>
          <w:tcPr>
            <w:tcW w:w="180" w:type="dxa"/>
            <w:vAlign w:val="bottom"/>
            <w:tcBorders>
              <w:top w:val="single" w:sz="8" w:color="auto"/>
            </w:tcBorders>
            <w:shd w:val="clear" w:color="auto" w:fill="CCEC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tcBorders>
              <w:top w:val="single" w:sz="8" w:color="auto"/>
            </w:tcBorders>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(3,626</w:t>
            </w:r>
          </w:p>
        </w:tc>
        <w:tc>
          <w:tcPr>
            <w:tcW w:w="240" w:type="dxa"/>
            <w:vAlign w:val="bottom"/>
            <w:shd w:val="clear" w:color="auto" w:fill="CCECFF"/>
          </w:tcPr>
          <w:p>
            <w:pPr>
              <w:jc w:val="right"/>
              <w:ind w:right="90"/>
              <w:spacing w:after="0" w:line="210" w:lineRule="exact"/>
              <w:rPr>
                <w:sz w:val="20"/>
                <w:szCs w:val="20"/>
                <w:color w:val="auto"/>
              </w:rPr>
            </w:pPr>
            <w:r>
              <w:rPr>
                <w:rFonts w:ascii="Calibri" w:cs="Calibri" w:eastAsia="Calibri" w:hAnsi="Calibri"/>
                <w:sz w:val="18"/>
                <w:szCs w:val="18"/>
                <w:color w:val="auto"/>
                <w:w w:val="72"/>
              </w:rPr>
              <w:t>)</w:t>
            </w:r>
          </w:p>
        </w:tc>
        <w:tc>
          <w:tcPr>
            <w:tcW w:w="1220" w:type="dxa"/>
            <w:vAlign w:val="bottom"/>
            <w:tcBorders>
              <w:top w:val="single" w:sz="8" w:color="auto"/>
            </w:tcBorders>
            <w:shd w:val="clear" w:color="auto" w:fill="CCEEFF"/>
          </w:tcPr>
          <w:p>
            <w:pPr>
              <w:jc w:val="center"/>
              <w:spacing w:after="0" w:line="210" w:lineRule="exact"/>
              <w:rPr>
                <w:sz w:val="20"/>
                <w:szCs w:val="20"/>
                <w:color w:val="auto"/>
              </w:rPr>
            </w:pPr>
            <w:r>
              <w:rPr>
                <w:rFonts w:ascii="Calibri" w:cs="Calibri" w:eastAsia="Calibri" w:hAnsi="Calibri"/>
                <w:sz w:val="18"/>
                <w:szCs w:val="18"/>
                <w:color w:val="auto"/>
                <w:w w:val="88"/>
              </w:rPr>
              <w:t>*</w:t>
            </w:r>
          </w:p>
        </w:tc>
      </w:tr>
    </w:tbl>
    <w:p>
      <w:pPr>
        <w:spacing w:after="0" w:line="59"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Other expense increased $3.6 million for the year ended December 31, 2024, compared to the same period in 2023. These changes were primarily due to fuctuatons in foreign exchange rates.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60" w:type="dxa"/>
            <w:vAlign w:val="bottom"/>
            <w:gridSpan w:val="3"/>
          </w:tcPr>
          <w:p>
            <w:pPr>
              <w:spacing w:after="0"/>
              <w:rPr>
                <w:sz w:val="20"/>
                <w:szCs w:val="20"/>
                <w:color w:val="auto"/>
              </w:rPr>
            </w:pPr>
            <w:r>
              <w:rPr>
                <w:rFonts w:ascii="Calibri" w:cs="Calibri" w:eastAsia="Calibri" w:hAnsi="Calibri"/>
                <w:sz w:val="18"/>
                <w:szCs w:val="18"/>
                <w:i w:val="1"/>
                <w:iCs w:val="1"/>
                <w:color w:val="auto"/>
              </w:rPr>
              <w:t>(Provision for) Beneft from Income Taxes (dollars in thousands)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25"/>
        </w:trPr>
        <w:tc>
          <w:tcPr>
            <w:tcW w:w="580" w:type="dxa"/>
            <w:vAlign w:val="bottom"/>
            <w:tcBorders>
              <w:top w:val="single" w:sz="8" w:color="auto"/>
            </w:tcBorders>
          </w:tcPr>
          <w:p>
            <w:pPr>
              <w:spacing w:after="0"/>
              <w:rPr>
                <w:sz w:val="24"/>
                <w:szCs w:val="24"/>
                <w:color w:val="auto"/>
              </w:rPr>
            </w:pPr>
          </w:p>
        </w:tc>
        <w:tc>
          <w:tcPr>
            <w:tcW w:w="392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230"/>
              <w:spacing w:after="0"/>
              <w:rPr>
                <w:sz w:val="20"/>
                <w:szCs w:val="20"/>
                <w:color w:val="auto"/>
              </w:rPr>
            </w:pPr>
            <w:r>
              <w:rPr>
                <w:rFonts w:ascii="Calibri" w:cs="Calibri" w:eastAsia="Calibri" w:hAnsi="Calibri"/>
                <w:sz w:val="18"/>
                <w:szCs w:val="18"/>
                <w:b w:val="1"/>
                <w:bCs w:val="1"/>
                <w:color w:val="auto"/>
              </w:rPr>
              <w:t>Year Ended December 31,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center"/>
              <w:ind w:right="350"/>
              <w:spacing w:after="0"/>
              <w:rPr>
                <w:sz w:val="20"/>
                <w:szCs w:val="20"/>
                <w:color w:val="auto"/>
              </w:rPr>
            </w:pPr>
            <w:r>
              <w:rPr>
                <w:rFonts w:ascii="Calibri" w:cs="Calibri" w:eastAsia="Calibri" w:hAnsi="Calibri"/>
                <w:sz w:val="18"/>
                <w:szCs w:val="18"/>
                <w:b w:val="1"/>
                <w:bCs w:val="1"/>
                <w:color w:val="auto"/>
              </w:rPr>
              <w:t>Dollar</w:t>
            </w:r>
          </w:p>
        </w:tc>
        <w:tc>
          <w:tcPr>
            <w:tcW w:w="1220" w:type="dxa"/>
            <w:vAlign w:val="bottom"/>
          </w:tcPr>
          <w:p>
            <w:pPr>
              <w:jc w:val="center"/>
              <w:spacing w:after="0"/>
              <w:rPr>
                <w:sz w:val="20"/>
                <w:szCs w:val="20"/>
                <w:color w:val="auto"/>
              </w:rPr>
            </w:pPr>
            <w:r>
              <w:rPr>
                <w:rFonts w:ascii="Calibri" w:cs="Calibri" w:eastAsia="Calibri" w:hAnsi="Calibri"/>
                <w:sz w:val="18"/>
                <w:szCs w:val="18"/>
                <w:b w:val="1"/>
                <w:bCs w:val="1"/>
                <w:color w:val="auto"/>
                <w:w w:val="97"/>
              </w:rPr>
              <w:t>Percent</w:t>
            </w:r>
          </w:p>
        </w:tc>
      </w:tr>
      <w:tr>
        <w:trPr>
          <w:trHeight w:val="215"/>
        </w:trPr>
        <w:tc>
          <w:tcPr>
            <w:tcW w:w="5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290"/>
              <w:spacing w:after="0" w:line="215" w:lineRule="exact"/>
              <w:rPr>
                <w:sz w:val="20"/>
                <w:szCs w:val="20"/>
                <w:color w:val="auto"/>
              </w:rPr>
            </w:pPr>
            <w:r>
              <w:rPr>
                <w:rFonts w:ascii="Calibri" w:cs="Calibri" w:eastAsia="Calibri" w:hAnsi="Calibri"/>
                <w:sz w:val="18"/>
                <w:szCs w:val="18"/>
                <w:b w:val="1"/>
                <w:bCs w:val="1"/>
                <w:color w:val="auto"/>
              </w:rPr>
              <w:t>2024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0"/>
              <w:spacing w:after="0" w:line="215" w:lineRule="exact"/>
              <w:rPr>
                <w:sz w:val="20"/>
                <w:szCs w:val="20"/>
                <w:color w:val="auto"/>
              </w:rPr>
            </w:pPr>
            <w:r>
              <w:rPr>
                <w:rFonts w:ascii="Calibri" w:cs="Calibri" w:eastAsia="Calibri" w:hAnsi="Calibri"/>
                <w:sz w:val="18"/>
                <w:szCs w:val="18"/>
                <w:b w:val="1"/>
                <w:bCs w:val="1"/>
                <w:color w:val="auto"/>
              </w:rPr>
              <w:t>2023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50"/>
              <w:spacing w:after="0" w:line="193" w:lineRule="exact"/>
              <w:rPr>
                <w:sz w:val="20"/>
                <w:szCs w:val="20"/>
                <w:color w:val="auto"/>
              </w:rPr>
            </w:pPr>
            <w:r>
              <w:rPr>
                <w:rFonts w:ascii="Calibri" w:cs="Calibri" w:eastAsia="Calibri" w:hAnsi="Calibri"/>
                <w:sz w:val="18"/>
                <w:szCs w:val="18"/>
                <w:b w:val="1"/>
                <w:bCs w:val="1"/>
                <w:color w:val="auto"/>
                <w:w w:val="97"/>
              </w:rPr>
              <w:t>Change</w:t>
            </w:r>
          </w:p>
        </w:tc>
        <w:tc>
          <w:tcPr>
            <w:tcW w:w="1220" w:type="dxa"/>
            <w:vAlign w:val="bottom"/>
          </w:tcPr>
          <w:p>
            <w:pPr>
              <w:jc w:val="center"/>
              <w:spacing w:after="0" w:line="193" w:lineRule="exact"/>
              <w:rPr>
                <w:sz w:val="20"/>
                <w:szCs w:val="20"/>
                <w:color w:val="auto"/>
              </w:rPr>
            </w:pPr>
            <w:r>
              <w:rPr>
                <w:rFonts w:ascii="Calibri" w:cs="Calibri" w:eastAsia="Calibri" w:hAnsi="Calibri"/>
                <w:sz w:val="18"/>
                <w:szCs w:val="18"/>
                <w:b w:val="1"/>
                <w:bCs w:val="1"/>
                <w:color w:val="auto"/>
              </w:rPr>
              <w:t>Change</w:t>
            </w:r>
          </w:p>
        </w:tc>
      </w:tr>
      <w:tr>
        <w:trPr>
          <w:trHeight w:val="211"/>
        </w:trPr>
        <w:tc>
          <w:tcPr>
            <w:tcW w:w="580" w:type="dxa"/>
            <w:vAlign w:val="bottom"/>
          </w:tcPr>
          <w:p>
            <w:pPr>
              <w:spacing w:after="0"/>
              <w:rPr>
                <w:sz w:val="18"/>
                <w:szCs w:val="18"/>
                <w:color w:val="auto"/>
              </w:rPr>
            </w:pPr>
          </w:p>
        </w:tc>
        <w:tc>
          <w:tcPr>
            <w:tcW w:w="4780" w:type="dxa"/>
            <w:vAlign w:val="bottom"/>
            <w:gridSpan w:val="2"/>
            <w:shd w:val="clear" w:color="auto" w:fill="CCECFF"/>
          </w:tcPr>
          <w:p>
            <w:pPr>
              <w:spacing w:after="0" w:line="210" w:lineRule="exact"/>
              <w:rPr>
                <w:sz w:val="20"/>
                <w:szCs w:val="20"/>
                <w:color w:val="auto"/>
              </w:rPr>
            </w:pPr>
            <w:r>
              <w:rPr>
                <w:rFonts w:ascii="Calibri" w:cs="Calibri" w:eastAsia="Calibri" w:hAnsi="Calibri"/>
                <w:sz w:val="18"/>
                <w:szCs w:val="18"/>
                <w:color w:val="auto"/>
              </w:rPr>
              <w:t>(Provision for) beneft from income taxes</w:t>
            </w:r>
          </w:p>
        </w:tc>
        <w:tc>
          <w:tcPr>
            <w:tcW w:w="200" w:type="dxa"/>
            <w:vAlign w:val="bottom"/>
            <w:tcBorders>
              <w:top w:val="single" w:sz="8" w:color="auto"/>
            </w:tcBorders>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w:t>
            </w:r>
          </w:p>
        </w:tc>
        <w:tc>
          <w:tcPr>
            <w:tcW w:w="920" w:type="dxa"/>
            <w:vAlign w:val="bottom"/>
            <w:tcBorders>
              <w:top w:val="single" w:sz="8" w:color="auto"/>
            </w:tcBorders>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(1,597</w:t>
            </w:r>
          </w:p>
        </w:tc>
        <w:tc>
          <w:tcPr>
            <w:tcW w:w="260" w:type="dxa"/>
            <w:vAlign w:val="bottom"/>
            <w:shd w:val="clear" w:color="auto" w:fill="CCECFF"/>
          </w:tcPr>
          <w:p>
            <w:pPr>
              <w:jc w:val="right"/>
              <w:ind w:right="90"/>
              <w:spacing w:after="0" w:line="210" w:lineRule="exact"/>
              <w:rPr>
                <w:sz w:val="20"/>
                <w:szCs w:val="20"/>
                <w:color w:val="auto"/>
              </w:rPr>
            </w:pPr>
            <w:r>
              <w:rPr>
                <w:rFonts w:ascii="Calibri" w:cs="Calibri" w:eastAsia="Calibri" w:hAnsi="Calibri"/>
                <w:sz w:val="18"/>
                <w:szCs w:val="18"/>
                <w:color w:val="auto"/>
              </w:rPr>
              <w:t>)</w:t>
            </w:r>
          </w:p>
        </w:tc>
        <w:tc>
          <w:tcPr>
            <w:tcW w:w="240" w:type="dxa"/>
            <w:vAlign w:val="bottom"/>
            <w:tcBorders>
              <w:top w:val="single" w:sz="8" w:color="auto"/>
            </w:tcBorders>
            <w:shd w:val="clear" w:color="auto" w:fill="CCECFF"/>
          </w:tcPr>
          <w:p>
            <w:pPr>
              <w:jc w:val="right"/>
              <w:ind w:right="50"/>
              <w:spacing w:after="0" w:line="210" w:lineRule="exact"/>
              <w:rPr>
                <w:sz w:val="20"/>
                <w:szCs w:val="20"/>
                <w:color w:val="auto"/>
              </w:rPr>
            </w:pPr>
            <w:r>
              <w:rPr>
                <w:rFonts w:ascii="Calibri" w:cs="Calibri" w:eastAsia="Calibri" w:hAnsi="Calibri"/>
                <w:sz w:val="18"/>
                <w:szCs w:val="18"/>
                <w:color w:val="auto"/>
                <w:w w:val="87"/>
              </w:rPr>
              <w:t>$</w:t>
            </w:r>
          </w:p>
        </w:tc>
        <w:tc>
          <w:tcPr>
            <w:tcW w:w="880" w:type="dxa"/>
            <w:vAlign w:val="bottom"/>
            <w:tcBorders>
              <w:top w:val="single" w:sz="8" w:color="auto"/>
            </w:tcBorders>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1,825</w:t>
            </w:r>
          </w:p>
        </w:tc>
        <w:tc>
          <w:tcPr>
            <w:tcW w:w="240" w:type="dxa"/>
            <w:vAlign w:val="bottom"/>
            <w:shd w:val="clear" w:color="auto" w:fill="CCECFF"/>
          </w:tcPr>
          <w:p>
            <w:pPr>
              <w:spacing w:after="0"/>
              <w:rPr>
                <w:sz w:val="18"/>
                <w:szCs w:val="18"/>
                <w:color w:val="auto"/>
              </w:rPr>
            </w:pPr>
          </w:p>
        </w:tc>
        <w:tc>
          <w:tcPr>
            <w:tcW w:w="180" w:type="dxa"/>
            <w:vAlign w:val="bottom"/>
            <w:tcBorders>
              <w:top w:val="single" w:sz="8" w:color="auto"/>
            </w:tcBorders>
            <w:shd w:val="clear" w:color="auto" w:fill="CCEC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tcBorders>
              <w:top w:val="single" w:sz="8" w:color="auto"/>
            </w:tcBorders>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(3,422</w:t>
            </w:r>
          </w:p>
        </w:tc>
        <w:tc>
          <w:tcPr>
            <w:tcW w:w="240" w:type="dxa"/>
            <w:vAlign w:val="bottom"/>
            <w:shd w:val="clear" w:color="auto" w:fill="CCECFF"/>
          </w:tcPr>
          <w:p>
            <w:pPr>
              <w:jc w:val="right"/>
              <w:ind w:right="90"/>
              <w:spacing w:after="0" w:line="210" w:lineRule="exact"/>
              <w:rPr>
                <w:sz w:val="20"/>
                <w:szCs w:val="20"/>
                <w:color w:val="auto"/>
              </w:rPr>
            </w:pPr>
            <w:r>
              <w:rPr>
                <w:rFonts w:ascii="Calibri" w:cs="Calibri" w:eastAsia="Calibri" w:hAnsi="Calibri"/>
                <w:sz w:val="18"/>
                <w:szCs w:val="18"/>
                <w:color w:val="auto"/>
                <w:w w:val="72"/>
              </w:rPr>
              <w:t>)</w:t>
            </w:r>
          </w:p>
        </w:tc>
        <w:tc>
          <w:tcPr>
            <w:tcW w:w="1220" w:type="dxa"/>
            <w:vAlign w:val="bottom"/>
            <w:tcBorders>
              <w:top w:val="single" w:sz="8" w:color="auto"/>
            </w:tcBorders>
            <w:shd w:val="clear" w:color="auto" w:fill="CCEEFF"/>
          </w:tcPr>
          <w:p>
            <w:pPr>
              <w:jc w:val="center"/>
              <w:spacing w:after="0" w:line="210" w:lineRule="exact"/>
              <w:rPr>
                <w:sz w:val="20"/>
                <w:szCs w:val="20"/>
                <w:color w:val="auto"/>
              </w:rPr>
            </w:pPr>
            <w:r>
              <w:rPr>
                <w:rFonts w:ascii="Calibri" w:cs="Calibri" w:eastAsia="Calibri" w:hAnsi="Calibri"/>
                <w:sz w:val="18"/>
                <w:szCs w:val="18"/>
                <w:color w:val="auto"/>
                <w:w w:val="97"/>
              </w:rPr>
              <w:t>(188%)</w:t>
            </w:r>
          </w:p>
        </w:tc>
      </w:tr>
    </w:tbl>
    <w:p>
      <w:pPr>
        <w:spacing w:after="0" w:line="59" w:lineRule="exact"/>
        <w:rPr>
          <w:sz w:val="20"/>
          <w:szCs w:val="20"/>
          <w:color w:val="auto"/>
        </w:rPr>
      </w:pPr>
    </w:p>
    <w:p>
      <w:pPr>
        <w:jc w:val="both"/>
        <w:ind w:right="120" w:firstLine="509"/>
        <w:spacing w:after="0" w:line="235" w:lineRule="auto"/>
        <w:rPr>
          <w:sz w:val="20"/>
          <w:szCs w:val="20"/>
          <w:color w:val="auto"/>
        </w:rPr>
      </w:pPr>
      <w:r>
        <w:rPr>
          <w:rFonts w:ascii="Calibri" w:cs="Calibri" w:eastAsia="Calibri" w:hAnsi="Calibri"/>
          <w:sz w:val="18"/>
          <w:szCs w:val="18"/>
          <w:color w:val="auto"/>
        </w:rPr>
        <w:t>For the year ended December 31, 2024, we recognized an income tax provision of $1.6 million atributable to income tax expense of $0.2 million for state tax, and income tax expense of $1.4 million from foreign jurisdictons. For the year ended December 31, 2023, we recognized an income tax beneft of $4.8 million atributable to modifcatons in our state apportonment</w:t>
      </w:r>
    </w:p>
    <w:p>
      <w:pPr>
        <w:jc w:val="center"/>
        <w:ind w:right="-39"/>
        <w:spacing w:after="0" w:line="237" w:lineRule="auto"/>
        <w:rPr>
          <w:sz w:val="20"/>
          <w:szCs w:val="20"/>
          <w:color w:val="auto"/>
        </w:rPr>
      </w:pPr>
      <w:r>
        <w:rPr>
          <w:rFonts w:ascii="Calibri" w:cs="Calibri" w:eastAsia="Calibri" w:hAnsi="Calibri"/>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6" w:right="359" w:bottom="1440" w:gutter="0" w:footer="0" w:header="0"/>
        </w:sectPr>
      </w:pPr>
    </w:p>
    <w:bookmarkStart w:id="78" w:name="page79"/>
    <w:bookmarkEnd w:id="78"/>
    <w:p>
      <w:pPr>
        <w:ind w:right="200"/>
        <w:spacing w:after="0" w:line="235" w:lineRule="auto"/>
        <w:rPr>
          <w:sz w:val="20"/>
          <w:szCs w:val="20"/>
          <w:color w:val="auto"/>
        </w:rPr>
      </w:pPr>
      <w:r>
        <w:rPr>
          <w:rFonts w:ascii="Calibri" w:cs="Calibri" w:eastAsia="Calibri" w:hAnsi="Calibri"/>
          <w:sz w:val="18"/>
          <w:szCs w:val="18"/>
          <w:color w:val="auto"/>
        </w:rPr>
        <w:t>methodology. We realized no beneft for 2023 losses due to a full valuaton allowance against the U.S. net deferred tax assets. The beneft was ofset by an income tax expense of $3.0 million from foreign jurisdictons.</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Liquidity and Capital Resources</w:t>
      </w:r>
    </w:p>
    <w:p>
      <w:pPr>
        <w:spacing w:after="0" w:line="82"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To date, we have funded our operatons primarily from the sale of our equity securites, revenue from our commercial products, the sale of certain future royaltes, and strategic collaboraton arrangements.</w:t>
      </w:r>
    </w:p>
    <w:p>
      <w:pPr>
        <w:spacing w:after="0" w:line="83"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As of December 31, 2024, we had $745.0 million in available cash, cash equivalents, and marketable debt securites. We believe that our existng capital resources will be sufcient to fund our projected operatng requirements for at least the next 12 months. Our cash, cash equivalents, and marketable debt securites are held in a variety of deposit accounts, interest-bearing accounts, corporate bond securites, commercial paper, U.S. government securites, asset-backed securites, and money market funds. Cash in excess of immediate requirements is invested with a view toward liquidity and capital preservaton, and we seek to minimize the potental efects of concentraton and credit risk.</w:t>
      </w:r>
    </w:p>
    <w:p>
      <w:pPr>
        <w:spacing w:after="0" w:line="85"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June 2024, we completed an underwriten public ofering in which 8,782,051 shares of common stock were sold, including the exercise in full by the underwriters of their opton to purchase an additonal 1,346,153 shares, at a public ofering price of $39.00 per share. In connecton with the ofering, we sold to certain investors pre-funded warrants, in lieu of common stock, to purchase 1,538,501 shares of common stock at a purchase price of $38.999 per pre-funded warrant, which equals the public ofering price per share of common stock less the $0.001 exercise price per share of each pre-funded warrant. The total proceeds that we received from the ofering were $381.0 million, net of underwritng discounts and commissions.</w:t>
      </w:r>
    </w:p>
    <w:p>
      <w:pPr>
        <w:spacing w:after="0" w:line="80"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As of December 31, 2024, none of the pre-funded warrants had been exercised.</w:t>
      </w:r>
    </w:p>
    <w:p>
      <w:pPr>
        <w:spacing w:after="0" w:line="82"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In February 2024, we entered into a Sales Agreement with Cowen and Company, LLC, or Cowen, pursuant to which the Company may ofer and sell shares of the Company’s common stock having an aggregate ofering proceeds up to $350.0 million, from tme to tme, in ATM oferings through Cowen. No shares were sold under this agreement during the year ended December 31, 2024.</w:t>
      </w:r>
    </w:p>
    <w:p>
      <w:pPr>
        <w:spacing w:after="0" w:line="79" w:lineRule="exact"/>
        <w:rPr>
          <w:sz w:val="20"/>
          <w:szCs w:val="20"/>
          <w:color w:val="auto"/>
        </w:rPr>
      </w:pPr>
    </w:p>
    <w:tbl>
      <w:tblPr>
        <w:tblLayout w:type="fixed"/>
        <w:tblInd w:w="520" w:type="dxa"/>
        <w:tblCellMar>
          <w:top w:w="0" w:type="dxa"/>
          <w:left w:w="0" w:type="dxa"/>
          <w:bottom w:w="0" w:type="dxa"/>
          <w:right w:w="0" w:type="dxa"/>
        </w:tblCellMar>
      </w:tblPr>
      <w:tr>
        <w:trPr>
          <w:trHeight w:val="220"/>
        </w:trPr>
        <w:tc>
          <w:tcPr>
            <w:tcW w:w="6420" w:type="dxa"/>
            <w:vAlign w:val="bottom"/>
            <w:gridSpan w:val="2"/>
          </w:tcPr>
          <w:p>
            <w:pPr>
              <w:spacing w:after="0"/>
              <w:rPr>
                <w:sz w:val="20"/>
                <w:szCs w:val="20"/>
                <w:color w:val="auto"/>
              </w:rPr>
            </w:pPr>
            <w:r>
              <w:rPr>
                <w:rFonts w:ascii="Calibri" w:cs="Calibri" w:eastAsia="Calibri" w:hAnsi="Calibri"/>
                <w:sz w:val="18"/>
                <w:szCs w:val="18"/>
                <w:color w:val="auto"/>
              </w:rPr>
              <w:t>The following table summarizes our cash fows for the periods indicated (in thousands):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6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00" w:type="dxa"/>
            <w:vAlign w:val="bottom"/>
            <w:gridSpan w:val="5"/>
          </w:tcPr>
          <w:p>
            <w:pPr>
              <w:jc w:val="right"/>
              <w:ind w:right="660"/>
              <w:spacing w:after="0"/>
              <w:rPr>
                <w:sz w:val="20"/>
                <w:szCs w:val="20"/>
                <w:color w:val="auto"/>
              </w:rPr>
            </w:pPr>
            <w:r>
              <w:rPr>
                <w:rFonts w:ascii="Calibri" w:cs="Calibri" w:eastAsia="Calibri" w:hAnsi="Calibri"/>
                <w:sz w:val="18"/>
                <w:szCs w:val="18"/>
                <w:b w:val="1"/>
                <w:bCs w:val="1"/>
                <w:color w:val="auto"/>
              </w:rPr>
              <w:t>Year Ended December 31,</w:t>
            </w:r>
          </w:p>
        </w:tc>
        <w:tc>
          <w:tcPr>
            <w:tcW w:w="0" w:type="dxa"/>
            <w:vAlign w:val="bottom"/>
          </w:tcPr>
          <w:p>
            <w:pPr>
              <w:spacing w:after="0"/>
              <w:rPr>
                <w:sz w:val="1"/>
                <w:szCs w:val="1"/>
                <w:color w:val="auto"/>
              </w:rPr>
            </w:pPr>
          </w:p>
        </w:tc>
      </w:tr>
      <w:tr>
        <w:trPr>
          <w:trHeight w:val="23"/>
        </w:trPr>
        <w:tc>
          <w:tcPr>
            <w:tcW w:w="6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line="209" w:lineRule="exact"/>
              <w:rPr>
                <w:sz w:val="20"/>
                <w:szCs w:val="20"/>
                <w:color w:val="auto"/>
              </w:rPr>
            </w:pPr>
            <w:r>
              <w:rPr>
                <w:rFonts w:ascii="Calibri" w:cs="Calibri" w:eastAsia="Calibri" w:hAnsi="Calibri"/>
                <w:sz w:val="18"/>
                <w:szCs w:val="18"/>
                <w:b w:val="1"/>
                <w:bCs w:val="1"/>
                <w:color w:val="auto"/>
              </w:rPr>
              <w:t>2024</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line="209" w:lineRule="exact"/>
              <w:rPr>
                <w:sz w:val="20"/>
                <w:szCs w:val="20"/>
                <w:color w:val="auto"/>
              </w:rPr>
            </w:pPr>
            <w:r>
              <w:rPr>
                <w:rFonts w:ascii="Calibri" w:cs="Calibri" w:eastAsia="Calibri" w:hAnsi="Calibri"/>
                <w:sz w:val="18"/>
                <w:szCs w:val="18"/>
                <w:b w:val="1"/>
                <w:bCs w:val="1"/>
                <w:color w:val="auto"/>
              </w:rPr>
              <w:t>2023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5800" w:type="dxa"/>
            <w:vAlign w:val="bottom"/>
            <w:shd w:val="clear" w:color="auto" w:fill="CCECFF"/>
          </w:tcPr>
          <w:p>
            <w:pPr>
              <w:ind w:left="100"/>
              <w:spacing w:after="0" w:line="210" w:lineRule="exact"/>
              <w:rPr>
                <w:sz w:val="20"/>
                <w:szCs w:val="20"/>
                <w:color w:val="auto"/>
              </w:rPr>
            </w:pPr>
            <w:r>
              <w:rPr>
                <w:rFonts w:ascii="Calibri" w:cs="Calibri" w:eastAsia="Calibri" w:hAnsi="Calibri"/>
                <w:sz w:val="18"/>
                <w:szCs w:val="18"/>
                <w:color w:val="auto"/>
              </w:rPr>
              <w:t>Cash used in operatng actvites</w:t>
            </w:r>
          </w:p>
        </w:tc>
        <w:tc>
          <w:tcPr>
            <w:tcW w:w="280" w:type="dxa"/>
            <w:vAlign w:val="bottom"/>
            <w:shd w:val="clear" w:color="auto" w:fill="CCECFF"/>
          </w:tcPr>
          <w:p>
            <w:pPr>
              <w:jc w:val="right"/>
              <w:ind w:right="90"/>
              <w:spacing w:after="0" w:line="210" w:lineRule="exact"/>
              <w:rPr>
                <w:sz w:val="20"/>
                <w:szCs w:val="20"/>
                <w:color w:val="auto"/>
              </w:rPr>
            </w:pPr>
            <w:r>
              <w:rPr>
                <w:rFonts w:ascii="Calibri" w:cs="Calibri" w:eastAsia="Calibri" w:hAnsi="Calibri"/>
                <w:sz w:val="18"/>
                <w:szCs w:val="18"/>
                <w:color w:val="auto"/>
                <w:w w:val="87"/>
              </w:rPr>
              <w:t>$</w:t>
            </w:r>
          </w:p>
        </w:tc>
        <w:tc>
          <w:tcPr>
            <w:tcW w:w="1300" w:type="dxa"/>
            <w:vAlign w:val="bottom"/>
            <w:gridSpan w:val="2"/>
            <w:shd w:val="clear" w:color="auto" w:fill="CCECFF"/>
          </w:tcPr>
          <w:p>
            <w:pPr>
              <w:jc w:val="right"/>
              <w:ind w:right="180"/>
              <w:spacing w:after="0" w:line="210" w:lineRule="exact"/>
              <w:rPr>
                <w:sz w:val="20"/>
                <w:szCs w:val="20"/>
                <w:color w:val="auto"/>
              </w:rPr>
            </w:pPr>
            <w:r>
              <w:rPr>
                <w:rFonts w:ascii="Calibri" w:cs="Calibri" w:eastAsia="Calibri" w:hAnsi="Calibri"/>
                <w:sz w:val="18"/>
                <w:szCs w:val="18"/>
                <w:color w:val="auto"/>
              </w:rPr>
              <w:t>(414,188 )</w:t>
            </w:r>
          </w:p>
        </w:tc>
        <w:tc>
          <w:tcPr>
            <w:tcW w:w="300" w:type="dxa"/>
            <w:vAlign w:val="bottom"/>
            <w:shd w:val="clear" w:color="auto" w:fill="CCECFF"/>
          </w:tcPr>
          <w:p>
            <w:pPr>
              <w:jc w:val="right"/>
              <w:ind w:right="110"/>
              <w:spacing w:after="0" w:line="210" w:lineRule="exact"/>
              <w:rPr>
                <w:sz w:val="20"/>
                <w:szCs w:val="20"/>
                <w:color w:val="auto"/>
              </w:rPr>
            </w:pPr>
            <w:r>
              <w:rPr>
                <w:rFonts w:ascii="Calibri" w:cs="Calibri" w:eastAsia="Calibri" w:hAnsi="Calibri"/>
                <w:sz w:val="18"/>
                <w:szCs w:val="18"/>
                <w:color w:val="auto"/>
                <w:w w:val="87"/>
              </w:rPr>
              <w:t>$</w:t>
            </w:r>
          </w:p>
        </w:tc>
        <w:tc>
          <w:tcPr>
            <w:tcW w:w="1300" w:type="dxa"/>
            <w:vAlign w:val="bottom"/>
            <w:gridSpan w:val="2"/>
            <w:shd w:val="clear" w:color="auto" w:fill="CCECFF"/>
          </w:tcPr>
          <w:p>
            <w:pPr>
              <w:jc w:val="right"/>
              <w:ind w:right="200"/>
              <w:spacing w:after="0" w:line="210" w:lineRule="exact"/>
              <w:rPr>
                <w:sz w:val="20"/>
                <w:szCs w:val="20"/>
                <w:color w:val="auto"/>
              </w:rPr>
            </w:pPr>
            <w:r>
              <w:rPr>
                <w:rFonts w:ascii="Calibri" w:cs="Calibri" w:eastAsia="Calibri" w:hAnsi="Calibri"/>
                <w:sz w:val="18"/>
                <w:szCs w:val="18"/>
                <w:color w:val="auto"/>
              </w:rPr>
              <w:t>(474,806 )</w:t>
            </w:r>
          </w:p>
        </w:tc>
        <w:tc>
          <w:tcPr>
            <w:tcW w:w="0" w:type="dxa"/>
            <w:vAlign w:val="bottom"/>
          </w:tcPr>
          <w:p>
            <w:pPr>
              <w:spacing w:after="0"/>
              <w:rPr>
                <w:sz w:val="1"/>
                <w:szCs w:val="1"/>
                <w:color w:val="auto"/>
              </w:rPr>
            </w:pPr>
          </w:p>
        </w:tc>
      </w:tr>
      <w:tr>
        <w:trPr>
          <w:trHeight w:val="215"/>
        </w:trPr>
        <w:tc>
          <w:tcPr>
            <w:tcW w:w="620" w:type="dxa"/>
            <w:vAlign w:val="bottom"/>
          </w:tcPr>
          <w:p>
            <w:pPr>
              <w:spacing w:after="0"/>
              <w:rPr>
                <w:sz w:val="18"/>
                <w:szCs w:val="18"/>
                <w:color w:val="auto"/>
              </w:rPr>
            </w:pPr>
          </w:p>
        </w:tc>
        <w:tc>
          <w:tcPr>
            <w:tcW w:w="5800" w:type="dxa"/>
            <w:vAlign w:val="bottom"/>
          </w:tcPr>
          <w:p>
            <w:pPr>
              <w:ind w:left="100"/>
              <w:spacing w:after="0" w:line="215" w:lineRule="exact"/>
              <w:rPr>
                <w:sz w:val="20"/>
                <w:szCs w:val="20"/>
                <w:color w:val="auto"/>
              </w:rPr>
            </w:pPr>
            <w:r>
              <w:rPr>
                <w:rFonts w:ascii="Calibri" w:cs="Calibri" w:eastAsia="Calibri" w:hAnsi="Calibri"/>
                <w:sz w:val="18"/>
                <w:szCs w:val="18"/>
                <w:color w:val="auto"/>
              </w:rPr>
              <w:t>Cash (used in) provided by investng actvites</w:t>
            </w:r>
          </w:p>
        </w:tc>
        <w:tc>
          <w:tcPr>
            <w:tcW w:w="280" w:type="dxa"/>
            <w:vAlign w:val="bottom"/>
          </w:tcPr>
          <w:p>
            <w:pPr>
              <w:spacing w:after="0"/>
              <w:rPr>
                <w:sz w:val="18"/>
                <w:szCs w:val="18"/>
                <w:color w:val="auto"/>
              </w:rPr>
            </w:pPr>
          </w:p>
        </w:tc>
        <w:tc>
          <w:tcPr>
            <w:tcW w:w="130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(17,768 )</w:t>
            </w:r>
          </w:p>
        </w:tc>
        <w:tc>
          <w:tcPr>
            <w:tcW w:w="30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168,000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0" w:type="dxa"/>
            <w:vAlign w:val="bottom"/>
          </w:tcPr>
          <w:p>
            <w:pPr>
              <w:spacing w:after="0"/>
              <w:rPr>
                <w:sz w:val="18"/>
                <w:szCs w:val="18"/>
                <w:color w:val="auto"/>
              </w:rPr>
            </w:pPr>
          </w:p>
        </w:tc>
        <w:tc>
          <w:tcPr>
            <w:tcW w:w="5800" w:type="dxa"/>
            <w:vAlign w:val="bottom"/>
            <w:shd w:val="clear" w:color="auto" w:fill="CCECFF"/>
          </w:tcPr>
          <w:p>
            <w:pPr>
              <w:ind w:left="100"/>
              <w:spacing w:after="0" w:line="216" w:lineRule="exact"/>
              <w:rPr>
                <w:sz w:val="20"/>
                <w:szCs w:val="20"/>
                <w:color w:val="auto"/>
              </w:rPr>
            </w:pPr>
            <w:r>
              <w:rPr>
                <w:rFonts w:ascii="Calibri" w:cs="Calibri" w:eastAsia="Calibri" w:hAnsi="Calibri"/>
                <w:sz w:val="18"/>
                <w:szCs w:val="18"/>
                <w:color w:val="auto"/>
              </w:rPr>
              <w:t>Cash provided by fnancing actvites</w:t>
            </w:r>
          </w:p>
        </w:tc>
        <w:tc>
          <w:tcPr>
            <w:tcW w:w="280" w:type="dxa"/>
            <w:vAlign w:val="bottom"/>
            <w:shd w:val="clear" w:color="auto" w:fill="CCECFF"/>
          </w:tcPr>
          <w:p>
            <w:pPr>
              <w:spacing w:after="0"/>
              <w:rPr>
                <w:sz w:val="18"/>
                <w:szCs w:val="18"/>
                <w:color w:val="auto"/>
              </w:rPr>
            </w:pPr>
          </w:p>
        </w:tc>
        <w:tc>
          <w:tcPr>
            <w:tcW w:w="104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399,241</w:t>
            </w:r>
          </w:p>
        </w:tc>
        <w:tc>
          <w:tcPr>
            <w:tcW w:w="26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104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388,142</w:t>
            </w:r>
          </w:p>
        </w:tc>
        <w:tc>
          <w:tcPr>
            <w:tcW w:w="26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0" w:type="dxa"/>
            <w:vAlign w:val="bottom"/>
          </w:tcPr>
          <w:p>
            <w:pPr>
              <w:spacing w:after="0"/>
              <w:rPr>
                <w:sz w:val="18"/>
                <w:szCs w:val="18"/>
                <w:color w:val="auto"/>
              </w:rPr>
            </w:pPr>
          </w:p>
        </w:tc>
        <w:tc>
          <w:tcPr>
            <w:tcW w:w="5800" w:type="dxa"/>
            <w:vAlign w:val="bottom"/>
          </w:tcPr>
          <w:p>
            <w:pPr>
              <w:ind w:left="100"/>
              <w:spacing w:after="0" w:line="215" w:lineRule="exact"/>
              <w:rPr>
                <w:sz w:val="20"/>
                <w:szCs w:val="20"/>
                <w:color w:val="auto"/>
              </w:rPr>
            </w:pPr>
            <w:r>
              <w:rPr>
                <w:rFonts w:ascii="Calibri" w:cs="Calibri" w:eastAsia="Calibri" w:hAnsi="Calibri"/>
                <w:sz w:val="18"/>
                <w:szCs w:val="18"/>
                <w:color w:val="auto"/>
              </w:rPr>
              <w:t>Efect of exchange rate changes on cash</w:t>
            </w:r>
          </w:p>
        </w:tc>
        <w:tc>
          <w:tcPr>
            <w:tcW w:w="280" w:type="dxa"/>
            <w:vAlign w:val="bottom"/>
          </w:tcPr>
          <w:p>
            <w:pPr>
              <w:spacing w:after="0"/>
              <w:rPr>
                <w:sz w:val="18"/>
                <w:szCs w:val="18"/>
                <w:color w:val="auto"/>
              </w:rPr>
            </w:pPr>
          </w:p>
        </w:tc>
        <w:tc>
          <w:tcPr>
            <w:tcW w:w="130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(2,525 )</w:t>
            </w:r>
          </w:p>
        </w:tc>
        <w:tc>
          <w:tcPr>
            <w:tcW w:w="30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462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20" w:type="dxa"/>
            <w:vAlign w:val="bottom"/>
          </w:tcPr>
          <w:p>
            <w:pPr>
              <w:spacing w:after="0"/>
              <w:rPr>
                <w:sz w:val="16"/>
                <w:szCs w:val="16"/>
                <w:color w:val="auto"/>
              </w:rPr>
            </w:pPr>
          </w:p>
        </w:tc>
        <w:tc>
          <w:tcPr>
            <w:tcW w:w="5800" w:type="dxa"/>
            <w:vAlign w:val="bottom"/>
            <w:shd w:val="clear" w:color="auto" w:fill="CCECFF"/>
          </w:tcPr>
          <w:p>
            <w:pPr>
              <w:ind w:left="100"/>
              <w:spacing w:after="0" w:line="187" w:lineRule="exact"/>
              <w:rPr>
                <w:sz w:val="20"/>
                <w:szCs w:val="20"/>
                <w:color w:val="auto"/>
              </w:rPr>
            </w:pPr>
            <w:r>
              <w:rPr>
                <w:rFonts w:ascii="Calibri" w:cs="Calibri" w:eastAsia="Calibri" w:hAnsi="Calibri"/>
                <w:sz w:val="18"/>
                <w:szCs w:val="18"/>
                <w:color w:val="auto"/>
              </w:rPr>
              <w:t>Net (decrease) increase in cash, cash equivalents, and</w:t>
            </w:r>
          </w:p>
        </w:tc>
        <w:tc>
          <w:tcPr>
            <w:tcW w:w="280" w:type="dxa"/>
            <w:vAlign w:val="bottom"/>
            <w:vMerge w:val="restart"/>
            <w:shd w:val="clear" w:color="auto" w:fill="CCECFF"/>
          </w:tcPr>
          <w:p>
            <w:pPr>
              <w:jc w:val="right"/>
              <w:ind w:right="90"/>
              <w:spacing w:after="0"/>
              <w:rPr>
                <w:sz w:val="20"/>
                <w:szCs w:val="20"/>
                <w:color w:val="auto"/>
              </w:rPr>
            </w:pPr>
            <w:r>
              <w:rPr>
                <w:rFonts w:ascii="Calibri" w:cs="Calibri" w:eastAsia="Calibri" w:hAnsi="Calibri"/>
                <w:sz w:val="18"/>
                <w:szCs w:val="18"/>
                <w:color w:val="auto"/>
                <w:w w:val="87"/>
              </w:rPr>
              <w:t>$</w:t>
            </w:r>
          </w:p>
        </w:tc>
        <w:tc>
          <w:tcPr>
            <w:tcW w:w="1300" w:type="dxa"/>
            <w:vAlign w:val="bottom"/>
            <w:gridSpan w:val="2"/>
            <w:vMerge w:val="restart"/>
            <w:shd w:val="clear" w:color="auto" w:fill="CCECFF"/>
          </w:tcPr>
          <w:p>
            <w:pPr>
              <w:jc w:val="right"/>
              <w:ind w:right="180"/>
              <w:spacing w:after="0"/>
              <w:rPr>
                <w:sz w:val="20"/>
                <w:szCs w:val="20"/>
                <w:color w:val="auto"/>
              </w:rPr>
            </w:pPr>
            <w:r>
              <w:rPr>
                <w:rFonts w:ascii="Calibri" w:cs="Calibri" w:eastAsia="Calibri" w:hAnsi="Calibri"/>
                <w:sz w:val="18"/>
                <w:szCs w:val="18"/>
                <w:color w:val="auto"/>
              </w:rPr>
              <w:t>(35,240 )</w:t>
            </w:r>
          </w:p>
        </w:tc>
        <w:tc>
          <w:tcPr>
            <w:tcW w:w="300" w:type="dxa"/>
            <w:vAlign w:val="bottom"/>
            <w:vMerge w:val="restart"/>
            <w:shd w:val="clear" w:color="auto" w:fill="CCECFF"/>
          </w:tcPr>
          <w:p>
            <w:pPr>
              <w:jc w:val="right"/>
              <w:ind w:right="110"/>
              <w:spacing w:after="0"/>
              <w:rPr>
                <w:sz w:val="20"/>
                <w:szCs w:val="20"/>
                <w:color w:val="auto"/>
              </w:rPr>
            </w:pPr>
            <w:r>
              <w:rPr>
                <w:rFonts w:ascii="Calibri" w:cs="Calibri" w:eastAsia="Calibri" w:hAnsi="Calibri"/>
                <w:sz w:val="18"/>
                <w:szCs w:val="18"/>
                <w:color w:val="auto"/>
                <w:w w:val="87"/>
              </w:rPr>
              <w:t>$</w:t>
            </w:r>
          </w:p>
        </w:tc>
        <w:tc>
          <w:tcPr>
            <w:tcW w:w="1040" w:type="dxa"/>
            <w:vAlign w:val="bottom"/>
            <w:vMerge w:val="restart"/>
            <w:shd w:val="clear" w:color="auto" w:fill="CCECFF"/>
          </w:tcPr>
          <w:p>
            <w:pPr>
              <w:jc w:val="right"/>
              <w:spacing w:after="0"/>
              <w:rPr>
                <w:sz w:val="20"/>
                <w:szCs w:val="20"/>
                <w:color w:val="auto"/>
              </w:rPr>
            </w:pPr>
            <w:r>
              <w:rPr>
                <w:rFonts w:ascii="Calibri" w:cs="Calibri" w:eastAsia="Calibri" w:hAnsi="Calibri"/>
                <w:sz w:val="18"/>
                <w:szCs w:val="18"/>
                <w:color w:val="auto"/>
              </w:rPr>
              <w:t>81,798</w:t>
            </w:r>
          </w:p>
        </w:tc>
        <w:tc>
          <w:tcPr>
            <w:tcW w:w="26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20" w:type="dxa"/>
            <w:vAlign w:val="bottom"/>
          </w:tcPr>
          <w:p>
            <w:pPr>
              <w:spacing w:after="0"/>
              <w:rPr>
                <w:sz w:val="18"/>
                <w:szCs w:val="18"/>
                <w:color w:val="auto"/>
              </w:rPr>
            </w:pPr>
          </w:p>
        </w:tc>
        <w:tc>
          <w:tcPr>
            <w:tcW w:w="5800" w:type="dxa"/>
            <w:vAlign w:val="bottom"/>
            <w:shd w:val="clear" w:color="auto" w:fill="CCECFF"/>
          </w:tcPr>
          <w:p>
            <w:pPr>
              <w:ind w:left="220"/>
              <w:spacing w:after="0" w:line="198" w:lineRule="exact"/>
              <w:rPr>
                <w:sz w:val="20"/>
                <w:szCs w:val="20"/>
                <w:color w:val="auto"/>
              </w:rPr>
            </w:pPr>
            <w:r>
              <w:rPr>
                <w:rFonts w:ascii="Calibri" w:cs="Calibri" w:eastAsia="Calibri" w:hAnsi="Calibri"/>
                <w:sz w:val="18"/>
                <w:szCs w:val="18"/>
                <w:color w:val="auto"/>
              </w:rPr>
              <w:t>restricted cash</w:t>
            </w:r>
          </w:p>
        </w:tc>
        <w:tc>
          <w:tcPr>
            <w:tcW w:w="280" w:type="dxa"/>
            <w:vAlign w:val="bottom"/>
            <w:vMerge w:val="continue"/>
            <w:shd w:val="clear" w:color="auto" w:fill="CCECFF"/>
          </w:tcPr>
          <w:p>
            <w:pPr>
              <w:spacing w:after="0"/>
              <w:rPr>
                <w:sz w:val="18"/>
                <w:szCs w:val="18"/>
                <w:color w:val="auto"/>
              </w:rPr>
            </w:pPr>
          </w:p>
        </w:tc>
        <w:tc>
          <w:tcPr>
            <w:tcW w:w="1300" w:type="dxa"/>
            <w:vAlign w:val="bottom"/>
            <w:gridSpan w:val="2"/>
            <w:vMerge w:val="continue"/>
            <w:shd w:val="clear" w:color="auto" w:fill="CCECFF"/>
          </w:tcPr>
          <w:p>
            <w:pPr>
              <w:spacing w:after="0"/>
              <w:rPr>
                <w:sz w:val="18"/>
                <w:szCs w:val="18"/>
                <w:color w:val="auto"/>
              </w:rPr>
            </w:pPr>
          </w:p>
        </w:tc>
        <w:tc>
          <w:tcPr>
            <w:tcW w:w="300" w:type="dxa"/>
            <w:vAlign w:val="bottom"/>
            <w:vMerge w:val="continue"/>
            <w:shd w:val="clear" w:color="auto" w:fill="CCECFF"/>
          </w:tcPr>
          <w:p>
            <w:pPr>
              <w:spacing w:after="0"/>
              <w:rPr>
                <w:sz w:val="18"/>
                <w:szCs w:val="18"/>
                <w:color w:val="auto"/>
              </w:rPr>
            </w:pPr>
          </w:p>
        </w:tc>
        <w:tc>
          <w:tcPr>
            <w:tcW w:w="1040" w:type="dxa"/>
            <w:vAlign w:val="bottom"/>
            <w:vMerge w:val="continue"/>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800" w:type="dxa"/>
            <w:vAlign w:val="bottom"/>
            <w:tcBorders>
              <w:top w:val="single" w:sz="8" w:color="CCECFF"/>
            </w:tcBorders>
            <w:shd w:val="clear" w:color="auto" w:fill="CCEC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-24765</wp:posOffset>
            </wp:positionV>
            <wp:extent cx="514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514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514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514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Cash Used in Operatng Actvites</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Our primary use of cash is to fund operatng expenses, which consist primarily of research and development and commercial expenditures. Due to our signifcant research and development expenditures, we have generated signifcant operatng losses since our incepton. Cash used to fund operatng expenses is afected by the tming of when we pay these expenses, as refected in the change in our outstanding accounts payable and accrued expenses.</w:t>
      </w:r>
    </w:p>
    <w:p>
      <w:pPr>
        <w:spacing w:after="0" w:line="84"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Cash used in operatng actvites for the year ended December 31, 2024 was $414.2 million and primarily refected a net loss of $569.2 million, partally ofset by non-cash items of $141.1 million, net, which consisted primarily of non-cash collaboraton royalty revenues, interest expense related to the sale of future royaltes to RPI and OMERS, stock-based compensaton, amortzaton of discounts on marketable debt securites, and depreciaton and amortzaton. The change in operatng assets and liabilites also refected a net increase of cash of $13.9 million, primarily due to an increase in accounts payable, accrued, and other liabilites, primarily related to an increase in accrued collaboraton and higher revenue reserves from increased sales of our approved products, combined with an increase in inventory, primarily for Mepsevii and Evkeeza, partally ofset by a decrease in prepaid expenses and other assets, primarily in prepaid manufacturing.</w:t>
      </w:r>
    </w:p>
    <w:p>
      <w:pPr>
        <w:spacing w:after="0" w:line="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9" w:name="page80"/>
    <w:bookmarkEnd w:id="79"/>
    <w:p>
      <w:pPr>
        <w:ind w:right="20" w:firstLine="509"/>
        <w:spacing w:after="0" w:line="235" w:lineRule="auto"/>
        <w:rPr>
          <w:sz w:val="20"/>
          <w:szCs w:val="20"/>
          <w:color w:val="auto"/>
        </w:rPr>
      </w:pPr>
      <w:r>
        <w:rPr>
          <w:rFonts w:ascii="Calibri" w:cs="Calibri" w:eastAsia="Calibri" w:hAnsi="Calibri"/>
          <w:sz w:val="18"/>
          <w:szCs w:val="18"/>
          <w:color w:val="auto"/>
        </w:rPr>
        <w:t>Cash used in operatng actvites for the year ended December 31, 2023 was $474.8 million and primarily refected a net loss of $606.6 million, partally ofset by non-cash items of $146.9 million, net, which consisted primarily of non-cash collaboraton royalty revenues, interest expense related to the sale of future royaltes to RPI and OMERS, net of amounts capitalized, stock-based compensaton, amortzaton of discounts on marketable debt securites, and depreciaton and amortzaton. The change in operatng assets and liabilites also refected a net use of cash of $15.1 million, primarily due to an increase in accounts receivable primarily related to an increase in sales of our approved products, partally ofset by a net decrease in prepaid expenses and other assets, primarily in prepaid manufacturing.</w:t>
      </w: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Cash (Used in) Provided by Investng Actvites</w:t>
      </w:r>
    </w:p>
    <w:p>
      <w:pPr>
        <w:spacing w:after="0" w:line="82"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Cash used in investng actvites for the year ended December 31, 2024 was $17.8 million and was primarily related to $12.5 million in payments for intangible assets related to milestones on our commercial products, partally ofset by $4.7 million from net actvites in marketable debt securites.</w:t>
      </w:r>
    </w:p>
    <w:p>
      <w:pPr>
        <w:spacing w:after="0" w:line="83"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Cash provided by investng actvites for the year ended December 31, 2023 was $168.0 million and was primarily related to $219.8 million from net actvites in marketable debt securites, ofset by purchases of property, plant, and equipment of $44.3 million, primarily related to the ft-out of our gene therapy manufacturing facility.</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Cash Provided by Financing Actvites</w:t>
      </w:r>
    </w:p>
    <w:p>
      <w:pPr>
        <w:spacing w:after="0" w:line="82"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Cash provided by fnancing actvites for the year ended December 31, 2024 was $399.2 million and was primarily comprised of $381.0 million in net proceeds from the sale of common stock in our June 2024 underwriten public ofering and $11.3 million in proceeds from the issuance of common stock from exercise of warrants and equity plan awards, net.</w:t>
      </w:r>
    </w:p>
    <w:p>
      <w:pPr>
        <w:spacing w:after="0" w:line="84" w:lineRule="exact"/>
        <w:rPr>
          <w:sz w:val="20"/>
          <w:szCs w:val="20"/>
          <w:color w:val="auto"/>
        </w:rPr>
      </w:pPr>
    </w:p>
    <w:p>
      <w:pPr>
        <w:jc w:val="both"/>
        <w:ind w:right="180" w:firstLine="509"/>
        <w:spacing w:after="0" w:line="235" w:lineRule="auto"/>
        <w:rPr>
          <w:sz w:val="20"/>
          <w:szCs w:val="20"/>
          <w:color w:val="auto"/>
        </w:rPr>
      </w:pPr>
      <w:r>
        <w:rPr>
          <w:rFonts w:ascii="Calibri" w:cs="Calibri" w:eastAsia="Calibri" w:hAnsi="Calibri"/>
          <w:sz w:val="18"/>
          <w:szCs w:val="18"/>
          <w:color w:val="auto"/>
        </w:rPr>
        <w:t>Cash provided by fnancing actvites for the year ended December 31, 2023 was $388.1 million and was primarily comprised of $326.5 million in net proceeds from the sale of common stock in our October 2023 underwriten public ofering and $53.3 million in net proceeds from the issuance of common stock from our ATM.</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Funding Requirements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antcipate that, excluding non-recurring items, we will contnue to generate annual losses in the near term as we contnue the development of, and seek regulatory approvals for, our product candidates, and contnue with commercializaton of approved products. We may require additonal capital to fund our operatons, to complete our ongoing and planned clinical studies, to commercialize our products, to contnue investng in early-stage research capabilites to promote our pipeline growth, to contnue to acquire or invest in businesses or products that complement or expand our business, including future milestone payments thereunder, and to further develop our general infrastructure and such funding may not be available to us on acceptable terms or at all.</w:t>
      </w:r>
    </w:p>
    <w:p>
      <w:pPr>
        <w:spacing w:after="0" w:line="86"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If we are unable to raise additonal capital in sufcient amounts or on terms acceptable to us, we may be required to delay, limit, reduce the scope of, or terminate one or more of our clinical studies, research and development programs, future commercializaton eforts, or grant rights to develop and market product candidates that we would otherwise prefer to develop and market ourselves.</w:t>
      </w:r>
    </w:p>
    <w:p>
      <w:pPr>
        <w:spacing w:after="0" w:line="79"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Our future funding requirements will depend on many factors, including the following:</w:t>
      </w:r>
    </w:p>
    <w:p>
      <w:pPr>
        <w:spacing w:after="0" w:line="91" w:lineRule="exact"/>
        <w:rPr>
          <w:sz w:val="20"/>
          <w:szCs w:val="20"/>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scope, rate of progress, results and cost of our clinical studies, nonclinical testng, and other related actvites;</w:t>
      </w:r>
    </w:p>
    <w:p>
      <w:pPr>
        <w:spacing w:after="0" w:line="95" w:lineRule="exact"/>
        <w:rPr>
          <w:rFonts w:ascii="Times New Roman" w:cs="Times New Roman" w:eastAsia="Times New Roman" w:hAnsi="Times New Roman"/>
          <w:sz w:val="18"/>
          <w:szCs w:val="18"/>
          <w:color w:val="auto"/>
        </w:rPr>
      </w:pPr>
    </w:p>
    <w:p>
      <w:pPr>
        <w:ind w:left="900" w:right="320" w:hanging="383"/>
        <w:spacing w:after="0" w:line="235" w:lineRule="auto"/>
        <w:tabs>
          <w:tab w:leader="none" w:pos="900" w:val="left"/>
        </w:tabs>
        <w:numPr>
          <w:ilvl w:val="0"/>
          <w:numId w:val="35"/>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 of manufacturing clinical supplies, and establishing commercial supplies, of our product candidates, products that we have begun to commercialize, and any products that we may develop in the future;</w:t>
      </w:r>
    </w:p>
    <w:p>
      <w:pPr>
        <w:spacing w:after="0" w:line="9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 of operatng our GMP gene therapy manufacturing facility;</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number and characteristcs of product candidates that we pursue;</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 tming, and outcomes of regulatory interactons and approvals;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 and tming of establishing our commercial infrastructure, and distributon capabilites;</w:t>
      </w:r>
    </w:p>
    <w:p>
      <w:pPr>
        <w:spacing w:after="0" w:line="95" w:lineRule="exact"/>
        <w:rPr>
          <w:rFonts w:ascii="Times New Roman" w:cs="Times New Roman" w:eastAsia="Times New Roman" w:hAnsi="Times New Roman"/>
          <w:sz w:val="18"/>
          <w:szCs w:val="18"/>
          <w:color w:val="auto"/>
        </w:rPr>
      </w:pPr>
    </w:p>
    <w:p>
      <w:pPr>
        <w:ind w:left="900" w:right="740" w:hanging="383"/>
        <w:spacing w:after="0" w:line="235" w:lineRule="auto"/>
        <w:tabs>
          <w:tab w:leader="none" w:pos="900" w:val="left"/>
        </w:tabs>
        <w:numPr>
          <w:ilvl w:val="0"/>
          <w:numId w:val="35"/>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impact of macroeconomic conditons, including general economic slowdowns, changing interest rates and infaton on our business operatons and operatng results; and</w:t>
      </w:r>
    </w:p>
    <w:p>
      <w:pPr>
        <w:spacing w:after="0" w:line="9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5"/>
        </w:numPr>
        <w:rPr>
          <w:rFonts w:ascii="Times New Roman" w:cs="Times New Roman" w:eastAsia="Times New Roman" w:hAnsi="Times New Roman"/>
          <w:sz w:val="17"/>
          <w:szCs w:val="17"/>
          <w:color w:val="auto"/>
        </w:rPr>
      </w:pPr>
      <w:r>
        <w:rPr>
          <w:rFonts w:ascii="Calibri" w:cs="Calibri" w:eastAsia="Calibri" w:hAnsi="Calibri"/>
          <w:sz w:val="17"/>
          <w:szCs w:val="17"/>
          <w:color w:val="auto"/>
        </w:rPr>
        <w:t>the terms and tming of any collaboratve, licensing, marketng, distributon, acquisiton and other arrangements that we may establish, including</w:t>
      </w:r>
    </w:p>
    <w:p>
      <w:pPr>
        <w:spacing w:after="0" w:line="4" w:lineRule="exact"/>
        <w:rPr>
          <w:sz w:val="20"/>
          <w:szCs w:val="20"/>
          <w:color w:val="auto"/>
        </w:rPr>
      </w:pPr>
    </w:p>
    <w:p>
      <w:pPr>
        <w:ind w:left="900"/>
        <w:spacing w:after="0"/>
        <w:rPr>
          <w:sz w:val="20"/>
          <w:szCs w:val="20"/>
          <w:color w:val="auto"/>
        </w:rPr>
      </w:pPr>
      <w:r>
        <w:rPr>
          <w:rFonts w:ascii="Calibri" w:cs="Calibri" w:eastAsia="Calibri" w:hAnsi="Calibri"/>
          <w:sz w:val="18"/>
          <w:szCs w:val="18"/>
          <w:color w:val="auto"/>
        </w:rPr>
        <w:t>any required upfront milestone, royalty, reimbursements or other payments thereunder.</w:t>
      </w:r>
    </w:p>
    <w:p>
      <w:pPr>
        <w:ind w:left="5540"/>
        <w:spacing w:after="0" w:line="235" w:lineRule="auto"/>
        <w:rPr>
          <w:sz w:val="20"/>
          <w:szCs w:val="20"/>
          <w:color w:val="auto"/>
        </w:rPr>
      </w:pPr>
      <w:r>
        <w:rPr>
          <w:rFonts w:ascii="Calibri" w:cs="Calibri" w:eastAsia="Calibri" w:hAnsi="Calibri"/>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0" w:name="page81"/>
    <w:bookmarkEnd w:id="80"/>
    <w:p>
      <w:pPr>
        <w:jc w:val="both"/>
        <w:ind w:right="400" w:firstLine="509"/>
        <w:spacing w:after="0" w:line="235" w:lineRule="auto"/>
        <w:rPr>
          <w:sz w:val="20"/>
          <w:szCs w:val="20"/>
          <w:color w:val="auto"/>
        </w:rPr>
      </w:pPr>
      <w:r>
        <w:rPr>
          <w:rFonts w:ascii="Calibri" w:cs="Calibri" w:eastAsia="Calibri" w:hAnsi="Calibri"/>
          <w:sz w:val="18"/>
          <w:szCs w:val="18"/>
          <w:color w:val="auto"/>
        </w:rPr>
        <w:t>We expect to satsfy future cash needs through existng capital balances, revenue from our commercial products, and a combinaton of public or private equity oferings, debt fnancings, collaboratons, strategic alliances, licensing arrangements, and other marketng and distributon arrangements. Please see “Risk Factors—Risks Related to Our Financial Conditon and Capital Requirements.”</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Contractual Obligatons and Commitments</w:t>
      </w:r>
    </w:p>
    <w:p>
      <w:pPr>
        <w:spacing w:after="0" w:line="82"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Material contractual obligatons arising in the normal course of business primarily consist of operatng and fnance leases and manufacturing and service contract obligatons. See "Note 10. Leases" to the Consolidated Financial Statements for amounts outstanding for operatng and fnance leases as of December 31, 2024.</w:t>
      </w:r>
    </w:p>
    <w:p>
      <w:pPr>
        <w:spacing w:after="0" w:line="84" w:lineRule="exact"/>
        <w:rPr>
          <w:sz w:val="20"/>
          <w:szCs w:val="20"/>
          <w:color w:val="auto"/>
        </w:rPr>
      </w:pPr>
    </w:p>
    <w:p>
      <w:pPr>
        <w:ind w:right="220" w:firstLine="509"/>
        <w:spacing w:after="0" w:line="258" w:lineRule="auto"/>
        <w:rPr>
          <w:sz w:val="20"/>
          <w:szCs w:val="20"/>
          <w:color w:val="auto"/>
        </w:rPr>
      </w:pPr>
      <w:r>
        <w:rPr>
          <w:rFonts w:ascii="Calibri" w:cs="Calibri" w:eastAsia="Calibri" w:hAnsi="Calibri"/>
          <w:sz w:val="17"/>
          <w:szCs w:val="17"/>
          <w:color w:val="auto"/>
        </w:rPr>
        <w:t>Manufacturing and service contract obligatons primarily relate to manufacturing of inventory for our approved products, the majority of which are due in the next 12 months. See "Note 16. Commitments and Contngencies" to the Consolidated Financial Statements for these contractual obligatons.</w:t>
      </w:r>
    </w:p>
    <w:p>
      <w:pPr>
        <w:spacing w:after="0" w:line="67"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The terms of certain of our licenses, royaltes, development and collaboraton agreements, as well as other research and development actvites, require us to pay potental future milestone payments based on product development success. The amount and tming of such obligatons are unknown or uncertain. These potental obligatons are further described in "Note 9. License and Research Agreements" to the Consolidated Financial Statements.</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 Accountng Pronouncements</w:t>
      </w:r>
    </w:p>
    <w:p>
      <w:pPr>
        <w:spacing w:after="0" w:line="82" w:lineRule="exact"/>
        <w:rPr>
          <w:sz w:val="20"/>
          <w:szCs w:val="20"/>
          <w:color w:val="auto"/>
        </w:rPr>
      </w:pPr>
    </w:p>
    <w:p>
      <w:pPr>
        <w:ind w:right="60" w:firstLine="509"/>
        <w:spacing w:after="0" w:line="252" w:lineRule="auto"/>
        <w:rPr>
          <w:sz w:val="20"/>
          <w:szCs w:val="20"/>
          <w:color w:val="auto"/>
        </w:rPr>
      </w:pPr>
      <w:r>
        <w:rPr>
          <w:rFonts w:ascii="Calibri" w:cs="Calibri" w:eastAsia="Calibri" w:hAnsi="Calibri"/>
          <w:sz w:val="17"/>
          <w:szCs w:val="17"/>
          <w:color w:val="auto"/>
        </w:rPr>
        <w:t xml:space="preserve">In November 2024, the FASB issued ASU 2024-03, </w:t>
      </w:r>
      <w:r>
        <w:rPr>
          <w:rFonts w:ascii="Calibri" w:cs="Calibri" w:eastAsia="Calibri" w:hAnsi="Calibri"/>
          <w:sz w:val="17"/>
          <w:szCs w:val="17"/>
          <w:i w:val="1"/>
          <w:iCs w:val="1"/>
          <w:color w:val="auto"/>
        </w:rPr>
        <w:t>Income Statement-Reportng Comprehensive Income-Expense Disaggregaton Disclosures (Subtopic</w:t>
      </w:r>
      <w:r>
        <w:rPr>
          <w:rFonts w:ascii="Calibri" w:cs="Calibri" w:eastAsia="Calibri" w:hAnsi="Calibri"/>
          <w:sz w:val="17"/>
          <w:szCs w:val="17"/>
          <w:color w:val="auto"/>
        </w:rPr>
        <w:t xml:space="preserve"> </w:t>
      </w:r>
      <w:r>
        <w:rPr>
          <w:rFonts w:ascii="Calibri" w:cs="Calibri" w:eastAsia="Calibri" w:hAnsi="Calibri"/>
          <w:sz w:val="17"/>
          <w:szCs w:val="17"/>
          <w:i w:val="1"/>
          <w:iCs w:val="1"/>
          <w:color w:val="auto"/>
        </w:rPr>
        <w:t>220-40): Disaggregaton of Income Statement Expenses</w:t>
      </w:r>
      <w:r>
        <w:rPr>
          <w:rFonts w:ascii="Calibri" w:cs="Calibri" w:eastAsia="Calibri" w:hAnsi="Calibri"/>
          <w:sz w:val="17"/>
          <w:szCs w:val="17"/>
          <w:color w:val="auto"/>
        </w:rPr>
        <w:t>, requiring public enttes to disclose additonal informaton about specifc expense categories in the</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notes to the fnancial statements on an interim and annual basis. ASU 2024-03 is efectve for fscal years beginning afer December 15, 2026, and for interim periods beginning afer December 15, 2027, with early adopton permited. We are currently evaluatng the impact of adoptng ASU 2024-03.</w:t>
      </w:r>
    </w:p>
    <w:p>
      <w:pPr>
        <w:spacing w:after="0" w:line="73" w:lineRule="exact"/>
        <w:rPr>
          <w:sz w:val="20"/>
          <w:szCs w:val="20"/>
          <w:color w:val="auto"/>
        </w:rPr>
      </w:pPr>
    </w:p>
    <w:p>
      <w:pPr>
        <w:ind w:firstLine="509"/>
        <w:spacing w:after="0" w:line="252" w:lineRule="auto"/>
        <w:rPr>
          <w:sz w:val="20"/>
          <w:szCs w:val="20"/>
          <w:color w:val="auto"/>
        </w:rPr>
      </w:pPr>
      <w:r>
        <w:rPr>
          <w:rFonts w:ascii="Calibri" w:cs="Calibri" w:eastAsia="Calibri" w:hAnsi="Calibri"/>
          <w:sz w:val="17"/>
          <w:szCs w:val="17"/>
          <w:color w:val="auto"/>
        </w:rPr>
        <w:t xml:space="preserve">In November 2023, the FASB issued ASU 2023-07, </w:t>
      </w:r>
      <w:r>
        <w:rPr>
          <w:rFonts w:ascii="Calibri" w:cs="Calibri" w:eastAsia="Calibri" w:hAnsi="Calibri"/>
          <w:sz w:val="17"/>
          <w:szCs w:val="17"/>
          <w:i w:val="1"/>
          <w:iCs w:val="1"/>
          <w:color w:val="auto"/>
        </w:rPr>
        <w:t>Segment Reportng (Topic 280): Improvements to Reportable Segment Disclosures</w:t>
      </w:r>
      <w:r>
        <w:rPr>
          <w:rFonts w:ascii="Calibri" w:cs="Calibri" w:eastAsia="Calibri" w:hAnsi="Calibri"/>
          <w:sz w:val="17"/>
          <w:szCs w:val="17"/>
          <w:color w:val="auto"/>
        </w:rPr>
        <w:t>, requiring public enttes to disclose informaton about their reportable segments’ signifcant expenses and other segment items on an interim and annual basis. Public enttes with a single reportable segment are required to apply the disclosure requirements in ASU 2023-07, as well as all existng segment disclosures and reconciliaton requirements in ASC 280 on an interim and annual basis. We adopted ASU 2023-07 during the year ended December 31, 2024.</w:t>
      </w:r>
    </w:p>
    <w:p>
      <w:pPr>
        <w:spacing w:after="0" w:line="23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7A. </w:t>
      </w:r>
      <w:r>
        <w:rPr>
          <w:rFonts w:ascii="Calibri" w:cs="Calibri" w:eastAsia="Calibri" w:hAnsi="Calibri"/>
          <w:sz w:val="18"/>
          <w:szCs w:val="18"/>
          <w:b w:val="1"/>
          <w:bCs w:val="1"/>
          <w:i w:val="1"/>
          <w:iCs w:val="1"/>
          <w:color w:val="auto"/>
        </w:rPr>
        <w:t>Quanttatve and Qualitatve Disclosures about Market Risk</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Interest Rate Risk</w:t>
      </w:r>
    </w:p>
    <w:p>
      <w:pPr>
        <w:spacing w:after="0" w:line="82" w:lineRule="exact"/>
        <w:rPr>
          <w:sz w:val="20"/>
          <w:szCs w:val="20"/>
          <w:color w:val="auto"/>
        </w:rPr>
      </w:pPr>
    </w:p>
    <w:p>
      <w:pPr>
        <w:ind w:firstLine="509"/>
        <w:spacing w:after="0" w:line="249" w:lineRule="auto"/>
        <w:rPr>
          <w:sz w:val="20"/>
          <w:szCs w:val="20"/>
          <w:color w:val="auto"/>
        </w:rPr>
      </w:pPr>
      <w:r>
        <w:rPr>
          <w:rFonts w:ascii="Calibri" w:cs="Calibri" w:eastAsia="Calibri" w:hAnsi="Calibri"/>
          <w:sz w:val="17"/>
          <w:szCs w:val="17"/>
          <w:color w:val="auto"/>
        </w:rPr>
        <w:t>Our exposure to market risk for changes in interest rates relates primarily to interest earned on our cash equivalents and marketable debt securites. The primary objectve of our investment actvites is to preserve our capital to fund operatons. A secondary objectve is to maximize income from our investments without assuming signifcant risk. Our investment policy provides for investments in low-risk, investment-grade debt instruments. As of December 31, 2024, we had cash, cash equivalents, and marketable debt securites totaling $745.0 million, which included bank deposits, money market funds, U.S. government treasury and agency securites, and investment-grade corporate bond securites which are subject to default, changes in credit ratng, and changes in market value. The securites in our investment portolio are classifed as available for sale and are subject to interest rate risk and will decrease in value if market interest rates increase. A hypothetcal 100 basis point change in interest rates during any of the periods presented would not have had a material impact on the fair market value of our cash equivalents and marketable debt securites as of December 31, 2024. To date, we have not experienced a loss of principal on any of our investments and as of December 31, 2024, we did not record any allowance for credit loss from our investments.</w:t>
      </w:r>
    </w:p>
    <w:p>
      <w:pPr>
        <w:spacing w:after="0" w:line="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1" w:name="page82"/>
    <w:bookmarkEnd w:id="81"/>
    <w:p>
      <w:pPr>
        <w:spacing w:after="0"/>
        <w:rPr>
          <w:sz w:val="20"/>
          <w:szCs w:val="20"/>
          <w:color w:val="auto"/>
        </w:rPr>
      </w:pPr>
      <w:r>
        <w:rPr>
          <w:rFonts w:ascii="Calibri" w:cs="Calibri" w:eastAsia="Calibri" w:hAnsi="Calibri"/>
          <w:sz w:val="18"/>
          <w:szCs w:val="18"/>
          <w:i w:val="1"/>
          <w:iCs w:val="1"/>
          <w:color w:val="auto"/>
        </w:rPr>
        <w:t>Foreign Currency Risk</w:t>
      </w:r>
    </w:p>
    <w:p>
      <w:pPr>
        <w:spacing w:after="0" w:line="82" w:lineRule="exact"/>
        <w:rPr>
          <w:sz w:val="20"/>
          <w:szCs w:val="20"/>
          <w:color w:val="auto"/>
        </w:rPr>
      </w:pPr>
    </w:p>
    <w:p>
      <w:pPr>
        <w:ind w:right="40" w:firstLine="509"/>
        <w:spacing w:after="0" w:line="251" w:lineRule="auto"/>
        <w:rPr>
          <w:sz w:val="20"/>
          <w:szCs w:val="20"/>
          <w:color w:val="auto"/>
        </w:rPr>
      </w:pPr>
      <w:r>
        <w:rPr>
          <w:rFonts w:ascii="Calibri" w:cs="Calibri" w:eastAsia="Calibri" w:hAnsi="Calibri"/>
          <w:sz w:val="17"/>
          <w:szCs w:val="17"/>
          <w:color w:val="auto"/>
        </w:rPr>
        <w:t>We face foreign exchange risk as a result of entering into transactons denominated in currencies other than U.S. dollars. Due to the uncertain tming of expected payments in foreign currencies, we do not utlize any forward exchange contracts. All foreign transactons setle on the applicable spot exchange basis at the tme such payments are made. Volatle market conditons arising from the macroeconomic environment (including fnancial conditons afectng the banking system and fnancial insttutons), infaton, or global politcal instability may result in signifcant changes in exchange rates, and in partcular a weakening of foreign currencies relatve to the U.S. dollar may negatvely afect our revenue and operatng income as expressed in U.S. dollars. An adverse movement in foreign exchange rates could have a material efect on payments made to foreign suppliers and payments related to license agreements. For the year ended December 31, 2024, a majority of our revenue, expenses, and capital expenditures were denominated in U.S. dollars. A hypothetcal 10% change in foreign exchange rates during any of the periods presented would not have had a material impact on our Consolidated Financial Statements.</w:t>
      </w:r>
    </w:p>
    <w:p>
      <w:pPr>
        <w:spacing w:after="0" w:line="23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8. </w:t>
      </w:r>
      <w:r>
        <w:rPr>
          <w:rFonts w:ascii="Calibri" w:cs="Calibri" w:eastAsia="Calibri" w:hAnsi="Calibri"/>
          <w:sz w:val="18"/>
          <w:szCs w:val="18"/>
          <w:b w:val="1"/>
          <w:bCs w:val="1"/>
          <w:i w:val="1"/>
          <w:iCs w:val="1"/>
          <w:color w:val="auto"/>
        </w:rPr>
        <w:t>Financial Statements and Supplementary Data</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Our fnancial statements are annexed to this Annual Report beginning on page F-1 and are incorporated by reference into this Item 8.</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9. </w:t>
      </w:r>
      <w:r>
        <w:rPr>
          <w:rFonts w:ascii="Calibri" w:cs="Calibri" w:eastAsia="Calibri" w:hAnsi="Calibri"/>
          <w:sz w:val="18"/>
          <w:szCs w:val="18"/>
          <w:b w:val="1"/>
          <w:bCs w:val="1"/>
          <w:i w:val="1"/>
          <w:iCs w:val="1"/>
          <w:color w:val="auto"/>
        </w:rPr>
        <w:t>Changes in and Disagreements with Accountants on Accountng and Financial Disclosure</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None.</w:t>
      </w:r>
    </w:p>
    <w:p>
      <w:pPr>
        <w:spacing w:after="0" w:line="26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9A. </w:t>
      </w:r>
      <w:r>
        <w:rPr>
          <w:rFonts w:ascii="Calibri" w:cs="Calibri" w:eastAsia="Calibri" w:hAnsi="Calibri"/>
          <w:sz w:val="18"/>
          <w:szCs w:val="18"/>
          <w:b w:val="1"/>
          <w:bCs w:val="1"/>
          <w:i w:val="1"/>
          <w:iCs w:val="1"/>
          <w:color w:val="auto"/>
        </w:rPr>
        <w:t>Controls and Procedures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Evaluaton of Disclosure Controls and Procedures</w:t>
      </w:r>
    </w:p>
    <w:p>
      <w:pPr>
        <w:spacing w:after="0" w:line="82"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Management carried out an evaluaton, under the supervision and with the partcipaton of our Principal Executve Ofcer and our Principal Financial Ofcer, of the efectveness of our “disclosure controls and procedures” as of the end of the period covered by this Annual Report, pursuant to Rules 13a-15(e) and 15d-15(e) under the Securites Exchange Act of 1934, or the Exchange Act. In connecton with that evaluaton, our Principal Executve Ofcer and our Principal Financial Ofcer concluded that our disclosure controls and procedures were efectve and designed to provide reasonable assurance that the informaton required to be disclosed is recorded, processed, summarized, and reported within the tme periods specifed in the SEC rules and forms as of December 31, 2024. For the purpose of this review, disclosure controls and procedures means controls and procedures designed to ensure that informaton required to be disclosed by us in the reports that we fle or submit is recorded, processed, summarized and reported within the tme periods specifed in the SEC’s rules and forms. These disclosure controls and procedures include, without limitaton, controls and procedures designed to ensure that informaton required to be disclosed by us in the reports that we fle or submit is accumulated and communicated to management, including our Principal Executve Ofcer and our Principal Financial Ofcer, as appropriate to allow tmely decisions regarding required disclosure. In designing and evaluatng the disclosure controls and procedures, our management recognizes that any controls and procedures, no mater how well designed and operated, can provide only reasonable assurance of achieving the desired control objectves, and our management necessarily applies its judgment in evaluatng the cost-beneft relatonship of possible controls and procedures.</w:t>
      </w:r>
    </w:p>
    <w:p>
      <w:pPr>
        <w:spacing w:after="0" w:line="24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Management’s Annual Report on Internal Control Over Financial Reportng</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Management is responsible for establishing and maintaining adequate internal control over fnancial reportng as defned in Rules 13a-15(f) and 15d-15(f) of the Exchange Act. Our management used the Commitee of Sponsoring Organizatons of the Treadway Commission Internal Control - </w:t>
      </w:r>
      <w:r>
        <w:rPr>
          <w:rFonts w:ascii="Calibri" w:cs="Calibri" w:eastAsia="Calibri" w:hAnsi="Calibri"/>
          <w:sz w:val="18"/>
          <w:szCs w:val="18"/>
          <w:i w:val="1"/>
          <w:iCs w:val="1"/>
          <w:color w:val="auto"/>
        </w:rPr>
        <w:t>Integrated</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Framework issued by the Commitee of Sponsoring Organizatons of the Treadway Commission </w:t>
      </w:r>
      <w:r>
        <w:rPr>
          <w:rFonts w:ascii="Calibri" w:cs="Calibri" w:eastAsia="Calibri" w:hAnsi="Calibri"/>
          <w:sz w:val="18"/>
          <w:szCs w:val="18"/>
          <w:color w:val="auto"/>
        </w:rPr>
        <w:t>(2013 framework), or the COSO framework, to evaluate the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efectveness of internal control over fnancial reportng. Management believes that the COSO framework is a suitable framework for its evaluaton of fnancial reportng because it is free from bias, permits reasonably consistent qualitatve and quanttatve measurements of our internal control over fnancial reportng, is sufciently complete so that those relevant factors that would alter a conclusion about the efectveness of our internal control over fnancial reportng are not omited and is relevant to an evaluaton of internal control over fnancial reportng.</w:t>
      </w:r>
    </w:p>
    <w:p>
      <w:pPr>
        <w:spacing w:after="0" w:line="87" w:lineRule="exact"/>
        <w:rPr>
          <w:sz w:val="20"/>
          <w:szCs w:val="20"/>
          <w:color w:val="auto"/>
        </w:rPr>
      </w:pPr>
    </w:p>
    <w:p>
      <w:pPr>
        <w:ind w:right="300" w:firstLine="509"/>
        <w:spacing w:after="0" w:line="235" w:lineRule="auto"/>
        <w:rPr>
          <w:sz w:val="20"/>
          <w:szCs w:val="20"/>
          <w:color w:val="auto"/>
        </w:rPr>
      </w:pPr>
      <w:r>
        <w:rPr>
          <w:rFonts w:ascii="Calibri" w:cs="Calibri" w:eastAsia="Calibri" w:hAnsi="Calibri"/>
          <w:sz w:val="18"/>
          <w:szCs w:val="18"/>
          <w:color w:val="auto"/>
        </w:rPr>
        <w:t>Management has assessed the efectveness of our internal control over fnancial reportng as of December 31, 2024, and has concluded that as of such date, our internal control over fnancial reportng was efectve.</w:t>
      </w:r>
    </w:p>
    <w:p>
      <w:pPr>
        <w:spacing w:after="0" w:line="83"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Our independent registered public accountng frm, Ernst &amp; Young LLP, has audited the fnancial statements included in this Annual Report and has issued a report on the efectveness of our internal control over fnancial reportng. The report of Ernst &amp; Young LLP is included below.</w:t>
      </w:r>
    </w:p>
    <w:p>
      <w:pPr>
        <w:jc w:val="center"/>
        <w:ind w:right="-19"/>
        <w:spacing w:after="0" w:line="236" w:lineRule="auto"/>
        <w:rPr>
          <w:sz w:val="20"/>
          <w:szCs w:val="20"/>
          <w:color w:val="auto"/>
        </w:rPr>
      </w:pPr>
      <w:r>
        <w:rPr>
          <w:rFonts w:ascii="Calibri" w:cs="Calibri" w:eastAsia="Calibri" w:hAnsi="Calibri"/>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82" w:name="page83"/>
    <w:bookmarkEnd w:id="82"/>
    <w:p>
      <w:pPr>
        <w:spacing w:after="0"/>
        <w:rPr>
          <w:sz w:val="20"/>
          <w:szCs w:val="20"/>
          <w:color w:val="auto"/>
        </w:rPr>
      </w:pPr>
      <w:r>
        <w:rPr>
          <w:rFonts w:ascii="Calibri" w:cs="Calibri" w:eastAsia="Calibri" w:hAnsi="Calibri"/>
          <w:sz w:val="18"/>
          <w:szCs w:val="18"/>
          <w:b w:val="1"/>
          <w:bCs w:val="1"/>
          <w:color w:val="auto"/>
        </w:rPr>
        <w:t>Changes in Internal Control over Financial Reportng</w:t>
      </w:r>
    </w:p>
    <w:p>
      <w:pPr>
        <w:spacing w:after="0" w:line="82"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There have been no changes in our internal control over fnancial reportng (as defned in Rules 13a-15(f) and 15d-15(f) under the Exchange Act) during our fourth quarter ended December 31, 2024, that have materially afected, or are reasonably likely to materially afect, our internal control over fnancial reportng.</w:t>
      </w:r>
    </w:p>
    <w:p>
      <w:pPr>
        <w:spacing w:after="0" w:line="281" w:lineRule="exact"/>
        <w:rPr>
          <w:sz w:val="20"/>
          <w:szCs w:val="20"/>
          <w:color w:val="auto"/>
        </w:rPr>
      </w:pPr>
    </w:p>
    <w:p>
      <w:pPr>
        <w:jc w:val="center"/>
        <w:ind w:right="-399"/>
        <w:spacing w:after="0"/>
        <w:rPr>
          <w:sz w:val="20"/>
          <w:szCs w:val="20"/>
          <w:color w:val="auto"/>
        </w:rPr>
      </w:pPr>
      <w:r>
        <w:rPr>
          <w:rFonts w:ascii="Calibri" w:cs="Calibri" w:eastAsia="Calibri" w:hAnsi="Calibri"/>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246" w:right="719" w:bottom="1440" w:gutter="0" w:footer="0" w:header="0"/>
        </w:sectPr>
      </w:pPr>
    </w:p>
    <w:bookmarkStart w:id="83" w:name="page84"/>
    <w:bookmarkEnd w:id="83"/>
    <w:p>
      <w:pPr>
        <w:ind w:right="3500" w:firstLine="3522"/>
        <w:spacing w:after="0" w:line="319" w:lineRule="auto"/>
        <w:rPr>
          <w:sz w:val="20"/>
          <w:szCs w:val="20"/>
          <w:color w:val="auto"/>
        </w:rPr>
      </w:pPr>
      <w:r>
        <w:rPr>
          <w:rFonts w:ascii="Calibri" w:cs="Calibri" w:eastAsia="Calibri" w:hAnsi="Calibri"/>
          <w:sz w:val="18"/>
          <w:szCs w:val="18"/>
          <w:b w:val="1"/>
          <w:bCs w:val="1"/>
          <w:color w:val="auto"/>
        </w:rPr>
        <w:t xml:space="preserve">Report of Independent Registered Public Accountng Firm </w:t>
      </w:r>
      <w:r>
        <w:rPr>
          <w:rFonts w:ascii="Calibri" w:cs="Calibri" w:eastAsia="Calibri" w:hAnsi="Calibri"/>
          <w:sz w:val="18"/>
          <w:szCs w:val="18"/>
          <w:color w:val="auto"/>
        </w:rPr>
        <w:t>To the Stockholders and the Board of Directors of Ultragenyx Pharmaceutcal Inc.</w:t>
      </w:r>
    </w:p>
    <w:p>
      <w:pPr>
        <w:spacing w:after="0" w:line="22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Opinion on Internal Control Over Financial Reportng</w:t>
      </w:r>
    </w:p>
    <w:p>
      <w:pPr>
        <w:spacing w:after="0" w:line="82"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 xml:space="preserve">We have audited Ultragenyx Pharmaceutcal Inc.’s internal control over fnancial reportng as of December 31, 2024, based on criteria established in Internal Control—Integrated Framework issued by the Commitee of Sponsoring Organizatons of the Treadway Commission </w:t>
      </w:r>
      <w:r>
        <w:rPr>
          <w:rFonts w:ascii="Calibri" w:cs="Calibri" w:eastAsia="Calibri" w:hAnsi="Calibri"/>
          <w:sz w:val="18"/>
          <w:szCs w:val="18"/>
          <w:i w:val="1"/>
          <w:iCs w:val="1"/>
          <w:color w:val="auto"/>
        </w:rPr>
        <w:t>(</w:t>
      </w:r>
      <w:r>
        <w:rPr>
          <w:rFonts w:ascii="Calibri" w:cs="Calibri" w:eastAsia="Calibri" w:hAnsi="Calibri"/>
          <w:sz w:val="18"/>
          <w:szCs w:val="18"/>
          <w:color w:val="auto"/>
        </w:rPr>
        <w:t>2013 framework) (the COSO criteria). In our opinion, Ultragenyx Pharmaceutcal Inc. (the Company) maintained, in all material respects, efectve internal control over fnancial reportng as of December 31, 2024, based on the COSO criteria.</w:t>
      </w:r>
    </w:p>
    <w:p>
      <w:pPr>
        <w:spacing w:after="0" w:line="84" w:lineRule="exact"/>
        <w:rPr>
          <w:sz w:val="20"/>
          <w:szCs w:val="20"/>
          <w:color w:val="auto"/>
        </w:rPr>
      </w:pPr>
    </w:p>
    <w:p>
      <w:pPr>
        <w:ind w:right="280"/>
        <w:spacing w:after="0" w:line="235" w:lineRule="auto"/>
        <w:rPr>
          <w:sz w:val="20"/>
          <w:szCs w:val="20"/>
          <w:color w:val="auto"/>
        </w:rPr>
      </w:pPr>
      <w:r>
        <w:rPr>
          <w:rFonts w:ascii="Calibri" w:cs="Calibri" w:eastAsia="Calibri" w:hAnsi="Calibri"/>
          <w:sz w:val="18"/>
          <w:szCs w:val="18"/>
          <w:color w:val="auto"/>
        </w:rPr>
        <w:t>We also have audited, in accordance with the standards of the Public Company Accountng Oversight Board (United States) (PCAOB), the consolidated balance sheets of the Company as of December 31, 2024 and 2023, the related consolidated statements of operatons, comprehensive loss, stockholders’ equity and cash fows for each of the three years in the period ended December 31, 2024, and the related notes and our report dated February 19, 2025 expressed an unqualifed opinion thereon.</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Basis for Opinion</w:t>
      </w:r>
    </w:p>
    <w:p>
      <w:pPr>
        <w:spacing w:after="0" w:line="82"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color w:val="auto"/>
        </w:rPr>
        <w:t>The Company’s management is responsible for maintaining efectve internal control over fnancial reportng and for its assessment of the efectveness of internal control over fnancial reportng included in the accompanying Management’s Annual Report on Internal Control over Financial Reportng. Our responsibility is to express an opinion on the Company’s internal control over fnancial reportng based on our audit. We are a public accountng frm registered with the PCAOB and are required to be independent with respect to the Company in accordance with the U.S. federal securites laws and the applicable rules and regulatons of the Securites and Exchange Commission and the PCAOB.</w:t>
      </w:r>
    </w:p>
    <w:p>
      <w:pPr>
        <w:spacing w:after="0" w:line="85"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color w:val="auto"/>
        </w:rPr>
        <w:t>We conducted our audit in accordance with the standards of the PCAOB. Those standards require that we plan and perform the audit to obtain reasonable assurance about whether efectve internal control over fnancial reportng was maintained in all material respects.</w:t>
      </w:r>
    </w:p>
    <w:p>
      <w:pPr>
        <w:spacing w:after="0" w:line="83" w:lineRule="exact"/>
        <w:rPr>
          <w:sz w:val="20"/>
          <w:szCs w:val="20"/>
          <w:color w:val="auto"/>
        </w:rPr>
      </w:pPr>
    </w:p>
    <w:p>
      <w:pPr>
        <w:jc w:val="both"/>
        <w:ind w:right="300"/>
        <w:spacing w:after="0" w:line="235" w:lineRule="auto"/>
        <w:rPr>
          <w:sz w:val="20"/>
          <w:szCs w:val="20"/>
          <w:color w:val="auto"/>
        </w:rPr>
      </w:pPr>
      <w:r>
        <w:rPr>
          <w:rFonts w:ascii="Calibri" w:cs="Calibri" w:eastAsia="Calibri" w:hAnsi="Calibri"/>
          <w:sz w:val="18"/>
          <w:szCs w:val="18"/>
          <w:color w:val="auto"/>
        </w:rPr>
        <w:t>Our audit included obtaining an understanding of internal control over fnancial reportng, assessing the risk that a material weakness exists, testng and evaluatng the design and operatng efectveness of internal control based on the assessed risk, and performing such other procedures as we considered necessary in the circumstances. We believe that our audit provides a reasonable basis for our opinion.</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Defniton and Limitatons of Internal Control Over Financial Reportng</w:t>
      </w:r>
    </w:p>
    <w:p>
      <w:pPr>
        <w:spacing w:after="0" w:line="82"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 company’s internal control over fnancial reportng is a process designed to provide reasonable assurance regarding the reliability of fnancial reportng and the preparaton of fnancial statements for external purposes in accordance with generally accepted accountng principles. A company’s internal control over fnancial reportng includes those policies and procedures that (1) pertain to the maintenance of records that, in reasonable detail, accurately and fairly refect the transactons and dispositons of the assets of the company; (2) provide reasonable assurance that transactons are recorded as necessary to permit preparaton of fnancial statements in accordance with generally accepted accountng principles, and that receipts and expenditures of the company are being made only in accordance with authorizatons of management and directors of the company; and (3) provide reasonable assurance regarding preventon or tmely detecton of unauthorized acquisiton, use, or dispositon of the company’s assets that could have a material efect on the fnancial statements.</w:t>
      </w:r>
    </w:p>
    <w:p>
      <w:pPr>
        <w:spacing w:after="0" w:line="88"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Because of its inherent limitatons, internal control over fnancial reportng may not prevent or detect misstatements. Also, projectons of any evaluaton of efectveness to future periods are subject to the risk that controls may become inadequate because of changes in conditons, or that the degree of compliance with the policies or procedures may deteriorate.</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San Mateo, California</w:t>
      </w:r>
    </w:p>
    <w:p>
      <w:pPr>
        <w:spacing w:after="0" w:line="235" w:lineRule="auto"/>
        <w:rPr>
          <w:sz w:val="20"/>
          <w:szCs w:val="20"/>
          <w:color w:val="auto"/>
        </w:rPr>
      </w:pPr>
      <w:r>
        <w:rPr>
          <w:rFonts w:ascii="Calibri" w:cs="Calibri" w:eastAsia="Calibri" w:hAnsi="Calibri"/>
          <w:sz w:val="18"/>
          <w:szCs w:val="18"/>
          <w:color w:val="auto"/>
        </w:rPr>
        <w:t>February 19, 2025</w:t>
      </w:r>
    </w:p>
    <w:p>
      <w:pPr>
        <w:spacing w:after="0" w:line="26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9B. </w:t>
      </w:r>
      <w:r>
        <w:rPr>
          <w:rFonts w:ascii="Calibri" w:cs="Calibri" w:eastAsia="Calibri" w:hAnsi="Calibri"/>
          <w:sz w:val="18"/>
          <w:szCs w:val="18"/>
          <w:b w:val="1"/>
          <w:bCs w:val="1"/>
          <w:i w:val="1"/>
          <w:iCs w:val="1"/>
          <w:color w:val="auto"/>
        </w:rPr>
        <w:t>Other Informaton</w:t>
      </w:r>
    </w:p>
    <w:p>
      <w:pPr>
        <w:spacing w:after="0" w:line="82" w:lineRule="exact"/>
        <w:rPr>
          <w:sz w:val="20"/>
          <w:szCs w:val="20"/>
          <w:color w:val="auto"/>
        </w:rPr>
      </w:pPr>
    </w:p>
    <w:p>
      <w:pPr>
        <w:ind w:right="380" w:firstLine="509"/>
        <w:spacing w:after="0" w:line="235" w:lineRule="auto"/>
        <w:rPr>
          <w:sz w:val="20"/>
          <w:szCs w:val="20"/>
          <w:color w:val="auto"/>
        </w:rPr>
      </w:pPr>
      <w:r>
        <w:rPr>
          <w:rFonts w:ascii="Calibri" w:cs="Calibri" w:eastAsia="Calibri" w:hAnsi="Calibri"/>
          <w:sz w:val="18"/>
          <w:szCs w:val="18"/>
          <w:color w:val="auto"/>
        </w:rPr>
        <w:t>During the three months ended December 31, 2024, the following directors and ofcers adopted a Rule 10b5-1 trading arrangement intended to satsfy the afrmatve defense conditons of Rule 10b5-1(c).</w:t>
      </w:r>
    </w:p>
    <w:p>
      <w:pPr>
        <w:spacing w:after="0" w:line="78"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84" w:name="page85"/>
    <w:bookmarkEnd w:id="84"/>
    <w:tbl>
      <w:tblPr>
        <w:tblLayout w:type="fixed"/>
        <w:tblInd w:w="150" w:type="dxa"/>
        <w:tblCellMar>
          <w:top w:w="0" w:type="dxa"/>
          <w:left w:w="0" w:type="dxa"/>
          <w:bottom w:w="0" w:type="dxa"/>
          <w:right w:w="0" w:type="dxa"/>
        </w:tblCellMar>
      </w:tblPr>
      <w:tr>
        <w:trPr>
          <w:trHeight w:val="210"/>
        </w:trPr>
        <w:tc>
          <w:tcPr>
            <w:tcW w:w="2460" w:type="dxa"/>
            <w:vAlign w:val="bottom"/>
            <w:tcBorders>
              <w:top w:val="single" w:sz="8" w:color="auto"/>
              <w:left w:val="single" w:sz="8" w:color="auto"/>
              <w:right w:val="single" w:sz="8" w:color="auto"/>
            </w:tcBorders>
          </w:tcPr>
          <w:p>
            <w:pPr>
              <w:ind w:left="120"/>
              <w:spacing w:after="0" w:line="210" w:lineRule="exact"/>
              <w:rPr>
                <w:sz w:val="20"/>
                <w:szCs w:val="20"/>
                <w:color w:val="auto"/>
              </w:rPr>
            </w:pPr>
            <w:r>
              <w:rPr>
                <w:rFonts w:ascii="Calibri" w:cs="Calibri" w:eastAsia="Calibri" w:hAnsi="Calibri"/>
                <w:sz w:val="18"/>
                <w:szCs w:val="18"/>
                <w:b w:val="1"/>
                <w:bCs w:val="1"/>
                <w:color w:val="auto"/>
              </w:rPr>
              <w:t>Name and Title</w:t>
            </w:r>
          </w:p>
        </w:tc>
        <w:tc>
          <w:tcPr>
            <w:tcW w:w="2440" w:type="dxa"/>
            <w:vAlign w:val="bottom"/>
            <w:tcBorders>
              <w:top w:val="single" w:sz="8" w:color="auto"/>
              <w:right w:val="single" w:sz="8" w:color="auto"/>
            </w:tcBorders>
          </w:tcPr>
          <w:p>
            <w:pPr>
              <w:ind w:left="100"/>
              <w:spacing w:after="0" w:line="210" w:lineRule="exact"/>
              <w:rPr>
                <w:sz w:val="20"/>
                <w:szCs w:val="20"/>
                <w:color w:val="auto"/>
              </w:rPr>
            </w:pPr>
            <w:r>
              <w:rPr>
                <w:rFonts w:ascii="Calibri" w:cs="Calibri" w:eastAsia="Calibri" w:hAnsi="Calibri"/>
                <w:sz w:val="18"/>
                <w:szCs w:val="18"/>
                <w:b w:val="1"/>
                <w:bCs w:val="1"/>
                <w:color w:val="auto"/>
              </w:rPr>
              <w:t>Date Adopted</w:t>
            </w:r>
          </w:p>
        </w:tc>
        <w:tc>
          <w:tcPr>
            <w:tcW w:w="2440" w:type="dxa"/>
            <w:vAlign w:val="bottom"/>
            <w:tcBorders>
              <w:top w:val="single" w:sz="8" w:color="auto"/>
              <w:right w:val="single" w:sz="8" w:color="auto"/>
            </w:tcBorders>
          </w:tcPr>
          <w:p>
            <w:pPr>
              <w:ind w:left="100"/>
              <w:spacing w:after="0" w:line="210" w:lineRule="exact"/>
              <w:rPr>
                <w:sz w:val="20"/>
                <w:szCs w:val="20"/>
                <w:color w:val="auto"/>
              </w:rPr>
            </w:pPr>
            <w:r>
              <w:rPr>
                <w:rFonts w:ascii="Calibri" w:cs="Calibri" w:eastAsia="Calibri" w:hAnsi="Calibri"/>
                <w:sz w:val="18"/>
                <w:szCs w:val="18"/>
                <w:b w:val="1"/>
                <w:bCs w:val="1"/>
                <w:color w:val="auto"/>
              </w:rPr>
              <w:t>Aggregate Number of Shares</w:t>
            </w:r>
          </w:p>
        </w:tc>
        <w:tc>
          <w:tcPr>
            <w:tcW w:w="2420" w:type="dxa"/>
            <w:vAlign w:val="bottom"/>
            <w:tcBorders>
              <w:top w:val="single" w:sz="8" w:color="auto"/>
              <w:right w:val="single" w:sz="8" w:color="auto"/>
            </w:tcBorders>
          </w:tcPr>
          <w:p>
            <w:pPr>
              <w:ind w:left="100"/>
              <w:spacing w:after="0" w:line="210" w:lineRule="exact"/>
              <w:rPr>
                <w:sz w:val="20"/>
                <w:szCs w:val="20"/>
                <w:color w:val="auto"/>
              </w:rPr>
            </w:pPr>
            <w:r>
              <w:rPr>
                <w:rFonts w:ascii="Calibri" w:cs="Calibri" w:eastAsia="Calibri" w:hAnsi="Calibri"/>
                <w:sz w:val="18"/>
                <w:szCs w:val="18"/>
                <w:b w:val="1"/>
                <w:bCs w:val="1"/>
                <w:color w:val="auto"/>
              </w:rPr>
              <w:t>Plan End Date</w:t>
            </w:r>
          </w:p>
        </w:tc>
      </w:tr>
      <w:tr>
        <w:trPr>
          <w:trHeight w:val="215"/>
        </w:trPr>
        <w:tc>
          <w:tcPr>
            <w:tcW w:w="2460" w:type="dxa"/>
            <w:vAlign w:val="bottom"/>
            <w:tcBorders>
              <w:left w:val="single" w:sz="8" w:color="auto"/>
              <w:right w:val="single" w:sz="8" w:color="auto"/>
            </w:tcBorders>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ind w:left="100"/>
              <w:spacing w:after="0" w:line="215" w:lineRule="exact"/>
              <w:rPr>
                <w:sz w:val="20"/>
                <w:szCs w:val="20"/>
                <w:color w:val="auto"/>
              </w:rPr>
            </w:pPr>
            <w:r>
              <w:rPr>
                <w:rFonts w:ascii="Calibri" w:cs="Calibri" w:eastAsia="Calibri" w:hAnsi="Calibri"/>
                <w:sz w:val="18"/>
                <w:szCs w:val="18"/>
                <w:b w:val="1"/>
                <w:bCs w:val="1"/>
                <w:color w:val="auto"/>
              </w:rPr>
              <w:t>of Common Stock to be Sold</w:t>
            </w:r>
          </w:p>
        </w:tc>
        <w:tc>
          <w:tcPr>
            <w:tcW w:w="2420" w:type="dxa"/>
            <w:vAlign w:val="bottom"/>
            <w:tcBorders>
              <w:right w:val="single" w:sz="8" w:color="auto"/>
            </w:tcBorders>
          </w:tcPr>
          <w:p>
            <w:pPr>
              <w:spacing w:after="0"/>
              <w:rPr>
                <w:sz w:val="18"/>
                <w:szCs w:val="18"/>
                <w:color w:val="auto"/>
              </w:rPr>
            </w:pPr>
          </w:p>
        </w:tc>
      </w:tr>
      <w:tr>
        <w:trPr>
          <w:trHeight w:val="216"/>
        </w:trPr>
        <w:tc>
          <w:tcPr>
            <w:tcW w:w="2460" w:type="dxa"/>
            <w:vAlign w:val="bottom"/>
            <w:tcBorders>
              <w:left w:val="single" w:sz="8" w:color="auto"/>
              <w:right w:val="single" w:sz="8" w:color="auto"/>
            </w:tcBorders>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ind w:left="100"/>
              <w:spacing w:after="0" w:line="216" w:lineRule="exact"/>
              <w:rPr>
                <w:sz w:val="20"/>
                <w:szCs w:val="20"/>
                <w:color w:val="auto"/>
              </w:rPr>
            </w:pPr>
            <w:r>
              <w:rPr>
                <w:rFonts w:ascii="Calibri" w:cs="Calibri" w:eastAsia="Calibri" w:hAnsi="Calibri"/>
                <w:sz w:val="18"/>
                <w:szCs w:val="18"/>
                <w:b w:val="1"/>
                <w:bCs w:val="1"/>
                <w:color w:val="auto"/>
              </w:rPr>
              <w:t>(Subject to Certain</w:t>
            </w:r>
          </w:p>
        </w:tc>
        <w:tc>
          <w:tcPr>
            <w:tcW w:w="2420" w:type="dxa"/>
            <w:vAlign w:val="bottom"/>
            <w:tcBorders>
              <w:right w:val="single" w:sz="8" w:color="auto"/>
            </w:tcBorders>
          </w:tcPr>
          <w:p>
            <w:pPr>
              <w:spacing w:after="0"/>
              <w:rPr>
                <w:sz w:val="18"/>
                <w:szCs w:val="18"/>
                <w:color w:val="auto"/>
              </w:rPr>
            </w:pPr>
          </w:p>
        </w:tc>
      </w:tr>
      <w:tr>
        <w:trPr>
          <w:trHeight w:val="216"/>
        </w:trPr>
        <w:tc>
          <w:tcPr>
            <w:tcW w:w="2460" w:type="dxa"/>
            <w:vAlign w:val="bottom"/>
            <w:tcBorders>
              <w:left w:val="single" w:sz="8" w:color="auto"/>
              <w:right w:val="single" w:sz="8" w:color="auto"/>
            </w:tcBorders>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ind w:left="100"/>
              <w:spacing w:after="0" w:line="216" w:lineRule="exact"/>
              <w:rPr>
                <w:sz w:val="20"/>
                <w:szCs w:val="20"/>
                <w:color w:val="auto"/>
              </w:rPr>
            </w:pPr>
            <w:r>
              <w:rPr>
                <w:rFonts w:ascii="Calibri" w:cs="Calibri" w:eastAsia="Calibri" w:hAnsi="Calibri"/>
                <w:sz w:val="18"/>
                <w:szCs w:val="18"/>
                <w:b w:val="1"/>
                <w:bCs w:val="1"/>
                <w:color w:val="auto"/>
              </w:rPr>
              <w:t>Conditons)</w:t>
            </w:r>
          </w:p>
        </w:tc>
        <w:tc>
          <w:tcPr>
            <w:tcW w:w="2420" w:type="dxa"/>
            <w:vAlign w:val="bottom"/>
            <w:tcBorders>
              <w:right w:val="single" w:sz="8" w:color="auto"/>
            </w:tcBorders>
          </w:tcPr>
          <w:p>
            <w:pPr>
              <w:spacing w:after="0"/>
              <w:rPr>
                <w:sz w:val="18"/>
                <w:szCs w:val="18"/>
                <w:color w:val="auto"/>
              </w:rPr>
            </w:pPr>
          </w:p>
        </w:tc>
      </w:tr>
      <w:tr>
        <w:trPr>
          <w:trHeight w:val="60"/>
        </w:trPr>
        <w:tc>
          <w:tcPr>
            <w:tcW w:w="2460" w:type="dxa"/>
            <w:vAlign w:val="bottom"/>
            <w:tcBorders>
              <w:left w:val="single" w:sz="8" w:color="auto"/>
              <w:bottom w:val="single" w:sz="8" w:color="auto"/>
              <w:right w:val="single" w:sz="8" w:color="auto"/>
            </w:tcBorders>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2440" w:type="dxa"/>
            <w:vAlign w:val="bottom"/>
            <w:tcBorders>
              <w:bottom w:val="single" w:sz="8" w:color="auto"/>
              <w:right w:val="single" w:sz="8" w:color="auto"/>
            </w:tcBorders>
          </w:tcPr>
          <w:p>
            <w:pPr>
              <w:spacing w:after="0"/>
              <w:rPr>
                <w:sz w:val="5"/>
                <w:szCs w:val="5"/>
                <w:color w:val="auto"/>
              </w:rPr>
            </w:pPr>
          </w:p>
        </w:tc>
        <w:tc>
          <w:tcPr>
            <w:tcW w:w="2420" w:type="dxa"/>
            <w:vAlign w:val="bottom"/>
            <w:tcBorders>
              <w:bottom w:val="single" w:sz="8" w:color="auto"/>
              <w:right w:val="single" w:sz="8" w:color="auto"/>
            </w:tcBorders>
          </w:tcPr>
          <w:p>
            <w:pPr>
              <w:spacing w:after="0"/>
              <w:rPr>
                <w:sz w:val="5"/>
                <w:szCs w:val="5"/>
                <w:color w:val="auto"/>
              </w:rPr>
            </w:pPr>
          </w:p>
        </w:tc>
      </w:tr>
      <w:tr>
        <w:trPr>
          <w:trHeight w:val="150"/>
        </w:trPr>
        <w:tc>
          <w:tcPr>
            <w:tcW w:w="2460" w:type="dxa"/>
            <w:vAlign w:val="bottom"/>
            <w:tcBorders>
              <w:left w:val="single" w:sz="8" w:color="auto"/>
              <w:right w:val="single" w:sz="8" w:color="auto"/>
            </w:tcBorders>
          </w:tcPr>
          <w:p>
            <w:pPr>
              <w:ind w:left="120"/>
              <w:spacing w:after="0" w:line="150" w:lineRule="exact"/>
              <w:rPr>
                <w:sz w:val="20"/>
                <w:szCs w:val="20"/>
                <w:color w:val="auto"/>
              </w:rPr>
            </w:pPr>
            <w:r>
              <w:rPr>
                <w:rFonts w:ascii="Calibri" w:cs="Calibri" w:eastAsia="Calibri" w:hAnsi="Calibri"/>
                <w:sz w:val="16"/>
                <w:szCs w:val="16"/>
                <w:color w:val="auto"/>
              </w:rPr>
              <w:t>Shehnaaz Suliman, M.D., Ph.D.</w:t>
            </w:r>
          </w:p>
        </w:tc>
        <w:tc>
          <w:tcPr>
            <w:tcW w:w="2440" w:type="dxa"/>
            <w:vAlign w:val="bottom"/>
            <w:tcBorders>
              <w:right w:val="single" w:sz="8" w:color="auto"/>
            </w:tcBorders>
          </w:tcPr>
          <w:p>
            <w:pPr>
              <w:ind w:left="100"/>
              <w:spacing w:after="0" w:line="150" w:lineRule="exact"/>
              <w:rPr>
                <w:sz w:val="20"/>
                <w:szCs w:val="20"/>
                <w:color w:val="auto"/>
              </w:rPr>
            </w:pPr>
            <w:r>
              <w:rPr>
                <w:rFonts w:ascii="Calibri" w:cs="Calibri" w:eastAsia="Calibri" w:hAnsi="Calibri"/>
                <w:sz w:val="16"/>
                <w:szCs w:val="16"/>
                <w:color w:val="auto"/>
              </w:rPr>
              <w:t>November 8, 2024</w:t>
            </w:r>
          </w:p>
        </w:tc>
        <w:tc>
          <w:tcPr>
            <w:tcW w:w="2440" w:type="dxa"/>
            <w:vAlign w:val="bottom"/>
            <w:tcBorders>
              <w:right w:val="single" w:sz="8" w:color="auto"/>
            </w:tcBorders>
          </w:tcPr>
          <w:p>
            <w:pPr>
              <w:ind w:left="100"/>
              <w:spacing w:after="0" w:line="150" w:lineRule="exact"/>
              <w:rPr>
                <w:sz w:val="20"/>
                <w:szCs w:val="20"/>
                <w:color w:val="auto"/>
              </w:rPr>
            </w:pPr>
            <w:r>
              <w:rPr>
                <w:rFonts w:ascii="Calibri" w:cs="Calibri" w:eastAsia="Calibri" w:hAnsi="Calibri"/>
                <w:sz w:val="16"/>
                <w:szCs w:val="16"/>
                <w:color w:val="auto"/>
              </w:rPr>
              <w:t>Up to 27,110 shares, all of</w:t>
            </w:r>
          </w:p>
        </w:tc>
        <w:tc>
          <w:tcPr>
            <w:tcW w:w="2420" w:type="dxa"/>
            <w:vAlign w:val="bottom"/>
            <w:tcBorders>
              <w:right w:val="single" w:sz="8" w:color="auto"/>
            </w:tcBorders>
          </w:tcPr>
          <w:p>
            <w:pPr>
              <w:ind w:left="100"/>
              <w:spacing w:after="0" w:line="150" w:lineRule="exact"/>
              <w:rPr>
                <w:sz w:val="20"/>
                <w:szCs w:val="20"/>
                <w:color w:val="auto"/>
              </w:rPr>
            </w:pPr>
            <w:r>
              <w:rPr>
                <w:rFonts w:ascii="Calibri" w:cs="Calibri" w:eastAsia="Calibri" w:hAnsi="Calibri"/>
                <w:sz w:val="16"/>
                <w:szCs w:val="16"/>
                <w:color w:val="auto"/>
              </w:rPr>
              <w:t>November 7, 2025</w:t>
            </w:r>
          </w:p>
        </w:tc>
      </w:tr>
      <w:tr>
        <w:trPr>
          <w:trHeight w:val="215"/>
        </w:trPr>
        <w:tc>
          <w:tcPr>
            <w:tcW w:w="2460" w:type="dxa"/>
            <w:vAlign w:val="bottom"/>
            <w:tcBorders>
              <w:left w:val="single" w:sz="8" w:color="auto"/>
              <w:right w:val="single" w:sz="8" w:color="auto"/>
            </w:tcBorders>
          </w:tcPr>
          <w:p>
            <w:pPr>
              <w:ind w:left="120"/>
              <w:spacing w:after="0" w:line="215" w:lineRule="exact"/>
              <w:rPr>
                <w:sz w:val="20"/>
                <w:szCs w:val="20"/>
                <w:color w:val="auto"/>
              </w:rPr>
            </w:pPr>
            <w:r>
              <w:rPr>
                <w:rFonts w:ascii="Calibri" w:cs="Calibri" w:eastAsia="Calibri" w:hAnsi="Calibri"/>
                <w:sz w:val="18"/>
                <w:szCs w:val="18"/>
                <w:color w:val="auto"/>
              </w:rPr>
              <w:t>Board Member</w:t>
            </w:r>
          </w:p>
        </w:tc>
        <w:tc>
          <w:tcPr>
            <w:tcW w:w="244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ind w:left="100"/>
              <w:spacing w:after="0" w:line="215" w:lineRule="exact"/>
              <w:rPr>
                <w:sz w:val="20"/>
                <w:szCs w:val="20"/>
                <w:color w:val="auto"/>
              </w:rPr>
            </w:pPr>
            <w:r>
              <w:rPr>
                <w:rFonts w:ascii="Calibri" w:cs="Calibri" w:eastAsia="Calibri" w:hAnsi="Calibri"/>
                <w:sz w:val="18"/>
                <w:szCs w:val="18"/>
                <w:color w:val="auto"/>
              </w:rPr>
              <w:t>which are shares to be</w:t>
            </w:r>
          </w:p>
        </w:tc>
        <w:tc>
          <w:tcPr>
            <w:tcW w:w="2420" w:type="dxa"/>
            <w:vAlign w:val="bottom"/>
            <w:tcBorders>
              <w:right w:val="single" w:sz="8" w:color="auto"/>
            </w:tcBorders>
          </w:tcPr>
          <w:p>
            <w:pPr>
              <w:spacing w:after="0"/>
              <w:rPr>
                <w:sz w:val="18"/>
                <w:szCs w:val="18"/>
                <w:color w:val="auto"/>
              </w:rPr>
            </w:pPr>
          </w:p>
        </w:tc>
      </w:tr>
      <w:tr>
        <w:trPr>
          <w:trHeight w:val="216"/>
        </w:trPr>
        <w:tc>
          <w:tcPr>
            <w:tcW w:w="2460" w:type="dxa"/>
            <w:vAlign w:val="bottom"/>
            <w:tcBorders>
              <w:left w:val="single" w:sz="8" w:color="auto"/>
              <w:right w:val="single" w:sz="8" w:color="auto"/>
            </w:tcBorders>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ind w:left="100"/>
              <w:spacing w:after="0" w:line="216" w:lineRule="exact"/>
              <w:rPr>
                <w:sz w:val="20"/>
                <w:szCs w:val="20"/>
                <w:color w:val="auto"/>
              </w:rPr>
            </w:pPr>
            <w:r>
              <w:rPr>
                <w:rFonts w:ascii="Calibri" w:cs="Calibri" w:eastAsia="Calibri" w:hAnsi="Calibri"/>
                <w:sz w:val="18"/>
                <w:szCs w:val="18"/>
                <w:color w:val="auto"/>
              </w:rPr>
              <w:t>acquired upon the exercise of</w:t>
            </w:r>
          </w:p>
        </w:tc>
        <w:tc>
          <w:tcPr>
            <w:tcW w:w="2420" w:type="dxa"/>
            <w:vAlign w:val="bottom"/>
            <w:tcBorders>
              <w:right w:val="single" w:sz="8" w:color="auto"/>
            </w:tcBorders>
          </w:tcPr>
          <w:p>
            <w:pPr>
              <w:spacing w:after="0"/>
              <w:rPr>
                <w:sz w:val="18"/>
                <w:szCs w:val="18"/>
                <w:color w:val="auto"/>
              </w:rPr>
            </w:pPr>
          </w:p>
        </w:tc>
      </w:tr>
      <w:tr>
        <w:trPr>
          <w:trHeight w:val="216"/>
        </w:trPr>
        <w:tc>
          <w:tcPr>
            <w:tcW w:w="2460" w:type="dxa"/>
            <w:vAlign w:val="bottom"/>
            <w:tcBorders>
              <w:left w:val="single" w:sz="8" w:color="auto"/>
              <w:right w:val="single" w:sz="8" w:color="auto"/>
            </w:tcBorders>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ind w:left="100"/>
              <w:spacing w:after="0" w:line="216" w:lineRule="exact"/>
              <w:rPr>
                <w:sz w:val="20"/>
                <w:szCs w:val="20"/>
                <w:color w:val="auto"/>
              </w:rPr>
            </w:pPr>
            <w:r>
              <w:rPr>
                <w:rFonts w:ascii="Calibri" w:cs="Calibri" w:eastAsia="Calibri" w:hAnsi="Calibri"/>
                <w:sz w:val="18"/>
                <w:szCs w:val="18"/>
                <w:color w:val="auto"/>
              </w:rPr>
              <w:t>stock optons</w:t>
            </w:r>
          </w:p>
        </w:tc>
        <w:tc>
          <w:tcPr>
            <w:tcW w:w="2420" w:type="dxa"/>
            <w:vAlign w:val="bottom"/>
            <w:tcBorders>
              <w:right w:val="single" w:sz="8" w:color="auto"/>
            </w:tcBorders>
          </w:tcPr>
          <w:p>
            <w:pPr>
              <w:spacing w:after="0"/>
              <w:rPr>
                <w:sz w:val="18"/>
                <w:szCs w:val="18"/>
                <w:color w:val="auto"/>
              </w:rPr>
            </w:pPr>
          </w:p>
        </w:tc>
      </w:tr>
      <w:tr>
        <w:trPr>
          <w:trHeight w:val="23"/>
        </w:trPr>
        <w:tc>
          <w:tcPr>
            <w:tcW w:w="246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r>
      <w:tr>
        <w:trPr>
          <w:trHeight w:val="187"/>
        </w:trPr>
        <w:tc>
          <w:tcPr>
            <w:tcW w:w="2460" w:type="dxa"/>
            <w:vAlign w:val="bottom"/>
            <w:tcBorders>
              <w:left w:val="single" w:sz="8" w:color="auto"/>
              <w:right w:val="single" w:sz="8" w:color="auto"/>
            </w:tcBorders>
          </w:tcPr>
          <w:p>
            <w:pPr>
              <w:ind w:left="120"/>
              <w:spacing w:after="0" w:line="187" w:lineRule="exact"/>
              <w:rPr>
                <w:sz w:val="20"/>
                <w:szCs w:val="20"/>
                <w:color w:val="auto"/>
              </w:rPr>
            </w:pPr>
            <w:r>
              <w:rPr>
                <w:rFonts w:ascii="Calibri" w:cs="Calibri" w:eastAsia="Calibri" w:hAnsi="Calibri"/>
                <w:sz w:val="18"/>
                <w:szCs w:val="18"/>
                <w:color w:val="auto"/>
              </w:rPr>
              <w:t>Corsee Sanders, Ph.D.,</w:t>
            </w:r>
          </w:p>
        </w:tc>
        <w:tc>
          <w:tcPr>
            <w:tcW w:w="2440" w:type="dxa"/>
            <w:vAlign w:val="bottom"/>
            <w:tcBorders>
              <w:right w:val="single" w:sz="8" w:color="auto"/>
            </w:tcBorders>
          </w:tcPr>
          <w:p>
            <w:pPr>
              <w:ind w:left="100"/>
              <w:spacing w:after="0" w:line="187" w:lineRule="exact"/>
              <w:rPr>
                <w:sz w:val="20"/>
                <w:szCs w:val="20"/>
                <w:color w:val="auto"/>
              </w:rPr>
            </w:pPr>
            <w:r>
              <w:rPr>
                <w:rFonts w:ascii="Calibri" w:cs="Calibri" w:eastAsia="Calibri" w:hAnsi="Calibri"/>
                <w:sz w:val="18"/>
                <w:szCs w:val="18"/>
                <w:color w:val="auto"/>
              </w:rPr>
              <w:t>November 15, 2024</w:t>
            </w:r>
          </w:p>
        </w:tc>
        <w:tc>
          <w:tcPr>
            <w:tcW w:w="2440" w:type="dxa"/>
            <w:vAlign w:val="bottom"/>
            <w:tcBorders>
              <w:right w:val="single" w:sz="8" w:color="auto"/>
            </w:tcBorders>
          </w:tcPr>
          <w:p>
            <w:pPr>
              <w:ind w:left="100"/>
              <w:spacing w:after="0" w:line="187" w:lineRule="exact"/>
              <w:rPr>
                <w:sz w:val="20"/>
                <w:szCs w:val="20"/>
                <w:color w:val="auto"/>
              </w:rPr>
            </w:pPr>
            <w:r>
              <w:rPr>
                <w:rFonts w:ascii="Calibri" w:cs="Calibri" w:eastAsia="Calibri" w:hAnsi="Calibri"/>
                <w:sz w:val="18"/>
                <w:szCs w:val="18"/>
                <w:color w:val="auto"/>
              </w:rPr>
              <w:t>Up to 2,405 shares</w:t>
            </w:r>
          </w:p>
        </w:tc>
        <w:tc>
          <w:tcPr>
            <w:tcW w:w="2420" w:type="dxa"/>
            <w:vAlign w:val="bottom"/>
            <w:tcBorders>
              <w:right w:val="single" w:sz="8" w:color="auto"/>
            </w:tcBorders>
          </w:tcPr>
          <w:p>
            <w:pPr>
              <w:ind w:left="100"/>
              <w:spacing w:after="0" w:line="187" w:lineRule="exact"/>
              <w:rPr>
                <w:sz w:val="20"/>
                <w:szCs w:val="20"/>
                <w:color w:val="auto"/>
              </w:rPr>
            </w:pPr>
            <w:r>
              <w:rPr>
                <w:rFonts w:ascii="Calibri" w:cs="Calibri" w:eastAsia="Calibri" w:hAnsi="Calibri"/>
                <w:sz w:val="18"/>
                <w:szCs w:val="18"/>
                <w:color w:val="auto"/>
              </w:rPr>
              <w:t>June 26, 2025</w:t>
            </w:r>
          </w:p>
        </w:tc>
      </w:tr>
      <w:tr>
        <w:trPr>
          <w:trHeight w:val="215"/>
        </w:trPr>
        <w:tc>
          <w:tcPr>
            <w:tcW w:w="2460" w:type="dxa"/>
            <w:vAlign w:val="bottom"/>
            <w:tcBorders>
              <w:left w:val="single" w:sz="8" w:color="auto"/>
              <w:right w:val="single" w:sz="8" w:color="auto"/>
            </w:tcBorders>
          </w:tcPr>
          <w:p>
            <w:pPr>
              <w:ind w:left="120"/>
              <w:spacing w:after="0" w:line="215" w:lineRule="exact"/>
              <w:rPr>
                <w:sz w:val="20"/>
                <w:szCs w:val="20"/>
                <w:color w:val="auto"/>
              </w:rPr>
            </w:pPr>
            <w:r>
              <w:rPr>
                <w:rFonts w:ascii="Calibri" w:cs="Calibri" w:eastAsia="Calibri" w:hAnsi="Calibri"/>
                <w:sz w:val="18"/>
                <w:szCs w:val="18"/>
                <w:color w:val="auto"/>
              </w:rPr>
              <w:t>Board Member</w:t>
            </w:r>
          </w:p>
        </w:tc>
        <w:tc>
          <w:tcPr>
            <w:tcW w:w="244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2420" w:type="dxa"/>
            <w:vAlign w:val="bottom"/>
            <w:tcBorders>
              <w:right w:val="single" w:sz="8" w:color="auto"/>
            </w:tcBorders>
          </w:tcPr>
          <w:p>
            <w:pPr>
              <w:spacing w:after="0"/>
              <w:rPr>
                <w:sz w:val="18"/>
                <w:szCs w:val="18"/>
                <w:color w:val="auto"/>
              </w:rPr>
            </w:pPr>
          </w:p>
        </w:tc>
      </w:tr>
      <w:tr>
        <w:trPr>
          <w:trHeight w:val="239"/>
        </w:trPr>
        <w:tc>
          <w:tcPr>
            <w:tcW w:w="2460" w:type="dxa"/>
            <w:vAlign w:val="bottom"/>
            <w:tcBorders>
              <w:left w:val="single" w:sz="8" w:color="auto"/>
              <w:bottom w:val="single" w:sz="8" w:color="auto"/>
              <w:right w:val="single" w:sz="8" w:color="auto"/>
            </w:tcBorders>
          </w:tcPr>
          <w:p>
            <w:pPr>
              <w:spacing w:after="0"/>
              <w:rPr>
                <w:sz w:val="20"/>
                <w:szCs w:val="20"/>
                <w:color w:val="auto"/>
              </w:rPr>
            </w:pPr>
          </w:p>
        </w:tc>
        <w:tc>
          <w:tcPr>
            <w:tcW w:w="2440" w:type="dxa"/>
            <w:vAlign w:val="bottom"/>
            <w:tcBorders>
              <w:bottom w:val="single" w:sz="8" w:color="auto"/>
              <w:right w:val="single" w:sz="8" w:color="auto"/>
            </w:tcBorders>
          </w:tcPr>
          <w:p>
            <w:pPr>
              <w:spacing w:after="0"/>
              <w:rPr>
                <w:sz w:val="20"/>
                <w:szCs w:val="20"/>
                <w:color w:val="auto"/>
              </w:rPr>
            </w:pPr>
          </w:p>
        </w:tc>
        <w:tc>
          <w:tcPr>
            <w:tcW w:w="2440" w:type="dxa"/>
            <w:vAlign w:val="bottom"/>
            <w:tcBorders>
              <w:bottom w:val="single" w:sz="8" w:color="auto"/>
              <w:right w:val="single" w:sz="8" w:color="auto"/>
            </w:tcBorders>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r>
      <w:tr>
        <w:trPr>
          <w:trHeight w:val="187"/>
        </w:trPr>
        <w:tc>
          <w:tcPr>
            <w:tcW w:w="2460" w:type="dxa"/>
            <w:vAlign w:val="bottom"/>
            <w:tcBorders>
              <w:left w:val="single" w:sz="8" w:color="auto"/>
              <w:right w:val="single" w:sz="8" w:color="auto"/>
            </w:tcBorders>
          </w:tcPr>
          <w:p>
            <w:pPr>
              <w:ind w:left="120"/>
              <w:spacing w:after="0" w:line="187" w:lineRule="exact"/>
              <w:rPr>
                <w:sz w:val="20"/>
                <w:szCs w:val="20"/>
                <w:color w:val="auto"/>
              </w:rPr>
            </w:pPr>
            <w:r>
              <w:rPr>
                <w:rFonts w:ascii="Calibri" w:cs="Calibri" w:eastAsia="Calibri" w:hAnsi="Calibri"/>
                <w:sz w:val="18"/>
                <w:szCs w:val="18"/>
                <w:color w:val="auto"/>
              </w:rPr>
              <w:t>Mathew Fust,</w:t>
            </w:r>
          </w:p>
        </w:tc>
        <w:tc>
          <w:tcPr>
            <w:tcW w:w="2440" w:type="dxa"/>
            <w:vAlign w:val="bottom"/>
            <w:tcBorders>
              <w:right w:val="single" w:sz="8" w:color="auto"/>
            </w:tcBorders>
          </w:tcPr>
          <w:p>
            <w:pPr>
              <w:ind w:left="100"/>
              <w:spacing w:after="0" w:line="187" w:lineRule="exact"/>
              <w:rPr>
                <w:sz w:val="20"/>
                <w:szCs w:val="20"/>
                <w:color w:val="auto"/>
              </w:rPr>
            </w:pPr>
            <w:r>
              <w:rPr>
                <w:rFonts w:ascii="Calibri" w:cs="Calibri" w:eastAsia="Calibri" w:hAnsi="Calibri"/>
                <w:sz w:val="18"/>
                <w:szCs w:val="18"/>
                <w:color w:val="auto"/>
              </w:rPr>
              <w:t>November 22, 2024</w:t>
            </w:r>
          </w:p>
        </w:tc>
        <w:tc>
          <w:tcPr>
            <w:tcW w:w="2440" w:type="dxa"/>
            <w:vAlign w:val="bottom"/>
            <w:tcBorders>
              <w:right w:val="single" w:sz="8" w:color="auto"/>
            </w:tcBorders>
          </w:tcPr>
          <w:p>
            <w:pPr>
              <w:ind w:left="100"/>
              <w:spacing w:after="0" w:line="187" w:lineRule="exact"/>
              <w:rPr>
                <w:sz w:val="20"/>
                <w:szCs w:val="20"/>
                <w:color w:val="auto"/>
              </w:rPr>
            </w:pPr>
            <w:r>
              <w:rPr>
                <w:rFonts w:ascii="Calibri" w:cs="Calibri" w:eastAsia="Calibri" w:hAnsi="Calibri"/>
                <w:sz w:val="18"/>
                <w:szCs w:val="18"/>
                <w:color w:val="auto"/>
              </w:rPr>
              <w:t>Up to 15,000 shares, all of</w:t>
            </w:r>
          </w:p>
        </w:tc>
        <w:tc>
          <w:tcPr>
            <w:tcW w:w="2420" w:type="dxa"/>
            <w:vAlign w:val="bottom"/>
            <w:tcBorders>
              <w:right w:val="single" w:sz="8" w:color="auto"/>
            </w:tcBorders>
          </w:tcPr>
          <w:p>
            <w:pPr>
              <w:ind w:left="140"/>
              <w:spacing w:after="0" w:line="187" w:lineRule="exact"/>
              <w:rPr>
                <w:sz w:val="20"/>
                <w:szCs w:val="20"/>
                <w:color w:val="auto"/>
              </w:rPr>
            </w:pPr>
            <w:r>
              <w:rPr>
                <w:rFonts w:ascii="Calibri" w:cs="Calibri" w:eastAsia="Calibri" w:hAnsi="Calibri"/>
                <w:sz w:val="18"/>
                <w:szCs w:val="18"/>
                <w:color w:val="auto"/>
              </w:rPr>
              <w:t>November 21, 2025</w:t>
            </w:r>
          </w:p>
        </w:tc>
      </w:tr>
      <w:tr>
        <w:trPr>
          <w:trHeight w:val="215"/>
        </w:trPr>
        <w:tc>
          <w:tcPr>
            <w:tcW w:w="2460" w:type="dxa"/>
            <w:vAlign w:val="bottom"/>
            <w:tcBorders>
              <w:left w:val="single" w:sz="8" w:color="auto"/>
              <w:right w:val="single" w:sz="8" w:color="auto"/>
            </w:tcBorders>
          </w:tcPr>
          <w:p>
            <w:pPr>
              <w:ind w:left="120"/>
              <w:spacing w:after="0" w:line="215" w:lineRule="exact"/>
              <w:rPr>
                <w:sz w:val="20"/>
                <w:szCs w:val="20"/>
                <w:color w:val="auto"/>
              </w:rPr>
            </w:pPr>
            <w:r>
              <w:rPr>
                <w:rFonts w:ascii="Calibri" w:cs="Calibri" w:eastAsia="Calibri" w:hAnsi="Calibri"/>
                <w:sz w:val="18"/>
                <w:szCs w:val="18"/>
                <w:color w:val="auto"/>
              </w:rPr>
              <w:t>Board Member</w:t>
            </w:r>
          </w:p>
        </w:tc>
        <w:tc>
          <w:tcPr>
            <w:tcW w:w="244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ind w:left="100"/>
              <w:spacing w:after="0" w:line="215" w:lineRule="exact"/>
              <w:rPr>
                <w:sz w:val="20"/>
                <w:szCs w:val="20"/>
                <w:color w:val="auto"/>
              </w:rPr>
            </w:pPr>
            <w:r>
              <w:rPr>
                <w:rFonts w:ascii="Calibri" w:cs="Calibri" w:eastAsia="Calibri" w:hAnsi="Calibri"/>
                <w:sz w:val="18"/>
                <w:szCs w:val="18"/>
                <w:color w:val="auto"/>
              </w:rPr>
              <w:t>which are shares to be</w:t>
            </w:r>
          </w:p>
        </w:tc>
        <w:tc>
          <w:tcPr>
            <w:tcW w:w="2420" w:type="dxa"/>
            <w:vAlign w:val="bottom"/>
            <w:tcBorders>
              <w:right w:val="single" w:sz="8" w:color="auto"/>
            </w:tcBorders>
          </w:tcPr>
          <w:p>
            <w:pPr>
              <w:spacing w:after="0"/>
              <w:rPr>
                <w:sz w:val="18"/>
                <w:szCs w:val="18"/>
                <w:color w:val="auto"/>
              </w:rPr>
            </w:pPr>
          </w:p>
        </w:tc>
      </w:tr>
      <w:tr>
        <w:trPr>
          <w:trHeight w:val="216"/>
        </w:trPr>
        <w:tc>
          <w:tcPr>
            <w:tcW w:w="2460" w:type="dxa"/>
            <w:vAlign w:val="bottom"/>
            <w:tcBorders>
              <w:left w:val="single" w:sz="8" w:color="auto"/>
              <w:right w:val="single" w:sz="8" w:color="auto"/>
            </w:tcBorders>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ind w:left="100"/>
              <w:spacing w:after="0" w:line="216" w:lineRule="exact"/>
              <w:rPr>
                <w:sz w:val="20"/>
                <w:szCs w:val="20"/>
                <w:color w:val="auto"/>
              </w:rPr>
            </w:pPr>
            <w:r>
              <w:rPr>
                <w:rFonts w:ascii="Calibri" w:cs="Calibri" w:eastAsia="Calibri" w:hAnsi="Calibri"/>
                <w:sz w:val="18"/>
                <w:szCs w:val="18"/>
                <w:color w:val="auto"/>
              </w:rPr>
              <w:t>acquired upon the exercise of</w:t>
            </w:r>
          </w:p>
        </w:tc>
        <w:tc>
          <w:tcPr>
            <w:tcW w:w="2420" w:type="dxa"/>
            <w:vAlign w:val="bottom"/>
            <w:tcBorders>
              <w:right w:val="single" w:sz="8" w:color="auto"/>
            </w:tcBorders>
          </w:tcPr>
          <w:p>
            <w:pPr>
              <w:spacing w:after="0"/>
              <w:rPr>
                <w:sz w:val="18"/>
                <w:szCs w:val="18"/>
                <w:color w:val="auto"/>
              </w:rPr>
            </w:pPr>
          </w:p>
        </w:tc>
      </w:tr>
      <w:tr>
        <w:trPr>
          <w:trHeight w:val="216"/>
        </w:trPr>
        <w:tc>
          <w:tcPr>
            <w:tcW w:w="2460" w:type="dxa"/>
            <w:vAlign w:val="bottom"/>
            <w:tcBorders>
              <w:left w:val="single" w:sz="8" w:color="auto"/>
              <w:right w:val="single" w:sz="8" w:color="auto"/>
            </w:tcBorders>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ind w:left="100"/>
              <w:spacing w:after="0" w:line="216" w:lineRule="exact"/>
              <w:rPr>
                <w:sz w:val="20"/>
                <w:szCs w:val="20"/>
                <w:color w:val="auto"/>
              </w:rPr>
            </w:pPr>
            <w:r>
              <w:rPr>
                <w:rFonts w:ascii="Calibri" w:cs="Calibri" w:eastAsia="Calibri" w:hAnsi="Calibri"/>
                <w:sz w:val="18"/>
                <w:szCs w:val="18"/>
                <w:color w:val="auto"/>
              </w:rPr>
              <w:t>stock optons</w:t>
            </w:r>
          </w:p>
        </w:tc>
        <w:tc>
          <w:tcPr>
            <w:tcW w:w="2420" w:type="dxa"/>
            <w:vAlign w:val="bottom"/>
            <w:tcBorders>
              <w:right w:val="single" w:sz="8" w:color="auto"/>
            </w:tcBorders>
          </w:tcPr>
          <w:p>
            <w:pPr>
              <w:spacing w:after="0"/>
              <w:rPr>
                <w:sz w:val="18"/>
                <w:szCs w:val="18"/>
                <w:color w:val="auto"/>
              </w:rPr>
            </w:pPr>
          </w:p>
        </w:tc>
      </w:tr>
      <w:tr>
        <w:trPr>
          <w:trHeight w:val="23"/>
        </w:trPr>
        <w:tc>
          <w:tcPr>
            <w:tcW w:w="246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r>
      <w:tr>
        <w:trPr>
          <w:trHeight w:val="187"/>
        </w:trPr>
        <w:tc>
          <w:tcPr>
            <w:tcW w:w="2460" w:type="dxa"/>
            <w:vAlign w:val="bottom"/>
            <w:tcBorders>
              <w:left w:val="single" w:sz="8" w:color="auto"/>
              <w:right w:val="single" w:sz="8" w:color="auto"/>
            </w:tcBorders>
          </w:tcPr>
          <w:p>
            <w:pPr>
              <w:ind w:left="120"/>
              <w:spacing w:after="0" w:line="187" w:lineRule="exact"/>
              <w:rPr>
                <w:sz w:val="20"/>
                <w:szCs w:val="20"/>
                <w:color w:val="auto"/>
              </w:rPr>
            </w:pPr>
            <w:r>
              <w:rPr>
                <w:rFonts w:ascii="Calibri" w:cs="Calibri" w:eastAsia="Calibri" w:hAnsi="Calibri"/>
                <w:sz w:val="18"/>
                <w:szCs w:val="18"/>
                <w:color w:val="auto"/>
              </w:rPr>
              <w:t>Eric Crombez, M.D.</w:t>
            </w:r>
          </w:p>
        </w:tc>
        <w:tc>
          <w:tcPr>
            <w:tcW w:w="2440" w:type="dxa"/>
            <w:vAlign w:val="bottom"/>
            <w:tcBorders>
              <w:right w:val="single" w:sz="8" w:color="auto"/>
            </w:tcBorders>
          </w:tcPr>
          <w:p>
            <w:pPr>
              <w:ind w:left="100"/>
              <w:spacing w:after="0" w:line="187" w:lineRule="exact"/>
              <w:rPr>
                <w:sz w:val="20"/>
                <w:szCs w:val="20"/>
                <w:color w:val="auto"/>
              </w:rPr>
            </w:pPr>
            <w:r>
              <w:rPr>
                <w:rFonts w:ascii="Calibri" w:cs="Calibri" w:eastAsia="Calibri" w:hAnsi="Calibri"/>
                <w:sz w:val="18"/>
                <w:szCs w:val="18"/>
                <w:color w:val="auto"/>
              </w:rPr>
              <w:t>December 3, 2024</w:t>
            </w:r>
          </w:p>
        </w:tc>
        <w:tc>
          <w:tcPr>
            <w:tcW w:w="2440" w:type="dxa"/>
            <w:vAlign w:val="bottom"/>
            <w:tcBorders>
              <w:right w:val="single" w:sz="8" w:color="auto"/>
            </w:tcBorders>
          </w:tcPr>
          <w:p>
            <w:pPr>
              <w:ind w:left="100"/>
              <w:spacing w:after="0" w:line="187" w:lineRule="exact"/>
              <w:rPr>
                <w:sz w:val="20"/>
                <w:szCs w:val="20"/>
                <w:color w:val="auto"/>
              </w:rPr>
            </w:pPr>
            <w:r>
              <w:rPr>
                <w:rFonts w:ascii="Calibri" w:cs="Calibri" w:eastAsia="Calibri" w:hAnsi="Calibri"/>
                <w:sz w:val="18"/>
                <w:szCs w:val="18"/>
                <w:color w:val="auto"/>
              </w:rPr>
              <w:t>Up to 64,235 shares, 28,500 of</w:t>
            </w:r>
          </w:p>
        </w:tc>
        <w:tc>
          <w:tcPr>
            <w:tcW w:w="2420" w:type="dxa"/>
            <w:vAlign w:val="bottom"/>
            <w:tcBorders>
              <w:right w:val="single" w:sz="8" w:color="auto"/>
            </w:tcBorders>
          </w:tcPr>
          <w:p>
            <w:pPr>
              <w:ind w:left="100"/>
              <w:spacing w:after="0" w:line="187" w:lineRule="exact"/>
              <w:rPr>
                <w:sz w:val="20"/>
                <w:szCs w:val="20"/>
                <w:color w:val="auto"/>
              </w:rPr>
            </w:pPr>
            <w:r>
              <w:rPr>
                <w:rFonts w:ascii="Calibri" w:cs="Calibri" w:eastAsia="Calibri" w:hAnsi="Calibri"/>
                <w:sz w:val="18"/>
                <w:szCs w:val="18"/>
                <w:color w:val="auto"/>
              </w:rPr>
              <w:t>December 3, 2025</w:t>
            </w:r>
          </w:p>
        </w:tc>
      </w:tr>
      <w:tr>
        <w:trPr>
          <w:trHeight w:val="215"/>
        </w:trPr>
        <w:tc>
          <w:tcPr>
            <w:tcW w:w="2460" w:type="dxa"/>
            <w:vAlign w:val="bottom"/>
            <w:tcBorders>
              <w:left w:val="single" w:sz="8" w:color="auto"/>
              <w:right w:val="single" w:sz="8" w:color="auto"/>
            </w:tcBorders>
          </w:tcPr>
          <w:p>
            <w:pPr>
              <w:ind w:left="120"/>
              <w:spacing w:after="0" w:line="215" w:lineRule="exact"/>
              <w:rPr>
                <w:sz w:val="20"/>
                <w:szCs w:val="20"/>
                <w:color w:val="auto"/>
              </w:rPr>
            </w:pPr>
            <w:r>
              <w:rPr>
                <w:rFonts w:ascii="Calibri" w:cs="Calibri" w:eastAsia="Calibri" w:hAnsi="Calibri"/>
                <w:sz w:val="18"/>
                <w:szCs w:val="18"/>
                <w:color w:val="auto"/>
              </w:rPr>
              <w:t>EVP, Chief Medical Ofcer</w:t>
            </w:r>
          </w:p>
        </w:tc>
        <w:tc>
          <w:tcPr>
            <w:tcW w:w="244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ind w:left="100"/>
              <w:spacing w:after="0" w:line="215" w:lineRule="exact"/>
              <w:rPr>
                <w:sz w:val="20"/>
                <w:szCs w:val="20"/>
                <w:color w:val="auto"/>
              </w:rPr>
            </w:pPr>
            <w:r>
              <w:rPr>
                <w:rFonts w:ascii="Calibri" w:cs="Calibri" w:eastAsia="Calibri" w:hAnsi="Calibri"/>
                <w:sz w:val="18"/>
                <w:szCs w:val="18"/>
                <w:color w:val="auto"/>
              </w:rPr>
              <w:t>which are shares to be</w:t>
            </w:r>
          </w:p>
        </w:tc>
        <w:tc>
          <w:tcPr>
            <w:tcW w:w="2420" w:type="dxa"/>
            <w:vAlign w:val="bottom"/>
            <w:tcBorders>
              <w:right w:val="single" w:sz="8" w:color="auto"/>
            </w:tcBorders>
          </w:tcPr>
          <w:p>
            <w:pPr>
              <w:spacing w:after="0"/>
              <w:rPr>
                <w:sz w:val="18"/>
                <w:szCs w:val="18"/>
                <w:color w:val="auto"/>
              </w:rPr>
            </w:pPr>
          </w:p>
        </w:tc>
      </w:tr>
      <w:tr>
        <w:trPr>
          <w:trHeight w:val="216"/>
        </w:trPr>
        <w:tc>
          <w:tcPr>
            <w:tcW w:w="2460" w:type="dxa"/>
            <w:vAlign w:val="bottom"/>
            <w:tcBorders>
              <w:left w:val="single" w:sz="8" w:color="auto"/>
              <w:right w:val="single" w:sz="8" w:color="auto"/>
            </w:tcBorders>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ind w:left="100"/>
              <w:spacing w:after="0" w:line="216" w:lineRule="exact"/>
              <w:rPr>
                <w:sz w:val="20"/>
                <w:szCs w:val="20"/>
                <w:color w:val="auto"/>
              </w:rPr>
            </w:pPr>
            <w:r>
              <w:rPr>
                <w:rFonts w:ascii="Calibri" w:cs="Calibri" w:eastAsia="Calibri" w:hAnsi="Calibri"/>
                <w:sz w:val="18"/>
                <w:szCs w:val="18"/>
                <w:color w:val="auto"/>
              </w:rPr>
              <w:t>acquired upon the exercise of</w:t>
            </w:r>
          </w:p>
        </w:tc>
        <w:tc>
          <w:tcPr>
            <w:tcW w:w="2420" w:type="dxa"/>
            <w:vAlign w:val="bottom"/>
            <w:tcBorders>
              <w:right w:val="single" w:sz="8" w:color="auto"/>
            </w:tcBorders>
          </w:tcPr>
          <w:p>
            <w:pPr>
              <w:spacing w:after="0"/>
              <w:rPr>
                <w:sz w:val="18"/>
                <w:szCs w:val="18"/>
                <w:color w:val="auto"/>
              </w:rPr>
            </w:pPr>
          </w:p>
        </w:tc>
      </w:tr>
      <w:tr>
        <w:trPr>
          <w:trHeight w:val="216"/>
        </w:trPr>
        <w:tc>
          <w:tcPr>
            <w:tcW w:w="2460" w:type="dxa"/>
            <w:vAlign w:val="bottom"/>
            <w:tcBorders>
              <w:left w:val="single" w:sz="8" w:color="auto"/>
              <w:right w:val="single" w:sz="8" w:color="auto"/>
            </w:tcBorders>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ind w:left="100"/>
              <w:spacing w:after="0" w:line="216" w:lineRule="exact"/>
              <w:rPr>
                <w:sz w:val="20"/>
                <w:szCs w:val="20"/>
                <w:color w:val="auto"/>
              </w:rPr>
            </w:pPr>
            <w:r>
              <w:rPr>
                <w:rFonts w:ascii="Calibri" w:cs="Calibri" w:eastAsia="Calibri" w:hAnsi="Calibri"/>
                <w:sz w:val="18"/>
                <w:szCs w:val="18"/>
                <w:color w:val="auto"/>
              </w:rPr>
              <w:t>stock optons</w:t>
            </w:r>
          </w:p>
        </w:tc>
        <w:tc>
          <w:tcPr>
            <w:tcW w:w="2420" w:type="dxa"/>
            <w:vAlign w:val="bottom"/>
            <w:tcBorders>
              <w:right w:val="single" w:sz="8" w:color="auto"/>
            </w:tcBorders>
          </w:tcPr>
          <w:p>
            <w:pPr>
              <w:spacing w:after="0"/>
              <w:rPr>
                <w:sz w:val="18"/>
                <w:szCs w:val="18"/>
                <w:color w:val="auto"/>
              </w:rPr>
            </w:pPr>
          </w:p>
        </w:tc>
      </w:tr>
      <w:tr>
        <w:trPr>
          <w:trHeight w:val="23"/>
        </w:trPr>
        <w:tc>
          <w:tcPr>
            <w:tcW w:w="246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r>
      <w:tr>
        <w:trPr>
          <w:trHeight w:val="187"/>
        </w:trPr>
        <w:tc>
          <w:tcPr>
            <w:tcW w:w="2460" w:type="dxa"/>
            <w:vAlign w:val="bottom"/>
            <w:tcBorders>
              <w:left w:val="single" w:sz="8" w:color="auto"/>
              <w:right w:val="single" w:sz="8" w:color="auto"/>
            </w:tcBorders>
          </w:tcPr>
          <w:p>
            <w:pPr>
              <w:ind w:left="120"/>
              <w:spacing w:after="0" w:line="187" w:lineRule="exact"/>
              <w:rPr>
                <w:sz w:val="20"/>
                <w:szCs w:val="20"/>
                <w:color w:val="auto"/>
              </w:rPr>
            </w:pPr>
            <w:r>
              <w:rPr>
                <w:rFonts w:ascii="Calibri" w:cs="Calibri" w:eastAsia="Calibri" w:hAnsi="Calibri"/>
                <w:sz w:val="18"/>
                <w:szCs w:val="18"/>
                <w:color w:val="auto"/>
              </w:rPr>
              <w:t>Howard Horn,</w:t>
            </w:r>
          </w:p>
        </w:tc>
        <w:tc>
          <w:tcPr>
            <w:tcW w:w="2440" w:type="dxa"/>
            <w:vAlign w:val="bottom"/>
            <w:tcBorders>
              <w:right w:val="single" w:sz="8" w:color="auto"/>
            </w:tcBorders>
          </w:tcPr>
          <w:p>
            <w:pPr>
              <w:ind w:left="100"/>
              <w:spacing w:after="0" w:line="187" w:lineRule="exact"/>
              <w:rPr>
                <w:sz w:val="20"/>
                <w:szCs w:val="20"/>
                <w:color w:val="auto"/>
              </w:rPr>
            </w:pPr>
            <w:r>
              <w:rPr>
                <w:rFonts w:ascii="Calibri" w:cs="Calibri" w:eastAsia="Calibri" w:hAnsi="Calibri"/>
                <w:sz w:val="18"/>
                <w:szCs w:val="18"/>
                <w:color w:val="auto"/>
              </w:rPr>
              <w:t>December 9, 2024</w:t>
            </w:r>
          </w:p>
        </w:tc>
        <w:tc>
          <w:tcPr>
            <w:tcW w:w="2440" w:type="dxa"/>
            <w:vAlign w:val="bottom"/>
            <w:tcBorders>
              <w:right w:val="single" w:sz="8" w:color="auto"/>
            </w:tcBorders>
          </w:tcPr>
          <w:p>
            <w:pPr>
              <w:ind w:left="100"/>
              <w:spacing w:after="0" w:line="187" w:lineRule="exact"/>
              <w:rPr>
                <w:sz w:val="20"/>
                <w:szCs w:val="20"/>
                <w:color w:val="auto"/>
              </w:rPr>
            </w:pPr>
            <w:r>
              <w:rPr>
                <w:rFonts w:ascii="Calibri" w:cs="Calibri" w:eastAsia="Calibri" w:hAnsi="Calibri"/>
                <w:sz w:val="18"/>
                <w:szCs w:val="18"/>
                <w:color w:val="auto"/>
              </w:rPr>
              <w:t>Up to 17,477 shares</w:t>
            </w:r>
          </w:p>
        </w:tc>
        <w:tc>
          <w:tcPr>
            <w:tcW w:w="2420" w:type="dxa"/>
            <w:vAlign w:val="bottom"/>
            <w:tcBorders>
              <w:right w:val="single" w:sz="8" w:color="auto"/>
            </w:tcBorders>
          </w:tcPr>
          <w:p>
            <w:pPr>
              <w:ind w:left="100"/>
              <w:spacing w:after="0" w:line="187" w:lineRule="exact"/>
              <w:rPr>
                <w:sz w:val="20"/>
                <w:szCs w:val="20"/>
                <w:color w:val="auto"/>
              </w:rPr>
            </w:pPr>
            <w:r>
              <w:rPr>
                <w:rFonts w:ascii="Calibri" w:cs="Calibri" w:eastAsia="Calibri" w:hAnsi="Calibri"/>
                <w:sz w:val="18"/>
                <w:szCs w:val="18"/>
                <w:color w:val="auto"/>
              </w:rPr>
              <w:t>December 9, 2025</w:t>
            </w:r>
          </w:p>
        </w:tc>
      </w:tr>
      <w:tr>
        <w:trPr>
          <w:trHeight w:val="215"/>
        </w:trPr>
        <w:tc>
          <w:tcPr>
            <w:tcW w:w="2460" w:type="dxa"/>
            <w:vAlign w:val="bottom"/>
            <w:tcBorders>
              <w:left w:val="single" w:sz="8" w:color="auto"/>
              <w:right w:val="single" w:sz="8" w:color="auto"/>
            </w:tcBorders>
          </w:tcPr>
          <w:p>
            <w:pPr>
              <w:ind w:left="120"/>
              <w:spacing w:after="0" w:line="215" w:lineRule="exact"/>
              <w:rPr>
                <w:sz w:val="20"/>
                <w:szCs w:val="20"/>
                <w:color w:val="auto"/>
              </w:rPr>
            </w:pPr>
            <w:r>
              <w:rPr>
                <w:rFonts w:ascii="Calibri" w:cs="Calibri" w:eastAsia="Calibri" w:hAnsi="Calibri"/>
                <w:sz w:val="18"/>
                <w:szCs w:val="18"/>
                <w:color w:val="auto"/>
              </w:rPr>
              <w:t>EVP, Chief Financial Ofcer</w:t>
            </w:r>
          </w:p>
        </w:tc>
        <w:tc>
          <w:tcPr>
            <w:tcW w:w="2440" w:type="dxa"/>
            <w:vAlign w:val="bottom"/>
            <w:tcBorders>
              <w:right w:val="single" w:sz="8" w:color="auto"/>
            </w:tcBorders>
          </w:tcPr>
          <w:p>
            <w:pPr>
              <w:spacing w:after="0"/>
              <w:rPr>
                <w:sz w:val="18"/>
                <w:szCs w:val="18"/>
                <w:color w:val="auto"/>
              </w:rPr>
            </w:pPr>
          </w:p>
        </w:tc>
        <w:tc>
          <w:tcPr>
            <w:tcW w:w="2440" w:type="dxa"/>
            <w:vAlign w:val="bottom"/>
            <w:tcBorders>
              <w:right w:val="single" w:sz="8" w:color="auto"/>
            </w:tcBorders>
          </w:tcPr>
          <w:p>
            <w:pPr>
              <w:spacing w:after="0"/>
              <w:rPr>
                <w:sz w:val="18"/>
                <w:szCs w:val="18"/>
                <w:color w:val="auto"/>
              </w:rPr>
            </w:pPr>
          </w:p>
        </w:tc>
        <w:tc>
          <w:tcPr>
            <w:tcW w:w="2420" w:type="dxa"/>
            <w:vAlign w:val="bottom"/>
            <w:tcBorders>
              <w:right w:val="single" w:sz="8" w:color="auto"/>
            </w:tcBorders>
          </w:tcPr>
          <w:p>
            <w:pPr>
              <w:spacing w:after="0"/>
              <w:rPr>
                <w:sz w:val="18"/>
                <w:szCs w:val="18"/>
                <w:color w:val="auto"/>
              </w:rPr>
            </w:pPr>
          </w:p>
        </w:tc>
      </w:tr>
      <w:tr>
        <w:trPr>
          <w:trHeight w:val="23"/>
        </w:trPr>
        <w:tc>
          <w:tcPr>
            <w:tcW w:w="246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r>
    </w:tbl>
    <w:p>
      <w:pPr>
        <w:spacing w:after="0" w:line="33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9C. Disclosure Regarding Foreign Jurisdictons that Prevent Inspectons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Not applicable.</w:t>
      </w:r>
    </w:p>
    <w:p>
      <w:pPr>
        <w:ind w:left="5540"/>
        <w:spacing w:after="0" w:line="235" w:lineRule="auto"/>
        <w:rPr>
          <w:sz w:val="20"/>
          <w:szCs w:val="20"/>
          <w:color w:val="auto"/>
        </w:rPr>
      </w:pPr>
      <w:r>
        <w:rPr>
          <w:rFonts w:ascii="Calibri" w:cs="Calibri" w:eastAsia="Calibri" w:hAnsi="Calibri"/>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07" w:right="1440" w:bottom="1440" w:gutter="0" w:footer="0" w:header="0"/>
        </w:sectPr>
      </w:pPr>
    </w:p>
    <w:bookmarkStart w:id="85" w:name="page86"/>
    <w:bookmarkEnd w:id="85"/>
    <w:p>
      <w:pPr>
        <w:jc w:val="center"/>
        <w:ind w:right="-79"/>
        <w:spacing w:after="0"/>
        <w:rPr>
          <w:sz w:val="20"/>
          <w:szCs w:val="20"/>
          <w:color w:val="auto"/>
        </w:rPr>
      </w:pPr>
      <w:r>
        <w:rPr>
          <w:rFonts w:ascii="Calibri" w:cs="Calibri" w:eastAsia="Calibri" w:hAnsi="Calibri"/>
          <w:sz w:val="18"/>
          <w:szCs w:val="18"/>
          <w:b w:val="1"/>
          <w:bCs w:val="1"/>
          <w:color w:val="auto"/>
        </w:rPr>
        <w:t>PART III</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10. </w:t>
      </w:r>
      <w:r>
        <w:rPr>
          <w:rFonts w:ascii="Calibri" w:cs="Calibri" w:eastAsia="Calibri" w:hAnsi="Calibri"/>
          <w:sz w:val="18"/>
          <w:szCs w:val="18"/>
          <w:b w:val="1"/>
          <w:bCs w:val="1"/>
          <w:i w:val="1"/>
          <w:iCs w:val="1"/>
          <w:color w:val="auto"/>
        </w:rPr>
        <w:t>Directors, Executve Ofcers and Corporate Governance</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Except as set forth below, the informaton required by this Item is incorporated herein by reference to informaton in the proxy statement for our 2025 Annual Meetng of Stockholders, which we will fle with the SEC within 120 days of the end of the fscal year to which this Annual Report relates, or the “2025 Proxy Statement”, including under the headings “Nominees and Incumbent Directors,” “Executve Ofcers,” ““Board of Directors and Commitees,” “Corporate Governance” and, as applicable, “Delinquent Secton 16(a) Benefcial Ownership Reports.” We have adopted a Global Code of Conduct that applies to all of our directors, ofcers and employees, including our principal executve, principal fnancial and principal accountng ofcers, or persons performing similar functons. Our Global Code of Conduct is posted on our website located at htps://ir.ultragenyx.com/ under “Corporate Governance”. We intend to disclose future amendments to certain provisions of the Global Code of Conduct, and waivers of the Global Code of Conduct granted to executve ofcers and directors, on the website within four business days following the date of the amendment or waiver.</w:t>
      </w:r>
    </w:p>
    <w:p>
      <w:pPr>
        <w:spacing w:after="0" w:line="24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11. </w:t>
      </w:r>
      <w:r>
        <w:rPr>
          <w:rFonts w:ascii="Calibri" w:cs="Calibri" w:eastAsia="Calibri" w:hAnsi="Calibri"/>
          <w:sz w:val="18"/>
          <w:szCs w:val="18"/>
          <w:b w:val="1"/>
          <w:bCs w:val="1"/>
          <w:i w:val="1"/>
          <w:iCs w:val="1"/>
          <w:color w:val="auto"/>
        </w:rPr>
        <w:t>Executve Compensaton</w:t>
      </w:r>
    </w:p>
    <w:p>
      <w:pPr>
        <w:spacing w:after="0" w:line="82"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The informaton required by this Item is incorporated herein by reference to informaton in the 2025 Proxy Statement, including under the headings “Executve Compensaton,” “Director Compensaton,” and “Board of Directors and Commitees.”</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12. </w:t>
      </w:r>
      <w:r>
        <w:rPr>
          <w:rFonts w:ascii="Calibri" w:cs="Calibri" w:eastAsia="Calibri" w:hAnsi="Calibri"/>
          <w:sz w:val="18"/>
          <w:szCs w:val="18"/>
          <w:b w:val="1"/>
          <w:bCs w:val="1"/>
          <w:i w:val="1"/>
          <w:iCs w:val="1"/>
          <w:color w:val="auto"/>
        </w:rPr>
        <w:t>Security Ownership of Certain Benefcial Owners and Management and Related Stockholder Maters</w:t>
      </w:r>
    </w:p>
    <w:p>
      <w:pPr>
        <w:spacing w:after="0" w:line="82"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The informaton required by this Item is incorporated herein by reference to informaton in the 2025 Proxy Statement, including under the headings “Security Ownership of Certain Benefcial Owners and Management” and “Equity Compensaton Plan Informaton.”</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13. </w:t>
      </w:r>
      <w:r>
        <w:rPr>
          <w:rFonts w:ascii="Calibri" w:cs="Calibri" w:eastAsia="Calibri" w:hAnsi="Calibri"/>
          <w:sz w:val="18"/>
          <w:szCs w:val="18"/>
          <w:b w:val="1"/>
          <w:bCs w:val="1"/>
          <w:i w:val="1"/>
          <w:iCs w:val="1"/>
          <w:color w:val="auto"/>
        </w:rPr>
        <w:t>Certain Relatonships and Related Transactons, and Director Independence</w:t>
      </w:r>
    </w:p>
    <w:p>
      <w:pPr>
        <w:spacing w:after="0" w:line="82"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The informaton required by this Item is incorporated herein by reference to informaton in the 2025 Proxy Statement, including under the headings “Certain Relatonships and Related-Person Transactons,” “Corporate Governance,” and “Board of Directors and Commitees.”</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14. </w:t>
      </w:r>
      <w:r>
        <w:rPr>
          <w:rFonts w:ascii="Calibri" w:cs="Calibri" w:eastAsia="Calibri" w:hAnsi="Calibri"/>
          <w:sz w:val="18"/>
          <w:szCs w:val="18"/>
          <w:b w:val="1"/>
          <w:bCs w:val="1"/>
          <w:i w:val="1"/>
          <w:iCs w:val="1"/>
          <w:color w:val="auto"/>
        </w:rPr>
        <w:t>Principal Accountant Fees and Services</w:t>
      </w:r>
    </w:p>
    <w:p>
      <w:pPr>
        <w:spacing w:after="0" w:line="82"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The informaton required by this Item is incorporated herein by reference to informaton in the 2025 Proxy Statement, including under the heading “Proposal No. 3—Ratfcaton of the Selecton of Independent Registered Public Accountng Firm.”</w:t>
      </w:r>
    </w:p>
    <w:p>
      <w:pPr>
        <w:jc w:val="center"/>
        <w:ind w:right="-79"/>
        <w:spacing w:after="0" w:line="236" w:lineRule="auto"/>
        <w:rPr>
          <w:sz w:val="20"/>
          <w:szCs w:val="20"/>
          <w:color w:val="auto"/>
        </w:rPr>
      </w:pPr>
      <w:r>
        <w:rPr>
          <w:rFonts w:ascii="Calibri" w:cs="Calibri" w:eastAsia="Calibri" w:hAnsi="Calibri"/>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03" w:right="419" w:bottom="1440" w:gutter="0" w:footer="0" w:header="0"/>
        </w:sectPr>
      </w:pPr>
    </w:p>
    <w:bookmarkStart w:id="86" w:name="page87"/>
    <w:bookmarkEnd w:id="86"/>
    <w:p>
      <w:pPr>
        <w:jc w:val="center"/>
        <w:ind w:right="20"/>
        <w:spacing w:after="0"/>
        <w:rPr>
          <w:sz w:val="20"/>
          <w:szCs w:val="20"/>
          <w:color w:val="auto"/>
        </w:rPr>
      </w:pPr>
      <w:r>
        <w:rPr>
          <w:rFonts w:ascii="Calibri" w:cs="Calibri" w:eastAsia="Calibri" w:hAnsi="Calibri"/>
          <w:sz w:val="18"/>
          <w:szCs w:val="18"/>
          <w:b w:val="1"/>
          <w:bCs w:val="1"/>
          <w:color w:val="auto"/>
        </w:rPr>
        <w:t>PART IV</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15. </w:t>
      </w:r>
      <w:r>
        <w:rPr>
          <w:rFonts w:ascii="Calibri" w:cs="Calibri" w:eastAsia="Calibri" w:hAnsi="Calibri"/>
          <w:sz w:val="18"/>
          <w:szCs w:val="18"/>
          <w:b w:val="1"/>
          <w:bCs w:val="1"/>
          <w:i w:val="1"/>
          <w:iCs w:val="1"/>
          <w:color w:val="auto"/>
        </w:rPr>
        <w:t>Exhibits and Financial Statement Schedules</w:t>
      </w:r>
    </w:p>
    <w:p>
      <w:pPr>
        <w:spacing w:after="0" w:line="77" w:lineRule="exact"/>
        <w:rPr>
          <w:sz w:val="20"/>
          <w:szCs w:val="20"/>
          <w:color w:val="auto"/>
        </w:rPr>
      </w:pPr>
    </w:p>
    <w:p>
      <w:pPr>
        <w:ind w:left="840" w:hanging="323"/>
        <w:spacing w:after="0"/>
        <w:tabs>
          <w:tab w:leader="none" w:pos="840" w:val="left"/>
        </w:tabs>
        <w:numPr>
          <w:ilvl w:val="0"/>
          <w:numId w:val="36"/>
        </w:numPr>
        <w:rPr>
          <w:rFonts w:ascii="Calibri" w:cs="Calibri" w:eastAsia="Calibri" w:hAnsi="Calibri"/>
          <w:sz w:val="18"/>
          <w:szCs w:val="18"/>
          <w:color w:val="auto"/>
        </w:rPr>
      </w:pPr>
      <w:r>
        <w:rPr>
          <w:rFonts w:ascii="Calibri" w:cs="Calibri" w:eastAsia="Calibri" w:hAnsi="Calibri"/>
          <w:sz w:val="18"/>
          <w:szCs w:val="18"/>
          <w:color w:val="auto"/>
        </w:rPr>
        <w:t>The following documents are fled as part of this Annual Report.</w:t>
      </w:r>
    </w:p>
    <w:p>
      <w:pPr>
        <w:spacing w:after="0" w:line="77" w:lineRule="exact"/>
        <w:rPr>
          <w:rFonts w:ascii="Calibri" w:cs="Calibri" w:eastAsia="Calibri" w:hAnsi="Calibri"/>
          <w:sz w:val="18"/>
          <w:szCs w:val="18"/>
          <w:color w:val="auto"/>
        </w:rPr>
      </w:pPr>
    </w:p>
    <w:p>
      <w:pPr>
        <w:ind w:left="1340" w:hanging="314"/>
        <w:spacing w:after="0"/>
        <w:tabs>
          <w:tab w:leader="none" w:pos="1340" w:val="left"/>
        </w:tabs>
        <w:numPr>
          <w:ilvl w:val="1"/>
          <w:numId w:val="36"/>
        </w:numPr>
        <w:rPr>
          <w:rFonts w:ascii="Calibri" w:cs="Calibri" w:eastAsia="Calibri" w:hAnsi="Calibri"/>
          <w:sz w:val="18"/>
          <w:szCs w:val="18"/>
          <w:color w:val="auto"/>
        </w:rPr>
      </w:pPr>
      <w:r>
        <w:rPr>
          <w:rFonts w:ascii="Calibri" w:cs="Calibri" w:eastAsia="Calibri" w:hAnsi="Calibri"/>
          <w:sz w:val="18"/>
          <w:szCs w:val="18"/>
          <w:color w:val="auto"/>
        </w:rPr>
        <w:t>Consolidated Financial Statements</w:t>
      </w:r>
    </w:p>
    <w:p>
      <w:pPr>
        <w:spacing w:after="0" w:line="77" w:lineRule="exact"/>
        <w:rPr>
          <w:rFonts w:ascii="Calibri" w:cs="Calibri" w:eastAsia="Calibri" w:hAnsi="Calibri"/>
          <w:sz w:val="18"/>
          <w:szCs w:val="18"/>
          <w:color w:val="auto"/>
        </w:rPr>
      </w:pPr>
    </w:p>
    <w:p>
      <w:pPr>
        <w:ind w:left="1340"/>
        <w:spacing w:after="0"/>
        <w:rPr>
          <w:rFonts w:ascii="Calibri" w:cs="Calibri" w:eastAsia="Calibri" w:hAnsi="Calibri"/>
          <w:sz w:val="18"/>
          <w:szCs w:val="18"/>
          <w:color w:val="auto"/>
        </w:rPr>
      </w:pPr>
      <w:r>
        <w:rPr>
          <w:rFonts w:ascii="Calibri" w:cs="Calibri" w:eastAsia="Calibri" w:hAnsi="Calibri"/>
          <w:sz w:val="18"/>
          <w:szCs w:val="18"/>
          <w:color w:val="auto"/>
        </w:rPr>
        <w:t>Consolidated Financial Statements—See Index to Consolidated Financial Statements at page F-1 of this Annual Report.</w:t>
      </w:r>
    </w:p>
    <w:p>
      <w:pPr>
        <w:spacing w:after="0" w:line="77" w:lineRule="exact"/>
        <w:rPr>
          <w:rFonts w:ascii="Calibri" w:cs="Calibri" w:eastAsia="Calibri" w:hAnsi="Calibri"/>
          <w:sz w:val="18"/>
          <w:szCs w:val="18"/>
          <w:color w:val="auto"/>
        </w:rPr>
      </w:pPr>
    </w:p>
    <w:p>
      <w:pPr>
        <w:ind w:left="1340" w:hanging="314"/>
        <w:spacing w:after="0"/>
        <w:tabs>
          <w:tab w:leader="none" w:pos="1340" w:val="left"/>
        </w:tabs>
        <w:numPr>
          <w:ilvl w:val="1"/>
          <w:numId w:val="36"/>
        </w:numPr>
        <w:rPr>
          <w:rFonts w:ascii="Calibri" w:cs="Calibri" w:eastAsia="Calibri" w:hAnsi="Calibri"/>
          <w:sz w:val="18"/>
          <w:szCs w:val="18"/>
          <w:color w:val="auto"/>
        </w:rPr>
      </w:pPr>
      <w:r>
        <w:rPr>
          <w:rFonts w:ascii="Calibri" w:cs="Calibri" w:eastAsia="Calibri" w:hAnsi="Calibri"/>
          <w:sz w:val="18"/>
          <w:szCs w:val="18"/>
          <w:color w:val="auto"/>
        </w:rPr>
        <w:t>Consolidated Financial Statement Schedules</w:t>
      </w:r>
    </w:p>
    <w:p>
      <w:pPr>
        <w:spacing w:after="0" w:line="82" w:lineRule="exact"/>
        <w:rPr>
          <w:rFonts w:ascii="Calibri" w:cs="Calibri" w:eastAsia="Calibri" w:hAnsi="Calibri"/>
          <w:sz w:val="18"/>
          <w:szCs w:val="18"/>
          <w:color w:val="auto"/>
        </w:rPr>
      </w:pPr>
    </w:p>
    <w:p>
      <w:pPr>
        <w:ind w:left="1400" w:right="80" w:hanging="57"/>
        <w:spacing w:after="0" w:line="235" w:lineRule="auto"/>
        <w:rPr>
          <w:rFonts w:ascii="Calibri" w:cs="Calibri" w:eastAsia="Calibri" w:hAnsi="Calibri"/>
          <w:sz w:val="18"/>
          <w:szCs w:val="18"/>
          <w:color w:val="auto"/>
        </w:rPr>
      </w:pPr>
      <w:r>
        <w:rPr>
          <w:rFonts w:ascii="Calibri" w:cs="Calibri" w:eastAsia="Calibri" w:hAnsi="Calibri"/>
          <w:sz w:val="18"/>
          <w:szCs w:val="18"/>
          <w:color w:val="auto"/>
        </w:rPr>
        <w:t>Consolidated Financial Statement schedules have been omited in this Annual Report because they are not applicable, not required under the instructons, or the informaton requested is set forth in the Consolidated Financial Statements or related notes thereto.</w:t>
      </w:r>
    </w:p>
    <w:p>
      <w:pPr>
        <w:spacing w:after="0" w:line="77" w:lineRule="exact"/>
        <w:rPr>
          <w:rFonts w:ascii="Calibri" w:cs="Calibri" w:eastAsia="Calibri" w:hAnsi="Calibri"/>
          <w:sz w:val="18"/>
          <w:szCs w:val="18"/>
          <w:color w:val="auto"/>
        </w:rPr>
      </w:pPr>
    </w:p>
    <w:p>
      <w:pPr>
        <w:ind w:left="840" w:hanging="323"/>
        <w:spacing w:after="0"/>
        <w:tabs>
          <w:tab w:leader="none" w:pos="840" w:val="left"/>
        </w:tabs>
        <w:numPr>
          <w:ilvl w:val="0"/>
          <w:numId w:val="36"/>
        </w:numPr>
        <w:rPr>
          <w:rFonts w:ascii="Calibri" w:cs="Calibri" w:eastAsia="Calibri" w:hAnsi="Calibri"/>
          <w:sz w:val="18"/>
          <w:szCs w:val="18"/>
          <w:color w:val="auto"/>
        </w:rPr>
      </w:pPr>
      <w:r>
        <w:rPr>
          <w:rFonts w:ascii="Calibri" w:cs="Calibri" w:eastAsia="Calibri" w:hAnsi="Calibri"/>
          <w:sz w:val="18"/>
          <w:szCs w:val="18"/>
          <w:color w:val="auto"/>
        </w:rPr>
        <w:t>Exhibits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40" w:type="dxa"/>
            <w:vAlign w:val="bottom"/>
          </w:tcPr>
          <w:p>
            <w:pPr>
              <w:ind w:left="20"/>
              <w:spacing w:after="0"/>
              <w:rPr>
                <w:sz w:val="20"/>
                <w:szCs w:val="20"/>
                <w:color w:val="auto"/>
              </w:rPr>
            </w:pPr>
            <w:r>
              <w:rPr>
                <w:rFonts w:ascii="Calibri" w:cs="Calibri" w:eastAsia="Calibri" w:hAnsi="Calibri"/>
                <w:sz w:val="14"/>
                <w:szCs w:val="14"/>
                <w:b w:val="1"/>
                <w:bCs w:val="1"/>
                <w:color w:val="auto"/>
              </w:rPr>
              <w:t>Exhibit</w:t>
            </w: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ind w:left="300"/>
              <w:spacing w:after="0"/>
              <w:rPr>
                <w:sz w:val="20"/>
                <w:szCs w:val="20"/>
                <w:color w:val="auto"/>
              </w:rPr>
            </w:pPr>
            <w:r>
              <w:rPr>
                <w:rFonts w:ascii="Calibri" w:cs="Calibri" w:eastAsia="Calibri" w:hAnsi="Calibri"/>
                <w:sz w:val="14"/>
                <w:szCs w:val="14"/>
                <w:b w:val="1"/>
                <w:bCs w:val="1"/>
                <w:color w:val="auto"/>
              </w:rPr>
              <w:t>Incorporated by Reference</w:t>
            </w:r>
          </w:p>
        </w:tc>
        <w:tc>
          <w:tcPr>
            <w:tcW w:w="1080" w:type="dxa"/>
            <w:vAlign w:val="bottom"/>
            <w:tcBorders>
              <w:bottom w:val="single" w:sz="8" w:color="auto"/>
            </w:tcBorders>
          </w:tcPr>
          <w:p>
            <w:pPr>
              <w:spacing w:after="0"/>
              <w:rPr>
                <w:sz w:val="16"/>
                <w:szCs w:val="16"/>
                <w:color w:val="auto"/>
              </w:rPr>
            </w:pPr>
          </w:p>
        </w:tc>
        <w:tc>
          <w:tcPr>
            <w:tcW w:w="1080" w:type="dxa"/>
            <w:vAlign w:val="bottom"/>
          </w:tcPr>
          <w:p>
            <w:pPr>
              <w:jc w:val="center"/>
              <w:ind w:left="48"/>
              <w:spacing w:after="0"/>
              <w:rPr>
                <w:sz w:val="20"/>
                <w:szCs w:val="20"/>
                <w:color w:val="auto"/>
              </w:rPr>
            </w:pPr>
            <w:r>
              <w:rPr>
                <w:rFonts w:ascii="Calibri" w:cs="Calibri" w:eastAsia="Calibri" w:hAnsi="Calibri"/>
                <w:sz w:val="14"/>
                <w:szCs w:val="14"/>
                <w:b w:val="1"/>
                <w:bCs w:val="1"/>
                <w:color w:val="auto"/>
              </w:rPr>
              <w:t>Filed</w:t>
            </w:r>
          </w:p>
        </w:tc>
      </w:tr>
      <w:tr>
        <w:trPr>
          <w:trHeight w:val="173"/>
        </w:trPr>
        <w:tc>
          <w:tcPr>
            <w:tcW w:w="1040" w:type="dxa"/>
            <w:vAlign w:val="bottom"/>
            <w:tcBorders>
              <w:bottom w:val="single" w:sz="8" w:color="auto"/>
            </w:tcBorders>
          </w:tcPr>
          <w:p>
            <w:pPr>
              <w:ind w:left="20"/>
              <w:spacing w:after="0" w:line="156" w:lineRule="exact"/>
              <w:rPr>
                <w:sz w:val="20"/>
                <w:szCs w:val="20"/>
                <w:color w:val="auto"/>
              </w:rPr>
            </w:pPr>
            <w:r>
              <w:rPr>
                <w:rFonts w:ascii="Calibri" w:cs="Calibri" w:eastAsia="Calibri" w:hAnsi="Calibri"/>
                <w:sz w:val="14"/>
                <w:szCs w:val="14"/>
                <w:b w:val="1"/>
                <w:bCs w:val="1"/>
                <w:color w:val="auto"/>
              </w:rPr>
              <w:t>Number</w:t>
            </w:r>
          </w:p>
        </w:tc>
        <w:tc>
          <w:tcPr>
            <w:tcW w:w="9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gridSpan w:val="14"/>
          </w:tcPr>
          <w:p>
            <w:pPr>
              <w:ind w:left="580"/>
              <w:spacing w:after="0" w:line="156" w:lineRule="exact"/>
              <w:rPr>
                <w:sz w:val="20"/>
                <w:szCs w:val="20"/>
                <w:color w:val="auto"/>
              </w:rPr>
            </w:pPr>
            <w:r>
              <w:rPr>
                <w:rFonts w:ascii="Calibri" w:cs="Calibri" w:eastAsia="Calibri" w:hAnsi="Calibri"/>
                <w:sz w:val="14"/>
                <w:szCs w:val="14"/>
                <w:b w:val="1"/>
                <w:bCs w:val="1"/>
                <w:color w:val="auto"/>
              </w:rPr>
              <w:t>Exhibit Descripton</w:t>
            </w:r>
          </w:p>
        </w:tc>
        <w:tc>
          <w:tcPr>
            <w:tcW w:w="940" w:type="dxa"/>
            <w:vAlign w:val="bottom"/>
            <w:tcBorders>
              <w:bottom w:val="single" w:sz="8" w:color="auto"/>
            </w:tcBorders>
          </w:tcPr>
          <w:p>
            <w:pPr>
              <w:jc w:val="center"/>
              <w:ind w:right="111"/>
              <w:spacing w:after="0"/>
              <w:rPr>
                <w:sz w:val="20"/>
                <w:szCs w:val="20"/>
                <w:color w:val="auto"/>
              </w:rPr>
            </w:pPr>
            <w:r>
              <w:rPr>
                <w:rFonts w:ascii="Calibri" w:cs="Calibri" w:eastAsia="Calibri" w:hAnsi="Calibri"/>
                <w:sz w:val="14"/>
                <w:szCs w:val="14"/>
                <w:b w:val="1"/>
                <w:bCs w:val="1"/>
                <w:color w:val="auto"/>
                <w:w w:val="98"/>
              </w:rPr>
              <w:t>Form</w:t>
            </w:r>
          </w:p>
        </w:tc>
        <w:tc>
          <w:tcPr>
            <w:tcW w:w="2040" w:type="dxa"/>
            <w:vAlign w:val="bottom"/>
            <w:tcBorders>
              <w:bottom w:val="single" w:sz="8" w:color="auto"/>
            </w:tcBorders>
          </w:tcPr>
          <w:p>
            <w:pPr>
              <w:ind w:left="620"/>
              <w:spacing w:after="0"/>
              <w:rPr>
                <w:sz w:val="20"/>
                <w:szCs w:val="20"/>
                <w:color w:val="auto"/>
              </w:rPr>
            </w:pPr>
            <w:r>
              <w:rPr>
                <w:rFonts w:ascii="Calibri" w:cs="Calibri" w:eastAsia="Calibri" w:hAnsi="Calibri"/>
                <w:sz w:val="14"/>
                <w:szCs w:val="14"/>
                <w:b w:val="1"/>
                <w:bCs w:val="1"/>
                <w:color w:val="auto"/>
              </w:rPr>
              <w:t>Date</w:t>
            </w:r>
          </w:p>
        </w:tc>
        <w:tc>
          <w:tcPr>
            <w:tcW w:w="1080" w:type="dxa"/>
            <w:vAlign w:val="bottom"/>
            <w:tcBorders>
              <w:bottom w:val="single" w:sz="8" w:color="auto"/>
            </w:tcBorders>
          </w:tcPr>
          <w:p>
            <w:pPr>
              <w:ind w:left="140"/>
              <w:spacing w:after="0"/>
              <w:rPr>
                <w:sz w:val="20"/>
                <w:szCs w:val="20"/>
                <w:color w:val="auto"/>
              </w:rPr>
            </w:pPr>
            <w:r>
              <w:rPr>
                <w:rFonts w:ascii="Calibri" w:cs="Calibri" w:eastAsia="Calibri" w:hAnsi="Calibri"/>
                <w:sz w:val="14"/>
                <w:szCs w:val="14"/>
                <w:b w:val="1"/>
                <w:bCs w:val="1"/>
                <w:color w:val="auto"/>
              </w:rPr>
              <w:t>Number</w:t>
            </w:r>
          </w:p>
        </w:tc>
        <w:tc>
          <w:tcPr>
            <w:tcW w:w="1080" w:type="dxa"/>
            <w:vAlign w:val="bottom"/>
            <w:tcBorders>
              <w:bottom w:val="single" w:sz="8" w:color="auto"/>
            </w:tcBorders>
          </w:tcPr>
          <w:p>
            <w:pPr>
              <w:jc w:val="center"/>
              <w:ind w:left="48"/>
              <w:spacing w:after="0" w:line="156" w:lineRule="exact"/>
              <w:rPr>
                <w:sz w:val="20"/>
                <w:szCs w:val="20"/>
                <w:color w:val="auto"/>
              </w:rPr>
            </w:pPr>
            <w:r>
              <w:rPr>
                <w:rFonts w:ascii="Calibri" w:cs="Calibri" w:eastAsia="Calibri" w:hAnsi="Calibri"/>
                <w:sz w:val="14"/>
                <w:szCs w:val="14"/>
                <w:b w:val="1"/>
                <w:bCs w:val="1"/>
                <w:color w:val="auto"/>
              </w:rPr>
              <w:t>Herewith</w:t>
            </w:r>
          </w:p>
        </w:tc>
      </w:tr>
      <w:tr>
        <w:trPr>
          <w:trHeight w:val="253"/>
        </w:trPr>
        <w:tc>
          <w:tcPr>
            <w:tcW w:w="1040" w:type="dxa"/>
            <w:vAlign w:val="bottom"/>
          </w:tcPr>
          <w:p>
            <w:pPr>
              <w:ind w:left="20"/>
              <w:spacing w:after="0"/>
              <w:rPr>
                <w:sz w:val="20"/>
                <w:szCs w:val="20"/>
                <w:color w:val="auto"/>
              </w:rPr>
            </w:pPr>
            <w:r>
              <w:rPr>
                <w:rFonts w:ascii="Calibri" w:cs="Calibri" w:eastAsia="Calibri" w:hAnsi="Calibri"/>
                <w:sz w:val="18"/>
                <w:szCs w:val="18"/>
                <w:color w:val="auto"/>
              </w:rPr>
              <w:t>3.1</w:t>
            </w:r>
          </w:p>
        </w:tc>
        <w:tc>
          <w:tcPr>
            <w:tcW w:w="5060" w:type="dxa"/>
            <w:vAlign w:val="bottom"/>
            <w:gridSpan w:val="16"/>
          </w:tcPr>
          <w:p>
            <w:pPr>
              <w:spacing w:after="0"/>
              <w:rPr>
                <w:rFonts w:ascii="Calibri" w:cs="Calibri" w:eastAsia="Calibri" w:hAnsi="Calibri"/>
                <w:sz w:val="18"/>
                <w:szCs w:val="18"/>
                <w:color w:val="0000FF"/>
              </w:rPr>
            </w:pPr>
            <w:hyperlink r:id="rId119">
              <w:r>
                <w:rPr>
                  <w:rFonts w:ascii="Calibri" w:cs="Calibri" w:eastAsia="Calibri" w:hAnsi="Calibri"/>
                  <w:sz w:val="18"/>
                  <w:szCs w:val="18"/>
                  <w:color w:val="0000FF"/>
                </w:rPr>
                <w:t>Amended and Restated Certfcate of Incorporaton</w:t>
              </w:r>
            </w:hyperlink>
          </w:p>
        </w:tc>
        <w:tc>
          <w:tcPr>
            <w:tcW w:w="940" w:type="dxa"/>
            <w:vAlign w:val="bottom"/>
          </w:tcPr>
          <w:p>
            <w:pPr>
              <w:jc w:val="center"/>
              <w:ind w:right="111"/>
              <w:spacing w:after="0"/>
              <w:rPr>
                <w:sz w:val="20"/>
                <w:szCs w:val="20"/>
                <w:color w:val="auto"/>
              </w:rPr>
            </w:pPr>
            <w:r>
              <w:rPr>
                <w:rFonts w:ascii="Calibri" w:cs="Calibri" w:eastAsia="Calibri" w:hAnsi="Calibri"/>
                <w:sz w:val="18"/>
                <w:szCs w:val="18"/>
                <w:color w:val="auto"/>
                <w:w w:val="91"/>
              </w:rPr>
              <w:t>8-K</w:t>
            </w:r>
          </w:p>
        </w:tc>
        <w:tc>
          <w:tcPr>
            <w:tcW w:w="2040" w:type="dxa"/>
            <w:vAlign w:val="bottom"/>
          </w:tcPr>
          <w:p>
            <w:pPr>
              <w:jc w:val="center"/>
              <w:ind w:right="432"/>
              <w:spacing w:after="0"/>
              <w:rPr>
                <w:sz w:val="20"/>
                <w:szCs w:val="20"/>
                <w:color w:val="auto"/>
              </w:rPr>
            </w:pPr>
            <w:r>
              <w:rPr>
                <w:rFonts w:ascii="Calibri" w:cs="Calibri" w:eastAsia="Calibri" w:hAnsi="Calibri"/>
                <w:sz w:val="18"/>
                <w:szCs w:val="18"/>
                <w:color w:val="auto"/>
                <w:w w:val="98"/>
              </w:rPr>
              <w:t>2/5/2014</w:t>
            </w:r>
          </w:p>
        </w:tc>
        <w:tc>
          <w:tcPr>
            <w:tcW w:w="1080" w:type="dxa"/>
            <w:vAlign w:val="bottom"/>
          </w:tcPr>
          <w:p>
            <w:pPr>
              <w:jc w:val="center"/>
              <w:ind w:right="211"/>
              <w:spacing w:after="0"/>
              <w:rPr>
                <w:sz w:val="20"/>
                <w:szCs w:val="20"/>
                <w:color w:val="auto"/>
              </w:rPr>
            </w:pPr>
            <w:r>
              <w:rPr>
                <w:rFonts w:ascii="Calibri" w:cs="Calibri" w:eastAsia="Calibri" w:hAnsi="Calibri"/>
                <w:sz w:val="18"/>
                <w:szCs w:val="18"/>
                <w:color w:val="auto"/>
                <w:w w:val="96"/>
              </w:rPr>
              <w:t>3.1</w:t>
            </w:r>
          </w:p>
        </w:tc>
        <w:tc>
          <w:tcPr>
            <w:tcW w:w="1080" w:type="dxa"/>
            <w:vAlign w:val="bottom"/>
          </w:tcPr>
          <w:p>
            <w:pPr>
              <w:spacing w:after="0"/>
              <w:rPr>
                <w:sz w:val="21"/>
                <w:szCs w:val="21"/>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91"/>
        </w:trPr>
        <w:tc>
          <w:tcPr>
            <w:tcW w:w="1040" w:type="dxa"/>
            <w:vAlign w:val="bottom"/>
          </w:tcPr>
          <w:p>
            <w:pPr>
              <w:ind w:left="20"/>
              <w:spacing w:after="0"/>
              <w:rPr>
                <w:sz w:val="20"/>
                <w:szCs w:val="20"/>
                <w:color w:val="auto"/>
              </w:rPr>
            </w:pPr>
            <w:r>
              <w:rPr>
                <w:rFonts w:ascii="Calibri" w:cs="Calibri" w:eastAsia="Calibri" w:hAnsi="Calibri"/>
                <w:sz w:val="18"/>
                <w:szCs w:val="18"/>
                <w:color w:val="auto"/>
              </w:rPr>
              <w:t>3.2</w:t>
            </w:r>
          </w:p>
        </w:tc>
        <w:tc>
          <w:tcPr>
            <w:tcW w:w="5060" w:type="dxa"/>
            <w:vAlign w:val="bottom"/>
            <w:gridSpan w:val="16"/>
          </w:tcPr>
          <w:p>
            <w:pPr>
              <w:spacing w:after="0"/>
              <w:rPr>
                <w:rFonts w:ascii="Calibri" w:cs="Calibri" w:eastAsia="Calibri" w:hAnsi="Calibri"/>
                <w:sz w:val="18"/>
                <w:szCs w:val="18"/>
                <w:color w:val="0000FF"/>
              </w:rPr>
            </w:pPr>
            <w:hyperlink r:id="rId120">
              <w:r>
                <w:rPr>
                  <w:rFonts w:ascii="Calibri" w:cs="Calibri" w:eastAsia="Calibri" w:hAnsi="Calibri"/>
                  <w:sz w:val="18"/>
                  <w:szCs w:val="18"/>
                  <w:color w:val="0000FF"/>
                </w:rPr>
                <w:t>Second Amended and Restated Bylaws</w:t>
              </w:r>
            </w:hyperlink>
          </w:p>
        </w:tc>
        <w:tc>
          <w:tcPr>
            <w:tcW w:w="940" w:type="dxa"/>
            <w:vAlign w:val="bottom"/>
          </w:tcPr>
          <w:p>
            <w:pPr>
              <w:jc w:val="center"/>
              <w:ind w:right="111"/>
              <w:spacing w:after="0"/>
              <w:rPr>
                <w:sz w:val="20"/>
                <w:szCs w:val="20"/>
                <w:color w:val="auto"/>
              </w:rPr>
            </w:pPr>
            <w:r>
              <w:rPr>
                <w:rFonts w:ascii="Calibri" w:cs="Calibri" w:eastAsia="Calibri" w:hAnsi="Calibri"/>
                <w:sz w:val="18"/>
                <w:szCs w:val="18"/>
                <w:color w:val="auto"/>
                <w:w w:val="91"/>
              </w:rPr>
              <w:t>8-K</w:t>
            </w:r>
          </w:p>
        </w:tc>
        <w:tc>
          <w:tcPr>
            <w:tcW w:w="2040" w:type="dxa"/>
            <w:vAlign w:val="bottom"/>
          </w:tcPr>
          <w:p>
            <w:pPr>
              <w:jc w:val="center"/>
              <w:ind w:right="412"/>
              <w:spacing w:after="0"/>
              <w:rPr>
                <w:sz w:val="20"/>
                <w:szCs w:val="20"/>
                <w:color w:val="auto"/>
              </w:rPr>
            </w:pPr>
            <w:r>
              <w:rPr>
                <w:rFonts w:ascii="Calibri" w:cs="Calibri" w:eastAsia="Calibri" w:hAnsi="Calibri"/>
                <w:sz w:val="18"/>
                <w:szCs w:val="18"/>
                <w:color w:val="auto"/>
                <w:w w:val="98"/>
              </w:rPr>
              <w:t>12/21/2023</w:t>
            </w:r>
          </w:p>
        </w:tc>
        <w:tc>
          <w:tcPr>
            <w:tcW w:w="1080" w:type="dxa"/>
            <w:vAlign w:val="bottom"/>
          </w:tcPr>
          <w:p>
            <w:pPr>
              <w:jc w:val="center"/>
              <w:ind w:right="211"/>
              <w:spacing w:after="0"/>
              <w:rPr>
                <w:sz w:val="20"/>
                <w:szCs w:val="20"/>
                <w:color w:val="auto"/>
              </w:rPr>
            </w:pPr>
            <w:r>
              <w:rPr>
                <w:rFonts w:ascii="Calibri" w:cs="Calibri" w:eastAsia="Calibri" w:hAnsi="Calibri"/>
                <w:sz w:val="18"/>
                <w:szCs w:val="18"/>
                <w:color w:val="auto"/>
                <w:w w:val="96"/>
              </w:rPr>
              <w:t>3.1</w:t>
            </w:r>
          </w:p>
        </w:tc>
        <w:tc>
          <w:tcPr>
            <w:tcW w:w="108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90"/>
        </w:trPr>
        <w:tc>
          <w:tcPr>
            <w:tcW w:w="1040" w:type="dxa"/>
            <w:vAlign w:val="bottom"/>
          </w:tcPr>
          <w:p>
            <w:pPr>
              <w:ind w:left="20"/>
              <w:spacing w:after="0"/>
              <w:rPr>
                <w:sz w:val="20"/>
                <w:szCs w:val="20"/>
                <w:color w:val="auto"/>
              </w:rPr>
            </w:pPr>
            <w:r>
              <w:rPr>
                <w:rFonts w:ascii="Calibri" w:cs="Calibri" w:eastAsia="Calibri" w:hAnsi="Calibri"/>
                <w:sz w:val="18"/>
                <w:szCs w:val="18"/>
                <w:color w:val="auto"/>
              </w:rPr>
              <w:t>4.1</w:t>
            </w:r>
          </w:p>
        </w:tc>
        <w:tc>
          <w:tcPr>
            <w:tcW w:w="5060" w:type="dxa"/>
            <w:vAlign w:val="bottom"/>
            <w:gridSpan w:val="16"/>
          </w:tcPr>
          <w:p>
            <w:pPr>
              <w:spacing w:after="0"/>
              <w:rPr>
                <w:rFonts w:ascii="Calibri" w:cs="Calibri" w:eastAsia="Calibri" w:hAnsi="Calibri"/>
                <w:sz w:val="18"/>
                <w:szCs w:val="18"/>
                <w:color w:val="0000FF"/>
              </w:rPr>
            </w:pPr>
            <w:hyperlink r:id="rId121">
              <w:r>
                <w:rPr>
                  <w:rFonts w:ascii="Calibri" w:cs="Calibri" w:eastAsia="Calibri" w:hAnsi="Calibri"/>
                  <w:sz w:val="18"/>
                  <w:szCs w:val="18"/>
                  <w:color w:val="0000FF"/>
                </w:rPr>
                <w:t>Form of Common Stock Certfcate</w:t>
              </w:r>
            </w:hyperlink>
          </w:p>
        </w:tc>
        <w:tc>
          <w:tcPr>
            <w:tcW w:w="940" w:type="dxa"/>
            <w:vAlign w:val="bottom"/>
          </w:tcPr>
          <w:p>
            <w:pPr>
              <w:jc w:val="center"/>
              <w:ind w:right="111"/>
              <w:spacing w:after="0"/>
              <w:rPr>
                <w:sz w:val="20"/>
                <w:szCs w:val="20"/>
                <w:color w:val="auto"/>
              </w:rPr>
            </w:pPr>
            <w:r>
              <w:rPr>
                <w:rFonts w:ascii="Calibri" w:cs="Calibri" w:eastAsia="Calibri" w:hAnsi="Calibri"/>
                <w:sz w:val="18"/>
                <w:szCs w:val="18"/>
                <w:color w:val="auto"/>
                <w:w w:val="95"/>
              </w:rPr>
              <w:t>S-1</w:t>
            </w:r>
          </w:p>
        </w:tc>
        <w:tc>
          <w:tcPr>
            <w:tcW w:w="2040" w:type="dxa"/>
            <w:vAlign w:val="bottom"/>
          </w:tcPr>
          <w:p>
            <w:pPr>
              <w:jc w:val="center"/>
              <w:ind w:right="432"/>
              <w:spacing w:after="0"/>
              <w:rPr>
                <w:sz w:val="20"/>
                <w:szCs w:val="20"/>
                <w:color w:val="auto"/>
              </w:rPr>
            </w:pPr>
            <w:r>
              <w:rPr>
                <w:rFonts w:ascii="Calibri" w:cs="Calibri" w:eastAsia="Calibri" w:hAnsi="Calibri"/>
                <w:sz w:val="18"/>
                <w:szCs w:val="18"/>
                <w:color w:val="auto"/>
                <w:w w:val="97"/>
              </w:rPr>
              <w:t>11/8/2013</w:t>
            </w:r>
          </w:p>
        </w:tc>
        <w:tc>
          <w:tcPr>
            <w:tcW w:w="1080" w:type="dxa"/>
            <w:vAlign w:val="bottom"/>
          </w:tcPr>
          <w:p>
            <w:pPr>
              <w:jc w:val="center"/>
              <w:ind w:right="211"/>
              <w:spacing w:after="0"/>
              <w:rPr>
                <w:sz w:val="20"/>
                <w:szCs w:val="20"/>
                <w:color w:val="auto"/>
              </w:rPr>
            </w:pPr>
            <w:r>
              <w:rPr>
                <w:rFonts w:ascii="Calibri" w:cs="Calibri" w:eastAsia="Calibri" w:hAnsi="Calibri"/>
                <w:sz w:val="18"/>
                <w:szCs w:val="18"/>
                <w:color w:val="auto"/>
                <w:w w:val="96"/>
              </w:rPr>
              <w:t>4.2</w:t>
            </w:r>
          </w:p>
        </w:tc>
        <w:tc>
          <w:tcPr>
            <w:tcW w:w="108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91"/>
        </w:trPr>
        <w:tc>
          <w:tcPr>
            <w:tcW w:w="1040" w:type="dxa"/>
            <w:vAlign w:val="bottom"/>
          </w:tcPr>
          <w:p>
            <w:pPr>
              <w:ind w:left="20"/>
              <w:spacing w:after="0"/>
              <w:rPr>
                <w:sz w:val="20"/>
                <w:szCs w:val="20"/>
                <w:color w:val="auto"/>
              </w:rPr>
            </w:pPr>
            <w:r>
              <w:rPr>
                <w:rFonts w:ascii="Calibri" w:cs="Calibri" w:eastAsia="Calibri" w:hAnsi="Calibri"/>
                <w:sz w:val="18"/>
                <w:szCs w:val="18"/>
                <w:color w:val="auto"/>
              </w:rPr>
              <w:t>4.2</w:t>
            </w:r>
          </w:p>
        </w:tc>
        <w:tc>
          <w:tcPr>
            <w:tcW w:w="5060" w:type="dxa"/>
            <w:vAlign w:val="bottom"/>
            <w:gridSpan w:val="16"/>
          </w:tcPr>
          <w:p>
            <w:pPr>
              <w:spacing w:after="0"/>
              <w:rPr>
                <w:rFonts w:ascii="Calibri" w:cs="Calibri" w:eastAsia="Calibri" w:hAnsi="Calibri"/>
                <w:sz w:val="18"/>
                <w:szCs w:val="18"/>
                <w:color w:val="0000FF"/>
              </w:rPr>
            </w:pPr>
            <w:hyperlink r:id="rId122">
              <w:r>
                <w:rPr>
                  <w:rFonts w:ascii="Calibri" w:cs="Calibri" w:eastAsia="Calibri" w:hAnsi="Calibri"/>
                  <w:sz w:val="18"/>
                  <w:szCs w:val="18"/>
                  <w:color w:val="0000FF"/>
                </w:rPr>
                <w:t>Form of Indenture</w:t>
              </w:r>
            </w:hyperlink>
          </w:p>
        </w:tc>
        <w:tc>
          <w:tcPr>
            <w:tcW w:w="940" w:type="dxa"/>
            <w:vAlign w:val="bottom"/>
          </w:tcPr>
          <w:p>
            <w:pPr>
              <w:jc w:val="center"/>
              <w:ind w:right="111"/>
              <w:spacing w:after="0"/>
              <w:rPr>
                <w:sz w:val="20"/>
                <w:szCs w:val="20"/>
                <w:color w:val="auto"/>
              </w:rPr>
            </w:pPr>
            <w:r>
              <w:rPr>
                <w:rFonts w:ascii="Calibri" w:cs="Calibri" w:eastAsia="Calibri" w:hAnsi="Calibri"/>
                <w:sz w:val="18"/>
                <w:szCs w:val="18"/>
                <w:color w:val="auto"/>
                <w:w w:val="97"/>
              </w:rPr>
              <w:t>S-3 ASR</w:t>
            </w:r>
          </w:p>
        </w:tc>
        <w:tc>
          <w:tcPr>
            <w:tcW w:w="2040" w:type="dxa"/>
            <w:vAlign w:val="bottom"/>
          </w:tcPr>
          <w:p>
            <w:pPr>
              <w:jc w:val="center"/>
              <w:ind w:right="432"/>
              <w:spacing w:after="0"/>
              <w:rPr>
                <w:sz w:val="20"/>
                <w:szCs w:val="20"/>
                <w:color w:val="auto"/>
              </w:rPr>
            </w:pPr>
            <w:r>
              <w:rPr>
                <w:rFonts w:ascii="Calibri" w:cs="Calibri" w:eastAsia="Calibri" w:hAnsi="Calibri"/>
                <w:sz w:val="18"/>
                <w:szCs w:val="18"/>
                <w:color w:val="auto"/>
                <w:w w:val="97"/>
              </w:rPr>
              <w:t>2/21/2024</w:t>
            </w:r>
          </w:p>
        </w:tc>
        <w:tc>
          <w:tcPr>
            <w:tcW w:w="1080" w:type="dxa"/>
            <w:vAlign w:val="bottom"/>
          </w:tcPr>
          <w:p>
            <w:pPr>
              <w:jc w:val="center"/>
              <w:ind w:right="211"/>
              <w:spacing w:after="0"/>
              <w:rPr>
                <w:sz w:val="20"/>
                <w:szCs w:val="20"/>
                <w:color w:val="auto"/>
              </w:rPr>
            </w:pPr>
            <w:r>
              <w:rPr>
                <w:rFonts w:ascii="Calibri" w:cs="Calibri" w:eastAsia="Calibri" w:hAnsi="Calibri"/>
                <w:sz w:val="18"/>
                <w:szCs w:val="18"/>
                <w:color w:val="auto"/>
                <w:w w:val="96"/>
              </w:rPr>
              <w:t>4.2</w:t>
            </w:r>
          </w:p>
        </w:tc>
        <w:tc>
          <w:tcPr>
            <w:tcW w:w="108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90"/>
        </w:trPr>
        <w:tc>
          <w:tcPr>
            <w:tcW w:w="1040" w:type="dxa"/>
            <w:vAlign w:val="bottom"/>
          </w:tcPr>
          <w:p>
            <w:pPr>
              <w:ind w:left="20"/>
              <w:spacing w:after="0"/>
              <w:rPr>
                <w:sz w:val="20"/>
                <w:szCs w:val="20"/>
                <w:color w:val="auto"/>
              </w:rPr>
            </w:pPr>
            <w:r>
              <w:rPr>
                <w:rFonts w:ascii="Calibri" w:cs="Calibri" w:eastAsia="Calibri" w:hAnsi="Calibri"/>
                <w:sz w:val="18"/>
                <w:szCs w:val="18"/>
                <w:color w:val="auto"/>
              </w:rPr>
              <w:t>4.3</w:t>
            </w:r>
          </w:p>
        </w:tc>
        <w:tc>
          <w:tcPr>
            <w:tcW w:w="5060" w:type="dxa"/>
            <w:vAlign w:val="bottom"/>
            <w:gridSpan w:val="16"/>
          </w:tcPr>
          <w:p>
            <w:pPr>
              <w:spacing w:after="0"/>
              <w:rPr>
                <w:rFonts w:ascii="Calibri" w:cs="Calibri" w:eastAsia="Calibri" w:hAnsi="Calibri"/>
                <w:sz w:val="18"/>
                <w:szCs w:val="18"/>
                <w:color w:val="0000FF"/>
              </w:rPr>
            </w:pPr>
            <w:hyperlink r:id="rId123">
              <w:r>
                <w:rPr>
                  <w:rFonts w:ascii="Calibri" w:cs="Calibri" w:eastAsia="Calibri" w:hAnsi="Calibri"/>
                  <w:sz w:val="18"/>
                  <w:szCs w:val="18"/>
                  <w:color w:val="0000FF"/>
                </w:rPr>
                <w:t>Form of Pre-Funded Warrant</w:t>
              </w:r>
            </w:hyperlink>
          </w:p>
        </w:tc>
        <w:tc>
          <w:tcPr>
            <w:tcW w:w="940" w:type="dxa"/>
            <w:vAlign w:val="bottom"/>
          </w:tcPr>
          <w:p>
            <w:pPr>
              <w:jc w:val="center"/>
              <w:ind w:right="111"/>
              <w:spacing w:after="0"/>
              <w:rPr>
                <w:sz w:val="20"/>
                <w:szCs w:val="20"/>
                <w:color w:val="auto"/>
              </w:rPr>
            </w:pPr>
            <w:r>
              <w:rPr>
                <w:rFonts w:ascii="Calibri" w:cs="Calibri" w:eastAsia="Calibri" w:hAnsi="Calibri"/>
                <w:sz w:val="18"/>
                <w:szCs w:val="18"/>
                <w:color w:val="auto"/>
                <w:w w:val="91"/>
              </w:rPr>
              <w:t>8-K</w:t>
            </w:r>
          </w:p>
        </w:tc>
        <w:tc>
          <w:tcPr>
            <w:tcW w:w="2040" w:type="dxa"/>
            <w:vAlign w:val="bottom"/>
          </w:tcPr>
          <w:p>
            <w:pPr>
              <w:jc w:val="center"/>
              <w:ind w:right="412"/>
              <w:spacing w:after="0"/>
              <w:rPr>
                <w:sz w:val="20"/>
                <w:szCs w:val="20"/>
                <w:color w:val="auto"/>
              </w:rPr>
            </w:pPr>
            <w:r>
              <w:rPr>
                <w:rFonts w:ascii="Calibri" w:cs="Calibri" w:eastAsia="Calibri" w:hAnsi="Calibri"/>
                <w:sz w:val="18"/>
                <w:szCs w:val="18"/>
                <w:color w:val="auto"/>
                <w:w w:val="98"/>
              </w:rPr>
              <w:t>10/23/2023</w:t>
            </w:r>
          </w:p>
        </w:tc>
        <w:tc>
          <w:tcPr>
            <w:tcW w:w="1080" w:type="dxa"/>
            <w:vAlign w:val="bottom"/>
          </w:tcPr>
          <w:p>
            <w:pPr>
              <w:jc w:val="center"/>
              <w:ind w:right="211"/>
              <w:spacing w:after="0"/>
              <w:rPr>
                <w:sz w:val="20"/>
                <w:szCs w:val="20"/>
                <w:color w:val="auto"/>
              </w:rPr>
            </w:pPr>
            <w:r>
              <w:rPr>
                <w:rFonts w:ascii="Calibri" w:cs="Calibri" w:eastAsia="Calibri" w:hAnsi="Calibri"/>
                <w:sz w:val="18"/>
                <w:szCs w:val="18"/>
                <w:color w:val="auto"/>
                <w:w w:val="96"/>
              </w:rPr>
              <w:t>4.1</w:t>
            </w:r>
          </w:p>
        </w:tc>
        <w:tc>
          <w:tcPr>
            <w:tcW w:w="108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91"/>
        </w:trPr>
        <w:tc>
          <w:tcPr>
            <w:tcW w:w="1040" w:type="dxa"/>
            <w:vAlign w:val="bottom"/>
          </w:tcPr>
          <w:p>
            <w:pPr>
              <w:ind w:left="20"/>
              <w:spacing w:after="0"/>
              <w:rPr>
                <w:sz w:val="20"/>
                <w:szCs w:val="20"/>
                <w:color w:val="auto"/>
              </w:rPr>
            </w:pPr>
            <w:r>
              <w:rPr>
                <w:rFonts w:ascii="Calibri" w:cs="Calibri" w:eastAsia="Calibri" w:hAnsi="Calibri"/>
                <w:sz w:val="18"/>
                <w:szCs w:val="18"/>
                <w:color w:val="auto"/>
              </w:rPr>
              <w:t>4.4</w:t>
            </w:r>
          </w:p>
        </w:tc>
        <w:tc>
          <w:tcPr>
            <w:tcW w:w="5060" w:type="dxa"/>
            <w:vAlign w:val="bottom"/>
            <w:gridSpan w:val="16"/>
          </w:tcPr>
          <w:p>
            <w:pPr>
              <w:spacing w:after="0"/>
              <w:rPr>
                <w:rFonts w:ascii="Calibri" w:cs="Calibri" w:eastAsia="Calibri" w:hAnsi="Calibri"/>
                <w:sz w:val="18"/>
                <w:szCs w:val="18"/>
                <w:color w:val="0000FF"/>
              </w:rPr>
            </w:pPr>
            <w:hyperlink r:id="rId124">
              <w:r>
                <w:rPr>
                  <w:rFonts w:ascii="Calibri" w:cs="Calibri" w:eastAsia="Calibri" w:hAnsi="Calibri"/>
                  <w:sz w:val="18"/>
                  <w:szCs w:val="18"/>
                  <w:color w:val="0000FF"/>
                </w:rPr>
                <w:t>Form of Pre-Funded Warrant</w:t>
              </w:r>
            </w:hyperlink>
          </w:p>
        </w:tc>
        <w:tc>
          <w:tcPr>
            <w:tcW w:w="940" w:type="dxa"/>
            <w:vAlign w:val="bottom"/>
          </w:tcPr>
          <w:p>
            <w:pPr>
              <w:jc w:val="center"/>
              <w:ind w:right="111"/>
              <w:spacing w:after="0"/>
              <w:rPr>
                <w:sz w:val="20"/>
                <w:szCs w:val="20"/>
                <w:color w:val="auto"/>
              </w:rPr>
            </w:pPr>
            <w:r>
              <w:rPr>
                <w:rFonts w:ascii="Calibri" w:cs="Calibri" w:eastAsia="Calibri" w:hAnsi="Calibri"/>
                <w:sz w:val="18"/>
                <w:szCs w:val="18"/>
                <w:color w:val="auto"/>
                <w:w w:val="91"/>
              </w:rPr>
              <w:t>8-K</w:t>
            </w:r>
          </w:p>
        </w:tc>
        <w:tc>
          <w:tcPr>
            <w:tcW w:w="2040" w:type="dxa"/>
            <w:vAlign w:val="bottom"/>
          </w:tcPr>
          <w:p>
            <w:pPr>
              <w:jc w:val="center"/>
              <w:ind w:right="432"/>
              <w:spacing w:after="0"/>
              <w:rPr>
                <w:sz w:val="20"/>
                <w:szCs w:val="20"/>
                <w:color w:val="auto"/>
              </w:rPr>
            </w:pPr>
            <w:r>
              <w:rPr>
                <w:rFonts w:ascii="Calibri" w:cs="Calibri" w:eastAsia="Calibri" w:hAnsi="Calibri"/>
                <w:sz w:val="18"/>
                <w:szCs w:val="18"/>
                <w:color w:val="auto"/>
                <w:w w:val="97"/>
              </w:rPr>
              <w:t>6/17/2024</w:t>
            </w:r>
          </w:p>
        </w:tc>
        <w:tc>
          <w:tcPr>
            <w:tcW w:w="1080" w:type="dxa"/>
            <w:vAlign w:val="bottom"/>
          </w:tcPr>
          <w:p>
            <w:pPr>
              <w:jc w:val="center"/>
              <w:ind w:right="211"/>
              <w:spacing w:after="0"/>
              <w:rPr>
                <w:sz w:val="20"/>
                <w:szCs w:val="20"/>
                <w:color w:val="auto"/>
              </w:rPr>
            </w:pPr>
            <w:r>
              <w:rPr>
                <w:rFonts w:ascii="Calibri" w:cs="Calibri" w:eastAsia="Calibri" w:hAnsi="Calibri"/>
                <w:sz w:val="18"/>
                <w:szCs w:val="18"/>
                <w:color w:val="auto"/>
                <w:w w:val="96"/>
              </w:rPr>
              <w:t>4.1</w:t>
            </w:r>
          </w:p>
        </w:tc>
        <w:tc>
          <w:tcPr>
            <w:tcW w:w="108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91"/>
        </w:trPr>
        <w:tc>
          <w:tcPr>
            <w:tcW w:w="1040" w:type="dxa"/>
            <w:vAlign w:val="bottom"/>
          </w:tcPr>
          <w:p>
            <w:pPr>
              <w:ind w:left="20"/>
              <w:spacing w:after="0"/>
              <w:rPr>
                <w:sz w:val="20"/>
                <w:szCs w:val="20"/>
                <w:color w:val="auto"/>
              </w:rPr>
            </w:pPr>
            <w:r>
              <w:rPr>
                <w:rFonts w:ascii="Calibri" w:cs="Calibri" w:eastAsia="Calibri" w:hAnsi="Calibri"/>
                <w:sz w:val="18"/>
                <w:szCs w:val="18"/>
                <w:color w:val="auto"/>
              </w:rPr>
              <w:t>4.5</w:t>
            </w:r>
          </w:p>
        </w:tc>
        <w:tc>
          <w:tcPr>
            <w:tcW w:w="5060" w:type="dxa"/>
            <w:vAlign w:val="bottom"/>
            <w:gridSpan w:val="16"/>
          </w:tcPr>
          <w:p>
            <w:pPr>
              <w:spacing w:after="0"/>
              <w:rPr>
                <w:rFonts w:ascii="Calibri" w:cs="Calibri" w:eastAsia="Calibri" w:hAnsi="Calibri"/>
                <w:sz w:val="18"/>
                <w:szCs w:val="18"/>
                <w:color w:val="0000FF"/>
              </w:rPr>
            </w:pPr>
            <w:hyperlink r:id="rId125">
              <w:r>
                <w:rPr>
                  <w:rFonts w:ascii="Calibri" w:cs="Calibri" w:eastAsia="Calibri" w:hAnsi="Calibri"/>
                  <w:sz w:val="18"/>
                  <w:szCs w:val="18"/>
                  <w:color w:val="0000FF"/>
                </w:rPr>
                <w:t>Descripton of Common Stock</w:t>
              </w:r>
            </w:hyperlink>
          </w:p>
        </w:tc>
        <w:tc>
          <w:tcPr>
            <w:tcW w:w="940" w:type="dxa"/>
            <w:vAlign w:val="bottom"/>
          </w:tcPr>
          <w:p>
            <w:pPr>
              <w:jc w:val="center"/>
              <w:ind w:right="111"/>
              <w:spacing w:after="0"/>
              <w:rPr>
                <w:sz w:val="20"/>
                <w:szCs w:val="20"/>
                <w:color w:val="auto"/>
              </w:rPr>
            </w:pPr>
            <w:r>
              <w:rPr>
                <w:rFonts w:ascii="Calibri" w:cs="Calibri" w:eastAsia="Calibri" w:hAnsi="Calibri"/>
                <w:sz w:val="18"/>
                <w:szCs w:val="18"/>
                <w:color w:val="auto"/>
              </w:rPr>
              <w:t>10-K</w:t>
            </w:r>
          </w:p>
        </w:tc>
        <w:tc>
          <w:tcPr>
            <w:tcW w:w="2040" w:type="dxa"/>
            <w:vAlign w:val="bottom"/>
          </w:tcPr>
          <w:p>
            <w:pPr>
              <w:jc w:val="center"/>
              <w:ind w:right="432"/>
              <w:spacing w:after="0"/>
              <w:rPr>
                <w:sz w:val="20"/>
                <w:szCs w:val="20"/>
                <w:color w:val="auto"/>
              </w:rPr>
            </w:pPr>
            <w:r>
              <w:rPr>
                <w:rFonts w:ascii="Calibri" w:cs="Calibri" w:eastAsia="Calibri" w:hAnsi="Calibri"/>
                <w:sz w:val="18"/>
                <w:szCs w:val="18"/>
                <w:color w:val="auto"/>
                <w:w w:val="97"/>
              </w:rPr>
              <w:t>2/14/2020</w:t>
            </w:r>
          </w:p>
        </w:tc>
        <w:tc>
          <w:tcPr>
            <w:tcW w:w="1080" w:type="dxa"/>
            <w:vAlign w:val="bottom"/>
          </w:tcPr>
          <w:p>
            <w:pPr>
              <w:jc w:val="center"/>
              <w:ind w:right="211"/>
              <w:spacing w:after="0"/>
              <w:rPr>
                <w:sz w:val="20"/>
                <w:szCs w:val="20"/>
                <w:color w:val="auto"/>
              </w:rPr>
            </w:pPr>
            <w:r>
              <w:rPr>
                <w:rFonts w:ascii="Calibri" w:cs="Calibri" w:eastAsia="Calibri" w:hAnsi="Calibri"/>
                <w:sz w:val="18"/>
                <w:szCs w:val="18"/>
                <w:color w:val="auto"/>
                <w:w w:val="96"/>
              </w:rPr>
              <w:t>4.3</w:t>
            </w:r>
          </w:p>
        </w:tc>
        <w:tc>
          <w:tcPr>
            <w:tcW w:w="108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90"/>
        </w:trPr>
        <w:tc>
          <w:tcPr>
            <w:tcW w:w="1040" w:type="dxa"/>
            <w:vAlign w:val="bottom"/>
          </w:tcPr>
          <w:p>
            <w:pPr>
              <w:ind w:left="20"/>
              <w:spacing w:after="0"/>
              <w:rPr>
                <w:sz w:val="20"/>
                <w:szCs w:val="20"/>
                <w:color w:val="auto"/>
              </w:rPr>
            </w:pPr>
            <w:r>
              <w:rPr>
                <w:rFonts w:ascii="Calibri" w:cs="Calibri" w:eastAsia="Calibri" w:hAnsi="Calibri"/>
                <w:sz w:val="18"/>
                <w:szCs w:val="18"/>
                <w:color w:val="auto"/>
              </w:rPr>
              <w:t>10.1*</w:t>
            </w:r>
          </w:p>
        </w:tc>
        <w:tc>
          <w:tcPr>
            <w:tcW w:w="5060" w:type="dxa"/>
            <w:vAlign w:val="bottom"/>
            <w:gridSpan w:val="16"/>
          </w:tcPr>
          <w:p>
            <w:pPr>
              <w:spacing w:after="0"/>
              <w:rPr>
                <w:rFonts w:ascii="Calibri" w:cs="Calibri" w:eastAsia="Calibri" w:hAnsi="Calibri"/>
                <w:sz w:val="18"/>
                <w:szCs w:val="18"/>
                <w:color w:val="0000FF"/>
              </w:rPr>
            </w:pPr>
            <w:hyperlink r:id="rId126">
              <w:r>
                <w:rPr>
                  <w:rFonts w:ascii="Calibri" w:cs="Calibri" w:eastAsia="Calibri" w:hAnsi="Calibri"/>
                  <w:sz w:val="18"/>
                  <w:szCs w:val="18"/>
                  <w:color w:val="0000FF"/>
                </w:rPr>
                <w:t>Collaboraton and License Agreement, efectve as of August 29,</w:t>
              </w:r>
            </w:hyperlink>
          </w:p>
        </w:tc>
        <w:tc>
          <w:tcPr>
            <w:tcW w:w="940" w:type="dxa"/>
            <w:vAlign w:val="bottom"/>
          </w:tcPr>
          <w:p>
            <w:pPr>
              <w:jc w:val="center"/>
              <w:ind w:right="111"/>
              <w:spacing w:after="0"/>
              <w:rPr>
                <w:sz w:val="20"/>
                <w:szCs w:val="20"/>
                <w:color w:val="auto"/>
              </w:rPr>
            </w:pPr>
            <w:r>
              <w:rPr>
                <w:rFonts w:ascii="Calibri" w:cs="Calibri" w:eastAsia="Calibri" w:hAnsi="Calibri"/>
                <w:sz w:val="18"/>
                <w:szCs w:val="18"/>
                <w:color w:val="auto"/>
                <w:w w:val="94"/>
              </w:rPr>
              <w:t>S-1/A</w:t>
            </w:r>
          </w:p>
        </w:tc>
        <w:tc>
          <w:tcPr>
            <w:tcW w:w="2040" w:type="dxa"/>
            <w:vAlign w:val="bottom"/>
          </w:tcPr>
          <w:p>
            <w:pPr>
              <w:jc w:val="center"/>
              <w:ind w:right="412"/>
              <w:spacing w:after="0"/>
              <w:rPr>
                <w:sz w:val="20"/>
                <w:szCs w:val="20"/>
                <w:color w:val="auto"/>
              </w:rPr>
            </w:pPr>
            <w:r>
              <w:rPr>
                <w:rFonts w:ascii="Calibri" w:cs="Calibri" w:eastAsia="Calibri" w:hAnsi="Calibri"/>
                <w:sz w:val="18"/>
                <w:szCs w:val="18"/>
                <w:color w:val="auto"/>
                <w:w w:val="98"/>
              </w:rPr>
              <w:t>12/23/2013</w:t>
            </w:r>
          </w:p>
        </w:tc>
        <w:tc>
          <w:tcPr>
            <w:tcW w:w="1080" w:type="dxa"/>
            <w:vAlign w:val="bottom"/>
          </w:tcPr>
          <w:p>
            <w:pPr>
              <w:jc w:val="center"/>
              <w:ind w:right="231"/>
              <w:spacing w:after="0"/>
              <w:rPr>
                <w:sz w:val="20"/>
                <w:szCs w:val="20"/>
                <w:color w:val="auto"/>
              </w:rPr>
            </w:pPr>
            <w:r>
              <w:rPr>
                <w:rFonts w:ascii="Calibri" w:cs="Calibri" w:eastAsia="Calibri" w:hAnsi="Calibri"/>
                <w:sz w:val="18"/>
                <w:szCs w:val="18"/>
                <w:color w:val="auto"/>
              </w:rPr>
              <w:t>10.1</w:t>
            </w:r>
          </w:p>
        </w:tc>
        <w:tc>
          <w:tcPr>
            <w:tcW w:w="108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060" w:type="dxa"/>
            <w:vAlign w:val="bottom"/>
            <w:gridSpan w:val="16"/>
          </w:tcPr>
          <w:p>
            <w:pPr>
              <w:spacing w:after="0" w:line="196" w:lineRule="exact"/>
              <w:rPr>
                <w:rFonts w:ascii="Calibri" w:cs="Calibri" w:eastAsia="Calibri" w:hAnsi="Calibri"/>
                <w:sz w:val="18"/>
                <w:szCs w:val="18"/>
                <w:color w:val="0000FF"/>
              </w:rPr>
            </w:pPr>
            <w:hyperlink r:id="rId126">
              <w:r>
                <w:rPr>
                  <w:rFonts w:ascii="Calibri" w:cs="Calibri" w:eastAsia="Calibri" w:hAnsi="Calibri"/>
                  <w:sz w:val="18"/>
                  <w:szCs w:val="18"/>
                  <w:color w:val="0000FF"/>
                </w:rPr>
                <w:t>2013, between Ultragenyx Pharmaceutcal Inc. and Kyowa Hakko</w:t>
              </w:r>
            </w:hyperlink>
          </w:p>
        </w:tc>
        <w:tc>
          <w:tcPr>
            <w:tcW w:w="9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238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060" w:type="dxa"/>
            <w:vAlign w:val="bottom"/>
            <w:gridSpan w:val="16"/>
          </w:tcPr>
          <w:p>
            <w:pPr>
              <w:spacing w:after="0" w:line="196" w:lineRule="exact"/>
              <w:rPr>
                <w:rFonts w:ascii="Calibri" w:cs="Calibri" w:eastAsia="Calibri" w:hAnsi="Calibri"/>
                <w:sz w:val="18"/>
                <w:szCs w:val="18"/>
                <w:color w:val="0000FF"/>
              </w:rPr>
            </w:pPr>
            <w:hyperlink r:id="rId126">
              <w:r>
                <w:rPr>
                  <w:rFonts w:ascii="Calibri" w:cs="Calibri" w:eastAsia="Calibri" w:hAnsi="Calibri"/>
                  <w:sz w:val="18"/>
                  <w:szCs w:val="18"/>
                  <w:color w:val="0000FF"/>
                </w:rPr>
                <w:t>Kirin Co., Ltd.</w:t>
              </w:r>
            </w:hyperlink>
          </w:p>
        </w:tc>
        <w:tc>
          <w:tcPr>
            <w:tcW w:w="9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940" w:type="dxa"/>
            <w:vAlign w:val="bottom"/>
            <w:tcBorders>
              <w:right w:val="single" w:sz="8" w:color="0000EE"/>
            </w:tcBorders>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90"/>
        </w:trPr>
        <w:tc>
          <w:tcPr>
            <w:tcW w:w="1040" w:type="dxa"/>
            <w:vAlign w:val="bottom"/>
          </w:tcPr>
          <w:p>
            <w:pPr>
              <w:ind w:left="20"/>
              <w:spacing w:after="0"/>
              <w:rPr>
                <w:sz w:val="20"/>
                <w:szCs w:val="20"/>
                <w:color w:val="auto"/>
              </w:rPr>
            </w:pPr>
            <w:r>
              <w:rPr>
                <w:rFonts w:ascii="Calibri" w:cs="Calibri" w:eastAsia="Calibri" w:hAnsi="Calibri"/>
                <w:sz w:val="18"/>
                <w:szCs w:val="18"/>
                <w:color w:val="auto"/>
              </w:rPr>
              <w:t>10.2</w:t>
            </w:r>
          </w:p>
        </w:tc>
        <w:tc>
          <w:tcPr>
            <w:tcW w:w="5060" w:type="dxa"/>
            <w:vAlign w:val="bottom"/>
            <w:gridSpan w:val="16"/>
          </w:tcPr>
          <w:p>
            <w:pPr>
              <w:spacing w:after="0"/>
              <w:rPr>
                <w:rFonts w:ascii="Calibri" w:cs="Calibri" w:eastAsia="Calibri" w:hAnsi="Calibri"/>
                <w:sz w:val="18"/>
                <w:szCs w:val="18"/>
                <w:color w:val="0000FF"/>
              </w:rPr>
            </w:pPr>
            <w:hyperlink r:id="rId127">
              <w:r>
                <w:rPr>
                  <w:rFonts w:ascii="Calibri" w:cs="Calibri" w:eastAsia="Calibri" w:hAnsi="Calibri"/>
                  <w:sz w:val="18"/>
                  <w:szCs w:val="18"/>
                  <w:color w:val="0000FF"/>
                </w:rPr>
                <w:t>Amendment No. 1 to Collaboraton and License Agreement, efectve</w:t>
              </w:r>
            </w:hyperlink>
          </w:p>
        </w:tc>
        <w:tc>
          <w:tcPr>
            <w:tcW w:w="940" w:type="dxa"/>
            <w:vAlign w:val="bottom"/>
          </w:tcPr>
          <w:p>
            <w:pPr>
              <w:jc w:val="center"/>
              <w:ind w:right="111"/>
              <w:spacing w:after="0"/>
              <w:rPr>
                <w:sz w:val="20"/>
                <w:szCs w:val="20"/>
                <w:color w:val="auto"/>
              </w:rPr>
            </w:pPr>
            <w:r>
              <w:rPr>
                <w:rFonts w:ascii="Calibri" w:cs="Calibri" w:eastAsia="Calibri" w:hAnsi="Calibri"/>
                <w:sz w:val="18"/>
                <w:szCs w:val="18"/>
                <w:color w:val="auto"/>
                <w:w w:val="94"/>
              </w:rPr>
              <w:t>10-Q</w:t>
            </w:r>
          </w:p>
        </w:tc>
        <w:tc>
          <w:tcPr>
            <w:tcW w:w="2040" w:type="dxa"/>
            <w:vAlign w:val="bottom"/>
          </w:tcPr>
          <w:p>
            <w:pPr>
              <w:jc w:val="center"/>
              <w:ind w:right="412"/>
              <w:spacing w:after="0"/>
              <w:rPr>
                <w:sz w:val="20"/>
                <w:szCs w:val="20"/>
                <w:color w:val="auto"/>
              </w:rPr>
            </w:pPr>
            <w:r>
              <w:rPr>
                <w:rFonts w:ascii="Calibri" w:cs="Calibri" w:eastAsia="Calibri" w:hAnsi="Calibri"/>
                <w:sz w:val="18"/>
                <w:szCs w:val="18"/>
                <w:color w:val="auto"/>
                <w:w w:val="98"/>
              </w:rPr>
              <w:t>11/10/2015</w:t>
            </w:r>
          </w:p>
        </w:tc>
        <w:tc>
          <w:tcPr>
            <w:tcW w:w="1080" w:type="dxa"/>
            <w:vAlign w:val="bottom"/>
          </w:tcPr>
          <w:p>
            <w:pPr>
              <w:jc w:val="center"/>
              <w:ind w:right="231"/>
              <w:spacing w:after="0"/>
              <w:rPr>
                <w:sz w:val="20"/>
                <w:szCs w:val="20"/>
                <w:color w:val="auto"/>
              </w:rPr>
            </w:pPr>
            <w:r>
              <w:rPr>
                <w:rFonts w:ascii="Calibri" w:cs="Calibri" w:eastAsia="Calibri" w:hAnsi="Calibri"/>
                <w:sz w:val="18"/>
                <w:szCs w:val="18"/>
                <w:color w:val="auto"/>
              </w:rPr>
              <w:t>10.2</w:t>
            </w:r>
          </w:p>
        </w:tc>
        <w:tc>
          <w:tcPr>
            <w:tcW w:w="108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194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2400" w:type="dxa"/>
            <w:vAlign w:val="bottom"/>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060" w:type="dxa"/>
            <w:vAlign w:val="bottom"/>
            <w:gridSpan w:val="16"/>
          </w:tcPr>
          <w:p>
            <w:pPr>
              <w:spacing w:after="0" w:line="196" w:lineRule="exact"/>
              <w:rPr>
                <w:rFonts w:ascii="Calibri" w:cs="Calibri" w:eastAsia="Calibri" w:hAnsi="Calibri"/>
                <w:sz w:val="18"/>
                <w:szCs w:val="18"/>
                <w:color w:val="0000FF"/>
              </w:rPr>
            </w:pPr>
            <w:hyperlink r:id="rId127">
              <w:r>
                <w:rPr>
                  <w:rFonts w:ascii="Calibri" w:cs="Calibri" w:eastAsia="Calibri" w:hAnsi="Calibri"/>
                  <w:sz w:val="18"/>
                  <w:szCs w:val="18"/>
                  <w:color w:val="0000FF"/>
                </w:rPr>
                <w:t>as of August 24, 2015, between Ultragenyx Pharmaceutcal Inc. and</w:t>
              </w:r>
            </w:hyperlink>
          </w:p>
        </w:tc>
        <w:tc>
          <w:tcPr>
            <w:tcW w:w="9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94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2400" w:type="dxa"/>
            <w:vAlign w:val="bottom"/>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060" w:type="dxa"/>
            <w:vAlign w:val="bottom"/>
            <w:gridSpan w:val="16"/>
          </w:tcPr>
          <w:p>
            <w:pPr>
              <w:spacing w:after="0" w:line="196" w:lineRule="exact"/>
              <w:rPr>
                <w:rFonts w:ascii="Calibri" w:cs="Calibri" w:eastAsia="Calibri" w:hAnsi="Calibri"/>
                <w:sz w:val="18"/>
                <w:szCs w:val="18"/>
                <w:color w:val="0000FF"/>
              </w:rPr>
            </w:pPr>
            <w:hyperlink r:id="rId127">
              <w:r>
                <w:rPr>
                  <w:rFonts w:ascii="Calibri" w:cs="Calibri" w:eastAsia="Calibri" w:hAnsi="Calibri"/>
                  <w:sz w:val="18"/>
                  <w:szCs w:val="18"/>
                  <w:color w:val="0000FF"/>
                </w:rPr>
                <w:t>Kyowa Hakko Kirin Co., Ltd.</w:t>
              </w:r>
            </w:hyperlink>
          </w:p>
        </w:tc>
        <w:tc>
          <w:tcPr>
            <w:tcW w:w="9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940" w:type="dxa"/>
            <w:vAlign w:val="bottom"/>
            <w:tcBorders>
              <w:right w:val="single" w:sz="8" w:color="0000EE"/>
            </w:tcBorders>
            <w:gridSpan w:val="3"/>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90"/>
        </w:trPr>
        <w:tc>
          <w:tcPr>
            <w:tcW w:w="1040" w:type="dxa"/>
            <w:vAlign w:val="bottom"/>
          </w:tcPr>
          <w:p>
            <w:pPr>
              <w:ind w:left="20"/>
              <w:spacing w:after="0"/>
              <w:rPr>
                <w:sz w:val="20"/>
                <w:szCs w:val="20"/>
                <w:color w:val="auto"/>
              </w:rPr>
            </w:pPr>
            <w:r>
              <w:rPr>
                <w:rFonts w:ascii="Calibri" w:cs="Calibri" w:eastAsia="Calibri" w:hAnsi="Calibri"/>
                <w:sz w:val="18"/>
                <w:szCs w:val="18"/>
                <w:color w:val="auto"/>
              </w:rPr>
              <w:t>10.3</w:t>
            </w:r>
          </w:p>
        </w:tc>
        <w:tc>
          <w:tcPr>
            <w:tcW w:w="5060" w:type="dxa"/>
            <w:vAlign w:val="bottom"/>
            <w:gridSpan w:val="16"/>
          </w:tcPr>
          <w:p>
            <w:pPr>
              <w:spacing w:after="0"/>
              <w:rPr>
                <w:rFonts w:ascii="Calibri" w:cs="Calibri" w:eastAsia="Calibri" w:hAnsi="Calibri"/>
                <w:sz w:val="18"/>
                <w:szCs w:val="18"/>
                <w:color w:val="0000FF"/>
              </w:rPr>
            </w:pPr>
            <w:hyperlink r:id="rId128">
              <w:r>
                <w:rPr>
                  <w:rFonts w:ascii="Calibri" w:cs="Calibri" w:eastAsia="Calibri" w:hAnsi="Calibri"/>
                  <w:sz w:val="18"/>
                  <w:szCs w:val="18"/>
                  <w:color w:val="0000FF"/>
                </w:rPr>
                <w:t>Amendment No. 2 to Collaboraton and License Agreement, efectve</w:t>
              </w:r>
            </w:hyperlink>
          </w:p>
        </w:tc>
        <w:tc>
          <w:tcPr>
            <w:tcW w:w="940" w:type="dxa"/>
            <w:vAlign w:val="bottom"/>
          </w:tcPr>
          <w:p>
            <w:pPr>
              <w:jc w:val="center"/>
              <w:ind w:right="111"/>
              <w:spacing w:after="0"/>
              <w:rPr>
                <w:sz w:val="20"/>
                <w:szCs w:val="20"/>
                <w:color w:val="auto"/>
              </w:rPr>
            </w:pPr>
            <w:r>
              <w:rPr>
                <w:rFonts w:ascii="Calibri" w:cs="Calibri" w:eastAsia="Calibri" w:hAnsi="Calibri"/>
                <w:sz w:val="18"/>
                <w:szCs w:val="18"/>
                <w:color w:val="auto"/>
              </w:rPr>
              <w:t>10-K</w:t>
            </w:r>
          </w:p>
        </w:tc>
        <w:tc>
          <w:tcPr>
            <w:tcW w:w="2040" w:type="dxa"/>
            <w:vAlign w:val="bottom"/>
          </w:tcPr>
          <w:p>
            <w:pPr>
              <w:jc w:val="center"/>
              <w:ind w:right="432"/>
              <w:spacing w:after="0"/>
              <w:rPr>
                <w:sz w:val="20"/>
                <w:szCs w:val="20"/>
                <w:color w:val="auto"/>
              </w:rPr>
            </w:pPr>
            <w:r>
              <w:rPr>
                <w:rFonts w:ascii="Calibri" w:cs="Calibri" w:eastAsia="Calibri" w:hAnsi="Calibri"/>
                <w:sz w:val="18"/>
                <w:szCs w:val="18"/>
                <w:color w:val="auto"/>
                <w:w w:val="97"/>
              </w:rPr>
              <w:t>2/21/2018</w:t>
            </w:r>
          </w:p>
        </w:tc>
        <w:tc>
          <w:tcPr>
            <w:tcW w:w="1080" w:type="dxa"/>
            <w:vAlign w:val="bottom"/>
          </w:tcPr>
          <w:p>
            <w:pPr>
              <w:jc w:val="center"/>
              <w:ind w:right="231"/>
              <w:spacing w:after="0"/>
              <w:rPr>
                <w:sz w:val="20"/>
                <w:szCs w:val="20"/>
                <w:color w:val="auto"/>
              </w:rPr>
            </w:pPr>
            <w:r>
              <w:rPr>
                <w:rFonts w:ascii="Calibri" w:cs="Calibri" w:eastAsia="Calibri" w:hAnsi="Calibri"/>
                <w:sz w:val="18"/>
                <w:szCs w:val="18"/>
                <w:color w:val="auto"/>
              </w:rPr>
              <w:t>10.3</w:t>
            </w:r>
          </w:p>
        </w:tc>
        <w:tc>
          <w:tcPr>
            <w:tcW w:w="108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2260" w:type="dxa"/>
            <w:vAlign w:val="bottom"/>
            <w:tcBorders>
              <w:right w:val="single" w:sz="8" w:color="0000FF"/>
            </w:tcBorders>
            <w:gridSpan w:val="6"/>
            <w:shd w:val="clear" w:color="auto" w:fill="0000FF"/>
          </w:tcPr>
          <w:p>
            <w:pPr>
              <w:spacing w:after="0" w:line="20" w:lineRule="exact"/>
              <w:rPr>
                <w:sz w:val="1"/>
                <w:szCs w:val="1"/>
                <w:color w:val="auto"/>
              </w:rPr>
            </w:pPr>
          </w:p>
        </w:tc>
        <w:tc>
          <w:tcPr>
            <w:tcW w:w="2400" w:type="dxa"/>
            <w:vAlign w:val="bottom"/>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060" w:type="dxa"/>
            <w:vAlign w:val="bottom"/>
            <w:gridSpan w:val="16"/>
          </w:tcPr>
          <w:p>
            <w:pPr>
              <w:spacing w:after="0" w:line="196" w:lineRule="exact"/>
              <w:rPr>
                <w:rFonts w:ascii="Calibri" w:cs="Calibri" w:eastAsia="Calibri" w:hAnsi="Calibri"/>
                <w:sz w:val="18"/>
                <w:szCs w:val="18"/>
                <w:color w:val="0000FF"/>
              </w:rPr>
            </w:pPr>
            <w:hyperlink r:id="rId128">
              <w:r>
                <w:rPr>
                  <w:rFonts w:ascii="Calibri" w:cs="Calibri" w:eastAsia="Calibri" w:hAnsi="Calibri"/>
                  <w:sz w:val="18"/>
                  <w:szCs w:val="18"/>
                  <w:color w:val="0000FF"/>
                </w:rPr>
                <w:t>as of November 28, 2016, between Ultragenyx Pharmaceutcal Inc.</w:t>
              </w:r>
            </w:hyperlink>
          </w:p>
        </w:tc>
        <w:tc>
          <w:tcPr>
            <w:tcW w:w="9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2260" w:type="dxa"/>
            <w:vAlign w:val="bottom"/>
            <w:tcBorders>
              <w:right w:val="single" w:sz="8" w:color="0000FF"/>
            </w:tcBorders>
            <w:gridSpan w:val="6"/>
            <w:shd w:val="clear" w:color="auto" w:fill="0000FF"/>
          </w:tcPr>
          <w:p>
            <w:pPr>
              <w:spacing w:after="0" w:line="20" w:lineRule="exact"/>
              <w:rPr>
                <w:sz w:val="1"/>
                <w:szCs w:val="1"/>
                <w:color w:val="auto"/>
              </w:rPr>
            </w:pPr>
          </w:p>
        </w:tc>
        <w:tc>
          <w:tcPr>
            <w:tcW w:w="2400" w:type="dxa"/>
            <w:vAlign w:val="bottom"/>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060" w:type="dxa"/>
            <w:vAlign w:val="bottom"/>
            <w:gridSpan w:val="16"/>
          </w:tcPr>
          <w:p>
            <w:pPr>
              <w:spacing w:after="0" w:line="196" w:lineRule="exact"/>
              <w:rPr>
                <w:rFonts w:ascii="Calibri" w:cs="Calibri" w:eastAsia="Calibri" w:hAnsi="Calibri"/>
                <w:sz w:val="18"/>
                <w:szCs w:val="18"/>
                <w:color w:val="0000FF"/>
              </w:rPr>
            </w:pPr>
            <w:hyperlink r:id="rId128">
              <w:r>
                <w:rPr>
                  <w:rFonts w:ascii="Calibri" w:cs="Calibri" w:eastAsia="Calibri" w:hAnsi="Calibri"/>
                  <w:sz w:val="18"/>
                  <w:szCs w:val="18"/>
                  <w:color w:val="0000FF"/>
                </w:rPr>
                <w:t>and Kyowa Hakko Kirin Co., Ltd.</w:t>
              </w:r>
            </w:hyperlink>
          </w:p>
        </w:tc>
        <w:tc>
          <w:tcPr>
            <w:tcW w:w="9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260" w:type="dxa"/>
            <w:vAlign w:val="bottom"/>
            <w:tcBorders>
              <w:right w:val="single" w:sz="8" w:color="0000EE"/>
            </w:tcBorders>
            <w:gridSpan w:val="6"/>
            <w:shd w:val="clear" w:color="auto" w:fill="0000FF"/>
          </w:tcPr>
          <w:p>
            <w:pPr>
              <w:spacing w:after="0" w:line="20" w:lineRule="exact"/>
              <w:rPr>
                <w:sz w:val="1"/>
                <w:szCs w:val="1"/>
                <w:color w:val="auto"/>
              </w:rPr>
            </w:pPr>
          </w:p>
        </w:tc>
        <w:tc>
          <w:tcPr>
            <w:tcW w:w="240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90"/>
        </w:trPr>
        <w:tc>
          <w:tcPr>
            <w:tcW w:w="1040" w:type="dxa"/>
            <w:vAlign w:val="bottom"/>
          </w:tcPr>
          <w:p>
            <w:pPr>
              <w:ind w:left="20"/>
              <w:spacing w:after="0"/>
              <w:rPr>
                <w:sz w:val="20"/>
                <w:szCs w:val="20"/>
                <w:color w:val="auto"/>
              </w:rPr>
            </w:pPr>
            <w:r>
              <w:rPr>
                <w:rFonts w:ascii="Calibri" w:cs="Calibri" w:eastAsia="Calibri" w:hAnsi="Calibri"/>
                <w:sz w:val="18"/>
                <w:szCs w:val="18"/>
                <w:color w:val="auto"/>
              </w:rPr>
              <w:t>10.4*</w:t>
            </w:r>
          </w:p>
        </w:tc>
        <w:tc>
          <w:tcPr>
            <w:tcW w:w="5060" w:type="dxa"/>
            <w:vAlign w:val="bottom"/>
            <w:gridSpan w:val="16"/>
          </w:tcPr>
          <w:p>
            <w:pPr>
              <w:spacing w:after="0"/>
              <w:rPr>
                <w:rFonts w:ascii="Calibri" w:cs="Calibri" w:eastAsia="Calibri" w:hAnsi="Calibri"/>
                <w:sz w:val="18"/>
                <w:szCs w:val="18"/>
                <w:color w:val="0000FF"/>
              </w:rPr>
            </w:pPr>
            <w:hyperlink r:id="rId129">
              <w:r>
                <w:rPr>
                  <w:rFonts w:ascii="Calibri" w:cs="Calibri" w:eastAsia="Calibri" w:hAnsi="Calibri"/>
                  <w:sz w:val="18"/>
                  <w:szCs w:val="18"/>
                  <w:color w:val="0000FF"/>
                </w:rPr>
                <w:t>Amendment No. 3 to Collaboraton and License Agreement, efectve</w:t>
              </w:r>
            </w:hyperlink>
          </w:p>
        </w:tc>
        <w:tc>
          <w:tcPr>
            <w:tcW w:w="940" w:type="dxa"/>
            <w:vAlign w:val="bottom"/>
          </w:tcPr>
          <w:p>
            <w:pPr>
              <w:jc w:val="center"/>
              <w:ind w:right="111"/>
              <w:spacing w:after="0"/>
              <w:rPr>
                <w:sz w:val="20"/>
                <w:szCs w:val="20"/>
                <w:color w:val="auto"/>
              </w:rPr>
            </w:pPr>
            <w:r>
              <w:rPr>
                <w:rFonts w:ascii="Calibri" w:cs="Calibri" w:eastAsia="Calibri" w:hAnsi="Calibri"/>
                <w:sz w:val="18"/>
                <w:szCs w:val="18"/>
                <w:color w:val="auto"/>
              </w:rPr>
              <w:t>10-K</w:t>
            </w:r>
          </w:p>
        </w:tc>
        <w:tc>
          <w:tcPr>
            <w:tcW w:w="2040" w:type="dxa"/>
            <w:vAlign w:val="bottom"/>
          </w:tcPr>
          <w:p>
            <w:pPr>
              <w:jc w:val="center"/>
              <w:ind w:right="432"/>
              <w:spacing w:after="0"/>
              <w:rPr>
                <w:sz w:val="20"/>
                <w:szCs w:val="20"/>
                <w:color w:val="auto"/>
              </w:rPr>
            </w:pPr>
            <w:r>
              <w:rPr>
                <w:rFonts w:ascii="Calibri" w:cs="Calibri" w:eastAsia="Calibri" w:hAnsi="Calibri"/>
                <w:sz w:val="18"/>
                <w:szCs w:val="18"/>
                <w:color w:val="auto"/>
                <w:w w:val="97"/>
              </w:rPr>
              <w:t>2/21/2018</w:t>
            </w:r>
          </w:p>
        </w:tc>
        <w:tc>
          <w:tcPr>
            <w:tcW w:w="1080" w:type="dxa"/>
            <w:vAlign w:val="bottom"/>
          </w:tcPr>
          <w:p>
            <w:pPr>
              <w:jc w:val="center"/>
              <w:ind w:right="231"/>
              <w:spacing w:after="0"/>
              <w:rPr>
                <w:sz w:val="20"/>
                <w:szCs w:val="20"/>
                <w:color w:val="auto"/>
              </w:rPr>
            </w:pPr>
            <w:r>
              <w:rPr>
                <w:rFonts w:ascii="Calibri" w:cs="Calibri" w:eastAsia="Calibri" w:hAnsi="Calibri"/>
                <w:sz w:val="18"/>
                <w:szCs w:val="18"/>
                <w:color w:val="auto"/>
              </w:rPr>
              <w:t>10.4</w:t>
            </w:r>
          </w:p>
        </w:tc>
        <w:tc>
          <w:tcPr>
            <w:tcW w:w="108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4660" w:type="dxa"/>
            <w:vAlign w:val="bottom"/>
            <w:gridSpan w:val="1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060" w:type="dxa"/>
            <w:vAlign w:val="bottom"/>
            <w:gridSpan w:val="16"/>
          </w:tcPr>
          <w:p>
            <w:pPr>
              <w:spacing w:after="0" w:line="196" w:lineRule="exact"/>
              <w:rPr>
                <w:rFonts w:ascii="Calibri" w:cs="Calibri" w:eastAsia="Calibri" w:hAnsi="Calibri"/>
                <w:sz w:val="18"/>
                <w:szCs w:val="18"/>
                <w:color w:val="0000FF"/>
              </w:rPr>
            </w:pPr>
            <w:hyperlink r:id="rId129">
              <w:r>
                <w:rPr>
                  <w:rFonts w:ascii="Calibri" w:cs="Calibri" w:eastAsia="Calibri" w:hAnsi="Calibri"/>
                  <w:sz w:val="18"/>
                  <w:szCs w:val="18"/>
                  <w:color w:val="0000FF"/>
                </w:rPr>
                <w:t>September 29, 2017, between Ultragenyx Pharmaceutcal Inc. and</w:t>
              </w:r>
            </w:hyperlink>
          </w:p>
        </w:tc>
        <w:tc>
          <w:tcPr>
            <w:tcW w:w="9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4660" w:type="dxa"/>
            <w:vAlign w:val="bottom"/>
            <w:gridSpan w:val="1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060" w:type="dxa"/>
            <w:vAlign w:val="bottom"/>
            <w:gridSpan w:val="16"/>
          </w:tcPr>
          <w:p>
            <w:pPr>
              <w:spacing w:after="0" w:line="196" w:lineRule="exact"/>
              <w:rPr>
                <w:rFonts w:ascii="Calibri" w:cs="Calibri" w:eastAsia="Calibri" w:hAnsi="Calibri"/>
                <w:sz w:val="18"/>
                <w:szCs w:val="18"/>
                <w:color w:val="0000FF"/>
              </w:rPr>
            </w:pPr>
            <w:hyperlink r:id="rId129">
              <w:r>
                <w:rPr>
                  <w:rFonts w:ascii="Calibri" w:cs="Calibri" w:eastAsia="Calibri" w:hAnsi="Calibri"/>
                  <w:sz w:val="18"/>
                  <w:szCs w:val="18"/>
                  <w:color w:val="0000FF"/>
                </w:rPr>
                <w:t>Kyowa Hakko Kirin Co., Ltd.</w:t>
              </w:r>
            </w:hyperlink>
          </w:p>
        </w:tc>
        <w:tc>
          <w:tcPr>
            <w:tcW w:w="9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940" w:type="dxa"/>
            <w:vAlign w:val="bottom"/>
            <w:tcBorders>
              <w:right w:val="single" w:sz="8" w:color="0000EE"/>
            </w:tcBorders>
            <w:gridSpan w:val="3"/>
            <w:shd w:val="clear" w:color="auto" w:fill="0000FF"/>
          </w:tcPr>
          <w:p>
            <w:pPr>
              <w:spacing w:after="0" w:line="20" w:lineRule="exact"/>
              <w:rPr>
                <w:sz w:val="1"/>
                <w:szCs w:val="1"/>
                <w:color w:val="auto"/>
              </w:rPr>
            </w:pPr>
          </w:p>
        </w:tc>
        <w:tc>
          <w:tcPr>
            <w:tcW w:w="2720" w:type="dxa"/>
            <w:vAlign w:val="bottom"/>
            <w:gridSpan w:val="9"/>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90"/>
        </w:trPr>
        <w:tc>
          <w:tcPr>
            <w:tcW w:w="1040" w:type="dxa"/>
            <w:vAlign w:val="bottom"/>
          </w:tcPr>
          <w:p>
            <w:pPr>
              <w:ind w:left="20"/>
              <w:spacing w:after="0"/>
              <w:rPr>
                <w:sz w:val="20"/>
                <w:szCs w:val="20"/>
                <w:color w:val="auto"/>
              </w:rPr>
            </w:pPr>
            <w:r>
              <w:rPr>
                <w:rFonts w:ascii="Calibri" w:cs="Calibri" w:eastAsia="Calibri" w:hAnsi="Calibri"/>
                <w:sz w:val="18"/>
                <w:szCs w:val="18"/>
                <w:color w:val="auto"/>
              </w:rPr>
              <w:t>10.5*</w:t>
            </w:r>
          </w:p>
        </w:tc>
        <w:tc>
          <w:tcPr>
            <w:tcW w:w="5060" w:type="dxa"/>
            <w:vAlign w:val="bottom"/>
            <w:gridSpan w:val="16"/>
          </w:tcPr>
          <w:p>
            <w:pPr>
              <w:spacing w:after="0"/>
              <w:rPr>
                <w:rFonts w:ascii="Calibri" w:cs="Calibri" w:eastAsia="Calibri" w:hAnsi="Calibri"/>
                <w:sz w:val="18"/>
                <w:szCs w:val="18"/>
                <w:color w:val="0000FF"/>
              </w:rPr>
            </w:pPr>
            <w:hyperlink r:id="rId130">
              <w:r>
                <w:rPr>
                  <w:rFonts w:ascii="Calibri" w:cs="Calibri" w:eastAsia="Calibri" w:hAnsi="Calibri"/>
                  <w:sz w:val="18"/>
                  <w:szCs w:val="18"/>
                  <w:color w:val="0000FF"/>
                </w:rPr>
                <w:t>Amendment No. 4 to Collaboraton and License Agreement, efectve</w:t>
              </w:r>
            </w:hyperlink>
          </w:p>
        </w:tc>
        <w:tc>
          <w:tcPr>
            <w:tcW w:w="940" w:type="dxa"/>
            <w:vAlign w:val="bottom"/>
          </w:tcPr>
          <w:p>
            <w:pPr>
              <w:jc w:val="center"/>
              <w:ind w:right="111"/>
              <w:spacing w:after="0"/>
              <w:rPr>
                <w:sz w:val="20"/>
                <w:szCs w:val="20"/>
                <w:color w:val="auto"/>
              </w:rPr>
            </w:pPr>
            <w:r>
              <w:rPr>
                <w:rFonts w:ascii="Calibri" w:cs="Calibri" w:eastAsia="Calibri" w:hAnsi="Calibri"/>
                <w:sz w:val="18"/>
                <w:szCs w:val="18"/>
                <w:color w:val="auto"/>
              </w:rPr>
              <w:t>10-K</w:t>
            </w:r>
          </w:p>
        </w:tc>
        <w:tc>
          <w:tcPr>
            <w:tcW w:w="2040" w:type="dxa"/>
            <w:vAlign w:val="bottom"/>
          </w:tcPr>
          <w:p>
            <w:pPr>
              <w:jc w:val="center"/>
              <w:ind w:right="432"/>
              <w:spacing w:after="0"/>
              <w:rPr>
                <w:sz w:val="20"/>
                <w:szCs w:val="20"/>
                <w:color w:val="auto"/>
              </w:rPr>
            </w:pPr>
            <w:r>
              <w:rPr>
                <w:rFonts w:ascii="Calibri" w:cs="Calibri" w:eastAsia="Calibri" w:hAnsi="Calibri"/>
                <w:sz w:val="18"/>
                <w:szCs w:val="18"/>
                <w:color w:val="auto"/>
                <w:w w:val="97"/>
              </w:rPr>
              <w:t>2/21/2018</w:t>
            </w:r>
          </w:p>
        </w:tc>
        <w:tc>
          <w:tcPr>
            <w:tcW w:w="1080" w:type="dxa"/>
            <w:vAlign w:val="bottom"/>
          </w:tcPr>
          <w:p>
            <w:pPr>
              <w:jc w:val="center"/>
              <w:ind w:right="231"/>
              <w:spacing w:after="0"/>
              <w:rPr>
                <w:sz w:val="20"/>
                <w:szCs w:val="20"/>
                <w:color w:val="auto"/>
              </w:rPr>
            </w:pPr>
            <w:r>
              <w:rPr>
                <w:rFonts w:ascii="Calibri" w:cs="Calibri" w:eastAsia="Calibri" w:hAnsi="Calibri"/>
                <w:sz w:val="18"/>
                <w:szCs w:val="18"/>
                <w:color w:val="auto"/>
              </w:rPr>
              <w:t>10.5</w:t>
            </w:r>
          </w:p>
        </w:tc>
        <w:tc>
          <w:tcPr>
            <w:tcW w:w="108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4660" w:type="dxa"/>
            <w:vAlign w:val="bottom"/>
            <w:gridSpan w:val="1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060" w:type="dxa"/>
            <w:vAlign w:val="bottom"/>
            <w:gridSpan w:val="16"/>
          </w:tcPr>
          <w:p>
            <w:pPr>
              <w:spacing w:after="0" w:line="196" w:lineRule="exact"/>
              <w:rPr>
                <w:rFonts w:ascii="Calibri" w:cs="Calibri" w:eastAsia="Calibri" w:hAnsi="Calibri"/>
                <w:sz w:val="18"/>
                <w:szCs w:val="18"/>
                <w:color w:val="0000FF"/>
              </w:rPr>
            </w:pPr>
            <w:hyperlink r:id="rId130">
              <w:r>
                <w:rPr>
                  <w:rFonts w:ascii="Calibri" w:cs="Calibri" w:eastAsia="Calibri" w:hAnsi="Calibri"/>
                  <w:sz w:val="18"/>
                  <w:szCs w:val="18"/>
                  <w:color w:val="0000FF"/>
                </w:rPr>
                <w:t>as of January 29, 2018, between Ultragenyx Pharmaceutcal Inc. and</w:t>
              </w:r>
            </w:hyperlink>
          </w:p>
        </w:tc>
        <w:tc>
          <w:tcPr>
            <w:tcW w:w="9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4660" w:type="dxa"/>
            <w:vAlign w:val="bottom"/>
            <w:gridSpan w:val="1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060" w:type="dxa"/>
            <w:vAlign w:val="bottom"/>
            <w:gridSpan w:val="16"/>
          </w:tcPr>
          <w:p>
            <w:pPr>
              <w:spacing w:after="0" w:line="196" w:lineRule="exact"/>
              <w:rPr>
                <w:rFonts w:ascii="Calibri" w:cs="Calibri" w:eastAsia="Calibri" w:hAnsi="Calibri"/>
                <w:sz w:val="18"/>
                <w:szCs w:val="18"/>
                <w:color w:val="0000FF"/>
              </w:rPr>
            </w:pPr>
            <w:hyperlink r:id="rId130">
              <w:r>
                <w:rPr>
                  <w:rFonts w:ascii="Calibri" w:cs="Calibri" w:eastAsia="Calibri" w:hAnsi="Calibri"/>
                  <w:sz w:val="18"/>
                  <w:szCs w:val="18"/>
                  <w:color w:val="0000FF"/>
                </w:rPr>
                <w:t>Kyowa Hakko Kirin Co., Ltd.</w:t>
              </w:r>
            </w:hyperlink>
          </w:p>
        </w:tc>
        <w:tc>
          <w:tcPr>
            <w:tcW w:w="9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940" w:type="dxa"/>
            <w:vAlign w:val="bottom"/>
            <w:tcBorders>
              <w:right w:val="single" w:sz="8" w:color="0000EE"/>
            </w:tcBorders>
            <w:gridSpan w:val="3"/>
            <w:shd w:val="clear" w:color="auto" w:fill="0000FF"/>
          </w:tcPr>
          <w:p>
            <w:pPr>
              <w:spacing w:after="0" w:line="20" w:lineRule="exact"/>
              <w:rPr>
                <w:sz w:val="1"/>
                <w:szCs w:val="1"/>
                <w:color w:val="auto"/>
              </w:rPr>
            </w:pPr>
          </w:p>
        </w:tc>
        <w:tc>
          <w:tcPr>
            <w:tcW w:w="2720" w:type="dxa"/>
            <w:vAlign w:val="bottom"/>
            <w:gridSpan w:val="9"/>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91"/>
        </w:trPr>
        <w:tc>
          <w:tcPr>
            <w:tcW w:w="1040" w:type="dxa"/>
            <w:vAlign w:val="bottom"/>
          </w:tcPr>
          <w:p>
            <w:pPr>
              <w:ind w:left="20"/>
              <w:spacing w:after="0"/>
              <w:rPr>
                <w:sz w:val="20"/>
                <w:szCs w:val="20"/>
                <w:color w:val="auto"/>
              </w:rPr>
            </w:pPr>
            <w:r>
              <w:rPr>
                <w:rFonts w:ascii="Calibri" w:cs="Calibri" w:eastAsia="Calibri" w:hAnsi="Calibri"/>
                <w:sz w:val="18"/>
                <w:szCs w:val="18"/>
                <w:color w:val="auto"/>
              </w:rPr>
              <w:t>10.6*</w:t>
            </w:r>
          </w:p>
        </w:tc>
        <w:tc>
          <w:tcPr>
            <w:tcW w:w="5060" w:type="dxa"/>
            <w:vAlign w:val="bottom"/>
            <w:gridSpan w:val="16"/>
          </w:tcPr>
          <w:p>
            <w:pPr>
              <w:spacing w:after="0"/>
              <w:rPr>
                <w:rFonts w:ascii="Calibri" w:cs="Calibri" w:eastAsia="Calibri" w:hAnsi="Calibri"/>
                <w:sz w:val="18"/>
                <w:szCs w:val="18"/>
                <w:color w:val="0000FF"/>
              </w:rPr>
            </w:pPr>
            <w:hyperlink r:id="rId131">
              <w:r>
                <w:rPr>
                  <w:rFonts w:ascii="Calibri" w:cs="Calibri" w:eastAsia="Calibri" w:hAnsi="Calibri"/>
                  <w:sz w:val="18"/>
                  <w:szCs w:val="18"/>
                  <w:color w:val="0000FF"/>
                </w:rPr>
                <w:t>Amendment No. 5 to Collaboraton and License Agreement, efectve</w:t>
              </w:r>
            </w:hyperlink>
          </w:p>
        </w:tc>
        <w:tc>
          <w:tcPr>
            <w:tcW w:w="940" w:type="dxa"/>
            <w:vAlign w:val="bottom"/>
          </w:tcPr>
          <w:p>
            <w:pPr>
              <w:jc w:val="center"/>
              <w:ind w:right="111"/>
              <w:spacing w:after="0"/>
              <w:rPr>
                <w:sz w:val="20"/>
                <w:szCs w:val="20"/>
                <w:color w:val="auto"/>
              </w:rPr>
            </w:pPr>
            <w:r>
              <w:rPr>
                <w:rFonts w:ascii="Calibri" w:cs="Calibri" w:eastAsia="Calibri" w:hAnsi="Calibri"/>
                <w:sz w:val="18"/>
                <w:szCs w:val="18"/>
                <w:color w:val="auto"/>
                <w:w w:val="94"/>
              </w:rPr>
              <w:t>10-Q</w:t>
            </w:r>
          </w:p>
        </w:tc>
        <w:tc>
          <w:tcPr>
            <w:tcW w:w="2040" w:type="dxa"/>
            <w:vAlign w:val="bottom"/>
          </w:tcPr>
          <w:p>
            <w:pPr>
              <w:jc w:val="center"/>
              <w:ind w:right="432"/>
              <w:spacing w:after="0"/>
              <w:rPr>
                <w:sz w:val="20"/>
                <w:szCs w:val="20"/>
                <w:color w:val="auto"/>
              </w:rPr>
            </w:pPr>
            <w:r>
              <w:rPr>
                <w:rFonts w:ascii="Calibri" w:cs="Calibri" w:eastAsia="Calibri" w:hAnsi="Calibri"/>
                <w:sz w:val="18"/>
                <w:szCs w:val="18"/>
                <w:color w:val="auto"/>
                <w:w w:val="98"/>
              </w:rPr>
              <w:t>8/3/2018</w:t>
            </w:r>
          </w:p>
        </w:tc>
        <w:tc>
          <w:tcPr>
            <w:tcW w:w="1080" w:type="dxa"/>
            <w:vAlign w:val="bottom"/>
          </w:tcPr>
          <w:p>
            <w:pPr>
              <w:jc w:val="center"/>
              <w:ind w:right="231"/>
              <w:spacing w:after="0"/>
              <w:rPr>
                <w:sz w:val="20"/>
                <w:szCs w:val="20"/>
                <w:color w:val="auto"/>
              </w:rPr>
            </w:pPr>
            <w:r>
              <w:rPr>
                <w:rFonts w:ascii="Calibri" w:cs="Calibri" w:eastAsia="Calibri" w:hAnsi="Calibri"/>
                <w:sz w:val="18"/>
                <w:szCs w:val="18"/>
                <w:color w:val="auto"/>
              </w:rPr>
              <w:t>10.1</w:t>
            </w:r>
          </w:p>
        </w:tc>
        <w:tc>
          <w:tcPr>
            <w:tcW w:w="108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4660" w:type="dxa"/>
            <w:vAlign w:val="bottom"/>
            <w:gridSpan w:val="12"/>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060" w:type="dxa"/>
            <w:vAlign w:val="bottom"/>
            <w:gridSpan w:val="16"/>
          </w:tcPr>
          <w:p>
            <w:pPr>
              <w:spacing w:after="0" w:line="196" w:lineRule="exact"/>
              <w:rPr>
                <w:rFonts w:ascii="Calibri" w:cs="Calibri" w:eastAsia="Calibri" w:hAnsi="Calibri"/>
                <w:sz w:val="18"/>
                <w:szCs w:val="18"/>
                <w:color w:val="0000FF"/>
              </w:rPr>
            </w:pPr>
            <w:hyperlink r:id="rId131">
              <w:r>
                <w:rPr>
                  <w:rFonts w:ascii="Calibri" w:cs="Calibri" w:eastAsia="Calibri" w:hAnsi="Calibri"/>
                  <w:sz w:val="18"/>
                  <w:szCs w:val="18"/>
                  <w:color w:val="0000FF"/>
                </w:rPr>
                <w:t>as of April 30, 2018, between Ultragenyx Pharmaceutcal Inc. and</w:t>
              </w:r>
            </w:hyperlink>
          </w:p>
        </w:tc>
        <w:tc>
          <w:tcPr>
            <w:tcW w:w="9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4660" w:type="dxa"/>
            <w:vAlign w:val="bottom"/>
            <w:gridSpan w:val="12"/>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060" w:type="dxa"/>
            <w:vAlign w:val="bottom"/>
            <w:gridSpan w:val="16"/>
          </w:tcPr>
          <w:p>
            <w:pPr>
              <w:spacing w:after="0" w:line="196" w:lineRule="exact"/>
              <w:rPr>
                <w:rFonts w:ascii="Calibri" w:cs="Calibri" w:eastAsia="Calibri" w:hAnsi="Calibri"/>
                <w:sz w:val="18"/>
                <w:szCs w:val="18"/>
                <w:color w:val="0000FF"/>
              </w:rPr>
            </w:pPr>
            <w:hyperlink r:id="rId131">
              <w:r>
                <w:rPr>
                  <w:rFonts w:ascii="Calibri" w:cs="Calibri" w:eastAsia="Calibri" w:hAnsi="Calibri"/>
                  <w:sz w:val="18"/>
                  <w:szCs w:val="18"/>
                  <w:color w:val="0000FF"/>
                </w:rPr>
                <w:t>Kyowa Hakko Kirin Co., Ltd.</w:t>
              </w:r>
            </w:hyperlink>
          </w:p>
        </w:tc>
        <w:tc>
          <w:tcPr>
            <w:tcW w:w="9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940" w:type="dxa"/>
            <w:vAlign w:val="bottom"/>
            <w:tcBorders>
              <w:right w:val="single" w:sz="8" w:color="0000EE"/>
            </w:tcBorders>
            <w:gridSpan w:val="3"/>
            <w:shd w:val="clear" w:color="auto" w:fill="0000FF"/>
          </w:tcPr>
          <w:p>
            <w:pPr>
              <w:spacing w:after="0" w:line="20" w:lineRule="exact"/>
              <w:rPr>
                <w:sz w:val="1"/>
                <w:szCs w:val="1"/>
                <w:color w:val="auto"/>
              </w:rPr>
            </w:pPr>
          </w:p>
        </w:tc>
        <w:tc>
          <w:tcPr>
            <w:tcW w:w="3120" w:type="dxa"/>
            <w:vAlign w:val="bottom"/>
            <w:gridSpan w:val="1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90"/>
        </w:trPr>
        <w:tc>
          <w:tcPr>
            <w:tcW w:w="1040" w:type="dxa"/>
            <w:vAlign w:val="bottom"/>
          </w:tcPr>
          <w:p>
            <w:pPr>
              <w:ind w:left="20"/>
              <w:spacing w:after="0"/>
              <w:rPr>
                <w:sz w:val="20"/>
                <w:szCs w:val="20"/>
                <w:color w:val="auto"/>
              </w:rPr>
            </w:pPr>
            <w:r>
              <w:rPr>
                <w:rFonts w:ascii="Calibri" w:cs="Calibri" w:eastAsia="Calibri" w:hAnsi="Calibri"/>
                <w:sz w:val="18"/>
                <w:szCs w:val="18"/>
                <w:color w:val="auto"/>
              </w:rPr>
              <w:t>10.7*</w:t>
            </w:r>
          </w:p>
        </w:tc>
        <w:tc>
          <w:tcPr>
            <w:tcW w:w="5060" w:type="dxa"/>
            <w:vAlign w:val="bottom"/>
            <w:gridSpan w:val="16"/>
          </w:tcPr>
          <w:p>
            <w:pPr>
              <w:spacing w:after="0"/>
              <w:rPr>
                <w:rFonts w:ascii="Calibri" w:cs="Calibri" w:eastAsia="Calibri" w:hAnsi="Calibri"/>
                <w:sz w:val="18"/>
                <w:szCs w:val="18"/>
                <w:color w:val="0000FF"/>
              </w:rPr>
            </w:pPr>
            <w:hyperlink r:id="rId132">
              <w:r>
                <w:rPr>
                  <w:rFonts w:ascii="Calibri" w:cs="Calibri" w:eastAsia="Calibri" w:hAnsi="Calibri"/>
                  <w:sz w:val="18"/>
                  <w:szCs w:val="18"/>
                  <w:color w:val="0000FF"/>
                </w:rPr>
                <w:t>Amendment No. 6 to Collaboraton and License Agreement, efectve</w:t>
              </w:r>
            </w:hyperlink>
          </w:p>
        </w:tc>
        <w:tc>
          <w:tcPr>
            <w:tcW w:w="940" w:type="dxa"/>
            <w:vAlign w:val="bottom"/>
          </w:tcPr>
          <w:p>
            <w:pPr>
              <w:jc w:val="center"/>
              <w:ind w:right="111"/>
              <w:spacing w:after="0"/>
              <w:rPr>
                <w:sz w:val="20"/>
                <w:szCs w:val="20"/>
                <w:color w:val="auto"/>
              </w:rPr>
            </w:pPr>
            <w:r>
              <w:rPr>
                <w:rFonts w:ascii="Calibri" w:cs="Calibri" w:eastAsia="Calibri" w:hAnsi="Calibri"/>
                <w:sz w:val="18"/>
                <w:szCs w:val="18"/>
                <w:color w:val="auto"/>
                <w:w w:val="94"/>
              </w:rPr>
              <w:t>10-Q</w:t>
            </w:r>
          </w:p>
        </w:tc>
        <w:tc>
          <w:tcPr>
            <w:tcW w:w="2040" w:type="dxa"/>
            <w:vAlign w:val="bottom"/>
          </w:tcPr>
          <w:p>
            <w:pPr>
              <w:jc w:val="center"/>
              <w:ind w:right="432"/>
              <w:spacing w:after="0"/>
              <w:rPr>
                <w:sz w:val="20"/>
                <w:szCs w:val="20"/>
                <w:color w:val="auto"/>
              </w:rPr>
            </w:pPr>
            <w:r>
              <w:rPr>
                <w:rFonts w:ascii="Calibri" w:cs="Calibri" w:eastAsia="Calibri" w:hAnsi="Calibri"/>
                <w:sz w:val="18"/>
                <w:szCs w:val="18"/>
                <w:color w:val="auto"/>
                <w:w w:val="98"/>
              </w:rPr>
              <w:t>5/7/2019</w:t>
            </w:r>
          </w:p>
        </w:tc>
        <w:tc>
          <w:tcPr>
            <w:tcW w:w="1080" w:type="dxa"/>
            <w:vAlign w:val="bottom"/>
          </w:tcPr>
          <w:p>
            <w:pPr>
              <w:jc w:val="center"/>
              <w:ind w:right="231"/>
              <w:spacing w:after="0"/>
              <w:rPr>
                <w:sz w:val="20"/>
                <w:szCs w:val="20"/>
                <w:color w:val="auto"/>
              </w:rPr>
            </w:pPr>
            <w:r>
              <w:rPr>
                <w:rFonts w:ascii="Calibri" w:cs="Calibri" w:eastAsia="Calibri" w:hAnsi="Calibri"/>
                <w:sz w:val="18"/>
                <w:szCs w:val="18"/>
                <w:color w:val="auto"/>
              </w:rPr>
              <w:t>10.2</w:t>
            </w:r>
          </w:p>
        </w:tc>
        <w:tc>
          <w:tcPr>
            <w:tcW w:w="108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4900" w:type="dxa"/>
            <w:vAlign w:val="bottom"/>
            <w:gridSpan w:val="15"/>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060" w:type="dxa"/>
            <w:vAlign w:val="bottom"/>
            <w:gridSpan w:val="16"/>
          </w:tcPr>
          <w:p>
            <w:pPr>
              <w:spacing w:after="0" w:line="196" w:lineRule="exact"/>
              <w:rPr>
                <w:rFonts w:ascii="Calibri" w:cs="Calibri" w:eastAsia="Calibri" w:hAnsi="Calibri"/>
                <w:sz w:val="18"/>
                <w:szCs w:val="18"/>
                <w:color w:val="0000FF"/>
              </w:rPr>
            </w:pPr>
            <w:hyperlink r:id="rId132">
              <w:r>
                <w:rPr>
                  <w:rFonts w:ascii="Calibri" w:cs="Calibri" w:eastAsia="Calibri" w:hAnsi="Calibri"/>
                  <w:sz w:val="18"/>
                  <w:szCs w:val="18"/>
                  <w:color w:val="0000FF"/>
                </w:rPr>
                <w:t>as of February 1, 2019, between Ultragenyx Pharmaceutcal Inc. and</w:t>
              </w:r>
            </w:hyperlink>
          </w:p>
        </w:tc>
        <w:tc>
          <w:tcPr>
            <w:tcW w:w="9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13" w:lineRule="exact"/>
        <w:rPr>
          <w:sz w:val="20"/>
          <w:szCs w:val="20"/>
          <w:color w:val="auto"/>
        </w:rPr>
      </w:pPr>
    </w:p>
    <w:p>
      <w:pPr>
        <w:ind w:left="1020"/>
        <w:spacing w:after="0"/>
        <w:rPr>
          <w:rFonts w:ascii="Calibri" w:cs="Calibri" w:eastAsia="Calibri" w:hAnsi="Calibri"/>
          <w:sz w:val="18"/>
          <w:szCs w:val="18"/>
          <w:u w:val="single" w:color="auto"/>
          <w:color w:val="0000FF"/>
        </w:rPr>
      </w:pPr>
      <w:hyperlink r:id="rId132">
        <w:r>
          <w:rPr>
            <w:rFonts w:ascii="Calibri" w:cs="Calibri" w:eastAsia="Calibri" w:hAnsi="Calibri"/>
            <w:sz w:val="18"/>
            <w:szCs w:val="18"/>
            <w:u w:val="single" w:color="auto"/>
            <w:color w:val="0000FF"/>
          </w:rPr>
          <w:t>Kyowa Hakko Kirin Co., Ltd.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-19050</wp:posOffset>
            </wp:positionV>
            <wp:extent cx="12350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jc w:val="center"/>
        <w:ind w:right="-19"/>
        <w:spacing w:after="0" w:line="235" w:lineRule="auto"/>
        <w:rPr>
          <w:sz w:val="20"/>
          <w:szCs w:val="20"/>
          <w:color w:val="auto"/>
        </w:rPr>
      </w:pPr>
      <w:r>
        <w:rPr>
          <w:rFonts w:ascii="Calibri" w:cs="Calibri" w:eastAsia="Calibri" w:hAnsi="Calibri"/>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20"/>
        </w:trPr>
        <w:tc>
          <w:tcPr>
            <w:tcW w:w="1020" w:type="dxa"/>
            <w:vAlign w:val="bottom"/>
          </w:tcPr>
          <w:p>
            <w:pPr>
              <w:spacing w:after="0"/>
              <w:rPr>
                <w:sz w:val="20"/>
                <w:szCs w:val="20"/>
                <w:color w:val="auto"/>
              </w:rPr>
            </w:pPr>
            <w:r>
              <w:rPr>
                <w:rFonts w:ascii="Calibri" w:cs="Calibri" w:eastAsia="Calibri" w:hAnsi="Calibri"/>
                <w:sz w:val="18"/>
                <w:szCs w:val="18"/>
                <w:color w:val="auto"/>
              </w:rPr>
              <w:t>10.8*</w:t>
            </w:r>
          </w:p>
        </w:tc>
        <w:tc>
          <w:tcPr>
            <w:tcW w:w="4900" w:type="dxa"/>
            <w:vAlign w:val="bottom"/>
            <w:gridSpan w:val="24"/>
          </w:tcPr>
          <w:p>
            <w:pPr>
              <w:spacing w:after="0"/>
              <w:rPr>
                <w:rFonts w:ascii="Calibri" w:cs="Calibri" w:eastAsia="Calibri" w:hAnsi="Calibri"/>
                <w:sz w:val="18"/>
                <w:szCs w:val="18"/>
                <w:color w:val="0000FF"/>
                <w:w w:val="99"/>
              </w:rPr>
            </w:pPr>
            <w:hyperlink r:id="rId135">
              <w:r>
                <w:rPr>
                  <w:rFonts w:ascii="Calibri" w:cs="Calibri" w:eastAsia="Calibri" w:hAnsi="Calibri"/>
                  <w:sz w:val="18"/>
                  <w:szCs w:val="18"/>
                  <w:color w:val="0000FF"/>
                  <w:w w:val="99"/>
                </w:rPr>
                <w:t>Amendment No. 7 to Collaboraton and License Agreement, efectve</w:t>
              </w:r>
            </w:hyperlink>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4"/>
          </w:tcPr>
          <w:p>
            <w:pPr>
              <w:spacing w:after="0" w:line="196" w:lineRule="exact"/>
              <w:rPr>
                <w:rFonts w:ascii="Calibri" w:cs="Calibri" w:eastAsia="Calibri" w:hAnsi="Calibri"/>
                <w:sz w:val="18"/>
                <w:szCs w:val="18"/>
                <w:color w:val="0000FF"/>
              </w:rPr>
            </w:pPr>
            <w:hyperlink r:id="rId135">
              <w:r>
                <w:rPr>
                  <w:rFonts w:ascii="Calibri" w:cs="Calibri" w:eastAsia="Calibri" w:hAnsi="Calibri"/>
                  <w:sz w:val="18"/>
                  <w:szCs w:val="18"/>
                  <w:color w:val="0000FF"/>
                </w:rPr>
                <w:t>as of December 5, 2018, between Ultragenyx Pharmaceutcal Inc.</w:t>
              </w:r>
            </w:hyperlink>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4"/>
          </w:tcPr>
          <w:p>
            <w:pPr>
              <w:spacing w:after="0" w:line="196" w:lineRule="exact"/>
              <w:rPr>
                <w:rFonts w:ascii="Calibri" w:cs="Calibri" w:eastAsia="Calibri" w:hAnsi="Calibri"/>
                <w:sz w:val="18"/>
                <w:szCs w:val="18"/>
                <w:color w:val="0000FF"/>
              </w:rPr>
            </w:pPr>
            <w:hyperlink r:id="rId135">
              <w:r>
                <w:rPr>
                  <w:rFonts w:ascii="Calibri" w:cs="Calibri" w:eastAsia="Calibri" w:hAnsi="Calibri"/>
                  <w:sz w:val="18"/>
                  <w:szCs w:val="18"/>
                  <w:color w:val="0000FF"/>
                </w:rPr>
                <w:t>and Kyowa Hakko Kirin Co., Ltd.</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0"/>
        </w:trPr>
        <w:tc>
          <w:tcPr>
            <w:tcW w:w="1020" w:type="dxa"/>
            <w:vAlign w:val="bottom"/>
          </w:tcPr>
          <w:p>
            <w:pPr>
              <w:spacing w:after="0"/>
              <w:rPr>
                <w:sz w:val="20"/>
                <w:szCs w:val="20"/>
                <w:color w:val="auto"/>
              </w:rPr>
            </w:pPr>
            <w:r>
              <w:rPr>
                <w:rFonts w:ascii="Calibri" w:cs="Calibri" w:eastAsia="Calibri" w:hAnsi="Calibri"/>
                <w:sz w:val="18"/>
                <w:szCs w:val="18"/>
                <w:color w:val="auto"/>
              </w:rPr>
              <w:t>10.9*</w:t>
            </w:r>
          </w:p>
        </w:tc>
        <w:tc>
          <w:tcPr>
            <w:tcW w:w="4900" w:type="dxa"/>
            <w:vAlign w:val="bottom"/>
            <w:gridSpan w:val="24"/>
          </w:tcPr>
          <w:p>
            <w:pPr>
              <w:spacing w:after="0"/>
              <w:rPr>
                <w:rFonts w:ascii="Calibri" w:cs="Calibri" w:eastAsia="Calibri" w:hAnsi="Calibri"/>
                <w:sz w:val="18"/>
                <w:szCs w:val="18"/>
                <w:color w:val="0000FF"/>
                <w:w w:val="99"/>
              </w:rPr>
            </w:pPr>
            <w:hyperlink r:id="rId136">
              <w:r>
                <w:rPr>
                  <w:rFonts w:ascii="Calibri" w:cs="Calibri" w:eastAsia="Calibri" w:hAnsi="Calibri"/>
                  <w:sz w:val="18"/>
                  <w:szCs w:val="18"/>
                  <w:color w:val="0000FF"/>
                  <w:w w:val="99"/>
                </w:rPr>
                <w:t>Amendment No. 8 to Collaboraton and License Agreement, efectve</w:t>
              </w:r>
            </w:hyperlink>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4"/>
          </w:tcPr>
          <w:p>
            <w:pPr>
              <w:spacing w:after="0" w:line="196" w:lineRule="exact"/>
              <w:rPr>
                <w:rFonts w:ascii="Calibri" w:cs="Calibri" w:eastAsia="Calibri" w:hAnsi="Calibri"/>
                <w:sz w:val="18"/>
                <w:szCs w:val="18"/>
                <w:color w:val="0000FF"/>
              </w:rPr>
            </w:pPr>
            <w:hyperlink r:id="rId136">
              <w:r>
                <w:rPr>
                  <w:rFonts w:ascii="Calibri" w:cs="Calibri" w:eastAsia="Calibri" w:hAnsi="Calibri"/>
                  <w:sz w:val="18"/>
                  <w:szCs w:val="18"/>
                  <w:color w:val="0000FF"/>
                </w:rPr>
                <w:t>as of July 4, 2019, between Ultragenyx Pharmaceutcal Inc. and</w:t>
              </w:r>
            </w:hyperlink>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4"/>
          </w:tcPr>
          <w:p>
            <w:pPr>
              <w:spacing w:after="0" w:line="196" w:lineRule="exact"/>
              <w:rPr>
                <w:rFonts w:ascii="Calibri" w:cs="Calibri" w:eastAsia="Calibri" w:hAnsi="Calibri"/>
                <w:sz w:val="18"/>
                <w:szCs w:val="18"/>
                <w:color w:val="0000FF"/>
              </w:rPr>
            </w:pPr>
            <w:hyperlink r:id="rId136">
              <w:r>
                <w:rPr>
                  <w:rFonts w:ascii="Calibri" w:cs="Calibri" w:eastAsia="Calibri" w:hAnsi="Calibri"/>
                  <w:sz w:val="18"/>
                  <w:szCs w:val="18"/>
                  <w:color w:val="0000FF"/>
                </w:rPr>
                <w:t>Kyowa Kirin Co., Ltd. (formerly, Kyowa Hakko Kirin Co., Ltd.)</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0"/>
        </w:trPr>
        <w:tc>
          <w:tcPr>
            <w:tcW w:w="1020" w:type="dxa"/>
            <w:vAlign w:val="bottom"/>
          </w:tcPr>
          <w:p>
            <w:pPr>
              <w:spacing w:after="0"/>
              <w:rPr>
                <w:sz w:val="20"/>
                <w:szCs w:val="20"/>
                <w:color w:val="auto"/>
              </w:rPr>
            </w:pPr>
            <w:r>
              <w:rPr>
                <w:rFonts w:ascii="Calibri" w:cs="Calibri" w:eastAsia="Calibri" w:hAnsi="Calibri"/>
                <w:sz w:val="18"/>
                <w:szCs w:val="18"/>
                <w:color w:val="auto"/>
              </w:rPr>
              <w:t>10.10*</w:t>
            </w:r>
          </w:p>
        </w:tc>
        <w:tc>
          <w:tcPr>
            <w:tcW w:w="4900" w:type="dxa"/>
            <w:vAlign w:val="bottom"/>
            <w:gridSpan w:val="24"/>
          </w:tcPr>
          <w:p>
            <w:pPr>
              <w:spacing w:after="0"/>
              <w:rPr>
                <w:rFonts w:ascii="Calibri" w:cs="Calibri" w:eastAsia="Calibri" w:hAnsi="Calibri"/>
                <w:sz w:val="18"/>
                <w:szCs w:val="18"/>
                <w:color w:val="0000FF"/>
                <w:w w:val="99"/>
              </w:rPr>
            </w:pPr>
            <w:hyperlink r:id="rId137">
              <w:r>
                <w:rPr>
                  <w:rFonts w:ascii="Calibri" w:cs="Calibri" w:eastAsia="Calibri" w:hAnsi="Calibri"/>
                  <w:sz w:val="18"/>
                  <w:szCs w:val="18"/>
                  <w:color w:val="0000FF"/>
                  <w:w w:val="99"/>
                </w:rPr>
                <w:t>Amendment No. 9 to Collaboraton and License Agreement, efectve</w:t>
              </w:r>
            </w:hyperlink>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4"/>
          </w:tcPr>
          <w:p>
            <w:pPr>
              <w:spacing w:after="0" w:line="196" w:lineRule="exact"/>
              <w:rPr>
                <w:rFonts w:ascii="Calibri" w:cs="Calibri" w:eastAsia="Calibri" w:hAnsi="Calibri"/>
                <w:sz w:val="18"/>
                <w:szCs w:val="18"/>
                <w:color w:val="0000FF"/>
              </w:rPr>
            </w:pPr>
            <w:hyperlink r:id="rId137">
              <w:r>
                <w:rPr>
                  <w:rFonts w:ascii="Calibri" w:cs="Calibri" w:eastAsia="Calibri" w:hAnsi="Calibri"/>
                  <w:sz w:val="18"/>
                  <w:szCs w:val="18"/>
                  <w:color w:val="0000FF"/>
                </w:rPr>
                <w:t>December 23, 2019, between Ultragenyx Pharmaceutcal Inc. and</w:t>
              </w:r>
            </w:hyperlink>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4"/>
          </w:tcPr>
          <w:p>
            <w:pPr>
              <w:spacing w:after="0" w:line="196" w:lineRule="exact"/>
              <w:rPr>
                <w:rFonts w:ascii="Calibri" w:cs="Calibri" w:eastAsia="Calibri" w:hAnsi="Calibri"/>
                <w:sz w:val="18"/>
                <w:szCs w:val="18"/>
                <w:color w:val="0000FF"/>
              </w:rPr>
            </w:pPr>
            <w:hyperlink r:id="rId137">
              <w:r>
                <w:rPr>
                  <w:rFonts w:ascii="Calibri" w:cs="Calibri" w:eastAsia="Calibri" w:hAnsi="Calibri"/>
                  <w:sz w:val="18"/>
                  <w:szCs w:val="18"/>
                  <w:color w:val="0000FF"/>
                </w:rPr>
                <w:t>Kyowa Kirin Co., Ltd.</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1020" w:type="dxa"/>
            <w:vAlign w:val="bottom"/>
          </w:tcPr>
          <w:p>
            <w:pPr>
              <w:spacing w:after="0"/>
              <w:rPr>
                <w:sz w:val="20"/>
                <w:szCs w:val="20"/>
                <w:color w:val="auto"/>
              </w:rPr>
            </w:pPr>
            <w:r>
              <w:rPr>
                <w:rFonts w:ascii="Calibri" w:cs="Calibri" w:eastAsia="Calibri" w:hAnsi="Calibri"/>
                <w:sz w:val="18"/>
                <w:szCs w:val="18"/>
                <w:color w:val="auto"/>
              </w:rPr>
              <w:t>10.11*</w:t>
            </w:r>
          </w:p>
        </w:tc>
        <w:tc>
          <w:tcPr>
            <w:tcW w:w="4900" w:type="dxa"/>
            <w:vAlign w:val="bottom"/>
            <w:gridSpan w:val="24"/>
          </w:tcPr>
          <w:p>
            <w:pPr>
              <w:spacing w:after="0"/>
              <w:rPr>
                <w:rFonts w:ascii="Calibri" w:cs="Calibri" w:eastAsia="Calibri" w:hAnsi="Calibri"/>
                <w:sz w:val="18"/>
                <w:szCs w:val="18"/>
                <w:color w:val="0000FF"/>
              </w:rPr>
            </w:pPr>
            <w:hyperlink r:id="rId138">
              <w:r>
                <w:rPr>
                  <w:rFonts w:ascii="Calibri" w:cs="Calibri" w:eastAsia="Calibri" w:hAnsi="Calibri"/>
                  <w:sz w:val="18"/>
                  <w:szCs w:val="18"/>
                  <w:color w:val="0000FF"/>
                </w:rPr>
                <w:t>Amendment No. 10 to Collaboraton and License Agreement,</w:t>
              </w:r>
            </w:hyperlink>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4"/>
          </w:tcPr>
          <w:p>
            <w:pPr>
              <w:spacing w:after="0" w:line="196" w:lineRule="exact"/>
              <w:rPr>
                <w:rFonts w:ascii="Calibri" w:cs="Calibri" w:eastAsia="Calibri" w:hAnsi="Calibri"/>
                <w:sz w:val="18"/>
                <w:szCs w:val="18"/>
                <w:color w:val="0000FF"/>
                <w:w w:val="99"/>
              </w:rPr>
            </w:pPr>
            <w:hyperlink r:id="rId138">
              <w:r>
                <w:rPr>
                  <w:rFonts w:ascii="Calibri" w:cs="Calibri" w:eastAsia="Calibri" w:hAnsi="Calibri"/>
                  <w:sz w:val="18"/>
                  <w:szCs w:val="18"/>
                  <w:color w:val="0000FF"/>
                  <w:w w:val="99"/>
                </w:rPr>
                <w:t>efectve as of April 1, 2020, between Ultragenyx Pharmaceutcal Inc.</w:t>
              </w:r>
            </w:hyperlink>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4"/>
          </w:tcPr>
          <w:p>
            <w:pPr>
              <w:spacing w:after="0" w:line="196" w:lineRule="exact"/>
              <w:rPr>
                <w:rFonts w:ascii="Calibri" w:cs="Calibri" w:eastAsia="Calibri" w:hAnsi="Calibri"/>
                <w:sz w:val="18"/>
                <w:szCs w:val="18"/>
                <w:color w:val="0000FF"/>
              </w:rPr>
            </w:pPr>
            <w:hyperlink r:id="rId138">
              <w:r>
                <w:rPr>
                  <w:rFonts w:ascii="Calibri" w:cs="Calibri" w:eastAsia="Calibri" w:hAnsi="Calibri"/>
                  <w:sz w:val="18"/>
                  <w:szCs w:val="18"/>
                  <w:color w:val="0000FF"/>
                </w:rPr>
                <w:t>and Kyowa Kirin Co., Ltd.</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1020" w:type="dxa"/>
            <w:vAlign w:val="bottom"/>
          </w:tcPr>
          <w:p>
            <w:pPr>
              <w:spacing w:after="0"/>
              <w:rPr>
                <w:sz w:val="20"/>
                <w:szCs w:val="20"/>
                <w:color w:val="auto"/>
              </w:rPr>
            </w:pPr>
            <w:r>
              <w:rPr>
                <w:rFonts w:ascii="Calibri" w:cs="Calibri" w:eastAsia="Calibri" w:hAnsi="Calibri"/>
                <w:sz w:val="18"/>
                <w:szCs w:val="18"/>
                <w:color w:val="auto"/>
              </w:rPr>
              <w:t>10.12*</w:t>
            </w:r>
          </w:p>
        </w:tc>
        <w:tc>
          <w:tcPr>
            <w:tcW w:w="4900" w:type="dxa"/>
            <w:vAlign w:val="bottom"/>
            <w:gridSpan w:val="24"/>
          </w:tcPr>
          <w:p>
            <w:pPr>
              <w:spacing w:after="0"/>
              <w:rPr>
                <w:rFonts w:ascii="Calibri" w:cs="Calibri" w:eastAsia="Calibri" w:hAnsi="Calibri"/>
                <w:sz w:val="18"/>
                <w:szCs w:val="18"/>
                <w:color w:val="0000FF"/>
              </w:rPr>
            </w:pPr>
            <w:hyperlink r:id="rId139">
              <w:r>
                <w:rPr>
                  <w:rFonts w:ascii="Calibri" w:cs="Calibri" w:eastAsia="Calibri" w:hAnsi="Calibri"/>
                  <w:sz w:val="18"/>
                  <w:szCs w:val="18"/>
                  <w:color w:val="0000FF"/>
                </w:rPr>
                <w:t>Amendment No. 11 to Collaboraton and License Agreement,</w:t>
              </w:r>
            </w:hyperlink>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4"/>
          </w:tcPr>
          <w:p>
            <w:pPr>
              <w:spacing w:after="0" w:line="196" w:lineRule="exact"/>
              <w:rPr>
                <w:rFonts w:ascii="Calibri" w:cs="Calibri" w:eastAsia="Calibri" w:hAnsi="Calibri"/>
                <w:sz w:val="18"/>
                <w:szCs w:val="18"/>
                <w:color w:val="0000FF"/>
              </w:rPr>
            </w:pPr>
            <w:hyperlink r:id="rId139">
              <w:r>
                <w:rPr>
                  <w:rFonts w:ascii="Calibri" w:cs="Calibri" w:eastAsia="Calibri" w:hAnsi="Calibri"/>
                  <w:sz w:val="18"/>
                  <w:szCs w:val="18"/>
                  <w:color w:val="0000FF"/>
                </w:rPr>
                <w:t>efectve as of December 17, 2021 between Ultragenyx</w:t>
              </w:r>
            </w:hyperlink>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4"/>
          </w:tcPr>
          <w:p>
            <w:pPr>
              <w:spacing w:after="0" w:line="196" w:lineRule="exact"/>
              <w:rPr>
                <w:rFonts w:ascii="Calibri" w:cs="Calibri" w:eastAsia="Calibri" w:hAnsi="Calibri"/>
                <w:sz w:val="18"/>
                <w:szCs w:val="18"/>
                <w:color w:val="0000FF"/>
              </w:rPr>
            </w:pPr>
            <w:hyperlink r:id="rId139">
              <w:r>
                <w:rPr>
                  <w:rFonts w:ascii="Calibri" w:cs="Calibri" w:eastAsia="Calibri" w:hAnsi="Calibri"/>
                  <w:sz w:val="18"/>
                  <w:szCs w:val="18"/>
                  <w:color w:val="0000FF"/>
                </w:rPr>
                <w:t>Pharmaceutcal Inc. and Kyowa Kirin Co., Ltd.</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1020" w:type="dxa"/>
            <w:vAlign w:val="bottom"/>
          </w:tcPr>
          <w:p>
            <w:pPr>
              <w:spacing w:after="0"/>
              <w:rPr>
                <w:sz w:val="20"/>
                <w:szCs w:val="20"/>
                <w:color w:val="auto"/>
              </w:rPr>
            </w:pPr>
            <w:r>
              <w:rPr>
                <w:rFonts w:ascii="Calibri" w:cs="Calibri" w:eastAsia="Calibri" w:hAnsi="Calibri"/>
                <w:sz w:val="18"/>
                <w:szCs w:val="18"/>
                <w:color w:val="auto"/>
              </w:rPr>
              <w:t>10.13*</w:t>
            </w:r>
          </w:p>
        </w:tc>
        <w:tc>
          <w:tcPr>
            <w:tcW w:w="4900" w:type="dxa"/>
            <w:vAlign w:val="bottom"/>
            <w:gridSpan w:val="24"/>
          </w:tcPr>
          <w:p>
            <w:pPr>
              <w:spacing w:after="0"/>
              <w:rPr>
                <w:rFonts w:ascii="Calibri" w:cs="Calibri" w:eastAsia="Calibri" w:hAnsi="Calibri"/>
                <w:sz w:val="18"/>
                <w:szCs w:val="18"/>
                <w:color w:val="0000FF"/>
              </w:rPr>
            </w:pPr>
            <w:hyperlink r:id="rId140">
              <w:r>
                <w:rPr>
                  <w:rFonts w:ascii="Calibri" w:cs="Calibri" w:eastAsia="Calibri" w:hAnsi="Calibri"/>
                  <w:sz w:val="18"/>
                  <w:szCs w:val="18"/>
                  <w:color w:val="0000FF"/>
                </w:rPr>
                <w:t>Amendment No. 12 to Collaboraton and License Agreement,</w:t>
              </w:r>
            </w:hyperlink>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4"/>
          </w:tcPr>
          <w:p>
            <w:pPr>
              <w:spacing w:after="0" w:line="196" w:lineRule="exact"/>
              <w:rPr>
                <w:rFonts w:ascii="Calibri" w:cs="Calibri" w:eastAsia="Calibri" w:hAnsi="Calibri"/>
                <w:sz w:val="18"/>
                <w:szCs w:val="18"/>
                <w:color w:val="0000FF"/>
              </w:rPr>
            </w:pPr>
            <w:hyperlink r:id="rId140">
              <w:r>
                <w:rPr>
                  <w:rFonts w:ascii="Calibri" w:cs="Calibri" w:eastAsia="Calibri" w:hAnsi="Calibri"/>
                  <w:sz w:val="18"/>
                  <w:szCs w:val="18"/>
                  <w:color w:val="0000FF"/>
                </w:rPr>
                <w:t>efectve as of September 29, 2022, between Ultragenyx</w:t>
              </w:r>
            </w:hyperlink>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4"/>
          </w:tcPr>
          <w:p>
            <w:pPr>
              <w:spacing w:after="0" w:line="196" w:lineRule="exact"/>
              <w:rPr>
                <w:rFonts w:ascii="Calibri" w:cs="Calibri" w:eastAsia="Calibri" w:hAnsi="Calibri"/>
                <w:sz w:val="18"/>
                <w:szCs w:val="18"/>
                <w:color w:val="0000FF"/>
              </w:rPr>
            </w:pPr>
            <w:hyperlink r:id="rId140">
              <w:r>
                <w:rPr>
                  <w:rFonts w:ascii="Calibri" w:cs="Calibri" w:eastAsia="Calibri" w:hAnsi="Calibri"/>
                  <w:sz w:val="18"/>
                  <w:szCs w:val="18"/>
                  <w:color w:val="0000FF"/>
                </w:rPr>
                <w:t>Pharmaceutcal Inc. and Kyowa Kirin Co., Ltd.</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1020" w:type="dxa"/>
            <w:vAlign w:val="bottom"/>
          </w:tcPr>
          <w:p>
            <w:pPr>
              <w:spacing w:after="0"/>
              <w:rPr>
                <w:sz w:val="20"/>
                <w:szCs w:val="20"/>
                <w:color w:val="auto"/>
              </w:rPr>
            </w:pPr>
            <w:r>
              <w:rPr>
                <w:rFonts w:ascii="Calibri" w:cs="Calibri" w:eastAsia="Calibri" w:hAnsi="Calibri"/>
                <w:sz w:val="18"/>
                <w:szCs w:val="18"/>
                <w:color w:val="auto"/>
              </w:rPr>
              <w:t>10.14*</w:t>
            </w:r>
          </w:p>
        </w:tc>
        <w:tc>
          <w:tcPr>
            <w:tcW w:w="4900" w:type="dxa"/>
            <w:vAlign w:val="bottom"/>
            <w:gridSpan w:val="24"/>
          </w:tcPr>
          <w:p>
            <w:pPr>
              <w:spacing w:after="0"/>
              <w:rPr>
                <w:rFonts w:ascii="Calibri" w:cs="Calibri" w:eastAsia="Calibri" w:hAnsi="Calibri"/>
                <w:sz w:val="18"/>
                <w:szCs w:val="18"/>
                <w:color w:val="0000FF"/>
              </w:rPr>
            </w:pPr>
            <w:hyperlink r:id="rId141">
              <w:r>
                <w:rPr>
                  <w:rFonts w:ascii="Calibri" w:cs="Calibri" w:eastAsia="Calibri" w:hAnsi="Calibri"/>
                  <w:sz w:val="18"/>
                  <w:szCs w:val="18"/>
                  <w:color w:val="0000FF"/>
                </w:rPr>
                <w:t>Amendment No. 13 to Collaboraton and License Agreement,</w:t>
              </w:r>
            </w:hyperlink>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4"/>
          </w:tcPr>
          <w:p>
            <w:pPr>
              <w:spacing w:after="0" w:line="196" w:lineRule="exact"/>
              <w:rPr>
                <w:rFonts w:ascii="Calibri" w:cs="Calibri" w:eastAsia="Calibri" w:hAnsi="Calibri"/>
                <w:sz w:val="18"/>
                <w:szCs w:val="18"/>
                <w:color w:val="0000FF"/>
              </w:rPr>
            </w:pPr>
            <w:hyperlink r:id="rId141">
              <w:r>
                <w:rPr>
                  <w:rFonts w:ascii="Calibri" w:cs="Calibri" w:eastAsia="Calibri" w:hAnsi="Calibri"/>
                  <w:sz w:val="18"/>
                  <w:szCs w:val="18"/>
                  <w:color w:val="0000FF"/>
                </w:rPr>
                <w:t>efectve as of May 16, 2023, between Ultragenyx Pharmaceutcal</w:t>
              </w:r>
            </w:hyperlink>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4"/>
          </w:tcPr>
          <w:p>
            <w:pPr>
              <w:spacing w:after="0" w:line="196" w:lineRule="exact"/>
              <w:rPr>
                <w:rFonts w:ascii="Calibri" w:cs="Calibri" w:eastAsia="Calibri" w:hAnsi="Calibri"/>
                <w:sz w:val="18"/>
                <w:szCs w:val="18"/>
                <w:color w:val="0000FF"/>
              </w:rPr>
            </w:pPr>
            <w:hyperlink r:id="rId141">
              <w:r>
                <w:rPr>
                  <w:rFonts w:ascii="Calibri" w:cs="Calibri" w:eastAsia="Calibri" w:hAnsi="Calibri"/>
                  <w:sz w:val="18"/>
                  <w:szCs w:val="18"/>
                  <w:color w:val="0000FF"/>
                </w:rPr>
                <w:t>Inc. and Kyowa Kirin Co., Ltd.</w:t>
              </w:r>
            </w:hyperlink>
          </w:p>
        </w:tc>
      </w:tr>
      <w:tr>
        <w:trPr>
          <w:trHeight w:val="20"/>
        </w:trPr>
        <w:tc>
          <w:tcPr>
            <w:tcW w:w="102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1020" w:type="dxa"/>
            <w:vAlign w:val="bottom"/>
          </w:tcPr>
          <w:p>
            <w:pPr>
              <w:spacing w:after="0"/>
              <w:rPr>
                <w:sz w:val="20"/>
                <w:szCs w:val="20"/>
                <w:color w:val="auto"/>
              </w:rPr>
            </w:pPr>
            <w:r>
              <w:rPr>
                <w:rFonts w:ascii="Calibri" w:cs="Calibri" w:eastAsia="Calibri" w:hAnsi="Calibri"/>
                <w:sz w:val="18"/>
                <w:szCs w:val="18"/>
                <w:color w:val="auto"/>
              </w:rPr>
              <w:t>10.15*</w:t>
            </w:r>
          </w:p>
        </w:tc>
        <w:tc>
          <w:tcPr>
            <w:tcW w:w="4900" w:type="dxa"/>
            <w:vAlign w:val="bottom"/>
            <w:gridSpan w:val="24"/>
          </w:tcPr>
          <w:p>
            <w:pPr>
              <w:spacing w:after="0"/>
              <w:rPr>
                <w:sz w:val="20"/>
                <w:szCs w:val="20"/>
                <w:color w:val="auto"/>
              </w:rPr>
            </w:pPr>
            <w:r>
              <w:rPr>
                <w:rFonts w:ascii="Calibri" w:cs="Calibri" w:eastAsia="Calibri" w:hAnsi="Calibri"/>
                <w:sz w:val="18"/>
                <w:szCs w:val="18"/>
                <w:color w:val="0000FF"/>
              </w:rPr>
              <w:t>Supply Agreement, efectve as of November 18, 2020, between</w:t>
            </w:r>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4"/>
          </w:tcPr>
          <w:p>
            <w:pPr>
              <w:spacing w:after="0" w:line="196" w:lineRule="exact"/>
              <w:rPr>
                <w:sz w:val="20"/>
                <w:szCs w:val="20"/>
                <w:color w:val="auto"/>
              </w:rPr>
            </w:pPr>
            <w:r>
              <w:rPr>
                <w:rFonts w:ascii="Calibri" w:cs="Calibri" w:eastAsia="Calibri" w:hAnsi="Calibri"/>
                <w:sz w:val="18"/>
                <w:szCs w:val="18"/>
                <w:color w:val="0000FF"/>
              </w:rPr>
              <w:t>Ultragenyx Pharmaceutcal Inc. and Kyowa Kirin Inc.</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EE"/>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0"/>
        </w:trPr>
        <w:tc>
          <w:tcPr>
            <w:tcW w:w="1020" w:type="dxa"/>
            <w:vAlign w:val="bottom"/>
          </w:tcPr>
          <w:p>
            <w:pPr>
              <w:spacing w:after="0"/>
              <w:rPr>
                <w:sz w:val="20"/>
                <w:szCs w:val="20"/>
                <w:color w:val="auto"/>
              </w:rPr>
            </w:pPr>
            <w:r>
              <w:rPr>
                <w:rFonts w:ascii="Calibri" w:cs="Calibri" w:eastAsia="Calibri" w:hAnsi="Calibri"/>
                <w:sz w:val="18"/>
                <w:szCs w:val="18"/>
                <w:color w:val="auto"/>
              </w:rPr>
              <w:t>10.16*</w:t>
            </w:r>
          </w:p>
        </w:tc>
        <w:tc>
          <w:tcPr>
            <w:tcW w:w="4900" w:type="dxa"/>
            <w:vAlign w:val="bottom"/>
            <w:gridSpan w:val="24"/>
          </w:tcPr>
          <w:p>
            <w:pPr>
              <w:spacing w:after="0"/>
              <w:rPr>
                <w:sz w:val="20"/>
                <w:szCs w:val="20"/>
                <w:color w:val="auto"/>
              </w:rPr>
            </w:pPr>
            <w:r>
              <w:rPr>
                <w:rFonts w:ascii="Calibri" w:cs="Calibri" w:eastAsia="Calibri" w:hAnsi="Calibri"/>
                <w:sz w:val="18"/>
                <w:szCs w:val="18"/>
                <w:color w:val="0000FF"/>
                <w:w w:val="98"/>
              </w:rPr>
              <w:t>Amendment No. 1, efectve as of September 13, 2024, to the Supply</w:t>
            </w:r>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4"/>
          </w:tcPr>
          <w:p>
            <w:pPr>
              <w:spacing w:after="0" w:line="196" w:lineRule="exact"/>
              <w:rPr>
                <w:sz w:val="20"/>
                <w:szCs w:val="20"/>
                <w:color w:val="auto"/>
              </w:rPr>
            </w:pPr>
            <w:r>
              <w:rPr>
                <w:rFonts w:ascii="Calibri" w:cs="Calibri" w:eastAsia="Calibri" w:hAnsi="Calibri"/>
                <w:sz w:val="18"/>
                <w:szCs w:val="18"/>
                <w:color w:val="0000FF"/>
              </w:rPr>
              <w:t>Agreement between Ultragenyx Pharmaceutcal Inc. and Kyowa</w:t>
            </w:r>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4"/>
          </w:tcPr>
          <w:p>
            <w:pPr>
              <w:spacing w:after="0" w:line="196" w:lineRule="exact"/>
              <w:rPr>
                <w:sz w:val="20"/>
                <w:szCs w:val="20"/>
                <w:color w:val="auto"/>
              </w:rPr>
            </w:pPr>
            <w:r>
              <w:rPr>
                <w:rFonts w:ascii="Calibri" w:cs="Calibri" w:eastAsia="Calibri" w:hAnsi="Calibri"/>
                <w:sz w:val="18"/>
                <w:szCs w:val="18"/>
                <w:color w:val="0000FF"/>
              </w:rPr>
              <w:t>Kirin, Inc.</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0"/>
        </w:trPr>
        <w:tc>
          <w:tcPr>
            <w:tcW w:w="1020" w:type="dxa"/>
            <w:vAlign w:val="bottom"/>
          </w:tcPr>
          <w:p>
            <w:pPr>
              <w:spacing w:after="0"/>
              <w:rPr>
                <w:sz w:val="20"/>
                <w:szCs w:val="20"/>
                <w:color w:val="auto"/>
              </w:rPr>
            </w:pPr>
            <w:r>
              <w:rPr>
                <w:rFonts w:ascii="Calibri" w:cs="Calibri" w:eastAsia="Calibri" w:hAnsi="Calibri"/>
                <w:sz w:val="18"/>
                <w:szCs w:val="18"/>
                <w:color w:val="auto"/>
              </w:rPr>
              <w:t>10.17*</w:t>
            </w:r>
          </w:p>
        </w:tc>
        <w:tc>
          <w:tcPr>
            <w:tcW w:w="4900" w:type="dxa"/>
            <w:vAlign w:val="bottom"/>
            <w:gridSpan w:val="24"/>
          </w:tcPr>
          <w:p>
            <w:pPr>
              <w:spacing w:after="0"/>
              <w:rPr>
                <w:rFonts w:ascii="Calibri" w:cs="Calibri" w:eastAsia="Calibri" w:hAnsi="Calibri"/>
                <w:sz w:val="18"/>
                <w:szCs w:val="18"/>
                <w:color w:val="0000FF"/>
                <w:w w:val="99"/>
              </w:rPr>
            </w:pPr>
            <w:hyperlink r:id="rId142">
              <w:r>
                <w:rPr>
                  <w:rFonts w:ascii="Calibri" w:cs="Calibri" w:eastAsia="Calibri" w:hAnsi="Calibri"/>
                  <w:sz w:val="18"/>
                  <w:szCs w:val="18"/>
                  <w:color w:val="0000FF"/>
                  <w:w w:val="99"/>
                </w:rPr>
                <w:t>Unit Purchase Agreement, dated as of July 15, 2022, by and among</w:t>
              </w:r>
            </w:hyperlink>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4"/>
          </w:tcPr>
          <w:p>
            <w:pPr>
              <w:spacing w:after="0" w:line="196" w:lineRule="exact"/>
              <w:rPr>
                <w:rFonts w:ascii="Calibri" w:cs="Calibri" w:eastAsia="Calibri" w:hAnsi="Calibri"/>
                <w:sz w:val="18"/>
                <w:szCs w:val="18"/>
                <w:color w:val="0000FF"/>
              </w:rPr>
            </w:pPr>
            <w:hyperlink r:id="rId142">
              <w:r>
                <w:rPr>
                  <w:rFonts w:ascii="Calibri" w:cs="Calibri" w:eastAsia="Calibri" w:hAnsi="Calibri"/>
                  <w:sz w:val="18"/>
                  <w:szCs w:val="18"/>
                  <w:color w:val="0000FF"/>
                </w:rPr>
                <w:t>Ultragenyx Pharmaceutcal Inc., GeneTx Biotherapeutcs LLC, the</w:t>
              </w:r>
            </w:hyperlink>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4"/>
          </w:tcPr>
          <w:p>
            <w:pPr>
              <w:spacing w:after="0" w:line="196" w:lineRule="exact"/>
              <w:rPr>
                <w:rFonts w:ascii="Calibri" w:cs="Calibri" w:eastAsia="Calibri" w:hAnsi="Calibri"/>
                <w:sz w:val="18"/>
                <w:szCs w:val="18"/>
                <w:color w:val="0000FF"/>
              </w:rPr>
            </w:pPr>
            <w:hyperlink r:id="rId142">
              <w:r>
                <w:rPr>
                  <w:rFonts w:ascii="Calibri" w:cs="Calibri" w:eastAsia="Calibri" w:hAnsi="Calibri"/>
                  <w:sz w:val="18"/>
                  <w:szCs w:val="18"/>
                  <w:color w:val="0000FF"/>
                </w:rPr>
                <w:t>Unitholders and Deborah A. Guagliardo</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90"/>
        </w:trPr>
        <w:tc>
          <w:tcPr>
            <w:tcW w:w="1020" w:type="dxa"/>
            <w:vAlign w:val="bottom"/>
          </w:tcPr>
          <w:p>
            <w:pPr>
              <w:spacing w:after="0"/>
              <w:rPr>
                <w:sz w:val="20"/>
                <w:szCs w:val="20"/>
                <w:color w:val="auto"/>
              </w:rPr>
            </w:pPr>
            <w:r>
              <w:rPr>
                <w:rFonts w:ascii="Calibri" w:cs="Calibri" w:eastAsia="Calibri" w:hAnsi="Calibri"/>
                <w:sz w:val="18"/>
                <w:szCs w:val="18"/>
                <w:color w:val="auto"/>
              </w:rPr>
              <w:t>10.18*</w:t>
            </w:r>
          </w:p>
        </w:tc>
        <w:tc>
          <w:tcPr>
            <w:tcW w:w="4900" w:type="dxa"/>
            <w:vAlign w:val="bottom"/>
            <w:gridSpan w:val="24"/>
          </w:tcPr>
          <w:p>
            <w:pPr>
              <w:spacing w:after="0"/>
              <w:rPr>
                <w:rFonts w:ascii="Calibri" w:cs="Calibri" w:eastAsia="Calibri" w:hAnsi="Calibri"/>
                <w:sz w:val="18"/>
                <w:szCs w:val="18"/>
                <w:color w:val="0000FF"/>
              </w:rPr>
            </w:pPr>
            <w:hyperlink r:id="rId143">
              <w:r>
                <w:rPr>
                  <w:rFonts w:ascii="Calibri" w:cs="Calibri" w:eastAsia="Calibri" w:hAnsi="Calibri"/>
                  <w:sz w:val="18"/>
                  <w:szCs w:val="18"/>
                  <w:color w:val="0000FF"/>
                </w:rPr>
                <w:t>Royalty Purchase Agreement, dated as of December 17, 2019,</w:t>
              </w:r>
            </w:hyperlink>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4"/>
          </w:tcPr>
          <w:p>
            <w:pPr>
              <w:spacing w:after="0" w:line="196" w:lineRule="exact"/>
              <w:rPr>
                <w:rFonts w:ascii="Calibri" w:cs="Calibri" w:eastAsia="Calibri" w:hAnsi="Calibri"/>
                <w:sz w:val="18"/>
                <w:szCs w:val="18"/>
                <w:color w:val="0000FF"/>
              </w:rPr>
            </w:pPr>
            <w:hyperlink r:id="rId143">
              <w:r>
                <w:rPr>
                  <w:rFonts w:ascii="Calibri" w:cs="Calibri" w:eastAsia="Calibri" w:hAnsi="Calibri"/>
                  <w:sz w:val="18"/>
                  <w:szCs w:val="18"/>
                  <w:color w:val="0000FF"/>
                </w:rPr>
                <w:t>between Ultragenyx Pharmaceutcal Inc. and RPI Finance Trust</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90"/>
        </w:trPr>
        <w:tc>
          <w:tcPr>
            <w:tcW w:w="1020" w:type="dxa"/>
            <w:vAlign w:val="bottom"/>
          </w:tcPr>
          <w:p>
            <w:pPr>
              <w:spacing w:after="0"/>
              <w:rPr>
                <w:sz w:val="20"/>
                <w:szCs w:val="20"/>
                <w:color w:val="auto"/>
              </w:rPr>
            </w:pPr>
            <w:r>
              <w:rPr>
                <w:rFonts w:ascii="Calibri" w:cs="Calibri" w:eastAsia="Calibri" w:hAnsi="Calibri"/>
                <w:sz w:val="18"/>
                <w:szCs w:val="18"/>
                <w:color w:val="auto"/>
              </w:rPr>
              <w:t>10.19*</w:t>
            </w:r>
          </w:p>
        </w:tc>
        <w:tc>
          <w:tcPr>
            <w:tcW w:w="4900" w:type="dxa"/>
            <w:vAlign w:val="bottom"/>
            <w:gridSpan w:val="24"/>
          </w:tcPr>
          <w:p>
            <w:pPr>
              <w:spacing w:after="0"/>
              <w:rPr>
                <w:rFonts w:ascii="Calibri" w:cs="Calibri" w:eastAsia="Calibri" w:hAnsi="Calibri"/>
                <w:sz w:val="18"/>
                <w:szCs w:val="18"/>
                <w:color w:val="0000FF"/>
              </w:rPr>
            </w:pPr>
            <w:hyperlink r:id="rId144">
              <w:r>
                <w:rPr>
                  <w:rFonts w:ascii="Calibri" w:cs="Calibri" w:eastAsia="Calibri" w:hAnsi="Calibri"/>
                  <w:sz w:val="18"/>
                  <w:szCs w:val="18"/>
                  <w:color w:val="0000FF"/>
                </w:rPr>
                <w:t>Royalty Purchase Agreement, dated as of July 14, 2022, by and</w:t>
              </w:r>
            </w:hyperlink>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4"/>
          </w:tcPr>
          <w:p>
            <w:pPr>
              <w:spacing w:after="0" w:line="196" w:lineRule="exact"/>
              <w:rPr>
                <w:rFonts w:ascii="Calibri" w:cs="Calibri" w:eastAsia="Calibri" w:hAnsi="Calibri"/>
                <w:sz w:val="18"/>
                <w:szCs w:val="18"/>
                <w:color w:val="0000FF"/>
                <w:w w:val="98"/>
              </w:rPr>
            </w:pPr>
            <w:hyperlink r:id="rId144">
              <w:r>
                <w:rPr>
                  <w:rFonts w:ascii="Calibri" w:cs="Calibri" w:eastAsia="Calibri" w:hAnsi="Calibri"/>
                  <w:sz w:val="18"/>
                  <w:szCs w:val="18"/>
                  <w:color w:val="0000FF"/>
                  <w:w w:val="98"/>
                </w:rPr>
                <w:t>among Rare Delaware Inc., Ultragenyx Pharmaceutcal Inc. and OCM</w:t>
              </w:r>
            </w:hyperlink>
          </w:p>
        </w:tc>
      </w:tr>
      <w:tr>
        <w:trPr>
          <w:trHeight w:val="20"/>
        </w:trPr>
        <w:tc>
          <w:tcPr>
            <w:tcW w:w="10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6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4"/>
          </w:tcPr>
          <w:p>
            <w:pPr>
              <w:spacing w:after="0" w:line="196" w:lineRule="exact"/>
              <w:rPr>
                <w:rFonts w:ascii="Calibri" w:cs="Calibri" w:eastAsia="Calibri" w:hAnsi="Calibri"/>
                <w:sz w:val="18"/>
                <w:szCs w:val="18"/>
                <w:color w:val="0000FF"/>
              </w:rPr>
            </w:pPr>
            <w:hyperlink r:id="rId144">
              <w:r>
                <w:rPr>
                  <w:rFonts w:ascii="Calibri" w:cs="Calibri" w:eastAsia="Calibri" w:hAnsi="Calibri"/>
                  <w:sz w:val="18"/>
                  <w:szCs w:val="18"/>
                  <w:color w:val="0000FF"/>
                </w:rPr>
                <w:t>LS23 Holdings LP</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90"/>
        </w:trPr>
        <w:tc>
          <w:tcPr>
            <w:tcW w:w="1020" w:type="dxa"/>
            <w:vAlign w:val="bottom"/>
          </w:tcPr>
          <w:p>
            <w:pPr>
              <w:spacing w:after="0"/>
              <w:rPr>
                <w:sz w:val="20"/>
                <w:szCs w:val="20"/>
                <w:color w:val="auto"/>
              </w:rPr>
            </w:pPr>
            <w:r>
              <w:rPr>
                <w:rFonts w:ascii="Calibri" w:cs="Calibri" w:eastAsia="Calibri" w:hAnsi="Calibri"/>
                <w:sz w:val="18"/>
                <w:szCs w:val="18"/>
                <w:color w:val="auto"/>
              </w:rPr>
              <w:t>10.20#</w:t>
            </w:r>
          </w:p>
        </w:tc>
        <w:tc>
          <w:tcPr>
            <w:tcW w:w="4900" w:type="dxa"/>
            <w:vAlign w:val="bottom"/>
            <w:gridSpan w:val="24"/>
          </w:tcPr>
          <w:p>
            <w:pPr>
              <w:spacing w:after="0"/>
              <w:rPr>
                <w:rFonts w:ascii="Calibri" w:cs="Calibri" w:eastAsia="Calibri" w:hAnsi="Calibri"/>
                <w:sz w:val="18"/>
                <w:szCs w:val="18"/>
                <w:color w:val="0000FF"/>
              </w:rPr>
            </w:pPr>
            <w:hyperlink r:id="rId145">
              <w:r>
                <w:rPr>
                  <w:rFonts w:ascii="Calibri" w:cs="Calibri" w:eastAsia="Calibri" w:hAnsi="Calibri"/>
                  <w:sz w:val="18"/>
                  <w:szCs w:val="18"/>
                  <w:color w:val="0000FF"/>
                </w:rPr>
                <w:t>2014 Incentve Plan (as amended)</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880" w:type="dxa"/>
            <w:vAlign w:val="bottom"/>
            <w:tcBorders>
              <w:right w:val="single" w:sz="8" w:color="0000EE"/>
            </w:tcBorders>
            <w:gridSpan w:val="4"/>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90"/>
        </w:trPr>
        <w:tc>
          <w:tcPr>
            <w:tcW w:w="1020" w:type="dxa"/>
            <w:vAlign w:val="bottom"/>
          </w:tcPr>
          <w:p>
            <w:pPr>
              <w:spacing w:after="0"/>
              <w:rPr>
                <w:sz w:val="20"/>
                <w:szCs w:val="20"/>
                <w:color w:val="auto"/>
              </w:rPr>
            </w:pPr>
            <w:r>
              <w:rPr>
                <w:rFonts w:ascii="Calibri" w:cs="Calibri" w:eastAsia="Calibri" w:hAnsi="Calibri"/>
                <w:sz w:val="18"/>
                <w:szCs w:val="18"/>
                <w:color w:val="auto"/>
              </w:rPr>
              <w:t>10.21#</w:t>
            </w:r>
          </w:p>
        </w:tc>
        <w:tc>
          <w:tcPr>
            <w:tcW w:w="4900" w:type="dxa"/>
            <w:vAlign w:val="bottom"/>
            <w:gridSpan w:val="24"/>
          </w:tcPr>
          <w:p>
            <w:pPr>
              <w:spacing w:after="0"/>
              <w:rPr>
                <w:rFonts w:ascii="Calibri" w:cs="Calibri" w:eastAsia="Calibri" w:hAnsi="Calibri"/>
                <w:sz w:val="18"/>
                <w:szCs w:val="18"/>
                <w:color w:val="0000FF"/>
              </w:rPr>
            </w:pPr>
            <w:hyperlink r:id="rId146">
              <w:r>
                <w:rPr>
                  <w:rFonts w:ascii="Calibri" w:cs="Calibri" w:eastAsia="Calibri" w:hAnsi="Calibri"/>
                  <w:sz w:val="18"/>
                  <w:szCs w:val="18"/>
                  <w:color w:val="0000FF"/>
                </w:rPr>
                <w:t>Form of Incentve Stock Opton Agreement (2014 Plan)</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2160" w:type="dxa"/>
            <w:vAlign w:val="bottom"/>
            <w:tcBorders>
              <w:right w:val="single" w:sz="8" w:color="0000FF"/>
            </w:tcBorders>
            <w:gridSpan w:val="7"/>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90"/>
        </w:trPr>
        <w:tc>
          <w:tcPr>
            <w:tcW w:w="1020" w:type="dxa"/>
            <w:vAlign w:val="bottom"/>
          </w:tcPr>
          <w:p>
            <w:pPr>
              <w:spacing w:after="0"/>
              <w:rPr>
                <w:sz w:val="20"/>
                <w:szCs w:val="20"/>
                <w:color w:val="auto"/>
              </w:rPr>
            </w:pPr>
            <w:r>
              <w:rPr>
                <w:rFonts w:ascii="Calibri" w:cs="Calibri" w:eastAsia="Calibri" w:hAnsi="Calibri"/>
                <w:sz w:val="18"/>
                <w:szCs w:val="18"/>
                <w:color w:val="auto"/>
              </w:rPr>
              <w:t>10.22#</w:t>
            </w:r>
          </w:p>
        </w:tc>
        <w:tc>
          <w:tcPr>
            <w:tcW w:w="4900" w:type="dxa"/>
            <w:vAlign w:val="bottom"/>
            <w:gridSpan w:val="24"/>
          </w:tcPr>
          <w:p>
            <w:pPr>
              <w:spacing w:after="0"/>
              <w:rPr>
                <w:rFonts w:ascii="Calibri" w:cs="Calibri" w:eastAsia="Calibri" w:hAnsi="Calibri"/>
                <w:sz w:val="18"/>
                <w:szCs w:val="18"/>
                <w:color w:val="0000FF"/>
              </w:rPr>
            </w:pPr>
            <w:hyperlink r:id="rId147">
              <w:r>
                <w:rPr>
                  <w:rFonts w:ascii="Calibri" w:cs="Calibri" w:eastAsia="Calibri" w:hAnsi="Calibri"/>
                  <w:sz w:val="18"/>
                  <w:szCs w:val="18"/>
                  <w:color w:val="0000FF"/>
                </w:rPr>
                <w:t xml:space="preserve">Form of Non Statutory Stock Opton Agreement (Employees) </w:t>
              </w:r>
            </w:hyperlink>
            <w:r>
              <w:rPr>
                <w:rFonts w:ascii="Calibri" w:cs="Calibri" w:eastAsia="Calibri" w:hAnsi="Calibri"/>
                <w:sz w:val="18"/>
                <w:szCs w:val="18"/>
                <w:color w:val="0000FF"/>
              </w:rPr>
              <w:t>(2014</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2160" w:type="dxa"/>
            <w:vAlign w:val="bottom"/>
            <w:tcBorders>
              <w:right w:val="single" w:sz="8" w:color="0000FF"/>
            </w:tcBorders>
            <w:gridSpan w:val="7"/>
            <w:shd w:val="clear" w:color="auto" w:fill="0000FF"/>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4"/>
          </w:tcPr>
          <w:p>
            <w:pPr>
              <w:spacing w:after="0" w:line="196" w:lineRule="exact"/>
              <w:rPr>
                <w:sz w:val="20"/>
                <w:szCs w:val="20"/>
                <w:color w:val="auto"/>
              </w:rPr>
            </w:pPr>
            <w:r>
              <w:rPr>
                <w:rFonts w:ascii="Calibri" w:cs="Calibri" w:eastAsia="Calibri" w:hAnsi="Calibri"/>
                <w:sz w:val="18"/>
                <w:szCs w:val="18"/>
                <w:color w:val="0000FF"/>
              </w:rPr>
              <w:t>Plan)</w:t>
            </w:r>
          </w:p>
        </w:tc>
      </w:tr>
      <w:tr>
        <w:trPr>
          <w:trHeight w:val="20"/>
        </w:trPr>
        <w:tc>
          <w:tcPr>
            <w:tcW w:w="102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90"/>
        </w:trPr>
        <w:tc>
          <w:tcPr>
            <w:tcW w:w="1020" w:type="dxa"/>
            <w:vAlign w:val="bottom"/>
          </w:tcPr>
          <w:p>
            <w:pPr>
              <w:spacing w:after="0"/>
              <w:rPr>
                <w:sz w:val="20"/>
                <w:szCs w:val="20"/>
                <w:color w:val="auto"/>
              </w:rPr>
            </w:pPr>
            <w:r>
              <w:rPr>
                <w:rFonts w:ascii="Calibri" w:cs="Calibri" w:eastAsia="Calibri" w:hAnsi="Calibri"/>
                <w:sz w:val="18"/>
                <w:szCs w:val="18"/>
                <w:color w:val="auto"/>
              </w:rPr>
              <w:t>10.23#</w:t>
            </w:r>
          </w:p>
        </w:tc>
        <w:tc>
          <w:tcPr>
            <w:tcW w:w="4900" w:type="dxa"/>
            <w:vAlign w:val="bottom"/>
            <w:gridSpan w:val="24"/>
          </w:tcPr>
          <w:p>
            <w:pPr>
              <w:spacing w:after="0"/>
              <w:rPr>
                <w:rFonts w:ascii="Calibri" w:cs="Calibri" w:eastAsia="Calibri" w:hAnsi="Calibri"/>
                <w:sz w:val="18"/>
                <w:szCs w:val="18"/>
                <w:color w:val="0000FF"/>
              </w:rPr>
            </w:pPr>
            <w:hyperlink r:id="rId148">
              <w:r>
                <w:rPr>
                  <w:rFonts w:ascii="Calibri" w:cs="Calibri" w:eastAsia="Calibri" w:hAnsi="Calibri"/>
                  <w:sz w:val="18"/>
                  <w:szCs w:val="18"/>
                  <w:color w:val="0000FF"/>
                </w:rPr>
                <w:t xml:space="preserve">Form of Restricted Stock Unit Agreement (Employees) </w:t>
              </w:r>
            </w:hyperlink>
            <w:r>
              <w:rPr>
                <w:rFonts w:ascii="Calibri" w:cs="Calibri" w:eastAsia="Calibri" w:hAnsi="Calibri"/>
                <w:sz w:val="18"/>
                <w:szCs w:val="18"/>
                <w:color w:val="0000FF"/>
              </w:rPr>
              <w:t>(2014 Plan</w:t>
            </w:r>
            <w:r>
              <w:rPr>
                <w:rFonts w:ascii="Calibri" w:cs="Calibri" w:eastAsia="Calibri" w:hAnsi="Calibri"/>
                <w:sz w:val="18"/>
                <w:szCs w:val="18"/>
                <w:color w:val="000000"/>
              </w:rPr>
              <w:t>)</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2160" w:type="dxa"/>
            <w:vAlign w:val="bottom"/>
            <w:tcBorders>
              <w:right w:val="single" w:sz="8" w:color="0000FF"/>
            </w:tcBorders>
            <w:gridSpan w:val="7"/>
            <w:shd w:val="clear" w:color="auto" w:fill="0000FF"/>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gridSpan w:val="5"/>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90"/>
        </w:trPr>
        <w:tc>
          <w:tcPr>
            <w:tcW w:w="1020" w:type="dxa"/>
            <w:vAlign w:val="bottom"/>
          </w:tcPr>
          <w:p>
            <w:pPr>
              <w:spacing w:after="0"/>
              <w:rPr>
                <w:sz w:val="20"/>
                <w:szCs w:val="20"/>
                <w:color w:val="auto"/>
              </w:rPr>
            </w:pPr>
            <w:r>
              <w:rPr>
                <w:rFonts w:ascii="Calibri" w:cs="Calibri" w:eastAsia="Calibri" w:hAnsi="Calibri"/>
                <w:sz w:val="18"/>
                <w:szCs w:val="18"/>
                <w:color w:val="auto"/>
              </w:rPr>
              <w:t>10.24#</w:t>
            </w:r>
          </w:p>
        </w:tc>
        <w:tc>
          <w:tcPr>
            <w:tcW w:w="4900" w:type="dxa"/>
            <w:vAlign w:val="bottom"/>
            <w:gridSpan w:val="24"/>
          </w:tcPr>
          <w:p>
            <w:pPr>
              <w:spacing w:after="0"/>
              <w:rPr>
                <w:rFonts w:ascii="Calibri" w:cs="Calibri" w:eastAsia="Calibri" w:hAnsi="Calibri"/>
                <w:sz w:val="18"/>
                <w:szCs w:val="18"/>
                <w:color w:val="0000FF"/>
              </w:rPr>
            </w:pPr>
            <w:hyperlink r:id="rId149">
              <w:r>
                <w:rPr>
                  <w:rFonts w:ascii="Calibri" w:cs="Calibri" w:eastAsia="Calibri" w:hAnsi="Calibri"/>
                  <w:sz w:val="18"/>
                  <w:szCs w:val="18"/>
                  <w:color w:val="0000FF"/>
                </w:rPr>
                <w:t>Form of Non-Statutory Stock Opton Agreement (Annual Grant for</w:t>
              </w:r>
            </w:hyperlink>
          </w:p>
        </w:tc>
      </w:tr>
      <w:tr>
        <w:trPr>
          <w:trHeight w:val="20"/>
        </w:trPr>
        <w:tc>
          <w:tcPr>
            <w:tcW w:w="102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2720" w:type="dxa"/>
            <w:vAlign w:val="bottom"/>
            <w:tcBorders>
              <w:right w:val="single" w:sz="8" w:color="0000FF"/>
            </w:tcBorders>
            <w:gridSpan w:val="10"/>
            <w:shd w:val="clear" w:color="auto" w:fill="0000FF"/>
          </w:tcPr>
          <w:p>
            <w:pPr>
              <w:spacing w:after="0" w:line="20" w:lineRule="exact"/>
              <w:rPr>
                <w:sz w:val="1"/>
                <w:szCs w:val="1"/>
                <w:color w:val="auto"/>
              </w:rPr>
            </w:pPr>
          </w:p>
        </w:tc>
        <w:tc>
          <w:tcPr>
            <w:tcW w:w="460" w:type="dxa"/>
            <w:vAlign w:val="bottom"/>
            <w:gridSpan w:val="7"/>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4"/>
          </w:tcPr>
          <w:p>
            <w:pPr>
              <w:spacing w:after="0" w:line="196" w:lineRule="exact"/>
              <w:rPr>
                <w:rFonts w:ascii="Calibri" w:cs="Calibri" w:eastAsia="Calibri" w:hAnsi="Calibri"/>
                <w:sz w:val="18"/>
                <w:szCs w:val="18"/>
                <w:color w:val="0000FF"/>
              </w:rPr>
            </w:pPr>
            <w:hyperlink r:id="rId149">
              <w:r>
                <w:rPr>
                  <w:rFonts w:ascii="Calibri" w:cs="Calibri" w:eastAsia="Calibri" w:hAnsi="Calibri"/>
                  <w:sz w:val="18"/>
                  <w:szCs w:val="18"/>
                  <w:color w:val="0000FF"/>
                </w:rPr>
                <w:t>Directors) (2014 Plan)</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2720" w:type="dxa"/>
            <w:vAlign w:val="bottom"/>
            <w:gridSpan w:val="10"/>
          </w:tcPr>
          <w:p>
            <w:pPr>
              <w:spacing w:after="0" w:line="20" w:lineRule="exact"/>
              <w:rPr>
                <w:sz w:val="1"/>
                <w:szCs w:val="1"/>
                <w:color w:val="auto"/>
              </w:rPr>
            </w:pPr>
          </w:p>
        </w:tc>
        <w:tc>
          <w:tcPr>
            <w:tcW w:w="640" w:type="dxa"/>
            <w:vAlign w:val="bottom"/>
            <w:gridSpan w:val="9"/>
          </w:tcPr>
          <w:p>
            <w:pPr>
              <w:spacing w:after="0" w:line="20" w:lineRule="exact"/>
              <w:rPr>
                <w:sz w:val="1"/>
                <w:szCs w:val="1"/>
                <w:color w:val="auto"/>
              </w:rPr>
            </w:pPr>
          </w:p>
        </w:tc>
      </w:tr>
      <w:tr>
        <w:trPr>
          <w:trHeight w:val="291"/>
        </w:trPr>
        <w:tc>
          <w:tcPr>
            <w:tcW w:w="1020" w:type="dxa"/>
            <w:vAlign w:val="bottom"/>
          </w:tcPr>
          <w:p>
            <w:pPr>
              <w:spacing w:after="0"/>
              <w:rPr>
                <w:sz w:val="20"/>
                <w:szCs w:val="20"/>
                <w:color w:val="auto"/>
              </w:rPr>
            </w:pPr>
            <w:r>
              <w:rPr>
                <w:rFonts w:ascii="Calibri" w:cs="Calibri" w:eastAsia="Calibri" w:hAnsi="Calibri"/>
                <w:sz w:val="18"/>
                <w:szCs w:val="18"/>
                <w:color w:val="auto"/>
              </w:rPr>
              <w:t>10.25#</w:t>
            </w:r>
          </w:p>
        </w:tc>
        <w:tc>
          <w:tcPr>
            <w:tcW w:w="4900" w:type="dxa"/>
            <w:vAlign w:val="bottom"/>
            <w:gridSpan w:val="24"/>
          </w:tcPr>
          <w:p>
            <w:pPr>
              <w:spacing w:after="0"/>
              <w:rPr>
                <w:rFonts w:ascii="Calibri" w:cs="Calibri" w:eastAsia="Calibri" w:hAnsi="Calibri"/>
                <w:sz w:val="18"/>
                <w:szCs w:val="18"/>
                <w:color w:val="0000FF"/>
              </w:rPr>
            </w:pPr>
            <w:hyperlink r:id="rId150">
              <w:r>
                <w:rPr>
                  <w:rFonts w:ascii="Calibri" w:cs="Calibri" w:eastAsia="Calibri" w:hAnsi="Calibri"/>
                  <w:sz w:val="18"/>
                  <w:szCs w:val="18"/>
                  <w:color w:val="0000FF"/>
                </w:rPr>
                <w:t>Form of Restricted Stock Unit Agreement (Annual Grant for</w:t>
              </w:r>
            </w:hyperlink>
          </w:p>
        </w:tc>
      </w:tr>
      <w:tr>
        <w:trPr>
          <w:trHeight w:val="20"/>
        </w:trPr>
        <w:tc>
          <w:tcPr>
            <w:tcW w:w="102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2720" w:type="dxa"/>
            <w:vAlign w:val="bottom"/>
            <w:tcBorders>
              <w:right w:val="single" w:sz="8" w:color="0000FF"/>
            </w:tcBorders>
            <w:gridSpan w:val="10"/>
            <w:shd w:val="clear" w:color="auto" w:fill="0000FF"/>
          </w:tcPr>
          <w:p>
            <w:pPr>
              <w:spacing w:after="0" w:line="20" w:lineRule="exact"/>
              <w:rPr>
                <w:sz w:val="1"/>
                <w:szCs w:val="1"/>
                <w:color w:val="auto"/>
              </w:rPr>
            </w:pPr>
          </w:p>
        </w:tc>
        <w:tc>
          <w:tcPr>
            <w:tcW w:w="640" w:type="dxa"/>
            <w:vAlign w:val="bottom"/>
            <w:gridSpan w:val="9"/>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24"/>
          </w:tcPr>
          <w:p>
            <w:pPr>
              <w:spacing w:after="0" w:line="196" w:lineRule="exact"/>
              <w:rPr>
                <w:rFonts w:ascii="Calibri" w:cs="Calibri" w:eastAsia="Calibri" w:hAnsi="Calibri"/>
                <w:sz w:val="18"/>
                <w:szCs w:val="18"/>
                <w:color w:val="0000FF"/>
              </w:rPr>
            </w:pPr>
            <w:hyperlink r:id="rId150">
              <w:r>
                <w:rPr>
                  <w:rFonts w:ascii="Calibri" w:cs="Calibri" w:eastAsia="Calibri" w:hAnsi="Calibri"/>
                  <w:sz w:val="18"/>
                  <w:szCs w:val="18"/>
                  <w:color w:val="0000FF"/>
                </w:rPr>
                <w:t>Directors) (2014 Plan)</w:t>
              </w:r>
            </w:hyperlink>
          </w:p>
        </w:tc>
      </w:tr>
      <w:tr>
        <w:trPr>
          <w:trHeight w:val="226"/>
        </w:trPr>
        <w:tc>
          <w:tcPr>
            <w:tcW w:w="1020" w:type="dxa"/>
            <w:vAlign w:val="bottom"/>
          </w:tcPr>
          <w:p>
            <w:pPr>
              <w:spacing w:after="0"/>
              <w:rPr>
                <w:sz w:val="19"/>
                <w:szCs w:val="19"/>
                <w:color w:val="auto"/>
              </w:rPr>
            </w:pPr>
          </w:p>
        </w:tc>
        <w:tc>
          <w:tcPr>
            <w:tcW w:w="660" w:type="dxa"/>
            <w:vAlign w:val="bottom"/>
            <w:tcBorders>
              <w:top w:val="single" w:sz="8" w:color="0000EE"/>
            </w:tcBorders>
            <w:gridSpan w:val="2"/>
          </w:tcPr>
          <w:p>
            <w:pPr>
              <w:spacing w:after="0"/>
              <w:rPr>
                <w:sz w:val="19"/>
                <w:szCs w:val="19"/>
                <w:color w:val="auto"/>
              </w:rPr>
            </w:pPr>
          </w:p>
        </w:tc>
        <w:tc>
          <w:tcPr>
            <w:tcW w:w="880" w:type="dxa"/>
            <w:vAlign w:val="bottom"/>
            <w:tcBorders>
              <w:top w:val="single" w:sz="8" w:color="0000FF"/>
            </w:tcBorders>
            <w:gridSpan w:val="3"/>
          </w:tcPr>
          <w:p>
            <w:pPr>
              <w:spacing w:after="0"/>
              <w:rPr>
                <w:sz w:val="19"/>
                <w:szCs w:val="19"/>
                <w:color w:val="auto"/>
              </w:rPr>
            </w:pPr>
          </w:p>
        </w:tc>
        <w:tc>
          <w:tcPr>
            <w:tcW w:w="3080" w:type="dxa"/>
            <w:vAlign w:val="bottom"/>
            <w:gridSpan w:val="15"/>
          </w:tcPr>
          <w:p>
            <w:pPr>
              <w:jc w:val="right"/>
              <w:spacing w:after="0"/>
              <w:rPr>
                <w:sz w:val="20"/>
                <w:szCs w:val="20"/>
                <w:color w:val="auto"/>
              </w:rPr>
            </w:pPr>
            <w:r>
              <w:rPr>
                <w:rFonts w:ascii="Calibri" w:cs="Calibri" w:eastAsia="Calibri" w:hAnsi="Calibri"/>
                <w:sz w:val="18"/>
                <w:szCs w:val="18"/>
                <w:color w:val="auto"/>
              </w:rPr>
              <w:t>88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481965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20"/>
        </w:trPr>
        <w:tc>
          <w:tcPr>
            <w:tcW w:w="740" w:type="dxa"/>
            <w:vAlign w:val="bottom"/>
          </w:tcPr>
          <w:p>
            <w:pPr>
              <w:spacing w:after="0"/>
              <w:rPr>
                <w:sz w:val="20"/>
                <w:szCs w:val="20"/>
                <w:color w:val="auto"/>
              </w:rPr>
            </w:pPr>
            <w:r>
              <w:rPr>
                <w:rFonts w:ascii="Calibri" w:cs="Calibri" w:eastAsia="Calibri" w:hAnsi="Calibri"/>
                <w:sz w:val="18"/>
                <w:szCs w:val="18"/>
                <w:color w:val="auto"/>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8"/>
              </w:rPr>
              <w:t>5/7/2019</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10.3</w:t>
            </w:r>
          </w:p>
        </w:tc>
      </w:tr>
      <w:tr>
        <w:trPr>
          <w:trHeight w:val="743"/>
        </w:trPr>
        <w:tc>
          <w:tcPr>
            <w:tcW w:w="740" w:type="dxa"/>
            <w:vAlign w:val="bottom"/>
          </w:tcPr>
          <w:p>
            <w:pPr>
              <w:spacing w:after="0"/>
              <w:rPr>
                <w:sz w:val="20"/>
                <w:szCs w:val="20"/>
                <w:color w:val="auto"/>
              </w:rPr>
            </w:pPr>
            <w:r>
              <w:rPr>
                <w:rFonts w:ascii="Calibri" w:cs="Calibri" w:eastAsia="Calibri" w:hAnsi="Calibri"/>
                <w:sz w:val="18"/>
                <w:szCs w:val="18"/>
                <w:color w:val="auto"/>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8"/>
              </w:rPr>
              <w:t>8/2/2019</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10.1</w:t>
            </w:r>
          </w:p>
        </w:tc>
      </w:tr>
      <w:tr>
        <w:trPr>
          <w:trHeight w:val="743"/>
        </w:trPr>
        <w:tc>
          <w:tcPr>
            <w:tcW w:w="740" w:type="dxa"/>
            <w:vAlign w:val="bottom"/>
          </w:tcPr>
          <w:p>
            <w:pPr>
              <w:spacing w:after="0"/>
              <w:rPr>
                <w:sz w:val="20"/>
                <w:szCs w:val="20"/>
                <w:color w:val="auto"/>
              </w:rPr>
            </w:pPr>
            <w:r>
              <w:rPr>
                <w:rFonts w:ascii="Calibri" w:cs="Calibri" w:eastAsia="Calibri" w:hAnsi="Calibri"/>
                <w:sz w:val="18"/>
                <w:szCs w:val="18"/>
                <w:color w:val="auto"/>
              </w:rPr>
              <w:t>10-K</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2/14/2020</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w w:val="97"/>
              </w:rPr>
              <w:t>10.10</w:t>
            </w:r>
          </w:p>
        </w:tc>
      </w:tr>
      <w:tr>
        <w:trPr>
          <w:trHeight w:val="743"/>
        </w:trPr>
        <w:tc>
          <w:tcPr>
            <w:tcW w:w="740" w:type="dxa"/>
            <w:vAlign w:val="bottom"/>
          </w:tcPr>
          <w:p>
            <w:pPr>
              <w:spacing w:after="0"/>
              <w:rPr>
                <w:sz w:val="20"/>
                <w:szCs w:val="20"/>
                <w:color w:val="auto"/>
              </w:rPr>
            </w:pPr>
            <w:r>
              <w:rPr>
                <w:rFonts w:ascii="Calibri" w:cs="Calibri" w:eastAsia="Calibri" w:hAnsi="Calibri"/>
                <w:sz w:val="18"/>
                <w:szCs w:val="18"/>
                <w:color w:val="auto"/>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8"/>
              </w:rPr>
              <w:t>5/7/2020</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10.2</w:t>
            </w:r>
          </w:p>
        </w:tc>
      </w:tr>
      <w:tr>
        <w:trPr>
          <w:trHeight w:val="743"/>
        </w:trPr>
        <w:tc>
          <w:tcPr>
            <w:tcW w:w="740" w:type="dxa"/>
            <w:vAlign w:val="bottom"/>
          </w:tcPr>
          <w:p>
            <w:pPr>
              <w:spacing w:after="0"/>
              <w:rPr>
                <w:sz w:val="20"/>
                <w:szCs w:val="20"/>
                <w:color w:val="auto"/>
              </w:rPr>
            </w:pPr>
            <w:r>
              <w:rPr>
                <w:rFonts w:ascii="Calibri" w:cs="Calibri" w:eastAsia="Calibri" w:hAnsi="Calibri"/>
                <w:sz w:val="18"/>
                <w:szCs w:val="18"/>
                <w:color w:val="auto"/>
              </w:rPr>
              <w:t>10-K</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2/16/2022</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w w:val="97"/>
              </w:rPr>
              <w:t>10.13</w:t>
            </w:r>
          </w:p>
        </w:tc>
      </w:tr>
      <w:tr>
        <w:trPr>
          <w:trHeight w:val="743"/>
        </w:trPr>
        <w:tc>
          <w:tcPr>
            <w:tcW w:w="740" w:type="dxa"/>
            <w:vAlign w:val="bottom"/>
          </w:tcPr>
          <w:p>
            <w:pPr>
              <w:spacing w:after="0"/>
              <w:rPr>
                <w:sz w:val="20"/>
                <w:szCs w:val="20"/>
                <w:color w:val="auto"/>
              </w:rPr>
            </w:pPr>
            <w:r>
              <w:rPr>
                <w:rFonts w:ascii="Calibri" w:cs="Calibri" w:eastAsia="Calibri" w:hAnsi="Calibri"/>
                <w:sz w:val="18"/>
                <w:szCs w:val="18"/>
                <w:color w:val="auto"/>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11/3/2022</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10.1</w:t>
            </w:r>
          </w:p>
        </w:tc>
      </w:tr>
      <w:tr>
        <w:trPr>
          <w:trHeight w:val="743"/>
        </w:trPr>
        <w:tc>
          <w:tcPr>
            <w:tcW w:w="740" w:type="dxa"/>
            <w:vAlign w:val="bottom"/>
          </w:tcPr>
          <w:p>
            <w:pPr>
              <w:spacing w:after="0"/>
              <w:rPr>
                <w:sz w:val="20"/>
                <w:szCs w:val="20"/>
                <w:color w:val="auto"/>
              </w:rPr>
            </w:pPr>
            <w:r>
              <w:rPr>
                <w:rFonts w:ascii="Calibri" w:cs="Calibri" w:eastAsia="Calibri" w:hAnsi="Calibri"/>
                <w:sz w:val="18"/>
                <w:szCs w:val="18"/>
                <w:color w:val="auto"/>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8"/>
              </w:rPr>
              <w:t>8/3/2023</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10.1</w:t>
            </w:r>
          </w:p>
        </w:tc>
      </w:tr>
    </w:tbl>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Calibri" w:cs="Calibri" w:eastAsia="Calibri" w:hAnsi="Calibri"/>
          <w:sz w:val="18"/>
          <w:szCs w:val="18"/>
          <w:color w:val="auto"/>
        </w:rPr>
        <w:t>X</w:t>
      </w:r>
    </w:p>
    <w:p>
      <w:pPr>
        <w:spacing w:after="0" w:line="307" w:lineRule="exact"/>
        <w:rPr>
          <w:sz w:val="20"/>
          <w:szCs w:val="20"/>
          <w:color w:val="auto"/>
        </w:rPr>
      </w:pPr>
    </w:p>
    <w:p>
      <w:pPr>
        <w:jc w:val="right"/>
        <w:spacing w:after="0"/>
        <w:rPr>
          <w:sz w:val="20"/>
          <w:szCs w:val="20"/>
          <w:color w:val="auto"/>
        </w:rPr>
      </w:pPr>
      <w:r>
        <w:rPr>
          <w:rFonts w:ascii="Calibri" w:cs="Calibri" w:eastAsia="Calibri" w:hAnsi="Calibri"/>
          <w:sz w:val="18"/>
          <w:szCs w:val="18"/>
          <w:color w:val="auto"/>
        </w:rPr>
        <w:t>X</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60" w:type="dxa"/>
            <w:vAlign w:val="bottom"/>
          </w:tcPr>
          <w:p>
            <w:pPr>
              <w:ind w:left="20"/>
              <w:spacing w:after="0"/>
              <w:rPr>
                <w:sz w:val="20"/>
                <w:szCs w:val="20"/>
                <w:color w:val="auto"/>
              </w:rPr>
            </w:pPr>
            <w:r>
              <w:rPr>
                <w:rFonts w:ascii="Calibri" w:cs="Calibri" w:eastAsia="Calibri" w:hAnsi="Calibri"/>
                <w:sz w:val="18"/>
                <w:szCs w:val="18"/>
                <w:color w:val="auto"/>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7/29/2022</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10.2</w:t>
            </w:r>
          </w:p>
        </w:tc>
      </w:tr>
      <w:tr>
        <w:trPr>
          <w:trHeight w:val="742"/>
        </w:trPr>
        <w:tc>
          <w:tcPr>
            <w:tcW w:w="760" w:type="dxa"/>
            <w:vAlign w:val="bottom"/>
          </w:tcPr>
          <w:p>
            <w:pPr>
              <w:ind w:left="20"/>
              <w:spacing w:after="0"/>
              <w:rPr>
                <w:sz w:val="20"/>
                <w:szCs w:val="20"/>
                <w:color w:val="auto"/>
              </w:rPr>
            </w:pPr>
            <w:r>
              <w:rPr>
                <w:rFonts w:ascii="Calibri" w:cs="Calibri" w:eastAsia="Calibri" w:hAnsi="Calibri"/>
                <w:sz w:val="18"/>
                <w:szCs w:val="18"/>
                <w:color w:val="auto"/>
              </w:rPr>
              <w:t>10-K</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2/14/2020</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w w:val="97"/>
              </w:rPr>
              <w:t>10.25</w:t>
            </w:r>
          </w:p>
        </w:tc>
      </w:tr>
      <w:tr>
        <w:trPr>
          <w:trHeight w:val="527"/>
        </w:trPr>
        <w:tc>
          <w:tcPr>
            <w:tcW w:w="760" w:type="dxa"/>
            <w:vAlign w:val="bottom"/>
          </w:tcPr>
          <w:p>
            <w:pPr>
              <w:ind w:left="20"/>
              <w:spacing w:after="0"/>
              <w:rPr>
                <w:sz w:val="20"/>
                <w:szCs w:val="20"/>
                <w:color w:val="auto"/>
              </w:rPr>
            </w:pPr>
            <w:r>
              <w:rPr>
                <w:rFonts w:ascii="Calibri" w:cs="Calibri" w:eastAsia="Calibri" w:hAnsi="Calibri"/>
                <w:sz w:val="18"/>
                <w:szCs w:val="18"/>
                <w:color w:val="auto"/>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7/29/2022</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10.1</w:t>
            </w:r>
          </w:p>
        </w:tc>
      </w:tr>
      <w:tr>
        <w:trPr>
          <w:trHeight w:val="743"/>
        </w:trPr>
        <w:tc>
          <w:tcPr>
            <w:tcW w:w="760" w:type="dxa"/>
            <w:vAlign w:val="bottom"/>
          </w:tcPr>
          <w:p>
            <w:pPr>
              <w:ind w:left="20"/>
              <w:spacing w:after="0"/>
              <w:rPr>
                <w:sz w:val="20"/>
                <w:szCs w:val="20"/>
                <w:color w:val="auto"/>
              </w:rPr>
            </w:pPr>
            <w:r>
              <w:rPr>
                <w:rFonts w:ascii="Calibri" w:cs="Calibri" w:eastAsia="Calibri" w:hAnsi="Calibri"/>
                <w:sz w:val="18"/>
                <w:szCs w:val="18"/>
                <w:color w:val="auto"/>
              </w:rPr>
              <w:t>10-K</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2/17/2017</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w w:val="97"/>
              </w:rPr>
              <w:t>10.20</w:t>
            </w:r>
          </w:p>
        </w:tc>
      </w:tr>
      <w:tr>
        <w:trPr>
          <w:trHeight w:val="310"/>
        </w:trPr>
        <w:tc>
          <w:tcPr>
            <w:tcW w:w="760" w:type="dxa"/>
            <w:vAlign w:val="bottom"/>
          </w:tcPr>
          <w:p>
            <w:pPr>
              <w:spacing w:after="0"/>
              <w:rPr>
                <w:sz w:val="20"/>
                <w:szCs w:val="20"/>
                <w:color w:val="auto"/>
              </w:rPr>
            </w:pPr>
            <w:r>
              <w:rPr>
                <w:rFonts w:ascii="Calibri" w:cs="Calibri" w:eastAsia="Calibri" w:hAnsi="Calibri"/>
                <w:sz w:val="18"/>
                <w:szCs w:val="18"/>
                <w:color w:val="auto"/>
              </w:rPr>
              <w:t>S-1/A</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1/17/2014</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w w:val="97"/>
              </w:rPr>
              <w:t>10.14</w:t>
            </w:r>
          </w:p>
        </w:tc>
      </w:tr>
      <w:tr>
        <w:trPr>
          <w:trHeight w:val="310"/>
        </w:trPr>
        <w:tc>
          <w:tcPr>
            <w:tcW w:w="760" w:type="dxa"/>
            <w:vAlign w:val="bottom"/>
          </w:tcPr>
          <w:p>
            <w:pPr>
              <w:spacing w:after="0"/>
              <w:rPr>
                <w:sz w:val="20"/>
                <w:szCs w:val="20"/>
                <w:color w:val="auto"/>
              </w:rPr>
            </w:pPr>
            <w:r>
              <w:rPr>
                <w:rFonts w:ascii="Calibri" w:cs="Calibri" w:eastAsia="Calibri" w:hAnsi="Calibri"/>
                <w:sz w:val="18"/>
                <w:szCs w:val="18"/>
                <w:color w:val="auto"/>
              </w:rPr>
              <w:t>S-1/A</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1/17/2014</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w w:val="97"/>
              </w:rPr>
              <w:t>10.15</w:t>
            </w:r>
          </w:p>
        </w:tc>
      </w:tr>
      <w:tr>
        <w:trPr>
          <w:trHeight w:val="527"/>
        </w:trPr>
        <w:tc>
          <w:tcPr>
            <w:tcW w:w="760" w:type="dxa"/>
            <w:vAlign w:val="bottom"/>
          </w:tcPr>
          <w:p>
            <w:pPr>
              <w:ind w:left="20"/>
              <w:spacing w:after="0"/>
              <w:rPr>
                <w:sz w:val="20"/>
                <w:szCs w:val="20"/>
                <w:color w:val="auto"/>
              </w:rPr>
            </w:pPr>
            <w:r>
              <w:rPr>
                <w:rFonts w:ascii="Calibri" w:cs="Calibri" w:eastAsia="Calibri" w:hAnsi="Calibri"/>
                <w:sz w:val="18"/>
                <w:szCs w:val="18"/>
                <w:color w:val="auto"/>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5/10/2016</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10.1</w:t>
            </w:r>
          </w:p>
        </w:tc>
      </w:tr>
      <w:tr>
        <w:trPr>
          <w:trHeight w:val="310"/>
        </w:trPr>
        <w:tc>
          <w:tcPr>
            <w:tcW w:w="760" w:type="dxa"/>
            <w:vAlign w:val="bottom"/>
          </w:tcPr>
          <w:p>
            <w:pPr>
              <w:ind w:left="20"/>
              <w:spacing w:after="0"/>
              <w:rPr>
                <w:sz w:val="20"/>
                <w:szCs w:val="20"/>
                <w:color w:val="auto"/>
              </w:rPr>
            </w:pPr>
            <w:r>
              <w:rPr>
                <w:rFonts w:ascii="Calibri" w:cs="Calibri" w:eastAsia="Calibri" w:hAnsi="Calibri"/>
                <w:sz w:val="18"/>
                <w:szCs w:val="18"/>
                <w:color w:val="auto"/>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8"/>
              </w:rPr>
              <w:t>8/3/2021</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10.2</w:t>
            </w:r>
          </w:p>
        </w:tc>
      </w:tr>
      <w:tr>
        <w:trPr>
          <w:trHeight w:val="526"/>
        </w:trPr>
        <w:tc>
          <w:tcPr>
            <w:tcW w:w="760" w:type="dxa"/>
            <w:vAlign w:val="bottom"/>
          </w:tcPr>
          <w:p>
            <w:pPr>
              <w:ind w:left="20"/>
              <w:spacing w:after="0"/>
              <w:rPr>
                <w:sz w:val="20"/>
                <w:szCs w:val="20"/>
                <w:color w:val="auto"/>
              </w:rPr>
            </w:pPr>
            <w:r>
              <w:rPr>
                <w:rFonts w:ascii="Calibri" w:cs="Calibri" w:eastAsia="Calibri" w:hAnsi="Calibri"/>
                <w:sz w:val="18"/>
                <w:szCs w:val="18"/>
                <w:color w:val="auto"/>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8"/>
              </w:rPr>
              <w:t>8/3/2021</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10.3</w:t>
            </w:r>
          </w:p>
        </w:tc>
      </w:tr>
    </w:tbl>
    <w:p>
      <w:pPr>
        <w:sectPr>
          <w:pgSz w:w="11900" w:h="16838" w:orient="portrait"/>
          <w:cols w:equalWidth="0" w:num="2">
            <w:col w:w="5920" w:space="340"/>
            <w:col w:w="4520"/>
          </w:cols>
          <w:pgMar w:left="340" w:top="1040" w:right="779" w:bottom="1440" w:gutter="0" w:footer="0" w:header="0"/>
        </w:sectPr>
      </w:pPr>
    </w:p>
    <w:bookmarkStart w:id="88" w:name="page89"/>
    <w:bookmarkEnd w:id="88"/>
    <w:p>
      <w:pPr>
        <w:spacing w:after="0" w:line="5" w:lineRule="exact"/>
        <w:rPr>
          <w:sz w:val="20"/>
          <w:szCs w:val="20"/>
          <w:color w:val="auto"/>
        </w:rPr>
      </w:pPr>
    </w:p>
    <w:p>
      <w:pPr>
        <w:spacing w:after="0"/>
        <w:rPr>
          <w:sz w:val="20"/>
          <w:szCs w:val="20"/>
          <w:color w:val="auto"/>
        </w:rPr>
      </w:pPr>
      <w:r>
        <w:rPr>
          <w:rFonts w:ascii="Calibri" w:cs="Calibri" w:eastAsia="Calibri" w:hAnsi="Calibri"/>
          <w:sz w:val="17"/>
          <w:szCs w:val="17"/>
          <w:color w:val="auto"/>
        </w:rPr>
        <w:t>10.26#</w:t>
      </w:r>
    </w:p>
    <w:p>
      <w:pPr>
        <w:spacing w:after="0" w:line="319" w:lineRule="exact"/>
        <w:rPr>
          <w:sz w:val="20"/>
          <w:szCs w:val="20"/>
          <w:color w:val="auto"/>
        </w:rPr>
      </w:pPr>
    </w:p>
    <w:p>
      <w:pPr>
        <w:spacing w:after="0"/>
        <w:rPr>
          <w:sz w:val="20"/>
          <w:szCs w:val="20"/>
          <w:color w:val="auto"/>
        </w:rPr>
      </w:pPr>
      <w:r>
        <w:rPr>
          <w:rFonts w:ascii="Calibri" w:cs="Calibri" w:eastAsia="Calibri" w:hAnsi="Calibri"/>
          <w:sz w:val="17"/>
          <w:szCs w:val="17"/>
          <w:color w:val="auto"/>
        </w:rPr>
        <w:t>10.27#</w:t>
      </w:r>
    </w:p>
    <w:p>
      <w:pPr>
        <w:spacing w:after="0" w:line="319" w:lineRule="exact"/>
        <w:rPr>
          <w:sz w:val="20"/>
          <w:szCs w:val="20"/>
          <w:color w:val="auto"/>
        </w:rPr>
      </w:pPr>
    </w:p>
    <w:p>
      <w:pPr>
        <w:spacing w:after="0"/>
        <w:rPr>
          <w:sz w:val="20"/>
          <w:szCs w:val="20"/>
          <w:color w:val="auto"/>
        </w:rPr>
      </w:pPr>
      <w:r>
        <w:rPr>
          <w:rFonts w:ascii="Calibri" w:cs="Calibri" w:eastAsia="Calibri" w:hAnsi="Calibri"/>
          <w:sz w:val="17"/>
          <w:szCs w:val="17"/>
          <w:color w:val="auto"/>
        </w:rPr>
        <w:t>10.28#</w:t>
      </w:r>
    </w:p>
    <w:p>
      <w:pPr>
        <w:spacing w:after="0" w:line="103" w:lineRule="exact"/>
        <w:rPr>
          <w:sz w:val="20"/>
          <w:szCs w:val="20"/>
          <w:color w:val="auto"/>
        </w:rPr>
      </w:pPr>
    </w:p>
    <w:p>
      <w:pPr>
        <w:spacing w:after="0"/>
        <w:rPr>
          <w:sz w:val="20"/>
          <w:szCs w:val="20"/>
          <w:color w:val="auto"/>
        </w:rPr>
      </w:pPr>
      <w:r>
        <w:rPr>
          <w:rFonts w:ascii="Calibri" w:cs="Calibri" w:eastAsia="Calibri" w:hAnsi="Calibri"/>
          <w:sz w:val="17"/>
          <w:szCs w:val="17"/>
          <w:color w:val="auto"/>
        </w:rPr>
        <w:t>10.29#</w:t>
      </w:r>
    </w:p>
    <w:p>
      <w:pPr>
        <w:spacing w:after="0" w:line="103" w:lineRule="exact"/>
        <w:rPr>
          <w:sz w:val="20"/>
          <w:szCs w:val="20"/>
          <w:color w:val="auto"/>
        </w:rPr>
      </w:pPr>
    </w:p>
    <w:p>
      <w:pPr>
        <w:spacing w:after="0"/>
        <w:rPr>
          <w:sz w:val="20"/>
          <w:szCs w:val="20"/>
          <w:color w:val="auto"/>
        </w:rPr>
      </w:pPr>
      <w:r>
        <w:rPr>
          <w:rFonts w:ascii="Calibri" w:cs="Calibri" w:eastAsia="Calibri" w:hAnsi="Calibri"/>
          <w:sz w:val="17"/>
          <w:szCs w:val="17"/>
          <w:color w:val="auto"/>
        </w:rPr>
        <w:t>10.30#</w:t>
      </w:r>
    </w:p>
    <w:p>
      <w:pPr>
        <w:spacing w:after="0" w:line="319" w:lineRule="exact"/>
        <w:rPr>
          <w:sz w:val="20"/>
          <w:szCs w:val="20"/>
          <w:color w:val="auto"/>
        </w:rPr>
      </w:pPr>
    </w:p>
    <w:p>
      <w:pPr>
        <w:spacing w:after="0"/>
        <w:rPr>
          <w:sz w:val="20"/>
          <w:szCs w:val="20"/>
          <w:color w:val="auto"/>
        </w:rPr>
      </w:pPr>
      <w:r>
        <w:rPr>
          <w:rFonts w:ascii="Calibri" w:cs="Calibri" w:eastAsia="Calibri" w:hAnsi="Calibri"/>
          <w:sz w:val="17"/>
          <w:szCs w:val="17"/>
          <w:color w:val="auto"/>
        </w:rPr>
        <w:t>10.31#</w:t>
      </w:r>
    </w:p>
    <w:p>
      <w:pPr>
        <w:spacing w:after="0" w:line="103" w:lineRule="exact"/>
        <w:rPr>
          <w:sz w:val="20"/>
          <w:szCs w:val="20"/>
          <w:color w:val="auto"/>
        </w:rPr>
      </w:pPr>
    </w:p>
    <w:p>
      <w:pPr>
        <w:spacing w:after="0"/>
        <w:rPr>
          <w:sz w:val="20"/>
          <w:szCs w:val="20"/>
          <w:color w:val="auto"/>
        </w:rPr>
      </w:pPr>
      <w:r>
        <w:rPr>
          <w:rFonts w:ascii="Calibri" w:cs="Calibri" w:eastAsia="Calibri" w:hAnsi="Calibri"/>
          <w:sz w:val="17"/>
          <w:szCs w:val="17"/>
          <w:color w:val="auto"/>
        </w:rPr>
        <w:t>10.32#</w:t>
      </w:r>
    </w:p>
    <w:p>
      <w:pPr>
        <w:spacing w:after="0" w:line="224" w:lineRule="exact"/>
        <w:rPr>
          <w:sz w:val="20"/>
          <w:szCs w:val="20"/>
          <w:color w:val="auto"/>
        </w:rPr>
      </w:pPr>
    </w:p>
    <w:p>
      <w:pPr>
        <w:spacing w:after="0"/>
        <w:rPr>
          <w:sz w:val="20"/>
          <w:szCs w:val="20"/>
          <w:color w:val="auto"/>
        </w:rPr>
      </w:pPr>
      <w:r>
        <w:rPr>
          <w:rFonts w:ascii="Calibri" w:cs="Calibri" w:eastAsia="Calibri" w:hAnsi="Calibri"/>
          <w:sz w:val="17"/>
          <w:szCs w:val="17"/>
          <w:color w:val="auto"/>
        </w:rPr>
        <w:t>10.33#</w:t>
      </w:r>
    </w:p>
    <w:p>
      <w:pPr>
        <w:spacing w:after="0" w:line="224" w:lineRule="exact"/>
        <w:rPr>
          <w:sz w:val="20"/>
          <w:szCs w:val="20"/>
          <w:color w:val="auto"/>
        </w:rPr>
      </w:pPr>
    </w:p>
    <w:p>
      <w:pPr>
        <w:spacing w:after="0"/>
        <w:rPr>
          <w:sz w:val="20"/>
          <w:szCs w:val="20"/>
          <w:color w:val="auto"/>
        </w:rPr>
      </w:pPr>
      <w:r>
        <w:rPr>
          <w:rFonts w:ascii="Calibri" w:cs="Calibri" w:eastAsia="Calibri" w:hAnsi="Calibri"/>
          <w:sz w:val="17"/>
          <w:szCs w:val="17"/>
          <w:color w:val="auto"/>
        </w:rPr>
        <w:t>10.34#</w:t>
      </w:r>
    </w:p>
    <w:p>
      <w:pPr>
        <w:spacing w:after="0" w:line="224" w:lineRule="exact"/>
        <w:rPr>
          <w:sz w:val="20"/>
          <w:szCs w:val="20"/>
          <w:color w:val="auto"/>
        </w:rPr>
      </w:pPr>
    </w:p>
    <w:p>
      <w:pPr>
        <w:spacing w:after="0"/>
        <w:rPr>
          <w:sz w:val="20"/>
          <w:szCs w:val="20"/>
          <w:color w:val="auto"/>
        </w:rPr>
      </w:pPr>
      <w:r>
        <w:rPr>
          <w:rFonts w:ascii="Calibri" w:cs="Calibri" w:eastAsia="Calibri" w:hAnsi="Calibri"/>
          <w:sz w:val="17"/>
          <w:szCs w:val="17"/>
          <w:color w:val="auto"/>
        </w:rPr>
        <w:t>10.35#</w:t>
      </w:r>
    </w:p>
    <w:p>
      <w:pPr>
        <w:spacing w:after="0" w:line="224" w:lineRule="exact"/>
        <w:rPr>
          <w:sz w:val="20"/>
          <w:szCs w:val="20"/>
          <w:color w:val="auto"/>
        </w:rPr>
      </w:pPr>
    </w:p>
    <w:p>
      <w:pPr>
        <w:spacing w:after="0"/>
        <w:rPr>
          <w:sz w:val="20"/>
          <w:szCs w:val="20"/>
          <w:color w:val="auto"/>
        </w:rPr>
      </w:pPr>
      <w:r>
        <w:rPr>
          <w:rFonts w:ascii="Calibri" w:cs="Calibri" w:eastAsia="Calibri" w:hAnsi="Calibri"/>
          <w:sz w:val="17"/>
          <w:szCs w:val="17"/>
          <w:color w:val="auto"/>
        </w:rPr>
        <w:t>10.36#</w:t>
      </w:r>
    </w:p>
    <w:p>
      <w:pPr>
        <w:spacing w:after="0" w:line="103" w:lineRule="exact"/>
        <w:rPr>
          <w:sz w:val="20"/>
          <w:szCs w:val="20"/>
          <w:color w:val="auto"/>
        </w:rPr>
      </w:pPr>
    </w:p>
    <w:p>
      <w:pPr>
        <w:spacing w:after="0"/>
        <w:rPr>
          <w:sz w:val="20"/>
          <w:szCs w:val="20"/>
          <w:color w:val="auto"/>
        </w:rPr>
      </w:pPr>
      <w:r>
        <w:rPr>
          <w:rFonts w:ascii="Calibri" w:cs="Calibri" w:eastAsia="Calibri" w:hAnsi="Calibri"/>
          <w:sz w:val="17"/>
          <w:szCs w:val="17"/>
          <w:color w:val="auto"/>
        </w:rPr>
        <w:t>10.37#</w:t>
      </w:r>
    </w:p>
    <w:p>
      <w:pPr>
        <w:spacing w:after="0" w:line="103" w:lineRule="exact"/>
        <w:rPr>
          <w:sz w:val="20"/>
          <w:szCs w:val="20"/>
          <w:color w:val="auto"/>
        </w:rPr>
      </w:pPr>
    </w:p>
    <w:p>
      <w:pPr>
        <w:spacing w:after="0"/>
        <w:rPr>
          <w:sz w:val="20"/>
          <w:szCs w:val="20"/>
          <w:color w:val="auto"/>
        </w:rPr>
      </w:pPr>
      <w:r>
        <w:rPr>
          <w:rFonts w:ascii="Calibri" w:cs="Calibri" w:eastAsia="Calibri" w:hAnsi="Calibri"/>
          <w:sz w:val="17"/>
          <w:szCs w:val="17"/>
          <w:color w:val="auto"/>
        </w:rPr>
        <w:t>10.38#</w:t>
      </w:r>
    </w:p>
    <w:p>
      <w:pPr>
        <w:spacing w:after="0" w:line="103" w:lineRule="exact"/>
        <w:rPr>
          <w:sz w:val="20"/>
          <w:szCs w:val="20"/>
          <w:color w:val="auto"/>
        </w:rPr>
      </w:pPr>
    </w:p>
    <w:p>
      <w:pPr>
        <w:spacing w:after="0"/>
        <w:rPr>
          <w:sz w:val="20"/>
          <w:szCs w:val="20"/>
          <w:color w:val="auto"/>
        </w:rPr>
      </w:pPr>
      <w:r>
        <w:rPr>
          <w:rFonts w:ascii="Calibri" w:cs="Calibri" w:eastAsia="Calibri" w:hAnsi="Calibri"/>
          <w:sz w:val="17"/>
          <w:szCs w:val="17"/>
          <w:color w:val="auto"/>
        </w:rPr>
        <w:t>10.39#</w:t>
      </w:r>
    </w:p>
    <w:p>
      <w:pPr>
        <w:spacing w:after="0" w:line="103" w:lineRule="exact"/>
        <w:rPr>
          <w:sz w:val="20"/>
          <w:szCs w:val="20"/>
          <w:color w:val="auto"/>
        </w:rPr>
      </w:pPr>
    </w:p>
    <w:p>
      <w:pPr>
        <w:spacing w:after="0"/>
        <w:rPr>
          <w:sz w:val="20"/>
          <w:szCs w:val="20"/>
          <w:color w:val="auto"/>
        </w:rPr>
      </w:pPr>
      <w:r>
        <w:rPr>
          <w:rFonts w:ascii="Calibri" w:cs="Calibri" w:eastAsia="Calibri" w:hAnsi="Calibri"/>
          <w:sz w:val="17"/>
          <w:szCs w:val="17"/>
          <w:color w:val="auto"/>
        </w:rPr>
        <w:t>10.40#</w:t>
      </w:r>
    </w:p>
    <w:p>
      <w:pPr>
        <w:spacing w:after="0" w:line="103" w:lineRule="exact"/>
        <w:rPr>
          <w:sz w:val="20"/>
          <w:szCs w:val="20"/>
          <w:color w:val="auto"/>
        </w:rPr>
      </w:pPr>
    </w:p>
    <w:p>
      <w:pPr>
        <w:spacing w:after="0"/>
        <w:rPr>
          <w:sz w:val="20"/>
          <w:szCs w:val="20"/>
          <w:color w:val="auto"/>
        </w:rPr>
      </w:pPr>
      <w:r>
        <w:rPr>
          <w:rFonts w:ascii="Calibri" w:cs="Calibri" w:eastAsia="Calibri" w:hAnsi="Calibri"/>
          <w:sz w:val="17"/>
          <w:szCs w:val="17"/>
          <w:color w:val="auto"/>
        </w:rPr>
        <w:t>10.41#</w:t>
      </w:r>
    </w:p>
    <w:p>
      <w:pPr>
        <w:spacing w:after="0" w:line="103" w:lineRule="exact"/>
        <w:rPr>
          <w:sz w:val="20"/>
          <w:szCs w:val="20"/>
          <w:color w:val="auto"/>
        </w:rPr>
      </w:pPr>
    </w:p>
    <w:p>
      <w:pPr>
        <w:spacing w:after="0"/>
        <w:rPr>
          <w:sz w:val="20"/>
          <w:szCs w:val="20"/>
          <w:color w:val="auto"/>
        </w:rPr>
      </w:pPr>
      <w:r>
        <w:rPr>
          <w:rFonts w:ascii="Calibri" w:cs="Calibri" w:eastAsia="Calibri" w:hAnsi="Calibri"/>
          <w:sz w:val="17"/>
          <w:szCs w:val="17"/>
          <w:color w:val="auto"/>
        </w:rPr>
        <w:t>10.42#</w:t>
      </w:r>
    </w:p>
    <w:p>
      <w:pPr>
        <w:spacing w:after="0" w:line="103" w:lineRule="exact"/>
        <w:rPr>
          <w:sz w:val="20"/>
          <w:szCs w:val="20"/>
          <w:color w:val="auto"/>
        </w:rPr>
      </w:pPr>
    </w:p>
    <w:p>
      <w:pPr>
        <w:spacing w:after="0"/>
        <w:rPr>
          <w:sz w:val="20"/>
          <w:szCs w:val="20"/>
          <w:color w:val="auto"/>
        </w:rPr>
      </w:pPr>
      <w:r>
        <w:rPr>
          <w:rFonts w:ascii="Calibri" w:cs="Calibri" w:eastAsia="Calibri" w:hAnsi="Calibri"/>
          <w:sz w:val="17"/>
          <w:szCs w:val="17"/>
          <w:color w:val="auto"/>
        </w:rPr>
        <w:t>10.43#</w:t>
      </w:r>
    </w:p>
    <w:p>
      <w:pPr>
        <w:spacing w:after="0" w:line="103" w:lineRule="exact"/>
        <w:rPr>
          <w:sz w:val="20"/>
          <w:szCs w:val="20"/>
          <w:color w:val="auto"/>
        </w:rPr>
      </w:pPr>
    </w:p>
    <w:p>
      <w:pPr>
        <w:spacing w:after="0"/>
        <w:rPr>
          <w:sz w:val="20"/>
          <w:szCs w:val="20"/>
          <w:color w:val="auto"/>
        </w:rPr>
      </w:pPr>
      <w:r>
        <w:rPr>
          <w:rFonts w:ascii="Calibri" w:cs="Calibri" w:eastAsia="Calibri" w:hAnsi="Calibri"/>
          <w:sz w:val="17"/>
          <w:szCs w:val="17"/>
          <w:color w:val="auto"/>
        </w:rPr>
        <w:t>10.44#</w:t>
      </w:r>
    </w:p>
    <w:p>
      <w:pPr>
        <w:spacing w:after="0" w:line="103" w:lineRule="exact"/>
        <w:rPr>
          <w:sz w:val="20"/>
          <w:szCs w:val="20"/>
          <w:color w:val="auto"/>
        </w:rPr>
      </w:pPr>
    </w:p>
    <w:p>
      <w:pPr>
        <w:spacing w:after="0"/>
        <w:rPr>
          <w:sz w:val="20"/>
          <w:szCs w:val="20"/>
          <w:color w:val="auto"/>
        </w:rPr>
      </w:pPr>
      <w:r>
        <w:rPr>
          <w:rFonts w:ascii="Calibri" w:cs="Calibri" w:eastAsia="Calibri" w:hAnsi="Calibri"/>
          <w:sz w:val="17"/>
          <w:szCs w:val="17"/>
          <w:color w:val="auto"/>
        </w:rPr>
        <w:t>10.45#</w:t>
      </w:r>
    </w:p>
    <w:p>
      <w:pPr>
        <w:spacing w:after="0" w:line="319" w:lineRule="exact"/>
        <w:rPr>
          <w:sz w:val="20"/>
          <w:szCs w:val="20"/>
          <w:color w:val="auto"/>
        </w:rPr>
      </w:pPr>
    </w:p>
    <w:p>
      <w:pPr>
        <w:spacing w:after="0"/>
        <w:rPr>
          <w:sz w:val="20"/>
          <w:szCs w:val="20"/>
          <w:color w:val="auto"/>
        </w:rPr>
      </w:pPr>
      <w:r>
        <w:rPr>
          <w:rFonts w:ascii="Calibri" w:cs="Calibri" w:eastAsia="Calibri" w:hAnsi="Calibri"/>
          <w:sz w:val="17"/>
          <w:szCs w:val="17"/>
          <w:color w:val="auto"/>
        </w:rPr>
        <w:t>10.46#</w:t>
      </w:r>
    </w:p>
    <w:p>
      <w:pPr>
        <w:spacing w:after="0" w:line="103" w:lineRule="exact"/>
        <w:rPr>
          <w:sz w:val="20"/>
          <w:szCs w:val="20"/>
          <w:color w:val="auto"/>
        </w:rPr>
      </w:pPr>
    </w:p>
    <w:p>
      <w:pPr>
        <w:spacing w:after="0"/>
        <w:rPr>
          <w:sz w:val="20"/>
          <w:szCs w:val="20"/>
          <w:color w:val="auto"/>
        </w:rPr>
      </w:pPr>
      <w:r>
        <w:rPr>
          <w:rFonts w:ascii="Calibri" w:cs="Calibri" w:eastAsia="Calibri" w:hAnsi="Calibri"/>
          <w:sz w:val="17"/>
          <w:szCs w:val="17"/>
          <w:color w:val="auto"/>
        </w:rPr>
        <w:t>10.47#</w:t>
      </w:r>
    </w:p>
    <w:p>
      <w:pPr>
        <w:spacing w:after="0" w:line="103" w:lineRule="exact"/>
        <w:rPr>
          <w:sz w:val="20"/>
          <w:szCs w:val="20"/>
          <w:color w:val="auto"/>
        </w:rPr>
      </w:pPr>
    </w:p>
    <w:p>
      <w:pPr>
        <w:spacing w:after="0"/>
        <w:rPr>
          <w:sz w:val="20"/>
          <w:szCs w:val="20"/>
          <w:color w:val="auto"/>
        </w:rPr>
      </w:pPr>
      <w:r>
        <w:rPr>
          <w:rFonts w:ascii="Calibri" w:cs="Calibri" w:eastAsia="Calibri" w:hAnsi="Calibri"/>
          <w:sz w:val="17"/>
          <w:szCs w:val="17"/>
          <w:color w:val="auto"/>
        </w:rPr>
        <w:t>10.48#</w:t>
      </w:r>
    </w:p>
    <w:p>
      <w:pPr>
        <w:spacing w:after="0" w:line="103" w:lineRule="exact"/>
        <w:rPr>
          <w:sz w:val="20"/>
          <w:szCs w:val="20"/>
          <w:color w:val="auto"/>
        </w:rPr>
      </w:pPr>
    </w:p>
    <w:p>
      <w:pPr>
        <w:spacing w:after="0"/>
        <w:rPr>
          <w:sz w:val="20"/>
          <w:szCs w:val="20"/>
          <w:color w:val="auto"/>
        </w:rPr>
      </w:pPr>
      <w:r>
        <w:rPr>
          <w:rFonts w:ascii="Calibri" w:cs="Calibri" w:eastAsia="Calibri" w:hAnsi="Calibri"/>
          <w:sz w:val="17"/>
          <w:szCs w:val="17"/>
          <w:color w:val="auto"/>
        </w:rPr>
        <w:t>10.49#</w:t>
      </w:r>
    </w:p>
    <w:p>
      <w:pPr>
        <w:spacing w:after="0" w:line="319" w:lineRule="exact"/>
        <w:rPr>
          <w:sz w:val="20"/>
          <w:szCs w:val="20"/>
          <w:color w:val="auto"/>
        </w:rPr>
      </w:pPr>
    </w:p>
    <w:p>
      <w:pPr>
        <w:spacing w:after="0"/>
        <w:rPr>
          <w:sz w:val="20"/>
          <w:szCs w:val="20"/>
          <w:color w:val="auto"/>
        </w:rPr>
      </w:pPr>
      <w:r>
        <w:rPr>
          <w:rFonts w:ascii="Calibri" w:cs="Calibri" w:eastAsia="Calibri" w:hAnsi="Calibri"/>
          <w:sz w:val="17"/>
          <w:szCs w:val="17"/>
          <w:color w:val="auto"/>
        </w:rPr>
        <w:t>10.50#</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alibri" w:cs="Calibri" w:eastAsia="Calibri" w:hAnsi="Calibri"/>
          <w:sz w:val="17"/>
          <w:szCs w:val="17"/>
          <w:color w:val="auto"/>
        </w:rPr>
        <w:t>10.51#</w:t>
      </w:r>
    </w:p>
    <w:p>
      <w:pPr>
        <w:spacing w:after="0" w:line="20" w:lineRule="exact"/>
        <w:rPr>
          <w:sz w:val="20"/>
          <w:szCs w:val="20"/>
          <w:color w:val="auto"/>
        </w:rPr>
      </w:pPr>
      <w:r>
        <w:rPr>
          <w:sz w:val="20"/>
          <w:szCs w:val="20"/>
          <w:color w:val="auto"/>
        </w:rPr>
        <w:br w:type="column"/>
      </w:r>
    </w:p>
    <w:p>
      <w:pPr>
        <w:ind w:right="360"/>
        <w:spacing w:after="0" w:line="235" w:lineRule="auto"/>
        <w:rPr>
          <w:rFonts w:ascii="Calibri" w:cs="Calibri" w:eastAsia="Calibri" w:hAnsi="Calibri"/>
          <w:sz w:val="18"/>
          <w:szCs w:val="18"/>
          <w:u w:val="single" w:color="auto"/>
          <w:color w:val="0000FF"/>
        </w:rPr>
      </w:pPr>
      <w:hyperlink r:id="rId152">
        <w:r>
          <w:rPr>
            <w:rFonts w:ascii="Calibri" w:cs="Calibri" w:eastAsia="Calibri" w:hAnsi="Calibri"/>
            <w:sz w:val="18"/>
            <w:szCs w:val="18"/>
            <w:u w:val="single" w:color="auto"/>
            <w:color w:val="0000FF"/>
          </w:rPr>
          <w:t>Form of Non-Statutory Stock Opton Agreement (Grant for New</w:t>
        </w:r>
      </w:hyperlink>
      <w:r>
        <w:rPr>
          <w:rFonts w:ascii="Calibri" w:cs="Calibri" w:eastAsia="Calibri" w:hAnsi="Calibri"/>
          <w:sz w:val="18"/>
          <w:szCs w:val="18"/>
          <w:u w:val="single" w:color="auto"/>
          <w:color w:val="0000FF"/>
        </w:rPr>
        <w:t xml:space="preserve"> </w:t>
      </w:r>
      <w:hyperlink r:id="rId152">
        <w:r>
          <w:rPr>
            <w:rFonts w:ascii="Calibri" w:cs="Calibri" w:eastAsia="Calibri" w:hAnsi="Calibri"/>
            <w:sz w:val="18"/>
            <w:szCs w:val="18"/>
            <w:u w:val="single" w:color="auto"/>
            <w:color w:val="0000FF"/>
          </w:rPr>
          <w:t>Directors) (2014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-155575</wp:posOffset>
            </wp:positionV>
            <wp:extent cx="28987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3">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-18415</wp:posOffset>
            </wp:positionV>
            <wp:extent cx="4476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4">
                      <a:extLst>
                        <a:ext uri="{28A0092B-C50C-407E-A947-70E740481C1C}"/>
                      </a:extLst>
                    </a:blip>
                    <a:srcRect/>
                    <a:stretch>
                      <a:fillRect/>
                    </a:stretch>
                  </pic:blipFill>
                  <pic:spPr bwMode="auto">
                    <a:xfrm>
                      <a:off x="0" y="0"/>
                      <a:ext cx="447675" cy="8890"/>
                    </a:xfrm>
                    <a:prstGeom prst="rect">
                      <a:avLst/>
                    </a:prstGeom>
                    <a:noFill/>
                  </pic:spPr>
                </pic:pic>
              </a:graphicData>
            </a:graphic>
          </wp:anchor>
        </w:drawing>
      </w:r>
    </w:p>
    <w:p>
      <w:pPr>
        <w:spacing w:after="0" w:line="76" w:lineRule="exact"/>
        <w:rPr>
          <w:sz w:val="20"/>
          <w:szCs w:val="20"/>
          <w:color w:val="auto"/>
        </w:rPr>
      </w:pPr>
    </w:p>
    <w:p>
      <w:pPr>
        <w:ind w:right="840"/>
        <w:spacing w:after="0" w:line="235" w:lineRule="auto"/>
        <w:rPr>
          <w:rFonts w:ascii="Calibri" w:cs="Calibri" w:eastAsia="Calibri" w:hAnsi="Calibri"/>
          <w:sz w:val="18"/>
          <w:szCs w:val="18"/>
          <w:u w:val="single" w:color="auto"/>
          <w:color w:val="0000FF"/>
        </w:rPr>
      </w:pPr>
      <w:hyperlink r:id="rId155">
        <w:r>
          <w:rPr>
            <w:rFonts w:ascii="Calibri" w:cs="Calibri" w:eastAsia="Calibri" w:hAnsi="Calibri"/>
            <w:sz w:val="18"/>
            <w:szCs w:val="18"/>
            <w:u w:val="single" w:color="auto"/>
            <w:color w:val="0000FF"/>
          </w:rPr>
          <w:t>Form of Restricted Stock Unit Agreement (Grant for New</w:t>
        </w:r>
      </w:hyperlink>
      <w:r>
        <w:rPr>
          <w:rFonts w:ascii="Calibri" w:cs="Calibri" w:eastAsia="Calibri" w:hAnsi="Calibri"/>
          <w:sz w:val="18"/>
          <w:szCs w:val="18"/>
          <w:u w:val="single" w:color="auto"/>
          <w:color w:val="0000FF"/>
        </w:rPr>
        <w:t xml:space="preserve"> </w:t>
      </w:r>
      <w:hyperlink r:id="rId155">
        <w:r>
          <w:rPr>
            <w:rFonts w:ascii="Calibri" w:cs="Calibri" w:eastAsia="Calibri" w:hAnsi="Calibri"/>
            <w:sz w:val="18"/>
            <w:szCs w:val="18"/>
            <w:u w:val="single" w:color="auto"/>
            <w:color w:val="0000FF"/>
          </w:rPr>
          <w:t>Directors) (2014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-155575</wp:posOffset>
            </wp:positionV>
            <wp:extent cx="259334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6">
                      <a:extLst>
                        <a:ext uri="{28A0092B-C50C-407E-A947-70E740481C1C}"/>
                      </a:extLst>
                    </a:blip>
                    <a:srcRect/>
                    <a:stretch>
                      <a:fillRect/>
                    </a:stretch>
                  </pic:blipFill>
                  <pic:spPr bwMode="auto">
                    <a:xfrm>
                      <a:off x="0" y="0"/>
                      <a:ext cx="25933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-18415</wp:posOffset>
            </wp:positionV>
            <wp:extent cx="44767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7">
                      <a:extLst>
                        <a:ext uri="{28A0092B-C50C-407E-A947-70E740481C1C}"/>
                      </a:extLst>
                    </a:blip>
                    <a:srcRect/>
                    <a:stretch>
                      <a:fillRect/>
                    </a:stretch>
                  </pic:blipFill>
                  <pic:spPr bwMode="auto">
                    <a:xfrm>
                      <a:off x="0" y="0"/>
                      <a:ext cx="447675" cy="8255"/>
                    </a:xfrm>
                    <a:prstGeom prst="rect">
                      <a:avLst/>
                    </a:prstGeom>
                    <a:noFill/>
                  </pic:spPr>
                </pic:pic>
              </a:graphicData>
            </a:graphic>
          </wp:anchor>
        </w:drawing>
      </w:r>
    </w:p>
    <w:p>
      <w:pPr>
        <w:spacing w:after="0" w:line="71" w:lineRule="exact"/>
        <w:rPr>
          <w:sz w:val="20"/>
          <w:szCs w:val="20"/>
          <w:color w:val="auto"/>
        </w:rPr>
      </w:pPr>
    </w:p>
    <w:p>
      <w:pPr>
        <w:spacing w:after="0"/>
        <w:rPr>
          <w:rFonts w:ascii="Calibri" w:cs="Calibri" w:eastAsia="Calibri" w:hAnsi="Calibri"/>
          <w:sz w:val="18"/>
          <w:szCs w:val="18"/>
          <w:u w:val="single" w:color="auto"/>
          <w:color w:val="0000FF"/>
        </w:rPr>
      </w:pPr>
      <w:hyperlink r:id="rId158">
        <w:r>
          <w:rPr>
            <w:rFonts w:ascii="Calibri" w:cs="Calibri" w:eastAsia="Calibri" w:hAnsi="Calibri"/>
            <w:sz w:val="18"/>
            <w:szCs w:val="18"/>
            <w:u w:val="single" w:color="auto"/>
            <w:color w:val="0000FF"/>
          </w:rPr>
          <w:t>Amended and Restated 2023 Incentve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19748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9">
                      <a:extLst>
                        <a:ext uri="{28A0092B-C50C-407E-A947-70E740481C1C}"/>
                      </a:extLst>
                    </a:blip>
                    <a:srcRect/>
                    <a:stretch>
                      <a:fillRect/>
                    </a:stretch>
                  </pic:blipFill>
                  <pic:spPr bwMode="auto">
                    <a:xfrm>
                      <a:off x="0" y="0"/>
                      <a:ext cx="1974850" cy="8255"/>
                    </a:xfrm>
                    <a:prstGeom prst="rect">
                      <a:avLst/>
                    </a:prstGeom>
                    <a:noFill/>
                  </pic:spPr>
                </pic:pic>
              </a:graphicData>
            </a:graphic>
          </wp:anchor>
        </w:drawing>
      </w:r>
    </w:p>
    <w:p>
      <w:pPr>
        <w:spacing w:after="0" w:line="71" w:lineRule="exact"/>
        <w:rPr>
          <w:sz w:val="20"/>
          <w:szCs w:val="20"/>
          <w:color w:val="auto"/>
        </w:rPr>
      </w:pPr>
    </w:p>
    <w:p>
      <w:pPr>
        <w:spacing w:after="0"/>
        <w:rPr>
          <w:rFonts w:ascii="Calibri" w:cs="Calibri" w:eastAsia="Calibri" w:hAnsi="Calibri"/>
          <w:sz w:val="18"/>
          <w:szCs w:val="18"/>
          <w:u w:val="single" w:color="auto"/>
          <w:color w:val="0000FF"/>
        </w:rPr>
      </w:pPr>
      <w:hyperlink r:id="rId160">
        <w:r>
          <w:rPr>
            <w:rFonts w:ascii="Calibri" w:cs="Calibri" w:eastAsia="Calibri" w:hAnsi="Calibri"/>
            <w:sz w:val="18"/>
            <w:szCs w:val="18"/>
            <w:u w:val="single" w:color="auto"/>
            <w:color w:val="0000FF"/>
          </w:rPr>
          <w:t>Form of Incentve Stock Opton Agreement (2023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47523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1">
                      <a:extLst>
                        <a:ext uri="{28A0092B-C50C-407E-A947-70E740481C1C}"/>
                      </a:extLst>
                    </a:blip>
                    <a:srcRect/>
                    <a:stretch>
                      <a:fillRect/>
                    </a:stretch>
                  </pic:blipFill>
                  <pic:spPr bwMode="auto">
                    <a:xfrm>
                      <a:off x="0" y="0"/>
                      <a:ext cx="2475230" cy="8890"/>
                    </a:xfrm>
                    <a:prstGeom prst="rect">
                      <a:avLst/>
                    </a:prstGeom>
                    <a:noFill/>
                  </pic:spPr>
                </pic:pic>
              </a:graphicData>
            </a:graphic>
          </wp:anchor>
        </w:drawing>
      </w:r>
    </w:p>
    <w:p>
      <w:pPr>
        <w:spacing w:after="0" w:line="76" w:lineRule="exact"/>
        <w:rPr>
          <w:sz w:val="20"/>
          <w:szCs w:val="20"/>
          <w:color w:val="auto"/>
        </w:rPr>
      </w:pPr>
    </w:p>
    <w:p>
      <w:pPr>
        <w:ind w:right="140"/>
        <w:spacing w:after="0" w:line="235" w:lineRule="auto"/>
        <w:rPr>
          <w:rFonts w:ascii="Calibri" w:cs="Calibri" w:eastAsia="Calibri" w:hAnsi="Calibri"/>
          <w:sz w:val="18"/>
          <w:szCs w:val="18"/>
          <w:u w:val="single" w:color="auto"/>
          <w:color w:val="0000FF"/>
        </w:rPr>
      </w:pPr>
      <w:hyperlink r:id="rId162">
        <w:r>
          <w:rPr>
            <w:rFonts w:ascii="Calibri" w:cs="Calibri" w:eastAsia="Calibri" w:hAnsi="Calibri"/>
            <w:sz w:val="18"/>
            <w:szCs w:val="18"/>
            <w:u w:val="single" w:color="auto"/>
            <w:color w:val="0000FF"/>
          </w:rPr>
          <w:t>Form of Non Statutory Stock Opton Agreement (Employees)(2023</w:t>
        </w:r>
      </w:hyperlink>
      <w:r>
        <w:rPr>
          <w:rFonts w:ascii="Calibri" w:cs="Calibri" w:eastAsia="Calibri" w:hAnsi="Calibri"/>
          <w:sz w:val="18"/>
          <w:szCs w:val="18"/>
          <w:u w:val="single" w:color="auto"/>
          <w:color w:val="0000FF"/>
        </w:rPr>
        <w:t xml:space="preserve"> </w:t>
      </w:r>
      <w:hyperlink r:id="rId162">
        <w:r>
          <w:rPr>
            <w:rFonts w:ascii="Calibri" w:cs="Calibri" w:eastAsia="Calibri" w:hAnsi="Calibri"/>
            <w:sz w:val="18"/>
            <w:szCs w:val="18"/>
            <w:u w:val="single" w:color="auto"/>
            <w:color w:val="0000FF"/>
          </w:rPr>
          <w:t>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-155575</wp:posOffset>
            </wp:positionV>
            <wp:extent cx="302704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3">
                      <a:extLst>
                        <a:ext uri="{28A0092B-C50C-407E-A947-70E740481C1C}"/>
                      </a:extLst>
                    </a:blip>
                    <a:srcRect/>
                    <a:stretch>
                      <a:fillRect/>
                    </a:stretch>
                  </pic:blipFill>
                  <pic:spPr bwMode="auto">
                    <a:xfrm>
                      <a:off x="0" y="0"/>
                      <a:ext cx="30270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-18415</wp:posOffset>
            </wp:positionV>
            <wp:extent cx="2286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4">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76" w:lineRule="exact"/>
        <w:rPr>
          <w:sz w:val="20"/>
          <w:szCs w:val="20"/>
          <w:color w:val="auto"/>
        </w:rPr>
      </w:pPr>
    </w:p>
    <w:p>
      <w:pPr>
        <w:jc w:val="both"/>
        <w:ind w:right="180"/>
        <w:spacing w:after="0" w:line="235" w:lineRule="auto"/>
        <w:rPr>
          <w:rFonts w:ascii="Calibri" w:cs="Calibri" w:eastAsia="Calibri" w:hAnsi="Calibri"/>
          <w:sz w:val="18"/>
          <w:szCs w:val="18"/>
          <w:u w:val="single" w:color="auto"/>
          <w:color w:val="0000FF"/>
        </w:rPr>
      </w:pPr>
      <w:hyperlink r:id="rId165">
        <w:r>
          <w:rPr>
            <w:rFonts w:ascii="Calibri" w:cs="Calibri" w:eastAsia="Calibri" w:hAnsi="Calibri"/>
            <w:sz w:val="18"/>
            <w:szCs w:val="18"/>
            <w:u w:val="single" w:color="auto"/>
            <w:color w:val="0000FF"/>
          </w:rPr>
          <w:t>Form of Restricted Stock Unit Agreement (Employees) (2023 Plan)</w:t>
        </w:r>
      </w:hyperlink>
      <w:r>
        <w:rPr>
          <w:rFonts w:ascii="Calibri" w:cs="Calibri" w:eastAsia="Calibri" w:hAnsi="Calibri"/>
          <w:sz w:val="18"/>
          <w:szCs w:val="18"/>
          <w:u w:val="single" w:color="auto"/>
          <w:color w:val="0000FF"/>
        </w:rPr>
        <w:t xml:space="preserve"> </w:t>
      </w:r>
      <w:hyperlink r:id="rId166">
        <w:r>
          <w:rPr>
            <w:rFonts w:ascii="Calibri" w:cs="Calibri" w:eastAsia="Calibri" w:hAnsi="Calibri"/>
            <w:sz w:val="18"/>
            <w:szCs w:val="18"/>
            <w:u w:val="single" w:color="auto"/>
            <w:color w:val="0000FF"/>
          </w:rPr>
          <w:t>Form of Non-Statutory Stock Opton Agreement (Annual Grant for</w:t>
        </w:r>
      </w:hyperlink>
      <w:r>
        <w:rPr>
          <w:rFonts w:ascii="Calibri" w:cs="Calibri" w:eastAsia="Calibri" w:hAnsi="Calibri"/>
          <w:sz w:val="18"/>
          <w:szCs w:val="18"/>
          <w:u w:val="single" w:color="auto"/>
          <w:color w:val="0000FF"/>
        </w:rPr>
        <w:t xml:space="preserve"> </w:t>
      </w:r>
      <w:hyperlink r:id="rId166">
        <w:r>
          <w:rPr>
            <w:rFonts w:ascii="Calibri" w:cs="Calibri" w:eastAsia="Calibri" w:hAnsi="Calibri"/>
            <w:sz w:val="18"/>
            <w:szCs w:val="18"/>
            <w:u w:val="single" w:color="auto"/>
            <w:color w:val="0000FF"/>
          </w:rPr>
          <w:t>Directors) (2023 Plan)</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0</wp:posOffset>
            </wp:positionH>
            <wp:positionV relativeFrom="paragraph">
              <wp:posOffset>-292100</wp:posOffset>
            </wp:positionV>
            <wp:extent cx="29845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7">
                      <a:extLst>
                        <a:ext uri="{28A0092B-C50C-407E-A947-70E740481C1C}"/>
                      </a:extLst>
                    </a:blip>
                    <a:srcRect/>
                    <a:stretch>
                      <a:fillRect/>
                    </a:stretch>
                  </pic:blipFill>
                  <pic:spPr bwMode="auto">
                    <a:xfrm>
                      <a:off x="0" y="0"/>
                      <a:ext cx="29845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-154940</wp:posOffset>
            </wp:positionV>
            <wp:extent cx="30105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8">
                      <a:extLst>
                        <a:ext uri="{28A0092B-C50C-407E-A947-70E740481C1C}"/>
                      </a:extLst>
                    </a:blip>
                    <a:srcRect/>
                    <a:stretch>
                      <a:fillRect/>
                    </a:stretch>
                  </pic:blipFill>
                  <pic:spPr bwMode="auto">
                    <a:xfrm>
                      <a:off x="0" y="0"/>
                      <a:ext cx="30105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-17780</wp:posOffset>
            </wp:positionV>
            <wp:extent cx="9867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9">
                      <a:extLst>
                        <a:ext uri="{28A0092B-C50C-407E-A947-70E740481C1C}"/>
                      </a:extLst>
                    </a:blip>
                    <a:srcRect/>
                    <a:stretch>
                      <a:fillRect/>
                    </a:stretch>
                  </pic:blipFill>
                  <pic:spPr bwMode="auto">
                    <a:xfrm>
                      <a:off x="0" y="0"/>
                      <a:ext cx="986790" cy="8255"/>
                    </a:xfrm>
                    <a:prstGeom prst="rect">
                      <a:avLst/>
                    </a:prstGeom>
                    <a:noFill/>
                  </pic:spPr>
                </pic:pic>
              </a:graphicData>
            </a:graphic>
          </wp:anchor>
        </w:drawing>
      </w:r>
    </w:p>
    <w:p>
      <w:pPr>
        <w:ind w:right="660"/>
        <w:spacing w:after="0" w:line="235" w:lineRule="auto"/>
        <w:rPr>
          <w:rFonts w:ascii="Calibri" w:cs="Calibri" w:eastAsia="Calibri" w:hAnsi="Calibri"/>
          <w:sz w:val="18"/>
          <w:szCs w:val="18"/>
          <w:u w:val="single" w:color="auto"/>
          <w:color w:val="0000FF"/>
        </w:rPr>
      </w:pPr>
      <w:hyperlink r:id="rId170">
        <w:r>
          <w:rPr>
            <w:rFonts w:ascii="Calibri" w:cs="Calibri" w:eastAsia="Calibri" w:hAnsi="Calibri"/>
            <w:sz w:val="18"/>
            <w:szCs w:val="18"/>
            <w:u w:val="single" w:color="auto"/>
            <w:color w:val="0000FF"/>
          </w:rPr>
          <w:t>Form of Restricted Stock Unit Agreement (Annual Grant for</w:t>
        </w:r>
      </w:hyperlink>
      <w:r>
        <w:rPr>
          <w:rFonts w:ascii="Calibri" w:cs="Calibri" w:eastAsia="Calibri" w:hAnsi="Calibri"/>
          <w:sz w:val="18"/>
          <w:szCs w:val="18"/>
          <w:u w:val="single" w:color="auto"/>
          <w:color w:val="0000FF"/>
        </w:rPr>
        <w:t xml:space="preserve"> </w:t>
      </w:r>
      <w:hyperlink r:id="rId170">
        <w:r>
          <w:rPr>
            <w:rFonts w:ascii="Calibri" w:cs="Calibri" w:eastAsia="Calibri" w:hAnsi="Calibri"/>
            <w:sz w:val="18"/>
            <w:szCs w:val="18"/>
            <w:u w:val="single" w:color="auto"/>
            <w:color w:val="0000FF"/>
          </w:rPr>
          <w:t>Directors) (2023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-155575</wp:posOffset>
            </wp:positionV>
            <wp:extent cx="27051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1">
                      <a:extLst>
                        <a:ext uri="{28A0092B-C50C-407E-A947-70E740481C1C}"/>
                      </a:extLst>
                    </a:blip>
                    <a:srcRect/>
                    <a:stretch>
                      <a:fillRect/>
                    </a:stretch>
                  </pic:blipFill>
                  <pic:spPr bwMode="auto">
                    <a:xfrm>
                      <a:off x="0" y="0"/>
                      <a:ext cx="27051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-18415</wp:posOffset>
            </wp:positionV>
            <wp:extent cx="9867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2">
                      <a:extLst>
                        <a:ext uri="{28A0092B-C50C-407E-A947-70E740481C1C}"/>
                      </a:extLst>
                    </a:blip>
                    <a:srcRect/>
                    <a:stretch>
                      <a:fillRect/>
                    </a:stretch>
                  </pic:blipFill>
                  <pic:spPr bwMode="auto">
                    <a:xfrm>
                      <a:off x="0" y="0"/>
                      <a:ext cx="986790" cy="8890"/>
                    </a:xfrm>
                    <a:prstGeom prst="rect">
                      <a:avLst/>
                    </a:prstGeom>
                    <a:noFill/>
                  </pic:spPr>
                </pic:pic>
              </a:graphicData>
            </a:graphic>
          </wp:anchor>
        </w:drawing>
      </w:r>
    </w:p>
    <w:p>
      <w:pPr>
        <w:ind w:right="360"/>
        <w:spacing w:after="0" w:line="235" w:lineRule="auto"/>
        <w:rPr>
          <w:rFonts w:ascii="Calibri" w:cs="Calibri" w:eastAsia="Calibri" w:hAnsi="Calibri"/>
          <w:sz w:val="18"/>
          <w:szCs w:val="18"/>
          <w:u w:val="single" w:color="auto"/>
          <w:color w:val="0000FF"/>
        </w:rPr>
      </w:pPr>
      <w:hyperlink r:id="rId173">
        <w:r>
          <w:rPr>
            <w:rFonts w:ascii="Calibri" w:cs="Calibri" w:eastAsia="Calibri" w:hAnsi="Calibri"/>
            <w:sz w:val="18"/>
            <w:szCs w:val="18"/>
            <w:u w:val="single" w:color="auto"/>
            <w:color w:val="0000FF"/>
          </w:rPr>
          <w:t>Form of Non-Statutory Stock Opton Agreement (Grant for New</w:t>
        </w:r>
      </w:hyperlink>
      <w:r>
        <w:rPr>
          <w:rFonts w:ascii="Calibri" w:cs="Calibri" w:eastAsia="Calibri" w:hAnsi="Calibri"/>
          <w:sz w:val="18"/>
          <w:szCs w:val="18"/>
          <w:u w:val="single" w:color="auto"/>
          <w:color w:val="0000FF"/>
        </w:rPr>
        <w:t xml:space="preserve"> </w:t>
      </w:r>
      <w:hyperlink r:id="rId173">
        <w:r>
          <w:rPr>
            <w:rFonts w:ascii="Calibri" w:cs="Calibri" w:eastAsia="Calibri" w:hAnsi="Calibri"/>
            <w:sz w:val="18"/>
            <w:szCs w:val="18"/>
            <w:u w:val="single" w:color="auto"/>
            <w:color w:val="0000FF"/>
          </w:rPr>
          <w:t>Directors) (2023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-155575</wp:posOffset>
            </wp:positionV>
            <wp:extent cx="28987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4">
                      <a:extLst>
                        <a:ext uri="{28A0092B-C50C-407E-A947-70E740481C1C}"/>
                      </a:extLst>
                    </a:blip>
                    <a:srcRect/>
                    <a:stretch>
                      <a:fillRect/>
                    </a:stretch>
                  </pic:blipFill>
                  <pic:spPr bwMode="auto">
                    <a:xfrm>
                      <a:off x="0" y="0"/>
                      <a:ext cx="28987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-18415</wp:posOffset>
            </wp:positionV>
            <wp:extent cx="9867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5">
                      <a:extLst>
                        <a:ext uri="{28A0092B-C50C-407E-A947-70E740481C1C}"/>
                      </a:extLst>
                    </a:blip>
                    <a:srcRect/>
                    <a:stretch>
                      <a:fillRect/>
                    </a:stretch>
                  </pic:blipFill>
                  <pic:spPr bwMode="auto">
                    <a:xfrm>
                      <a:off x="0" y="0"/>
                      <a:ext cx="986790" cy="8255"/>
                    </a:xfrm>
                    <a:prstGeom prst="rect">
                      <a:avLst/>
                    </a:prstGeom>
                    <a:noFill/>
                  </pic:spPr>
                </pic:pic>
              </a:graphicData>
            </a:graphic>
          </wp:anchor>
        </w:drawing>
      </w:r>
    </w:p>
    <w:p>
      <w:pPr>
        <w:spacing w:after="0"/>
        <w:rPr>
          <w:rFonts w:ascii="Calibri" w:cs="Calibri" w:eastAsia="Calibri" w:hAnsi="Calibri"/>
          <w:sz w:val="17"/>
          <w:szCs w:val="17"/>
          <w:u w:val="single" w:color="auto"/>
          <w:color w:val="0000FF"/>
        </w:rPr>
      </w:pPr>
      <w:hyperlink r:id="rId176">
        <w:r>
          <w:rPr>
            <w:rFonts w:ascii="Calibri" w:cs="Calibri" w:eastAsia="Calibri" w:hAnsi="Calibri"/>
            <w:sz w:val="17"/>
            <w:szCs w:val="17"/>
            <w:u w:val="single" w:color="auto"/>
            <w:color w:val="0000FF"/>
          </w:rPr>
          <w:t>Form of Restricted Stock Unit Agreement (Grant for New Directors)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30664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7">
                      <a:extLst>
                        <a:ext uri="{28A0092B-C50C-407E-A947-70E740481C1C}"/>
                      </a:extLst>
                    </a:blip>
                    <a:srcRect/>
                    <a:stretch>
                      <a:fillRect/>
                    </a:stretch>
                  </pic:blipFill>
                  <pic:spPr bwMode="auto">
                    <a:xfrm>
                      <a:off x="0" y="0"/>
                      <a:ext cx="3066415" cy="8255"/>
                    </a:xfrm>
                    <a:prstGeom prst="rect">
                      <a:avLst/>
                    </a:prstGeom>
                    <a:noFill/>
                  </pic:spPr>
                </pic:pic>
              </a:graphicData>
            </a:graphic>
          </wp:anchor>
        </w:drawing>
      </w:r>
    </w:p>
    <w:p>
      <w:pPr>
        <w:spacing w:after="0"/>
        <w:rPr>
          <w:rFonts w:ascii="Calibri" w:cs="Calibri" w:eastAsia="Calibri" w:hAnsi="Calibri"/>
          <w:sz w:val="18"/>
          <w:szCs w:val="18"/>
          <w:u w:val="single" w:color="auto"/>
          <w:color w:val="0000FF"/>
        </w:rPr>
      </w:pPr>
      <w:hyperlink r:id="rId176">
        <w:r>
          <w:rPr>
            <w:rFonts w:ascii="Calibri" w:cs="Calibri" w:eastAsia="Calibri" w:hAnsi="Calibri"/>
            <w:sz w:val="18"/>
            <w:szCs w:val="18"/>
            <w:u w:val="single" w:color="auto"/>
            <w:color w:val="0000FF"/>
          </w:rPr>
          <w:t>(2023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5137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8">
                      <a:extLst>
                        <a:ext uri="{28A0092B-C50C-407E-A947-70E740481C1C}"/>
                      </a:extLst>
                    </a:blip>
                    <a:srcRect/>
                    <a:stretch>
                      <a:fillRect/>
                    </a:stretch>
                  </pic:blipFill>
                  <pic:spPr bwMode="auto">
                    <a:xfrm>
                      <a:off x="0" y="0"/>
                      <a:ext cx="513715" cy="8255"/>
                    </a:xfrm>
                    <a:prstGeom prst="rect">
                      <a:avLst/>
                    </a:prstGeom>
                    <a:noFill/>
                  </pic:spPr>
                </pic:pic>
              </a:graphicData>
            </a:graphic>
          </wp:anchor>
        </w:drawing>
      </w:r>
    </w:p>
    <w:p>
      <w:pPr>
        <w:spacing w:after="0" w:line="71" w:lineRule="exact"/>
        <w:rPr>
          <w:sz w:val="20"/>
          <w:szCs w:val="20"/>
          <w:color w:val="auto"/>
        </w:rPr>
      </w:pPr>
    </w:p>
    <w:p>
      <w:pPr>
        <w:spacing w:after="0"/>
        <w:rPr>
          <w:rFonts w:ascii="Calibri" w:cs="Calibri" w:eastAsia="Calibri" w:hAnsi="Calibri"/>
          <w:sz w:val="18"/>
          <w:szCs w:val="18"/>
          <w:u w:val="single" w:color="auto"/>
          <w:color w:val="0000FF"/>
        </w:rPr>
      </w:pPr>
      <w:hyperlink r:id="rId179">
        <w:r>
          <w:rPr>
            <w:rFonts w:ascii="Calibri" w:cs="Calibri" w:eastAsia="Calibri" w:hAnsi="Calibri"/>
            <w:sz w:val="18"/>
            <w:szCs w:val="18"/>
            <w:u w:val="single" w:color="auto"/>
            <w:color w:val="0000FF"/>
          </w:rPr>
          <w:t>Form of Performance Stock Unit Agreement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3075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0">
                      <a:extLst>
                        <a:ext uri="{28A0092B-C50C-407E-A947-70E740481C1C}"/>
                      </a:extLst>
                    </a:blip>
                    <a:srcRect/>
                    <a:stretch>
                      <a:fillRect/>
                    </a:stretch>
                  </pic:blipFill>
                  <pic:spPr bwMode="auto">
                    <a:xfrm>
                      <a:off x="0" y="0"/>
                      <a:ext cx="2307590" cy="8255"/>
                    </a:xfrm>
                    <a:prstGeom prst="rect">
                      <a:avLst/>
                    </a:prstGeom>
                    <a:noFill/>
                  </pic:spPr>
                </pic:pic>
              </a:graphicData>
            </a:graphic>
          </wp:anchor>
        </w:drawing>
      </w:r>
    </w:p>
    <w:p>
      <w:pPr>
        <w:spacing w:after="0" w:line="235" w:lineRule="auto"/>
        <w:rPr>
          <w:rFonts w:ascii="Calibri" w:cs="Calibri" w:eastAsia="Calibri" w:hAnsi="Calibri"/>
          <w:sz w:val="18"/>
          <w:szCs w:val="18"/>
          <w:u w:val="single" w:color="auto"/>
          <w:color w:val="0000FF"/>
        </w:rPr>
      </w:pPr>
      <w:hyperlink r:id="rId181">
        <w:r>
          <w:rPr>
            <w:rFonts w:ascii="Calibri" w:cs="Calibri" w:eastAsia="Calibri" w:hAnsi="Calibri"/>
            <w:sz w:val="18"/>
            <w:szCs w:val="18"/>
            <w:u w:val="single" w:color="auto"/>
            <w:color w:val="0000FF"/>
          </w:rPr>
          <w:t>Form of Performance Stock Unit Agreement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23075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2">
                      <a:extLst>
                        <a:ext uri="{28A0092B-C50C-407E-A947-70E740481C1C}"/>
                      </a:extLst>
                    </a:blip>
                    <a:srcRect/>
                    <a:stretch>
                      <a:fillRect/>
                    </a:stretch>
                  </pic:blipFill>
                  <pic:spPr bwMode="auto">
                    <a:xfrm>
                      <a:off x="0" y="0"/>
                      <a:ext cx="2307590" cy="8255"/>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Calibri" w:cs="Calibri" w:eastAsia="Calibri" w:hAnsi="Calibri"/>
          <w:sz w:val="18"/>
          <w:szCs w:val="18"/>
          <w:u w:val="single" w:color="auto"/>
          <w:color w:val="0000FF"/>
        </w:rPr>
        <w:t>Form of Performance Stock Unit Agreement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3075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3">
                      <a:extLst>
                        <a:ext uri="{28A0092B-C50C-407E-A947-70E740481C1C}"/>
                      </a:extLst>
                    </a:blip>
                    <a:srcRect/>
                    <a:stretch>
                      <a:fillRect/>
                    </a:stretch>
                  </pic:blipFill>
                  <pic:spPr bwMode="auto">
                    <a:xfrm>
                      <a:off x="0" y="0"/>
                      <a:ext cx="2307590" cy="8890"/>
                    </a:xfrm>
                    <a:prstGeom prst="rect">
                      <a:avLst/>
                    </a:prstGeom>
                    <a:noFill/>
                  </pic:spPr>
                </pic:pic>
              </a:graphicData>
            </a:graphic>
          </wp:anchor>
        </w:drawing>
      </w:r>
    </w:p>
    <w:p>
      <w:pPr>
        <w:spacing w:after="0" w:line="165" w:lineRule="exact"/>
        <w:rPr>
          <w:sz w:val="20"/>
          <w:szCs w:val="20"/>
          <w:color w:val="auto"/>
        </w:rPr>
      </w:pPr>
    </w:p>
    <w:p>
      <w:pPr>
        <w:spacing w:after="0"/>
        <w:rPr>
          <w:rFonts w:ascii="Calibri" w:cs="Calibri" w:eastAsia="Calibri" w:hAnsi="Calibri"/>
          <w:sz w:val="18"/>
          <w:szCs w:val="18"/>
          <w:u w:val="single" w:color="auto"/>
          <w:color w:val="0000FF"/>
        </w:rPr>
      </w:pPr>
      <w:hyperlink r:id="rId184">
        <w:r>
          <w:rPr>
            <w:rFonts w:ascii="Calibri" w:cs="Calibri" w:eastAsia="Calibri" w:hAnsi="Calibri"/>
            <w:sz w:val="18"/>
            <w:szCs w:val="18"/>
            <w:u w:val="single" w:color="auto"/>
            <w:color w:val="0000FF"/>
          </w:rPr>
          <w:t>Amended and Restated 2014 Employee Stock Purchase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71526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5">
                      <a:extLst>
                        <a:ext uri="{28A0092B-C50C-407E-A947-70E740481C1C}"/>
                      </a:extLst>
                    </a:blip>
                    <a:srcRect/>
                    <a:stretch>
                      <a:fillRect/>
                    </a:stretch>
                  </pic:blipFill>
                  <pic:spPr bwMode="auto">
                    <a:xfrm>
                      <a:off x="0" y="0"/>
                      <a:ext cx="2715260" cy="8890"/>
                    </a:xfrm>
                    <a:prstGeom prst="rect">
                      <a:avLst/>
                    </a:prstGeom>
                    <a:noFill/>
                  </pic:spPr>
                </pic:pic>
              </a:graphicData>
            </a:graphic>
          </wp:anchor>
        </w:drawing>
      </w:r>
    </w:p>
    <w:p>
      <w:pPr>
        <w:spacing w:after="0" w:line="71" w:lineRule="exact"/>
        <w:rPr>
          <w:sz w:val="20"/>
          <w:szCs w:val="20"/>
          <w:color w:val="auto"/>
        </w:rPr>
      </w:pPr>
    </w:p>
    <w:p>
      <w:pPr>
        <w:spacing w:after="0"/>
        <w:rPr>
          <w:rFonts w:ascii="Calibri" w:cs="Calibri" w:eastAsia="Calibri" w:hAnsi="Calibri"/>
          <w:sz w:val="18"/>
          <w:szCs w:val="18"/>
          <w:u w:val="single" w:color="auto"/>
          <w:color w:val="0000FF"/>
        </w:rPr>
      </w:pPr>
      <w:hyperlink r:id="rId186">
        <w:r>
          <w:rPr>
            <w:rFonts w:ascii="Calibri" w:cs="Calibri" w:eastAsia="Calibri" w:hAnsi="Calibri"/>
            <w:sz w:val="18"/>
            <w:szCs w:val="18"/>
            <w:u w:val="single" w:color="auto"/>
            <w:color w:val="0000FF"/>
          </w:rPr>
          <w:t>Corporate Bonus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98488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7">
                      <a:extLst>
                        <a:ext uri="{28A0092B-C50C-407E-A947-70E740481C1C}"/>
                      </a:extLst>
                    </a:blip>
                    <a:srcRect/>
                    <a:stretch>
                      <a:fillRect/>
                    </a:stretch>
                  </pic:blipFill>
                  <pic:spPr bwMode="auto">
                    <a:xfrm>
                      <a:off x="0" y="0"/>
                      <a:ext cx="984885" cy="8255"/>
                    </a:xfrm>
                    <a:prstGeom prst="rect">
                      <a:avLst/>
                    </a:prstGeom>
                    <a:noFill/>
                  </pic:spPr>
                </pic:pic>
              </a:graphicData>
            </a:graphic>
          </wp:anchor>
        </w:drawing>
      </w:r>
    </w:p>
    <w:p>
      <w:pPr>
        <w:spacing w:after="0" w:line="71" w:lineRule="exact"/>
        <w:rPr>
          <w:sz w:val="20"/>
          <w:szCs w:val="20"/>
          <w:color w:val="auto"/>
        </w:rPr>
      </w:pPr>
    </w:p>
    <w:p>
      <w:pPr>
        <w:spacing w:after="0"/>
        <w:rPr>
          <w:rFonts w:ascii="Calibri" w:cs="Calibri" w:eastAsia="Calibri" w:hAnsi="Calibri"/>
          <w:sz w:val="18"/>
          <w:szCs w:val="18"/>
          <w:u w:val="single" w:color="auto"/>
          <w:color w:val="0000FF"/>
        </w:rPr>
      </w:pPr>
      <w:hyperlink r:id="rId188">
        <w:r>
          <w:rPr>
            <w:rFonts w:ascii="Calibri" w:cs="Calibri" w:eastAsia="Calibri" w:hAnsi="Calibri"/>
            <w:sz w:val="18"/>
            <w:szCs w:val="18"/>
            <w:u w:val="single" w:color="auto"/>
            <w:color w:val="0000FF"/>
          </w:rPr>
          <w:t>Employment Inducement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136906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9">
                      <a:extLst>
                        <a:ext uri="{28A0092B-C50C-407E-A947-70E740481C1C}"/>
                      </a:extLst>
                    </a:blip>
                    <a:srcRect/>
                    <a:stretch>
                      <a:fillRect/>
                    </a:stretch>
                  </pic:blipFill>
                  <pic:spPr bwMode="auto">
                    <a:xfrm>
                      <a:off x="0" y="0"/>
                      <a:ext cx="1369060" cy="8890"/>
                    </a:xfrm>
                    <a:prstGeom prst="rect">
                      <a:avLst/>
                    </a:prstGeom>
                    <a:noFill/>
                  </pic:spPr>
                </pic:pic>
              </a:graphicData>
            </a:graphic>
          </wp:anchor>
        </w:drawing>
      </w:r>
    </w:p>
    <w:p>
      <w:pPr>
        <w:spacing w:after="0" w:line="71" w:lineRule="exact"/>
        <w:rPr>
          <w:sz w:val="20"/>
          <w:szCs w:val="20"/>
          <w:color w:val="auto"/>
        </w:rPr>
      </w:pPr>
    </w:p>
    <w:p>
      <w:pPr>
        <w:spacing w:after="0"/>
        <w:rPr>
          <w:rFonts w:ascii="Calibri" w:cs="Calibri" w:eastAsia="Calibri" w:hAnsi="Calibri"/>
          <w:sz w:val="18"/>
          <w:szCs w:val="18"/>
          <w:u w:val="single" w:color="auto"/>
          <w:color w:val="0000FF"/>
        </w:rPr>
      </w:pPr>
      <w:hyperlink r:id="rId190">
        <w:r>
          <w:rPr>
            <w:rFonts w:ascii="Calibri" w:cs="Calibri" w:eastAsia="Calibri" w:hAnsi="Calibri"/>
            <w:sz w:val="18"/>
            <w:szCs w:val="18"/>
            <w:u w:val="single" w:color="auto"/>
            <w:color w:val="0000FF"/>
          </w:rPr>
          <w:t>First Amendment to Employment Inducement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3291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1">
                      <a:extLst>
                        <a:ext uri="{28A0092B-C50C-407E-A947-70E740481C1C}"/>
                      </a:extLst>
                    </a:blip>
                    <a:srcRect/>
                    <a:stretch>
                      <a:fillRect/>
                    </a:stretch>
                  </pic:blipFill>
                  <pic:spPr bwMode="auto">
                    <a:xfrm>
                      <a:off x="0" y="0"/>
                      <a:ext cx="2329180" cy="8890"/>
                    </a:xfrm>
                    <a:prstGeom prst="rect">
                      <a:avLst/>
                    </a:prstGeom>
                    <a:noFill/>
                  </pic:spPr>
                </pic:pic>
              </a:graphicData>
            </a:graphic>
          </wp:anchor>
        </w:drawing>
      </w:r>
    </w:p>
    <w:p>
      <w:pPr>
        <w:spacing w:after="0" w:line="71" w:lineRule="exact"/>
        <w:rPr>
          <w:sz w:val="20"/>
          <w:szCs w:val="20"/>
          <w:color w:val="auto"/>
        </w:rPr>
      </w:pPr>
    </w:p>
    <w:p>
      <w:pPr>
        <w:spacing w:after="0"/>
        <w:rPr>
          <w:rFonts w:ascii="Calibri" w:cs="Calibri" w:eastAsia="Calibri" w:hAnsi="Calibri"/>
          <w:sz w:val="18"/>
          <w:szCs w:val="18"/>
          <w:u w:val="single" w:color="auto"/>
          <w:color w:val="0000FF"/>
        </w:rPr>
      </w:pPr>
      <w:hyperlink r:id="rId192">
        <w:r>
          <w:rPr>
            <w:rFonts w:ascii="Calibri" w:cs="Calibri" w:eastAsia="Calibri" w:hAnsi="Calibri"/>
            <w:sz w:val="18"/>
            <w:szCs w:val="18"/>
            <w:u w:val="single" w:color="auto"/>
            <w:color w:val="0000FF"/>
          </w:rPr>
          <w:t>Second Amendment to Employment Inducement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43713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3">
                      <a:extLst>
                        <a:ext uri="{28A0092B-C50C-407E-A947-70E740481C1C}"/>
                      </a:extLst>
                    </a:blip>
                    <a:srcRect/>
                    <a:stretch>
                      <a:fillRect/>
                    </a:stretch>
                  </pic:blipFill>
                  <pic:spPr bwMode="auto">
                    <a:xfrm>
                      <a:off x="0" y="0"/>
                      <a:ext cx="2437130" cy="8890"/>
                    </a:xfrm>
                    <a:prstGeom prst="rect">
                      <a:avLst/>
                    </a:prstGeom>
                    <a:noFill/>
                  </pic:spPr>
                </pic:pic>
              </a:graphicData>
            </a:graphic>
          </wp:anchor>
        </w:drawing>
      </w:r>
    </w:p>
    <w:p>
      <w:pPr>
        <w:spacing w:after="0" w:line="71" w:lineRule="exact"/>
        <w:rPr>
          <w:sz w:val="20"/>
          <w:szCs w:val="20"/>
          <w:color w:val="auto"/>
        </w:rPr>
      </w:pPr>
    </w:p>
    <w:p>
      <w:pPr>
        <w:spacing w:after="0"/>
        <w:rPr>
          <w:rFonts w:ascii="Calibri" w:cs="Calibri" w:eastAsia="Calibri" w:hAnsi="Calibri"/>
          <w:sz w:val="18"/>
          <w:szCs w:val="18"/>
          <w:u w:val="single" w:color="auto"/>
          <w:color w:val="0000FF"/>
        </w:rPr>
      </w:pPr>
      <w:hyperlink r:id="rId194">
        <w:r>
          <w:rPr>
            <w:rFonts w:ascii="Calibri" w:cs="Calibri" w:eastAsia="Calibri" w:hAnsi="Calibri"/>
            <w:sz w:val="18"/>
            <w:szCs w:val="18"/>
            <w:u w:val="single" w:color="auto"/>
            <w:color w:val="0000FF"/>
          </w:rPr>
          <w:t>Form of Non Statutory Stock Opton Agreement (Inducement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30175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5">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71" w:lineRule="exact"/>
        <w:rPr>
          <w:sz w:val="20"/>
          <w:szCs w:val="20"/>
          <w:color w:val="auto"/>
        </w:rPr>
      </w:pPr>
    </w:p>
    <w:p>
      <w:pPr>
        <w:spacing w:after="0"/>
        <w:rPr>
          <w:rFonts w:ascii="Calibri" w:cs="Calibri" w:eastAsia="Calibri" w:hAnsi="Calibri"/>
          <w:sz w:val="18"/>
          <w:szCs w:val="18"/>
          <w:u w:val="single" w:color="auto"/>
          <w:color w:val="0000FF"/>
        </w:rPr>
      </w:pPr>
      <w:hyperlink r:id="rId196">
        <w:r>
          <w:rPr>
            <w:rFonts w:ascii="Calibri" w:cs="Calibri" w:eastAsia="Calibri" w:hAnsi="Calibri"/>
            <w:sz w:val="18"/>
            <w:szCs w:val="18"/>
            <w:u w:val="single" w:color="auto"/>
            <w:color w:val="0000FF"/>
          </w:rPr>
          <w:t>Form of Non Statutory Stock Opton Agreement (Inducement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30429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7">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235" w:lineRule="auto"/>
        <w:rPr>
          <w:rFonts w:ascii="Calibri" w:cs="Calibri" w:eastAsia="Calibri" w:hAnsi="Calibri"/>
          <w:sz w:val="18"/>
          <w:szCs w:val="18"/>
          <w:u w:val="single" w:color="auto"/>
          <w:color w:val="0000FF"/>
        </w:rPr>
      </w:pPr>
      <w:hyperlink r:id="rId196">
        <w:r>
          <w:rPr>
            <w:rFonts w:ascii="Calibri" w:cs="Calibri" w:eastAsia="Calibri" w:hAnsi="Calibri"/>
            <w:sz w:val="18"/>
            <w:szCs w:val="18"/>
            <w:u w:val="single" w:color="auto"/>
            <w:color w:val="0000FF"/>
          </w:rPr>
          <w:t>(ex-US)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3282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8">
                      <a:extLst>
                        <a:ext uri="{28A0092B-C50C-407E-A947-70E740481C1C}"/>
                      </a:extLst>
                    </a:blip>
                    <a:srcRect/>
                    <a:stretch>
                      <a:fillRect/>
                    </a:stretch>
                  </pic:blipFill>
                  <pic:spPr bwMode="auto">
                    <a:xfrm>
                      <a:off x="0" y="0"/>
                      <a:ext cx="328295" cy="8255"/>
                    </a:xfrm>
                    <a:prstGeom prst="rect">
                      <a:avLst/>
                    </a:prstGeom>
                    <a:noFill/>
                  </pic:spPr>
                </pic:pic>
              </a:graphicData>
            </a:graphic>
          </wp:anchor>
        </w:drawing>
      </w:r>
    </w:p>
    <w:p>
      <w:pPr>
        <w:spacing w:after="0" w:line="72" w:lineRule="exact"/>
        <w:rPr>
          <w:sz w:val="20"/>
          <w:szCs w:val="20"/>
          <w:color w:val="auto"/>
        </w:rPr>
      </w:pPr>
    </w:p>
    <w:p>
      <w:pPr>
        <w:spacing w:after="0"/>
        <w:rPr>
          <w:rFonts w:ascii="Calibri" w:cs="Calibri" w:eastAsia="Calibri" w:hAnsi="Calibri"/>
          <w:sz w:val="18"/>
          <w:szCs w:val="18"/>
          <w:u w:val="single" w:color="auto"/>
          <w:color w:val="0000FF"/>
        </w:rPr>
      </w:pPr>
      <w:hyperlink r:id="rId199">
        <w:r>
          <w:rPr>
            <w:rFonts w:ascii="Calibri" w:cs="Calibri" w:eastAsia="Calibri" w:hAnsi="Calibri"/>
            <w:sz w:val="18"/>
            <w:szCs w:val="18"/>
            <w:u w:val="single" w:color="auto"/>
            <w:color w:val="0000FF"/>
          </w:rPr>
          <w:t>Form of Restricted Stock Unit Agreement (Inducement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7209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0">
                      <a:extLst>
                        <a:ext uri="{28A0092B-C50C-407E-A947-70E740481C1C}"/>
                      </a:extLst>
                    </a:blip>
                    <a:srcRect/>
                    <a:stretch>
                      <a:fillRect/>
                    </a:stretch>
                  </pic:blipFill>
                  <pic:spPr bwMode="auto">
                    <a:xfrm>
                      <a:off x="0" y="0"/>
                      <a:ext cx="2720975" cy="8890"/>
                    </a:xfrm>
                    <a:prstGeom prst="rect">
                      <a:avLst/>
                    </a:prstGeom>
                    <a:noFill/>
                  </pic:spPr>
                </pic:pic>
              </a:graphicData>
            </a:graphic>
          </wp:anchor>
        </w:drawing>
      </w:r>
    </w:p>
    <w:p>
      <w:pPr>
        <w:spacing w:after="0" w:line="76" w:lineRule="exact"/>
        <w:rPr>
          <w:sz w:val="20"/>
          <w:szCs w:val="20"/>
          <w:color w:val="auto"/>
        </w:rPr>
      </w:pPr>
    </w:p>
    <w:p>
      <w:pPr>
        <w:spacing w:after="0"/>
        <w:rPr>
          <w:rFonts w:ascii="Calibri" w:cs="Calibri" w:eastAsia="Calibri" w:hAnsi="Calibri"/>
          <w:sz w:val="17"/>
          <w:szCs w:val="17"/>
          <w:u w:val="single" w:color="auto"/>
          <w:color w:val="0000FF"/>
        </w:rPr>
      </w:pPr>
      <w:hyperlink r:id="rId201">
        <w:r>
          <w:rPr>
            <w:rFonts w:ascii="Calibri" w:cs="Calibri" w:eastAsia="Calibri" w:hAnsi="Calibri"/>
            <w:sz w:val="17"/>
            <w:szCs w:val="17"/>
            <w:u w:val="single" w:color="auto"/>
            <w:color w:val="0000FF"/>
          </w:rPr>
          <w:t>Form of Restricted Stock Unit Agreement (Inducement Plan)(ex-US)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30492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2">
                      <a:extLst>
                        <a:ext uri="{28A0092B-C50C-407E-A947-70E740481C1C}"/>
                      </a:extLst>
                    </a:blip>
                    <a:srcRect/>
                    <a:stretch>
                      <a:fillRect/>
                    </a:stretch>
                  </pic:blipFill>
                  <pic:spPr bwMode="auto">
                    <a:xfrm>
                      <a:off x="0" y="0"/>
                      <a:ext cx="3049270" cy="8890"/>
                    </a:xfrm>
                    <a:prstGeom prst="rect">
                      <a:avLst/>
                    </a:prstGeom>
                    <a:noFill/>
                  </pic:spPr>
                </pic:pic>
              </a:graphicData>
            </a:graphic>
          </wp:anchor>
        </w:drawing>
      </w:r>
    </w:p>
    <w:p>
      <w:pPr>
        <w:spacing w:after="0" w:line="78" w:lineRule="exact"/>
        <w:rPr>
          <w:sz w:val="20"/>
          <w:szCs w:val="20"/>
          <w:color w:val="auto"/>
        </w:rPr>
      </w:pPr>
    </w:p>
    <w:p>
      <w:pPr>
        <w:spacing w:after="0"/>
        <w:rPr>
          <w:rFonts w:ascii="Calibri" w:cs="Calibri" w:eastAsia="Calibri" w:hAnsi="Calibri"/>
          <w:sz w:val="18"/>
          <w:szCs w:val="18"/>
          <w:u w:val="single" w:color="auto"/>
          <w:color w:val="0000FF"/>
        </w:rPr>
      </w:pPr>
      <w:hyperlink r:id="rId203">
        <w:r>
          <w:rPr>
            <w:rFonts w:ascii="Calibri" w:cs="Calibri" w:eastAsia="Calibri" w:hAnsi="Calibri"/>
            <w:sz w:val="18"/>
            <w:szCs w:val="18"/>
            <w:u w:val="single" w:color="auto"/>
            <w:color w:val="0000FF"/>
          </w:rPr>
          <w:t>Ultragenyx Pharmaceutcal Inc. Deferred Compensaton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73621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4">
                      <a:extLst>
                        <a:ext uri="{28A0092B-C50C-407E-A947-70E740481C1C}"/>
                      </a:extLst>
                    </a:blip>
                    <a:srcRect/>
                    <a:stretch>
                      <a:fillRect/>
                    </a:stretch>
                  </pic:blipFill>
                  <pic:spPr bwMode="auto">
                    <a:xfrm>
                      <a:off x="0" y="0"/>
                      <a:ext cx="2736215" cy="8890"/>
                    </a:xfrm>
                    <a:prstGeom prst="rect">
                      <a:avLst/>
                    </a:prstGeom>
                    <a:noFill/>
                  </pic:spPr>
                </pic:pic>
              </a:graphicData>
            </a:graphic>
          </wp:anchor>
        </w:drawing>
      </w:r>
    </w:p>
    <w:p>
      <w:pPr>
        <w:spacing w:after="0" w:line="76" w:lineRule="exact"/>
        <w:rPr>
          <w:sz w:val="20"/>
          <w:szCs w:val="20"/>
          <w:color w:val="auto"/>
        </w:rPr>
      </w:pPr>
    </w:p>
    <w:p>
      <w:pPr>
        <w:ind w:right="160"/>
        <w:spacing w:after="0" w:line="235" w:lineRule="auto"/>
        <w:rPr>
          <w:rFonts w:ascii="Calibri" w:cs="Calibri" w:eastAsia="Calibri" w:hAnsi="Calibri"/>
          <w:sz w:val="18"/>
          <w:szCs w:val="18"/>
          <w:u w:val="single" w:color="auto"/>
          <w:color w:val="0000FF"/>
        </w:rPr>
      </w:pPr>
      <w:hyperlink r:id="rId205">
        <w:r>
          <w:rPr>
            <w:rFonts w:ascii="Calibri" w:cs="Calibri" w:eastAsia="Calibri" w:hAnsi="Calibri"/>
            <w:sz w:val="18"/>
            <w:szCs w:val="18"/>
            <w:u w:val="single" w:color="auto"/>
            <w:color w:val="0000FF"/>
          </w:rPr>
          <w:t>Amendment No. 1 to the Ultragenyx Pharmaceutcal Inc. Deferred</w:t>
        </w:r>
      </w:hyperlink>
      <w:r>
        <w:rPr>
          <w:rFonts w:ascii="Calibri" w:cs="Calibri" w:eastAsia="Calibri" w:hAnsi="Calibri"/>
          <w:sz w:val="18"/>
          <w:szCs w:val="18"/>
          <w:u w:val="single" w:color="auto"/>
          <w:color w:val="0000FF"/>
        </w:rPr>
        <w:t xml:space="preserve"> </w:t>
      </w:r>
      <w:hyperlink r:id="rId205">
        <w:r>
          <w:rPr>
            <w:rFonts w:ascii="Calibri" w:cs="Calibri" w:eastAsia="Calibri" w:hAnsi="Calibri"/>
            <w:sz w:val="18"/>
            <w:szCs w:val="18"/>
            <w:u w:val="single" w:color="auto"/>
            <w:color w:val="0000FF"/>
          </w:rPr>
          <w:t>Compensaton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-155575</wp:posOffset>
            </wp:positionV>
            <wp:extent cx="30149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6">
                      <a:extLst>
                        <a:ext uri="{28A0092B-C50C-407E-A947-70E740481C1C}"/>
                      </a:extLst>
                    </a:blip>
                    <a:srcRect/>
                    <a:stretch>
                      <a:fillRect/>
                    </a:stretch>
                  </pic:blipFill>
                  <pic:spPr bwMode="auto">
                    <a:xfrm>
                      <a:off x="0" y="0"/>
                      <a:ext cx="30149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-18415</wp:posOffset>
            </wp:positionV>
            <wp:extent cx="8763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7">
                      <a:extLst>
                        <a:ext uri="{28A0092B-C50C-407E-A947-70E740481C1C}"/>
                      </a:extLst>
                    </a:blip>
                    <a:srcRect/>
                    <a:stretch>
                      <a:fillRect/>
                    </a:stretch>
                  </pic:blipFill>
                  <pic:spPr bwMode="auto">
                    <a:xfrm>
                      <a:off x="0" y="0"/>
                      <a:ext cx="876300" cy="8255"/>
                    </a:xfrm>
                    <a:prstGeom prst="rect">
                      <a:avLst/>
                    </a:prstGeom>
                    <a:noFill/>
                  </pic:spPr>
                </pic:pic>
              </a:graphicData>
            </a:graphic>
          </wp:anchor>
        </w:drawing>
      </w:r>
    </w:p>
    <w:p>
      <w:pPr>
        <w:spacing w:after="0" w:line="76" w:lineRule="exact"/>
        <w:rPr>
          <w:sz w:val="20"/>
          <w:szCs w:val="20"/>
          <w:color w:val="auto"/>
        </w:rPr>
      </w:pPr>
    </w:p>
    <w:p>
      <w:pPr>
        <w:ind w:right="200"/>
        <w:spacing w:after="0" w:line="235" w:lineRule="auto"/>
        <w:rPr>
          <w:rFonts w:ascii="Calibri" w:cs="Calibri" w:eastAsia="Calibri" w:hAnsi="Calibri"/>
          <w:sz w:val="18"/>
          <w:szCs w:val="18"/>
          <w:u w:val="single" w:color="auto"/>
          <w:color w:val="0000FF"/>
        </w:rPr>
      </w:pPr>
      <w:hyperlink r:id="rId208">
        <w:r>
          <w:rPr>
            <w:rFonts w:ascii="Calibri" w:cs="Calibri" w:eastAsia="Calibri" w:hAnsi="Calibri"/>
            <w:sz w:val="18"/>
            <w:szCs w:val="18"/>
            <w:u w:val="single" w:color="auto"/>
            <w:color w:val="0000FF"/>
          </w:rPr>
          <w:t>Executve Employment Agreement, dated as of June 15, 2011,</w:t>
        </w:r>
      </w:hyperlink>
      <w:r>
        <w:rPr>
          <w:rFonts w:ascii="Calibri" w:cs="Calibri" w:eastAsia="Calibri" w:hAnsi="Calibri"/>
          <w:sz w:val="18"/>
          <w:szCs w:val="18"/>
          <w:u w:val="single" w:color="auto"/>
          <w:color w:val="0000FF"/>
        </w:rPr>
        <w:t xml:space="preserve"> </w:t>
      </w:r>
      <w:hyperlink r:id="rId208">
        <w:r>
          <w:rPr>
            <w:rFonts w:ascii="Calibri" w:cs="Calibri" w:eastAsia="Calibri" w:hAnsi="Calibri"/>
            <w:sz w:val="18"/>
            <w:szCs w:val="18"/>
            <w:u w:val="single" w:color="auto"/>
            <w:color w:val="0000FF"/>
          </w:rPr>
          <w:t>between Ultragenyx Pharmaceutcal Inc. and Emil D. Kakkis, M.D.,</w:t>
        </w:r>
      </w:hyperlink>
      <w:r>
        <w:rPr>
          <w:rFonts w:ascii="Calibri" w:cs="Calibri" w:eastAsia="Calibri" w:hAnsi="Calibri"/>
          <w:sz w:val="18"/>
          <w:szCs w:val="18"/>
          <w:u w:val="single" w:color="auto"/>
          <w:color w:val="0000FF"/>
        </w:rPr>
        <w:t xml:space="preserve"> </w:t>
      </w:r>
      <w:hyperlink r:id="rId208">
        <w:r>
          <w:rPr>
            <w:rFonts w:ascii="Calibri" w:cs="Calibri" w:eastAsia="Calibri" w:hAnsi="Calibri"/>
            <w:sz w:val="18"/>
            <w:szCs w:val="18"/>
            <w:u w:val="single" w:color="auto"/>
            <w:color w:val="0000FF"/>
          </w:rPr>
          <w:t>Ph.D.</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0</wp:posOffset>
            </wp:positionH>
            <wp:positionV relativeFrom="paragraph">
              <wp:posOffset>-292100</wp:posOffset>
            </wp:positionV>
            <wp:extent cx="282575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9">
                      <a:extLst>
                        <a:ext uri="{28A0092B-C50C-407E-A947-70E740481C1C}"/>
                      </a:extLst>
                    </a:blip>
                    <a:srcRect/>
                    <a:stretch>
                      <a:fillRect/>
                    </a:stretch>
                  </pic:blipFill>
                  <pic:spPr bwMode="auto">
                    <a:xfrm>
                      <a:off x="0" y="0"/>
                      <a:ext cx="282575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-154940</wp:posOffset>
            </wp:positionV>
            <wp:extent cx="300037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0">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-17780</wp:posOffset>
            </wp:positionV>
            <wp:extent cx="24066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1">
                      <a:extLst>
                        <a:ext uri="{28A0092B-C50C-407E-A947-70E740481C1C}"/>
                      </a:extLst>
                    </a:blip>
                    <a:srcRect/>
                    <a:stretch>
                      <a:fillRect/>
                    </a:stretch>
                  </pic:blipFill>
                  <pic:spPr bwMode="auto">
                    <a:xfrm>
                      <a:off x="0" y="0"/>
                      <a:ext cx="240665" cy="8255"/>
                    </a:xfrm>
                    <a:prstGeom prst="rect">
                      <a:avLst/>
                    </a:prstGeom>
                    <a:noFill/>
                  </pic:spPr>
                </pic:pic>
              </a:graphicData>
            </a:graphic>
          </wp:anchor>
        </w:drawing>
      </w:r>
    </w:p>
    <w:p>
      <w:pPr>
        <w:spacing w:after="0" w:line="77" w:lineRule="exact"/>
        <w:rPr>
          <w:rFonts w:ascii="Calibri" w:cs="Calibri" w:eastAsia="Calibri" w:hAnsi="Calibri"/>
          <w:sz w:val="18"/>
          <w:szCs w:val="18"/>
          <w:u w:val="single" w:color="auto"/>
          <w:color w:val="0000FF"/>
        </w:rPr>
      </w:pPr>
    </w:p>
    <w:p>
      <w:pPr>
        <w:spacing w:after="0" w:line="235" w:lineRule="auto"/>
        <w:rPr>
          <w:rFonts w:ascii="Calibri" w:cs="Calibri" w:eastAsia="Calibri" w:hAnsi="Calibri"/>
          <w:sz w:val="18"/>
          <w:szCs w:val="18"/>
          <w:u w:val="single" w:color="auto"/>
          <w:color w:val="0000FF"/>
        </w:rPr>
      </w:pPr>
      <w:hyperlink r:id="rId212">
        <w:r>
          <w:rPr>
            <w:rFonts w:ascii="Calibri" w:cs="Calibri" w:eastAsia="Calibri" w:hAnsi="Calibri"/>
            <w:sz w:val="18"/>
            <w:szCs w:val="18"/>
            <w:u w:val="single" w:color="auto"/>
            <w:color w:val="0000FF"/>
          </w:rPr>
          <w:t>Amendment No. 1 to Executve Employment Agreement, dated</w:t>
        </w:r>
      </w:hyperlink>
      <w:r>
        <w:rPr>
          <w:rFonts w:ascii="Calibri" w:cs="Calibri" w:eastAsia="Calibri" w:hAnsi="Calibri"/>
          <w:sz w:val="18"/>
          <w:szCs w:val="18"/>
          <w:u w:val="single" w:color="auto"/>
          <w:color w:val="0000FF"/>
        </w:rPr>
        <w:t xml:space="preserve"> </w:t>
      </w:r>
      <w:hyperlink r:id="rId212">
        <w:r>
          <w:rPr>
            <w:rFonts w:ascii="Calibri" w:cs="Calibri" w:eastAsia="Calibri" w:hAnsi="Calibri"/>
            <w:sz w:val="18"/>
            <w:szCs w:val="18"/>
            <w:u w:val="single" w:color="auto"/>
            <w:color w:val="0000FF"/>
          </w:rPr>
          <w:t>August 8, 2014, between Ultragenyx Pharmaceutcal Inc. and Emil D.</w:t>
        </w:r>
      </w:hyperlink>
      <w:r>
        <w:rPr>
          <w:rFonts w:ascii="Calibri" w:cs="Calibri" w:eastAsia="Calibri" w:hAnsi="Calibri"/>
          <w:sz w:val="18"/>
          <w:szCs w:val="18"/>
          <w:u w:val="single" w:color="auto"/>
          <w:color w:val="0000FF"/>
        </w:rPr>
        <w:t xml:space="preserve"> </w:t>
      </w:r>
      <w:hyperlink r:id="rId212">
        <w:r>
          <w:rPr>
            <w:rFonts w:ascii="Calibri" w:cs="Calibri" w:eastAsia="Calibri" w:hAnsi="Calibri"/>
            <w:sz w:val="18"/>
            <w:szCs w:val="18"/>
            <w:u w:val="single" w:color="auto"/>
            <w:color w:val="0000FF"/>
          </w:rPr>
          <w:t>Kakkis, M.D., Ph.D.</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0</wp:posOffset>
            </wp:positionH>
            <wp:positionV relativeFrom="paragraph">
              <wp:posOffset>-292100</wp:posOffset>
            </wp:positionV>
            <wp:extent cx="288607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3">
                      <a:extLst>
                        <a:ext uri="{28A0092B-C50C-407E-A947-70E740481C1C}"/>
                      </a:extLst>
                    </a:blip>
                    <a:srcRect/>
                    <a:stretch>
                      <a:fillRect/>
                    </a:stretch>
                  </pic:blipFill>
                  <pic:spPr bwMode="auto">
                    <a:xfrm>
                      <a:off x="0" y="0"/>
                      <a:ext cx="28860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-154940</wp:posOffset>
            </wp:positionV>
            <wp:extent cx="31210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4">
                      <a:extLst>
                        <a:ext uri="{28A0092B-C50C-407E-A947-70E740481C1C}"/>
                      </a:extLst>
                    </a:blip>
                    <a:srcRect/>
                    <a:stretch>
                      <a:fillRect/>
                    </a:stretch>
                  </pic:blipFill>
                  <pic:spPr bwMode="auto">
                    <a:xfrm>
                      <a:off x="0" y="0"/>
                      <a:ext cx="31210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-17780</wp:posOffset>
            </wp:positionV>
            <wp:extent cx="84899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5">
                      <a:extLst>
                        <a:ext uri="{28A0092B-C50C-407E-A947-70E740481C1C}"/>
                      </a:extLst>
                    </a:blip>
                    <a:srcRect/>
                    <a:stretch>
                      <a:fillRect/>
                    </a:stretch>
                  </pic:blipFill>
                  <pic:spPr bwMode="auto">
                    <a:xfrm>
                      <a:off x="0" y="0"/>
                      <a:ext cx="848995" cy="8255"/>
                    </a:xfrm>
                    <a:prstGeom prst="rect">
                      <a:avLst/>
                    </a:prstGeom>
                    <a:noFill/>
                  </pic:spPr>
                </pic:pic>
              </a:graphicData>
            </a:graphic>
          </wp:anchor>
        </w:drawing>
      </w:r>
    </w:p>
    <w:p>
      <w:pPr>
        <w:ind w:left="4520"/>
        <w:spacing w:after="0" w:line="237" w:lineRule="auto"/>
        <w:rPr>
          <w:sz w:val="20"/>
          <w:szCs w:val="20"/>
          <w:color w:val="auto"/>
        </w:rPr>
      </w:pPr>
      <w:r>
        <w:rPr>
          <w:rFonts w:ascii="Calibri" w:cs="Calibri" w:eastAsia="Calibri" w:hAnsi="Calibri"/>
          <w:sz w:val="18"/>
          <w:szCs w:val="18"/>
          <w:color w:val="auto"/>
        </w:rPr>
        <w:t>89</w:t>
      </w:r>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-654685</wp:posOffset>
            </wp:positionH>
            <wp:positionV relativeFrom="paragraph">
              <wp:posOffset>482600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br w:type="column"/>
      </w:r>
    </w:p>
    <w:p>
      <w:pPr>
        <w:spacing w:after="0" w:line="1" w:lineRule="exact"/>
        <w:rPr>
          <w:rFonts w:ascii="Calibri" w:cs="Calibri" w:eastAsia="Calibri" w:hAnsi="Calibri"/>
          <w:sz w:val="1"/>
          <w:szCs w:val="1"/>
          <w:u w:val="single" w:color="auto"/>
          <w:color w:val="0000FF"/>
        </w:rPr>
      </w:pPr>
    </w:p>
    <w:tbl>
      <w:tblPr>
        <w:tblLayout w:type="fixed"/>
        <w:tblInd w:w="0" w:type="dxa"/>
        <w:tblCellMar>
          <w:top w:w="0" w:type="dxa"/>
          <w:left w:w="0" w:type="dxa"/>
          <w:bottom w:w="0" w:type="dxa"/>
          <w:right w:w="0" w:type="dxa"/>
        </w:tblCellMar>
      </w:tblPr>
      <w:tr>
        <w:trPr>
          <w:trHeight w:val="220"/>
        </w:trPr>
        <w:tc>
          <w:tcPr>
            <w:tcW w:w="760" w:type="dxa"/>
            <w:vAlign w:val="bottom"/>
          </w:tcPr>
          <w:p>
            <w:pPr>
              <w:jc w:val="center"/>
              <w:ind w:right="290"/>
              <w:spacing w:after="0"/>
              <w:rPr>
                <w:sz w:val="20"/>
                <w:szCs w:val="20"/>
                <w:color w:val="auto"/>
              </w:rPr>
            </w:pPr>
            <w:r>
              <w:rPr>
                <w:rFonts w:ascii="Calibri" w:cs="Calibri" w:eastAsia="Calibri" w:hAnsi="Calibri"/>
                <w:sz w:val="18"/>
                <w:szCs w:val="18"/>
                <w:color w:val="auto"/>
                <w:w w:val="94"/>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8"/>
              </w:rPr>
              <w:t>8/3/2021</w:t>
            </w:r>
          </w:p>
        </w:tc>
        <w:tc>
          <w:tcPr>
            <w:tcW w:w="2080" w:type="dxa"/>
            <w:vAlign w:val="bottom"/>
          </w:tcPr>
          <w:p>
            <w:pPr>
              <w:jc w:val="center"/>
              <w:ind w:right="510"/>
              <w:spacing w:after="0"/>
              <w:rPr>
                <w:sz w:val="20"/>
                <w:szCs w:val="20"/>
                <w:color w:val="auto"/>
              </w:rPr>
            </w:pPr>
            <w:r>
              <w:rPr>
                <w:rFonts w:ascii="Calibri" w:cs="Calibri" w:eastAsia="Calibri" w:hAnsi="Calibri"/>
                <w:sz w:val="18"/>
                <w:szCs w:val="18"/>
                <w:color w:val="auto"/>
              </w:rPr>
              <w:t>10.4</w:t>
            </w:r>
          </w:p>
        </w:tc>
      </w:tr>
      <w:tr>
        <w:trPr>
          <w:trHeight w:val="527"/>
        </w:trPr>
        <w:tc>
          <w:tcPr>
            <w:tcW w:w="760" w:type="dxa"/>
            <w:vAlign w:val="bottom"/>
          </w:tcPr>
          <w:p>
            <w:pPr>
              <w:jc w:val="center"/>
              <w:ind w:right="290"/>
              <w:spacing w:after="0"/>
              <w:rPr>
                <w:sz w:val="20"/>
                <w:szCs w:val="20"/>
                <w:color w:val="auto"/>
              </w:rPr>
            </w:pPr>
            <w:r>
              <w:rPr>
                <w:rFonts w:ascii="Calibri" w:cs="Calibri" w:eastAsia="Calibri" w:hAnsi="Calibri"/>
                <w:sz w:val="18"/>
                <w:szCs w:val="18"/>
                <w:color w:val="auto"/>
                <w:w w:val="94"/>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8"/>
              </w:rPr>
              <w:t>8/3/2021</w:t>
            </w:r>
          </w:p>
        </w:tc>
        <w:tc>
          <w:tcPr>
            <w:tcW w:w="2080" w:type="dxa"/>
            <w:vAlign w:val="bottom"/>
          </w:tcPr>
          <w:p>
            <w:pPr>
              <w:jc w:val="center"/>
              <w:ind w:right="510"/>
              <w:spacing w:after="0"/>
              <w:rPr>
                <w:sz w:val="20"/>
                <w:szCs w:val="20"/>
                <w:color w:val="auto"/>
              </w:rPr>
            </w:pPr>
            <w:r>
              <w:rPr>
                <w:rFonts w:ascii="Calibri" w:cs="Calibri" w:eastAsia="Calibri" w:hAnsi="Calibri"/>
                <w:sz w:val="18"/>
                <w:szCs w:val="18"/>
                <w:color w:val="auto"/>
              </w:rPr>
              <w:t>10.5</w:t>
            </w:r>
          </w:p>
        </w:tc>
      </w:tr>
      <w:tr>
        <w:trPr>
          <w:trHeight w:val="527"/>
        </w:trPr>
        <w:tc>
          <w:tcPr>
            <w:tcW w:w="760" w:type="dxa"/>
            <w:vAlign w:val="bottom"/>
          </w:tcPr>
          <w:p>
            <w:pPr>
              <w:jc w:val="center"/>
              <w:ind w:right="290"/>
              <w:spacing w:after="0"/>
              <w:rPr>
                <w:sz w:val="20"/>
                <w:szCs w:val="20"/>
                <w:color w:val="auto"/>
              </w:rPr>
            </w:pPr>
            <w:r>
              <w:rPr>
                <w:rFonts w:ascii="Calibri" w:cs="Calibri" w:eastAsia="Calibri" w:hAnsi="Calibri"/>
                <w:sz w:val="18"/>
                <w:szCs w:val="18"/>
                <w:color w:val="auto"/>
                <w:w w:val="95"/>
              </w:rPr>
              <w:t>S-8</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7/12/2024</w:t>
            </w:r>
          </w:p>
        </w:tc>
        <w:tc>
          <w:tcPr>
            <w:tcW w:w="2080" w:type="dxa"/>
            <w:vAlign w:val="bottom"/>
          </w:tcPr>
          <w:p>
            <w:pPr>
              <w:jc w:val="center"/>
              <w:ind w:right="490"/>
              <w:spacing w:after="0"/>
              <w:rPr>
                <w:sz w:val="20"/>
                <w:szCs w:val="20"/>
                <w:color w:val="auto"/>
              </w:rPr>
            </w:pPr>
            <w:r>
              <w:rPr>
                <w:rFonts w:ascii="Calibri" w:cs="Calibri" w:eastAsia="Calibri" w:hAnsi="Calibri"/>
                <w:sz w:val="18"/>
                <w:szCs w:val="18"/>
                <w:color w:val="auto"/>
                <w:w w:val="96"/>
              </w:rPr>
              <w:t>4.4</w:t>
            </w:r>
          </w:p>
        </w:tc>
      </w:tr>
      <w:tr>
        <w:trPr>
          <w:trHeight w:val="310"/>
        </w:trPr>
        <w:tc>
          <w:tcPr>
            <w:tcW w:w="760" w:type="dxa"/>
            <w:vAlign w:val="bottom"/>
          </w:tcPr>
          <w:p>
            <w:pPr>
              <w:jc w:val="center"/>
              <w:ind w:right="290"/>
              <w:spacing w:after="0"/>
              <w:rPr>
                <w:sz w:val="20"/>
                <w:szCs w:val="20"/>
                <w:color w:val="auto"/>
              </w:rPr>
            </w:pPr>
            <w:r>
              <w:rPr>
                <w:rFonts w:ascii="Calibri" w:cs="Calibri" w:eastAsia="Calibri" w:hAnsi="Calibri"/>
                <w:sz w:val="18"/>
                <w:szCs w:val="18"/>
                <w:color w:val="auto"/>
              </w:rPr>
              <w:t>10-K</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2/21/2024</w:t>
            </w:r>
          </w:p>
        </w:tc>
        <w:tc>
          <w:tcPr>
            <w:tcW w:w="2080" w:type="dxa"/>
            <w:vAlign w:val="bottom"/>
          </w:tcPr>
          <w:p>
            <w:pPr>
              <w:jc w:val="center"/>
              <w:ind w:right="510"/>
              <w:spacing w:after="0"/>
              <w:rPr>
                <w:sz w:val="20"/>
                <w:szCs w:val="20"/>
                <w:color w:val="auto"/>
              </w:rPr>
            </w:pPr>
            <w:r>
              <w:rPr>
                <w:rFonts w:ascii="Calibri" w:cs="Calibri" w:eastAsia="Calibri" w:hAnsi="Calibri"/>
                <w:sz w:val="18"/>
                <w:szCs w:val="18"/>
                <w:color w:val="auto"/>
                <w:w w:val="97"/>
              </w:rPr>
              <w:t>10.30</w:t>
            </w:r>
          </w:p>
        </w:tc>
      </w:tr>
      <w:tr>
        <w:trPr>
          <w:trHeight w:val="311"/>
        </w:trPr>
        <w:tc>
          <w:tcPr>
            <w:tcW w:w="760" w:type="dxa"/>
            <w:vAlign w:val="bottom"/>
          </w:tcPr>
          <w:p>
            <w:pPr>
              <w:jc w:val="center"/>
              <w:ind w:right="290"/>
              <w:spacing w:after="0"/>
              <w:rPr>
                <w:sz w:val="20"/>
                <w:szCs w:val="20"/>
                <w:color w:val="auto"/>
              </w:rPr>
            </w:pPr>
            <w:r>
              <w:rPr>
                <w:rFonts w:ascii="Calibri" w:cs="Calibri" w:eastAsia="Calibri" w:hAnsi="Calibri"/>
                <w:sz w:val="18"/>
                <w:szCs w:val="18"/>
                <w:color w:val="auto"/>
              </w:rPr>
              <w:t>10-K</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2/21/2024</w:t>
            </w:r>
          </w:p>
        </w:tc>
        <w:tc>
          <w:tcPr>
            <w:tcW w:w="2080" w:type="dxa"/>
            <w:vAlign w:val="bottom"/>
          </w:tcPr>
          <w:p>
            <w:pPr>
              <w:jc w:val="center"/>
              <w:ind w:right="510"/>
              <w:spacing w:after="0"/>
              <w:rPr>
                <w:sz w:val="20"/>
                <w:szCs w:val="20"/>
                <w:color w:val="auto"/>
              </w:rPr>
            </w:pPr>
            <w:r>
              <w:rPr>
                <w:rFonts w:ascii="Calibri" w:cs="Calibri" w:eastAsia="Calibri" w:hAnsi="Calibri"/>
                <w:sz w:val="18"/>
                <w:szCs w:val="18"/>
                <w:color w:val="auto"/>
                <w:w w:val="97"/>
              </w:rPr>
              <w:t>10.31</w:t>
            </w:r>
          </w:p>
        </w:tc>
      </w:tr>
      <w:tr>
        <w:trPr>
          <w:trHeight w:val="527"/>
        </w:trPr>
        <w:tc>
          <w:tcPr>
            <w:tcW w:w="760" w:type="dxa"/>
            <w:vAlign w:val="bottom"/>
          </w:tcPr>
          <w:p>
            <w:pPr>
              <w:jc w:val="center"/>
              <w:ind w:right="290"/>
              <w:spacing w:after="0"/>
              <w:rPr>
                <w:sz w:val="20"/>
                <w:szCs w:val="20"/>
                <w:color w:val="auto"/>
              </w:rPr>
            </w:pPr>
            <w:r>
              <w:rPr>
                <w:rFonts w:ascii="Calibri" w:cs="Calibri" w:eastAsia="Calibri" w:hAnsi="Calibri"/>
                <w:sz w:val="18"/>
                <w:szCs w:val="18"/>
                <w:color w:val="auto"/>
              </w:rPr>
              <w:t>10-K</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2/21/2024</w:t>
            </w:r>
          </w:p>
        </w:tc>
        <w:tc>
          <w:tcPr>
            <w:tcW w:w="2080" w:type="dxa"/>
            <w:vAlign w:val="bottom"/>
          </w:tcPr>
          <w:p>
            <w:pPr>
              <w:jc w:val="center"/>
              <w:ind w:right="510"/>
              <w:spacing w:after="0"/>
              <w:rPr>
                <w:sz w:val="20"/>
                <w:szCs w:val="20"/>
                <w:color w:val="auto"/>
              </w:rPr>
            </w:pPr>
            <w:r>
              <w:rPr>
                <w:rFonts w:ascii="Calibri" w:cs="Calibri" w:eastAsia="Calibri" w:hAnsi="Calibri"/>
                <w:sz w:val="18"/>
                <w:szCs w:val="18"/>
                <w:color w:val="auto"/>
                <w:w w:val="97"/>
              </w:rPr>
              <w:t>10.32</w:t>
            </w:r>
          </w:p>
        </w:tc>
      </w:tr>
      <w:tr>
        <w:trPr>
          <w:trHeight w:val="310"/>
        </w:trPr>
        <w:tc>
          <w:tcPr>
            <w:tcW w:w="760" w:type="dxa"/>
            <w:vAlign w:val="bottom"/>
          </w:tcPr>
          <w:p>
            <w:pPr>
              <w:jc w:val="center"/>
              <w:ind w:right="290"/>
              <w:spacing w:after="0"/>
              <w:rPr>
                <w:sz w:val="20"/>
                <w:szCs w:val="20"/>
                <w:color w:val="auto"/>
              </w:rPr>
            </w:pPr>
            <w:r>
              <w:rPr>
                <w:rFonts w:ascii="Calibri" w:cs="Calibri" w:eastAsia="Calibri" w:hAnsi="Calibri"/>
                <w:sz w:val="18"/>
                <w:szCs w:val="18"/>
                <w:color w:val="auto"/>
              </w:rPr>
              <w:t>10-K</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2/21/2024</w:t>
            </w:r>
          </w:p>
        </w:tc>
        <w:tc>
          <w:tcPr>
            <w:tcW w:w="2080" w:type="dxa"/>
            <w:vAlign w:val="bottom"/>
          </w:tcPr>
          <w:p>
            <w:pPr>
              <w:jc w:val="center"/>
              <w:ind w:right="510"/>
              <w:spacing w:after="0"/>
              <w:rPr>
                <w:sz w:val="20"/>
                <w:szCs w:val="20"/>
                <w:color w:val="auto"/>
              </w:rPr>
            </w:pPr>
            <w:r>
              <w:rPr>
                <w:rFonts w:ascii="Calibri" w:cs="Calibri" w:eastAsia="Calibri" w:hAnsi="Calibri"/>
                <w:sz w:val="18"/>
                <w:szCs w:val="18"/>
                <w:color w:val="auto"/>
                <w:w w:val="97"/>
              </w:rPr>
              <w:t>10.33</w:t>
            </w:r>
          </w:p>
        </w:tc>
      </w:tr>
      <w:tr>
        <w:trPr>
          <w:trHeight w:val="432"/>
        </w:trPr>
        <w:tc>
          <w:tcPr>
            <w:tcW w:w="760" w:type="dxa"/>
            <w:vAlign w:val="bottom"/>
          </w:tcPr>
          <w:p>
            <w:pPr>
              <w:jc w:val="center"/>
              <w:ind w:right="290"/>
              <w:spacing w:after="0"/>
              <w:rPr>
                <w:sz w:val="20"/>
                <w:szCs w:val="20"/>
                <w:color w:val="auto"/>
              </w:rPr>
            </w:pPr>
            <w:r>
              <w:rPr>
                <w:rFonts w:ascii="Calibri" w:cs="Calibri" w:eastAsia="Calibri" w:hAnsi="Calibri"/>
                <w:sz w:val="18"/>
                <w:szCs w:val="18"/>
                <w:color w:val="auto"/>
              </w:rPr>
              <w:t>10-K</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2/21/2024</w:t>
            </w:r>
          </w:p>
        </w:tc>
        <w:tc>
          <w:tcPr>
            <w:tcW w:w="2080" w:type="dxa"/>
            <w:vAlign w:val="bottom"/>
          </w:tcPr>
          <w:p>
            <w:pPr>
              <w:jc w:val="center"/>
              <w:ind w:right="510"/>
              <w:spacing w:after="0"/>
              <w:rPr>
                <w:sz w:val="20"/>
                <w:szCs w:val="20"/>
                <w:color w:val="auto"/>
              </w:rPr>
            </w:pPr>
            <w:r>
              <w:rPr>
                <w:rFonts w:ascii="Calibri" w:cs="Calibri" w:eastAsia="Calibri" w:hAnsi="Calibri"/>
                <w:sz w:val="18"/>
                <w:szCs w:val="18"/>
                <w:color w:val="auto"/>
                <w:w w:val="97"/>
              </w:rPr>
              <w:t>10.34</w:t>
            </w:r>
          </w:p>
        </w:tc>
      </w:tr>
      <w:tr>
        <w:trPr>
          <w:trHeight w:val="432"/>
        </w:trPr>
        <w:tc>
          <w:tcPr>
            <w:tcW w:w="760" w:type="dxa"/>
            <w:vAlign w:val="bottom"/>
          </w:tcPr>
          <w:p>
            <w:pPr>
              <w:jc w:val="center"/>
              <w:ind w:right="290"/>
              <w:spacing w:after="0"/>
              <w:rPr>
                <w:sz w:val="20"/>
                <w:szCs w:val="20"/>
                <w:color w:val="auto"/>
              </w:rPr>
            </w:pPr>
            <w:r>
              <w:rPr>
                <w:rFonts w:ascii="Calibri" w:cs="Calibri" w:eastAsia="Calibri" w:hAnsi="Calibri"/>
                <w:sz w:val="18"/>
                <w:szCs w:val="18"/>
                <w:color w:val="auto"/>
              </w:rPr>
              <w:t>10-K</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2/21/2024</w:t>
            </w:r>
          </w:p>
        </w:tc>
        <w:tc>
          <w:tcPr>
            <w:tcW w:w="2080" w:type="dxa"/>
            <w:vAlign w:val="bottom"/>
          </w:tcPr>
          <w:p>
            <w:pPr>
              <w:jc w:val="center"/>
              <w:ind w:right="510"/>
              <w:spacing w:after="0"/>
              <w:rPr>
                <w:sz w:val="20"/>
                <w:szCs w:val="20"/>
                <w:color w:val="auto"/>
              </w:rPr>
            </w:pPr>
            <w:r>
              <w:rPr>
                <w:rFonts w:ascii="Calibri" w:cs="Calibri" w:eastAsia="Calibri" w:hAnsi="Calibri"/>
                <w:sz w:val="18"/>
                <w:szCs w:val="18"/>
                <w:color w:val="auto"/>
                <w:w w:val="97"/>
              </w:rPr>
              <w:t>10.35</w:t>
            </w:r>
          </w:p>
        </w:tc>
      </w:tr>
      <w:tr>
        <w:trPr>
          <w:trHeight w:val="432"/>
        </w:trPr>
        <w:tc>
          <w:tcPr>
            <w:tcW w:w="760" w:type="dxa"/>
            <w:vAlign w:val="bottom"/>
          </w:tcPr>
          <w:p>
            <w:pPr>
              <w:jc w:val="center"/>
              <w:ind w:right="290"/>
              <w:spacing w:after="0"/>
              <w:rPr>
                <w:sz w:val="20"/>
                <w:szCs w:val="20"/>
                <w:color w:val="auto"/>
              </w:rPr>
            </w:pPr>
            <w:r>
              <w:rPr>
                <w:rFonts w:ascii="Calibri" w:cs="Calibri" w:eastAsia="Calibri" w:hAnsi="Calibri"/>
                <w:sz w:val="18"/>
                <w:szCs w:val="18"/>
                <w:color w:val="auto"/>
              </w:rPr>
              <w:t>10-K</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2/21/2024</w:t>
            </w:r>
          </w:p>
        </w:tc>
        <w:tc>
          <w:tcPr>
            <w:tcW w:w="2080" w:type="dxa"/>
            <w:vAlign w:val="bottom"/>
          </w:tcPr>
          <w:p>
            <w:pPr>
              <w:jc w:val="center"/>
              <w:ind w:right="510"/>
              <w:spacing w:after="0"/>
              <w:rPr>
                <w:sz w:val="20"/>
                <w:szCs w:val="20"/>
                <w:color w:val="auto"/>
              </w:rPr>
            </w:pPr>
            <w:r>
              <w:rPr>
                <w:rFonts w:ascii="Calibri" w:cs="Calibri" w:eastAsia="Calibri" w:hAnsi="Calibri"/>
                <w:sz w:val="18"/>
                <w:szCs w:val="18"/>
                <w:color w:val="auto"/>
                <w:w w:val="97"/>
              </w:rPr>
              <w:t>10.36</w:t>
            </w:r>
          </w:p>
        </w:tc>
      </w:tr>
      <w:tr>
        <w:trPr>
          <w:trHeight w:val="432"/>
        </w:trPr>
        <w:tc>
          <w:tcPr>
            <w:tcW w:w="760" w:type="dxa"/>
            <w:vAlign w:val="bottom"/>
          </w:tcPr>
          <w:p>
            <w:pPr>
              <w:jc w:val="center"/>
              <w:ind w:right="290"/>
              <w:spacing w:after="0"/>
              <w:rPr>
                <w:sz w:val="20"/>
                <w:szCs w:val="20"/>
                <w:color w:val="auto"/>
              </w:rPr>
            </w:pPr>
            <w:r>
              <w:rPr>
                <w:rFonts w:ascii="Calibri" w:cs="Calibri" w:eastAsia="Calibri" w:hAnsi="Calibri"/>
                <w:sz w:val="18"/>
                <w:szCs w:val="18"/>
                <w:color w:val="auto"/>
                <w:w w:val="94"/>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8"/>
              </w:rPr>
              <w:t>5/6/2022</w:t>
            </w:r>
          </w:p>
        </w:tc>
        <w:tc>
          <w:tcPr>
            <w:tcW w:w="2080" w:type="dxa"/>
            <w:vAlign w:val="bottom"/>
          </w:tcPr>
          <w:p>
            <w:pPr>
              <w:jc w:val="center"/>
              <w:ind w:right="510"/>
              <w:spacing w:after="0"/>
              <w:rPr>
                <w:sz w:val="20"/>
                <w:szCs w:val="20"/>
                <w:color w:val="auto"/>
              </w:rPr>
            </w:pPr>
            <w:r>
              <w:rPr>
                <w:rFonts w:ascii="Calibri" w:cs="Calibri" w:eastAsia="Calibri" w:hAnsi="Calibri"/>
                <w:sz w:val="18"/>
                <w:szCs w:val="18"/>
                <w:color w:val="auto"/>
              </w:rPr>
              <w:t>10.1</w:t>
            </w:r>
          </w:p>
        </w:tc>
      </w:tr>
      <w:tr>
        <w:trPr>
          <w:trHeight w:val="310"/>
        </w:trPr>
        <w:tc>
          <w:tcPr>
            <w:tcW w:w="760" w:type="dxa"/>
            <w:vAlign w:val="bottom"/>
          </w:tcPr>
          <w:p>
            <w:pPr>
              <w:jc w:val="center"/>
              <w:ind w:right="290"/>
              <w:spacing w:after="0"/>
              <w:rPr>
                <w:sz w:val="20"/>
                <w:szCs w:val="20"/>
                <w:color w:val="auto"/>
              </w:rPr>
            </w:pPr>
            <w:r>
              <w:rPr>
                <w:rFonts w:ascii="Calibri" w:cs="Calibri" w:eastAsia="Calibri" w:hAnsi="Calibri"/>
                <w:sz w:val="18"/>
                <w:szCs w:val="18"/>
                <w:color w:val="auto"/>
                <w:w w:val="94"/>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8"/>
              </w:rPr>
              <w:t>5/4/2023</w:t>
            </w:r>
          </w:p>
        </w:tc>
        <w:tc>
          <w:tcPr>
            <w:tcW w:w="2080" w:type="dxa"/>
            <w:vAlign w:val="bottom"/>
          </w:tcPr>
          <w:p>
            <w:pPr>
              <w:jc w:val="center"/>
              <w:ind w:right="510"/>
              <w:spacing w:after="0"/>
              <w:rPr>
                <w:sz w:val="20"/>
                <w:szCs w:val="20"/>
                <w:color w:val="auto"/>
              </w:rPr>
            </w:pPr>
            <w:r>
              <w:rPr>
                <w:rFonts w:ascii="Calibri" w:cs="Calibri" w:eastAsia="Calibri" w:hAnsi="Calibri"/>
                <w:sz w:val="18"/>
                <w:szCs w:val="18"/>
                <w:color w:val="auto"/>
              </w:rPr>
              <w:t>10.1</w:t>
            </w:r>
          </w:p>
        </w:tc>
      </w:tr>
      <w:tr>
        <w:trPr>
          <w:trHeight w:val="311"/>
        </w:trPr>
        <w:tc>
          <w:tcPr>
            <w:tcW w:w="7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80" w:type="dxa"/>
            <w:vAlign w:val="bottom"/>
          </w:tcPr>
          <w:p>
            <w:pPr>
              <w:ind w:left="1980"/>
              <w:spacing w:after="0"/>
              <w:rPr>
                <w:sz w:val="20"/>
                <w:szCs w:val="20"/>
                <w:color w:val="auto"/>
              </w:rPr>
            </w:pPr>
            <w:r>
              <w:rPr>
                <w:rFonts w:ascii="Calibri" w:cs="Calibri" w:eastAsia="Calibri" w:hAnsi="Calibri"/>
                <w:sz w:val="18"/>
                <w:szCs w:val="18"/>
                <w:color w:val="auto"/>
                <w:w w:val="85"/>
              </w:rPr>
              <w:t>X</w:t>
            </w:r>
          </w:p>
        </w:tc>
      </w:tr>
      <w:tr>
        <w:trPr>
          <w:trHeight w:val="310"/>
        </w:trPr>
        <w:tc>
          <w:tcPr>
            <w:tcW w:w="760" w:type="dxa"/>
            <w:vAlign w:val="bottom"/>
          </w:tcPr>
          <w:p>
            <w:pPr>
              <w:jc w:val="center"/>
              <w:ind w:right="290"/>
              <w:spacing w:after="0"/>
              <w:rPr>
                <w:sz w:val="20"/>
                <w:szCs w:val="20"/>
                <w:color w:val="auto"/>
              </w:rPr>
            </w:pPr>
            <w:r>
              <w:rPr>
                <w:rFonts w:ascii="Calibri" w:cs="Calibri" w:eastAsia="Calibri" w:hAnsi="Calibri"/>
                <w:sz w:val="18"/>
                <w:szCs w:val="18"/>
                <w:color w:val="auto"/>
                <w:w w:val="95"/>
              </w:rPr>
              <w:t>S-8</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8"/>
              </w:rPr>
              <w:t>6/8/2023</w:t>
            </w:r>
          </w:p>
        </w:tc>
        <w:tc>
          <w:tcPr>
            <w:tcW w:w="2080" w:type="dxa"/>
            <w:vAlign w:val="bottom"/>
          </w:tcPr>
          <w:p>
            <w:pPr>
              <w:jc w:val="center"/>
              <w:ind w:right="490"/>
              <w:spacing w:after="0"/>
              <w:rPr>
                <w:sz w:val="20"/>
                <w:szCs w:val="20"/>
                <w:color w:val="auto"/>
              </w:rPr>
            </w:pPr>
            <w:r>
              <w:rPr>
                <w:rFonts w:ascii="Calibri" w:cs="Calibri" w:eastAsia="Calibri" w:hAnsi="Calibri"/>
                <w:sz w:val="18"/>
                <w:szCs w:val="18"/>
                <w:color w:val="auto"/>
                <w:w w:val="96"/>
              </w:rPr>
              <w:t>4.5</w:t>
            </w:r>
          </w:p>
        </w:tc>
      </w:tr>
      <w:tr>
        <w:trPr>
          <w:trHeight w:val="311"/>
        </w:trPr>
        <w:tc>
          <w:tcPr>
            <w:tcW w:w="760" w:type="dxa"/>
            <w:vAlign w:val="bottom"/>
          </w:tcPr>
          <w:p>
            <w:pPr>
              <w:jc w:val="center"/>
              <w:ind w:right="290"/>
              <w:spacing w:after="0"/>
              <w:rPr>
                <w:sz w:val="20"/>
                <w:szCs w:val="20"/>
                <w:color w:val="auto"/>
              </w:rPr>
            </w:pPr>
            <w:r>
              <w:rPr>
                <w:rFonts w:ascii="Calibri" w:cs="Calibri" w:eastAsia="Calibri" w:hAnsi="Calibri"/>
                <w:sz w:val="18"/>
                <w:szCs w:val="18"/>
                <w:color w:val="auto"/>
                <w:w w:val="94"/>
              </w:rPr>
              <w:t>S-1/A</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1/17/2014</w:t>
            </w:r>
          </w:p>
        </w:tc>
        <w:tc>
          <w:tcPr>
            <w:tcW w:w="2080" w:type="dxa"/>
            <w:vAlign w:val="bottom"/>
          </w:tcPr>
          <w:p>
            <w:pPr>
              <w:jc w:val="center"/>
              <w:ind w:right="510"/>
              <w:spacing w:after="0"/>
              <w:rPr>
                <w:sz w:val="20"/>
                <w:szCs w:val="20"/>
                <w:color w:val="auto"/>
              </w:rPr>
            </w:pPr>
            <w:r>
              <w:rPr>
                <w:rFonts w:ascii="Calibri" w:cs="Calibri" w:eastAsia="Calibri" w:hAnsi="Calibri"/>
                <w:sz w:val="18"/>
                <w:szCs w:val="18"/>
                <w:color w:val="auto"/>
                <w:w w:val="97"/>
              </w:rPr>
              <w:t>10.27</w:t>
            </w:r>
          </w:p>
        </w:tc>
      </w:tr>
      <w:tr>
        <w:trPr>
          <w:trHeight w:val="310"/>
        </w:trPr>
        <w:tc>
          <w:tcPr>
            <w:tcW w:w="760" w:type="dxa"/>
            <w:vAlign w:val="bottom"/>
          </w:tcPr>
          <w:p>
            <w:pPr>
              <w:jc w:val="center"/>
              <w:ind w:right="290"/>
              <w:spacing w:after="0"/>
              <w:rPr>
                <w:sz w:val="20"/>
                <w:szCs w:val="20"/>
                <w:color w:val="auto"/>
              </w:rPr>
            </w:pPr>
            <w:r>
              <w:rPr>
                <w:rFonts w:ascii="Calibri" w:cs="Calibri" w:eastAsia="Calibri" w:hAnsi="Calibri"/>
                <w:sz w:val="18"/>
                <w:szCs w:val="18"/>
                <w:color w:val="auto"/>
              </w:rPr>
              <w:t>10-K</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2/12/2021</w:t>
            </w:r>
          </w:p>
        </w:tc>
        <w:tc>
          <w:tcPr>
            <w:tcW w:w="2080" w:type="dxa"/>
            <w:vAlign w:val="bottom"/>
          </w:tcPr>
          <w:p>
            <w:pPr>
              <w:jc w:val="center"/>
              <w:ind w:right="510"/>
              <w:spacing w:after="0"/>
              <w:rPr>
                <w:sz w:val="20"/>
                <w:szCs w:val="20"/>
                <w:color w:val="auto"/>
              </w:rPr>
            </w:pPr>
            <w:r>
              <w:rPr>
                <w:rFonts w:ascii="Calibri" w:cs="Calibri" w:eastAsia="Calibri" w:hAnsi="Calibri"/>
                <w:sz w:val="18"/>
                <w:szCs w:val="18"/>
                <w:color w:val="auto"/>
                <w:w w:val="97"/>
              </w:rPr>
              <w:t>10.43</w:t>
            </w:r>
          </w:p>
        </w:tc>
      </w:tr>
      <w:tr>
        <w:trPr>
          <w:trHeight w:val="310"/>
        </w:trPr>
        <w:tc>
          <w:tcPr>
            <w:tcW w:w="760" w:type="dxa"/>
            <w:vAlign w:val="bottom"/>
          </w:tcPr>
          <w:p>
            <w:pPr>
              <w:jc w:val="center"/>
              <w:ind w:right="290"/>
              <w:spacing w:after="0"/>
              <w:rPr>
                <w:sz w:val="20"/>
                <w:szCs w:val="20"/>
                <w:color w:val="auto"/>
              </w:rPr>
            </w:pPr>
            <w:r>
              <w:rPr>
                <w:rFonts w:ascii="Calibri" w:cs="Calibri" w:eastAsia="Calibri" w:hAnsi="Calibri"/>
                <w:sz w:val="18"/>
                <w:szCs w:val="18"/>
                <w:color w:val="auto"/>
                <w:w w:val="95"/>
              </w:rPr>
              <w:t>S-8</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8"/>
              </w:rPr>
              <w:t>6/8/2023</w:t>
            </w:r>
          </w:p>
        </w:tc>
        <w:tc>
          <w:tcPr>
            <w:tcW w:w="2080" w:type="dxa"/>
            <w:vAlign w:val="bottom"/>
          </w:tcPr>
          <w:p>
            <w:pPr>
              <w:jc w:val="center"/>
              <w:ind w:right="490"/>
              <w:spacing w:after="0"/>
              <w:rPr>
                <w:sz w:val="20"/>
                <w:szCs w:val="20"/>
                <w:color w:val="auto"/>
              </w:rPr>
            </w:pPr>
            <w:r>
              <w:rPr>
                <w:rFonts w:ascii="Calibri" w:cs="Calibri" w:eastAsia="Calibri" w:hAnsi="Calibri"/>
                <w:sz w:val="18"/>
                <w:szCs w:val="18"/>
                <w:color w:val="auto"/>
                <w:w w:val="96"/>
              </w:rPr>
              <w:t>4.7</w:t>
            </w:r>
          </w:p>
        </w:tc>
      </w:tr>
      <w:tr>
        <w:trPr>
          <w:trHeight w:val="310"/>
        </w:trPr>
        <w:tc>
          <w:tcPr>
            <w:tcW w:w="760" w:type="dxa"/>
            <w:vAlign w:val="bottom"/>
          </w:tcPr>
          <w:p>
            <w:pPr>
              <w:jc w:val="center"/>
              <w:ind w:right="290"/>
              <w:spacing w:after="0"/>
              <w:rPr>
                <w:sz w:val="20"/>
                <w:szCs w:val="20"/>
                <w:color w:val="auto"/>
              </w:rPr>
            </w:pPr>
            <w:r>
              <w:rPr>
                <w:rFonts w:ascii="Calibri" w:cs="Calibri" w:eastAsia="Calibri" w:hAnsi="Calibri"/>
                <w:sz w:val="18"/>
                <w:szCs w:val="18"/>
                <w:color w:val="auto"/>
                <w:w w:val="95"/>
              </w:rPr>
              <w:t>S-8</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7/12/2024</w:t>
            </w:r>
          </w:p>
        </w:tc>
        <w:tc>
          <w:tcPr>
            <w:tcW w:w="2080" w:type="dxa"/>
            <w:vAlign w:val="bottom"/>
          </w:tcPr>
          <w:p>
            <w:pPr>
              <w:jc w:val="center"/>
              <w:ind w:right="490"/>
              <w:spacing w:after="0"/>
              <w:rPr>
                <w:sz w:val="20"/>
                <w:szCs w:val="20"/>
                <w:color w:val="auto"/>
              </w:rPr>
            </w:pPr>
            <w:r>
              <w:rPr>
                <w:rFonts w:ascii="Calibri" w:cs="Calibri" w:eastAsia="Calibri" w:hAnsi="Calibri"/>
                <w:sz w:val="18"/>
                <w:szCs w:val="18"/>
                <w:color w:val="auto"/>
                <w:w w:val="96"/>
              </w:rPr>
              <w:t>4.7</w:t>
            </w:r>
          </w:p>
        </w:tc>
      </w:tr>
      <w:tr>
        <w:trPr>
          <w:trHeight w:val="310"/>
        </w:trPr>
        <w:tc>
          <w:tcPr>
            <w:tcW w:w="760" w:type="dxa"/>
            <w:vAlign w:val="bottom"/>
          </w:tcPr>
          <w:p>
            <w:pPr>
              <w:jc w:val="center"/>
              <w:ind w:right="290"/>
              <w:spacing w:after="0"/>
              <w:rPr>
                <w:sz w:val="20"/>
                <w:szCs w:val="20"/>
                <w:color w:val="auto"/>
              </w:rPr>
            </w:pPr>
            <w:r>
              <w:rPr>
                <w:rFonts w:ascii="Calibri" w:cs="Calibri" w:eastAsia="Calibri" w:hAnsi="Calibri"/>
                <w:sz w:val="18"/>
                <w:szCs w:val="18"/>
                <w:color w:val="auto"/>
              </w:rPr>
              <w:t>10-K</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2/12/2021</w:t>
            </w:r>
          </w:p>
        </w:tc>
        <w:tc>
          <w:tcPr>
            <w:tcW w:w="2080" w:type="dxa"/>
            <w:vAlign w:val="bottom"/>
          </w:tcPr>
          <w:p>
            <w:pPr>
              <w:jc w:val="center"/>
              <w:ind w:right="510"/>
              <w:spacing w:after="0"/>
              <w:rPr>
                <w:sz w:val="20"/>
                <w:szCs w:val="20"/>
                <w:color w:val="auto"/>
              </w:rPr>
            </w:pPr>
            <w:r>
              <w:rPr>
                <w:rFonts w:ascii="Calibri" w:cs="Calibri" w:eastAsia="Calibri" w:hAnsi="Calibri"/>
                <w:sz w:val="18"/>
                <w:szCs w:val="18"/>
                <w:color w:val="auto"/>
                <w:w w:val="97"/>
              </w:rPr>
              <w:t>10.44</w:t>
            </w:r>
          </w:p>
        </w:tc>
      </w:tr>
      <w:tr>
        <w:trPr>
          <w:trHeight w:val="310"/>
        </w:trPr>
        <w:tc>
          <w:tcPr>
            <w:tcW w:w="760" w:type="dxa"/>
            <w:vAlign w:val="bottom"/>
          </w:tcPr>
          <w:p>
            <w:pPr>
              <w:jc w:val="center"/>
              <w:ind w:right="290"/>
              <w:spacing w:after="0"/>
              <w:rPr>
                <w:sz w:val="20"/>
                <w:szCs w:val="20"/>
                <w:color w:val="auto"/>
              </w:rPr>
            </w:pPr>
            <w:r>
              <w:rPr>
                <w:rFonts w:ascii="Calibri" w:cs="Calibri" w:eastAsia="Calibri" w:hAnsi="Calibri"/>
                <w:sz w:val="18"/>
                <w:szCs w:val="18"/>
                <w:color w:val="auto"/>
              </w:rPr>
              <w:t>10-K</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2/12/2021</w:t>
            </w:r>
          </w:p>
        </w:tc>
        <w:tc>
          <w:tcPr>
            <w:tcW w:w="2080" w:type="dxa"/>
            <w:vAlign w:val="bottom"/>
          </w:tcPr>
          <w:p>
            <w:pPr>
              <w:jc w:val="center"/>
              <w:ind w:right="510"/>
              <w:spacing w:after="0"/>
              <w:rPr>
                <w:sz w:val="20"/>
                <w:szCs w:val="20"/>
                <w:color w:val="auto"/>
              </w:rPr>
            </w:pPr>
            <w:r>
              <w:rPr>
                <w:rFonts w:ascii="Calibri" w:cs="Calibri" w:eastAsia="Calibri" w:hAnsi="Calibri"/>
                <w:sz w:val="18"/>
                <w:szCs w:val="18"/>
                <w:color w:val="auto"/>
                <w:w w:val="97"/>
              </w:rPr>
              <w:t>10.45</w:t>
            </w:r>
          </w:p>
        </w:tc>
      </w:tr>
      <w:tr>
        <w:trPr>
          <w:trHeight w:val="527"/>
        </w:trPr>
        <w:tc>
          <w:tcPr>
            <w:tcW w:w="760" w:type="dxa"/>
            <w:vAlign w:val="bottom"/>
          </w:tcPr>
          <w:p>
            <w:pPr>
              <w:jc w:val="center"/>
              <w:ind w:right="290"/>
              <w:spacing w:after="0"/>
              <w:rPr>
                <w:sz w:val="20"/>
                <w:szCs w:val="20"/>
                <w:color w:val="auto"/>
              </w:rPr>
            </w:pPr>
            <w:r>
              <w:rPr>
                <w:rFonts w:ascii="Calibri" w:cs="Calibri" w:eastAsia="Calibri" w:hAnsi="Calibri"/>
                <w:sz w:val="18"/>
                <w:szCs w:val="18"/>
                <w:color w:val="auto"/>
              </w:rPr>
              <w:t>10-K</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2/12/2021</w:t>
            </w:r>
          </w:p>
        </w:tc>
        <w:tc>
          <w:tcPr>
            <w:tcW w:w="2080" w:type="dxa"/>
            <w:vAlign w:val="bottom"/>
          </w:tcPr>
          <w:p>
            <w:pPr>
              <w:jc w:val="center"/>
              <w:ind w:right="510"/>
              <w:spacing w:after="0"/>
              <w:rPr>
                <w:sz w:val="20"/>
                <w:szCs w:val="20"/>
                <w:color w:val="auto"/>
              </w:rPr>
            </w:pPr>
            <w:r>
              <w:rPr>
                <w:rFonts w:ascii="Calibri" w:cs="Calibri" w:eastAsia="Calibri" w:hAnsi="Calibri"/>
                <w:sz w:val="18"/>
                <w:szCs w:val="18"/>
                <w:color w:val="auto"/>
                <w:w w:val="97"/>
              </w:rPr>
              <w:t>10.46</w:t>
            </w:r>
          </w:p>
        </w:tc>
      </w:tr>
      <w:tr>
        <w:trPr>
          <w:trHeight w:val="310"/>
        </w:trPr>
        <w:tc>
          <w:tcPr>
            <w:tcW w:w="760" w:type="dxa"/>
            <w:vAlign w:val="bottom"/>
          </w:tcPr>
          <w:p>
            <w:pPr>
              <w:jc w:val="center"/>
              <w:ind w:right="290"/>
              <w:spacing w:after="0"/>
              <w:rPr>
                <w:sz w:val="20"/>
                <w:szCs w:val="20"/>
                <w:color w:val="auto"/>
              </w:rPr>
            </w:pPr>
            <w:r>
              <w:rPr>
                <w:rFonts w:ascii="Calibri" w:cs="Calibri" w:eastAsia="Calibri" w:hAnsi="Calibri"/>
                <w:sz w:val="18"/>
                <w:szCs w:val="18"/>
                <w:color w:val="auto"/>
              </w:rPr>
              <w:t>10-K</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2/12/2021</w:t>
            </w:r>
          </w:p>
        </w:tc>
        <w:tc>
          <w:tcPr>
            <w:tcW w:w="2080" w:type="dxa"/>
            <w:vAlign w:val="bottom"/>
          </w:tcPr>
          <w:p>
            <w:pPr>
              <w:jc w:val="center"/>
              <w:ind w:right="510"/>
              <w:spacing w:after="0"/>
              <w:rPr>
                <w:sz w:val="20"/>
                <w:szCs w:val="20"/>
                <w:color w:val="auto"/>
              </w:rPr>
            </w:pPr>
            <w:r>
              <w:rPr>
                <w:rFonts w:ascii="Calibri" w:cs="Calibri" w:eastAsia="Calibri" w:hAnsi="Calibri"/>
                <w:sz w:val="18"/>
                <w:szCs w:val="18"/>
                <w:color w:val="auto"/>
                <w:w w:val="97"/>
              </w:rPr>
              <w:t>10.47</w:t>
            </w:r>
          </w:p>
        </w:tc>
      </w:tr>
      <w:tr>
        <w:trPr>
          <w:trHeight w:val="310"/>
        </w:trPr>
        <w:tc>
          <w:tcPr>
            <w:tcW w:w="760" w:type="dxa"/>
            <w:vAlign w:val="bottom"/>
          </w:tcPr>
          <w:p>
            <w:pPr>
              <w:jc w:val="center"/>
              <w:ind w:right="290"/>
              <w:spacing w:after="0"/>
              <w:rPr>
                <w:sz w:val="20"/>
                <w:szCs w:val="20"/>
                <w:color w:val="auto"/>
              </w:rPr>
            </w:pPr>
            <w:r>
              <w:rPr>
                <w:rFonts w:ascii="Calibri" w:cs="Calibri" w:eastAsia="Calibri" w:hAnsi="Calibri"/>
                <w:sz w:val="18"/>
                <w:szCs w:val="18"/>
                <w:color w:val="auto"/>
                <w:w w:val="94"/>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8"/>
              </w:rPr>
              <w:t>8/3/2021</w:t>
            </w:r>
          </w:p>
        </w:tc>
        <w:tc>
          <w:tcPr>
            <w:tcW w:w="2080" w:type="dxa"/>
            <w:vAlign w:val="bottom"/>
          </w:tcPr>
          <w:p>
            <w:pPr>
              <w:jc w:val="center"/>
              <w:ind w:right="510"/>
              <w:spacing w:after="0"/>
              <w:rPr>
                <w:sz w:val="20"/>
                <w:szCs w:val="20"/>
                <w:color w:val="auto"/>
              </w:rPr>
            </w:pPr>
            <w:r>
              <w:rPr>
                <w:rFonts w:ascii="Calibri" w:cs="Calibri" w:eastAsia="Calibri" w:hAnsi="Calibri"/>
                <w:sz w:val="18"/>
                <w:szCs w:val="18"/>
                <w:color w:val="auto"/>
              </w:rPr>
              <w:t>10.1</w:t>
            </w:r>
          </w:p>
        </w:tc>
      </w:tr>
      <w:tr>
        <w:trPr>
          <w:trHeight w:val="310"/>
        </w:trPr>
        <w:tc>
          <w:tcPr>
            <w:tcW w:w="760" w:type="dxa"/>
            <w:vAlign w:val="bottom"/>
          </w:tcPr>
          <w:p>
            <w:pPr>
              <w:jc w:val="center"/>
              <w:ind w:right="290"/>
              <w:spacing w:after="0"/>
              <w:rPr>
                <w:sz w:val="20"/>
                <w:szCs w:val="20"/>
                <w:color w:val="auto"/>
              </w:rPr>
            </w:pPr>
            <w:r>
              <w:rPr>
                <w:rFonts w:ascii="Calibri" w:cs="Calibri" w:eastAsia="Calibri" w:hAnsi="Calibri"/>
                <w:sz w:val="18"/>
                <w:szCs w:val="18"/>
                <w:color w:val="auto"/>
                <w:w w:val="94"/>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11/3/2021</w:t>
            </w:r>
          </w:p>
        </w:tc>
        <w:tc>
          <w:tcPr>
            <w:tcW w:w="2080" w:type="dxa"/>
            <w:vAlign w:val="bottom"/>
          </w:tcPr>
          <w:p>
            <w:pPr>
              <w:jc w:val="center"/>
              <w:ind w:right="510"/>
              <w:spacing w:after="0"/>
              <w:rPr>
                <w:sz w:val="20"/>
                <w:szCs w:val="20"/>
                <w:color w:val="auto"/>
              </w:rPr>
            </w:pPr>
            <w:r>
              <w:rPr>
                <w:rFonts w:ascii="Calibri" w:cs="Calibri" w:eastAsia="Calibri" w:hAnsi="Calibri"/>
                <w:sz w:val="18"/>
                <w:szCs w:val="18"/>
                <w:color w:val="auto"/>
              </w:rPr>
              <w:t>10.1</w:t>
            </w:r>
          </w:p>
        </w:tc>
      </w:tr>
      <w:tr>
        <w:trPr>
          <w:trHeight w:val="527"/>
        </w:trPr>
        <w:tc>
          <w:tcPr>
            <w:tcW w:w="760" w:type="dxa"/>
            <w:vAlign w:val="bottom"/>
          </w:tcPr>
          <w:p>
            <w:pPr>
              <w:jc w:val="center"/>
              <w:ind w:right="290"/>
              <w:spacing w:after="0"/>
              <w:rPr>
                <w:sz w:val="20"/>
                <w:szCs w:val="20"/>
                <w:color w:val="auto"/>
              </w:rPr>
            </w:pPr>
            <w:r>
              <w:rPr>
                <w:rFonts w:ascii="Calibri" w:cs="Calibri" w:eastAsia="Calibri" w:hAnsi="Calibri"/>
                <w:sz w:val="18"/>
                <w:szCs w:val="18"/>
                <w:color w:val="auto"/>
                <w:w w:val="95"/>
              </w:rPr>
              <w:t>S-1</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11/8/2013</w:t>
            </w:r>
          </w:p>
        </w:tc>
        <w:tc>
          <w:tcPr>
            <w:tcW w:w="2080" w:type="dxa"/>
            <w:vAlign w:val="bottom"/>
          </w:tcPr>
          <w:p>
            <w:pPr>
              <w:jc w:val="center"/>
              <w:ind w:right="510"/>
              <w:spacing w:after="0"/>
              <w:rPr>
                <w:sz w:val="20"/>
                <w:szCs w:val="20"/>
                <w:color w:val="auto"/>
              </w:rPr>
            </w:pPr>
            <w:r>
              <w:rPr>
                <w:rFonts w:ascii="Calibri" w:cs="Calibri" w:eastAsia="Calibri" w:hAnsi="Calibri"/>
                <w:sz w:val="18"/>
                <w:szCs w:val="18"/>
                <w:color w:val="auto"/>
                <w:w w:val="97"/>
              </w:rPr>
              <w:t>10.18</w:t>
            </w:r>
          </w:p>
        </w:tc>
      </w:tr>
      <w:tr>
        <w:trPr>
          <w:trHeight w:val="743"/>
        </w:trPr>
        <w:tc>
          <w:tcPr>
            <w:tcW w:w="760" w:type="dxa"/>
            <w:vAlign w:val="bottom"/>
          </w:tcPr>
          <w:p>
            <w:pPr>
              <w:jc w:val="center"/>
              <w:ind w:right="290"/>
              <w:spacing w:after="0"/>
              <w:rPr>
                <w:sz w:val="20"/>
                <w:szCs w:val="20"/>
                <w:color w:val="auto"/>
              </w:rPr>
            </w:pPr>
            <w:r>
              <w:rPr>
                <w:rFonts w:ascii="Calibri" w:cs="Calibri" w:eastAsia="Calibri" w:hAnsi="Calibri"/>
                <w:sz w:val="18"/>
                <w:szCs w:val="18"/>
                <w:color w:val="auto"/>
                <w:w w:val="94"/>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8/11/2014</w:t>
            </w:r>
          </w:p>
        </w:tc>
        <w:tc>
          <w:tcPr>
            <w:tcW w:w="2080" w:type="dxa"/>
            <w:vAlign w:val="bottom"/>
          </w:tcPr>
          <w:p>
            <w:pPr>
              <w:jc w:val="center"/>
              <w:ind w:right="510"/>
              <w:spacing w:after="0"/>
              <w:rPr>
                <w:sz w:val="20"/>
                <w:szCs w:val="20"/>
                <w:color w:val="auto"/>
              </w:rPr>
            </w:pPr>
            <w:r>
              <w:rPr>
                <w:rFonts w:ascii="Calibri" w:cs="Calibri" w:eastAsia="Calibri" w:hAnsi="Calibri"/>
                <w:sz w:val="18"/>
                <w:szCs w:val="18"/>
                <w:color w:val="auto"/>
              </w:rPr>
              <w:t>10.2</w:t>
            </w:r>
          </w:p>
        </w:tc>
      </w:tr>
    </w:tbl>
    <w:p>
      <w:pPr>
        <w:sectPr>
          <w:pgSz w:w="11900" w:h="16838" w:orient="portrait"/>
          <w:cols w:equalWidth="0" w:num="3">
            <w:col w:w="500" w:space="500"/>
            <w:col w:w="4880" w:space="380"/>
            <w:col w:w="4520"/>
          </w:cols>
          <w:pgMar w:left="340" w:top="1071" w:right="779" w:bottom="1440" w:gutter="0" w:footer="0" w:header="0"/>
        </w:sectPr>
      </w:pPr>
    </w:p>
    <w:bookmarkStart w:id="89" w:name="page90"/>
    <w:bookmarkEnd w:id="89"/>
    <w:p>
      <w:pPr>
        <w:spacing w:after="0" w:line="5" w:lineRule="exact"/>
        <w:rPr>
          <w:sz w:val="20"/>
          <w:szCs w:val="20"/>
          <w:color w:val="auto"/>
        </w:rPr>
      </w:pPr>
    </w:p>
    <w:p>
      <w:pPr>
        <w:ind w:left="1000" w:right="260" w:hanging="998"/>
        <w:spacing w:after="0" w:line="235" w:lineRule="auto"/>
        <w:tabs>
          <w:tab w:leader="none" w:pos="98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10.52#</w:t>
      </w:r>
      <w:r>
        <w:rPr>
          <w:sz w:val="20"/>
          <w:szCs w:val="20"/>
          <w:color w:val="auto"/>
        </w:rPr>
        <w:tab/>
      </w:r>
      <w:hyperlink r:id="rId217">
        <w:r>
          <w:rPr>
            <w:rFonts w:ascii="Calibri" w:cs="Calibri" w:eastAsia="Calibri" w:hAnsi="Calibri"/>
            <w:sz w:val="18"/>
            <w:szCs w:val="18"/>
            <w:u w:val="single" w:color="auto"/>
            <w:color w:val="0000FF"/>
          </w:rPr>
          <w:t>Amendment No. 2, dated September 13, 2022, to Executve</w:t>
        </w:r>
      </w:hyperlink>
      <w:r>
        <w:rPr>
          <w:rFonts w:ascii="Calibri" w:cs="Calibri" w:eastAsia="Calibri" w:hAnsi="Calibri"/>
          <w:sz w:val="18"/>
          <w:szCs w:val="18"/>
          <w:u w:val="single" w:color="auto"/>
          <w:color w:val="0000FF"/>
        </w:rPr>
        <w:t xml:space="preserve"> </w:t>
      </w:r>
      <w:hyperlink r:id="rId217">
        <w:r>
          <w:rPr>
            <w:rFonts w:ascii="Calibri" w:cs="Calibri" w:eastAsia="Calibri" w:hAnsi="Calibri"/>
            <w:sz w:val="18"/>
            <w:szCs w:val="18"/>
            <w:u w:val="single" w:color="auto"/>
            <w:color w:val="0000FF"/>
          </w:rPr>
          <w:t>Employment Agreement between Ultragenyx Pharmaceutcal Inc.</w:t>
        </w:r>
      </w:hyperlink>
      <w:r>
        <w:rPr>
          <w:rFonts w:ascii="Calibri" w:cs="Calibri" w:eastAsia="Calibri" w:hAnsi="Calibri"/>
          <w:sz w:val="18"/>
          <w:szCs w:val="18"/>
          <w:u w:val="single" w:color="auto"/>
          <w:color w:val="0000FF"/>
        </w:rPr>
        <w:t xml:space="preserve"> </w:t>
      </w:r>
      <w:hyperlink r:id="rId217">
        <w:r>
          <w:rPr>
            <w:rFonts w:ascii="Calibri" w:cs="Calibri" w:eastAsia="Calibri" w:hAnsi="Calibri"/>
            <w:sz w:val="18"/>
            <w:szCs w:val="18"/>
            <w:u w:val="single" w:color="auto"/>
            <w:color w:val="0000FF"/>
          </w:rPr>
          <w:t>and Emil D. Kakkis, M.D., Ph.D.</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635000</wp:posOffset>
            </wp:positionH>
            <wp:positionV relativeFrom="paragraph">
              <wp:posOffset>-292100</wp:posOffset>
            </wp:positionV>
            <wp:extent cx="272161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8">
                      <a:extLst>
                        <a:ext uri="{28A0092B-C50C-407E-A947-70E740481C1C}"/>
                      </a:extLst>
                    </a:blip>
                    <a:srcRect/>
                    <a:stretch>
                      <a:fillRect/>
                    </a:stretch>
                  </pic:blipFill>
                  <pic:spPr bwMode="auto">
                    <a:xfrm>
                      <a:off x="0" y="0"/>
                      <a:ext cx="2721610"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-154940</wp:posOffset>
            </wp:positionV>
            <wp:extent cx="2989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9">
                      <a:extLst>
                        <a:ext uri="{28A0092B-C50C-407E-A947-70E740481C1C}"/>
                      </a:extLst>
                    </a:blip>
                    <a:srcRect/>
                    <a:stretch>
                      <a:fillRect/>
                    </a:stretch>
                  </pic:blipFill>
                  <pic:spPr bwMode="auto">
                    <a:xfrm>
                      <a:off x="0" y="0"/>
                      <a:ext cx="298958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-17780</wp:posOffset>
            </wp:positionV>
            <wp:extent cx="138620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0">
                      <a:extLst>
                        <a:ext uri="{28A0092B-C50C-407E-A947-70E740481C1C}"/>
                      </a:extLst>
                    </a:blip>
                    <a:srcRect/>
                    <a:stretch>
                      <a:fillRect/>
                    </a:stretch>
                  </pic:blipFill>
                  <pic:spPr bwMode="auto">
                    <a:xfrm>
                      <a:off x="0" y="0"/>
                      <a:ext cx="1386205" cy="8255"/>
                    </a:xfrm>
                    <a:prstGeom prst="rect">
                      <a:avLst/>
                    </a:prstGeom>
                    <a:noFill/>
                  </pic:spPr>
                </pic:pic>
              </a:graphicData>
            </a:graphic>
          </wp:anchor>
        </w:drawing>
      </w:r>
    </w:p>
    <w:p>
      <w:pPr>
        <w:spacing w:after="0" w:line="77" w:lineRule="exact"/>
        <w:rPr>
          <w:rFonts w:ascii="Calibri" w:cs="Calibri" w:eastAsia="Calibri" w:hAnsi="Calibri"/>
          <w:sz w:val="18"/>
          <w:szCs w:val="18"/>
          <w:u w:val="single" w:color="auto"/>
          <w:color w:val="0000FF"/>
        </w:rPr>
      </w:pPr>
    </w:p>
    <w:p>
      <w:pPr>
        <w:ind w:left="1000" w:right="400" w:hanging="998"/>
        <w:spacing w:after="0" w:line="235" w:lineRule="auto"/>
        <w:tabs>
          <w:tab w:leader="none" w:pos="98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10.53#</w:t>
      </w:r>
      <w:r>
        <w:rPr>
          <w:sz w:val="20"/>
          <w:szCs w:val="20"/>
          <w:color w:val="auto"/>
        </w:rPr>
        <w:tab/>
      </w:r>
      <w:hyperlink r:id="rId221">
        <w:r>
          <w:rPr>
            <w:rFonts w:ascii="Calibri" w:cs="Calibri" w:eastAsia="Calibri" w:hAnsi="Calibri"/>
            <w:sz w:val="18"/>
            <w:szCs w:val="18"/>
            <w:u w:val="single" w:color="auto"/>
            <w:color w:val="0000FF"/>
          </w:rPr>
          <w:t>Ofer Leter, dated as of October 31, 2011, between Ultragenyx</w:t>
        </w:r>
      </w:hyperlink>
      <w:r>
        <w:rPr>
          <w:rFonts w:ascii="Calibri" w:cs="Calibri" w:eastAsia="Calibri" w:hAnsi="Calibri"/>
          <w:sz w:val="18"/>
          <w:szCs w:val="18"/>
          <w:u w:val="single" w:color="auto"/>
          <w:color w:val="0000FF"/>
        </w:rPr>
        <w:t xml:space="preserve"> </w:t>
      </w:r>
      <w:hyperlink r:id="rId221">
        <w:r>
          <w:rPr>
            <w:rFonts w:ascii="Calibri" w:cs="Calibri" w:eastAsia="Calibri" w:hAnsi="Calibri"/>
            <w:sz w:val="18"/>
            <w:szCs w:val="18"/>
            <w:u w:val="single" w:color="auto"/>
            <w:color w:val="0000FF"/>
          </w:rPr>
          <w:t>Pharmaceutcal Inc. and Thomas Kassberg</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-155575</wp:posOffset>
            </wp:positionV>
            <wp:extent cx="288988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2">
                      <a:extLst>
                        <a:ext uri="{28A0092B-C50C-407E-A947-70E740481C1C}"/>
                      </a:extLst>
                    </a:blip>
                    <a:srcRect/>
                    <a:stretch>
                      <a:fillRect/>
                    </a:stretch>
                  </pic:blipFill>
                  <pic:spPr bwMode="auto">
                    <a:xfrm>
                      <a:off x="0" y="0"/>
                      <a:ext cx="288988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-18415</wp:posOffset>
            </wp:positionV>
            <wp:extent cx="189420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3">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spacing w:after="0" w:line="76" w:lineRule="exact"/>
        <w:rPr>
          <w:sz w:val="20"/>
          <w:szCs w:val="20"/>
          <w:color w:val="auto"/>
        </w:rPr>
      </w:pPr>
    </w:p>
    <w:p>
      <w:pPr>
        <w:ind w:left="1000" w:right="440" w:hanging="998"/>
        <w:spacing w:after="0" w:line="249" w:lineRule="auto"/>
        <w:tabs>
          <w:tab w:leader="none" w:pos="980" w:val="left"/>
        </w:tabs>
        <w:rPr>
          <w:rFonts w:ascii="Calibri" w:cs="Calibri" w:eastAsia="Calibri" w:hAnsi="Calibri"/>
          <w:sz w:val="17"/>
          <w:szCs w:val="17"/>
          <w:u w:val="single" w:color="auto"/>
          <w:color w:val="0000FF"/>
        </w:rPr>
      </w:pPr>
      <w:r>
        <w:rPr>
          <w:rFonts w:ascii="Calibri" w:cs="Calibri" w:eastAsia="Calibri" w:hAnsi="Calibri"/>
          <w:sz w:val="18"/>
          <w:szCs w:val="18"/>
          <w:color w:val="auto"/>
        </w:rPr>
        <w:t>10.54#</w:t>
      </w:r>
      <w:r>
        <w:rPr>
          <w:sz w:val="20"/>
          <w:szCs w:val="20"/>
          <w:color w:val="auto"/>
        </w:rPr>
        <w:tab/>
      </w:r>
      <w:hyperlink r:id="rId224">
        <w:r>
          <w:rPr>
            <w:rFonts w:ascii="Calibri" w:cs="Calibri" w:eastAsia="Calibri" w:hAnsi="Calibri"/>
            <w:sz w:val="17"/>
            <w:szCs w:val="17"/>
            <w:u w:val="single" w:color="auto"/>
            <w:color w:val="0000FF"/>
          </w:rPr>
          <w:t>Amendment No. 1 to Ofer Leter, dated as of August 8, 2014,</w:t>
        </w:r>
      </w:hyperlink>
      <w:r>
        <w:rPr>
          <w:rFonts w:ascii="Calibri" w:cs="Calibri" w:eastAsia="Calibri" w:hAnsi="Calibri"/>
          <w:sz w:val="17"/>
          <w:szCs w:val="17"/>
          <w:u w:val="single" w:color="auto"/>
          <w:color w:val="0000FF"/>
        </w:rPr>
        <w:t xml:space="preserve"> </w:t>
      </w:r>
      <w:hyperlink r:id="rId224">
        <w:r>
          <w:rPr>
            <w:rFonts w:ascii="Calibri" w:cs="Calibri" w:eastAsia="Calibri" w:hAnsi="Calibri"/>
            <w:sz w:val="17"/>
            <w:szCs w:val="17"/>
            <w:u w:val="single" w:color="auto"/>
            <w:color w:val="0000FF"/>
          </w:rPr>
          <w:t>between Ultragenyx Pharmaceutcal Inc. and Thomas Kassberg</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-155575</wp:posOffset>
            </wp:positionV>
            <wp:extent cx="2814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5">
                      <a:extLst>
                        <a:ext uri="{28A0092B-C50C-407E-A947-70E740481C1C}"/>
                      </a:extLst>
                    </a:blip>
                    <a:srcRect/>
                    <a:stretch>
                      <a:fillRect/>
                    </a:stretch>
                  </pic:blipFill>
                  <pic:spPr bwMode="auto">
                    <a:xfrm>
                      <a:off x="0" y="0"/>
                      <a:ext cx="281432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-18415</wp:posOffset>
            </wp:positionV>
            <wp:extent cx="28371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6">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ind w:left="1000" w:right="440" w:hanging="998"/>
        <w:spacing w:after="0" w:line="258" w:lineRule="auto"/>
        <w:tabs>
          <w:tab w:leader="none" w:pos="980" w:val="left"/>
        </w:tabs>
        <w:rPr>
          <w:rFonts w:ascii="Calibri" w:cs="Calibri" w:eastAsia="Calibri" w:hAnsi="Calibri"/>
          <w:sz w:val="17"/>
          <w:szCs w:val="17"/>
          <w:u w:val="single" w:color="auto"/>
          <w:color w:val="0000FF"/>
        </w:rPr>
      </w:pPr>
      <w:hyperlink r:id="rId227"/>
      <w:r>
        <w:rPr>
          <w:rFonts w:ascii="Calibri" w:cs="Calibri" w:eastAsia="Calibri" w:hAnsi="Calibri"/>
          <w:sz w:val="35"/>
          <w:szCs w:val="35"/>
          <w:color w:val="000000"/>
          <w:vertAlign w:val="subscript"/>
        </w:rPr>
        <w:t>10.55#</w:t>
      </w:r>
      <w:r>
        <w:rPr>
          <w:rFonts w:ascii="Calibri" w:cs="Calibri" w:eastAsia="Calibri" w:hAnsi="Calibri"/>
          <w:sz w:val="18"/>
          <w:szCs w:val="18"/>
          <w:color w:val="0000FF"/>
        </w:rPr>
        <w:tab/>
      </w:r>
      <w:hyperlink r:id="rId227">
        <w:r>
          <w:rPr>
            <w:rFonts w:ascii="Calibri" w:cs="Calibri" w:eastAsia="Calibri" w:hAnsi="Calibri"/>
            <w:sz w:val="17"/>
            <w:szCs w:val="17"/>
            <w:u w:val="single" w:color="auto"/>
            <w:color w:val="0000FF"/>
          </w:rPr>
          <w:t>Amendment No. 2, dated September 13, 2022, to Ofer Leter</w:t>
        </w:r>
      </w:hyperlink>
      <w:r>
        <w:rPr>
          <w:rFonts w:ascii="Calibri" w:cs="Calibri" w:eastAsia="Calibri" w:hAnsi="Calibri"/>
          <w:sz w:val="17"/>
          <w:szCs w:val="17"/>
          <w:u w:val="single" w:color="auto"/>
          <w:color w:val="0000FF"/>
        </w:rPr>
        <w:t xml:space="preserve"> </w:t>
      </w:r>
      <w:hyperlink r:id="rId227">
        <w:r>
          <w:rPr>
            <w:rFonts w:ascii="Calibri" w:cs="Calibri" w:eastAsia="Calibri" w:hAnsi="Calibri"/>
            <w:sz w:val="17"/>
            <w:szCs w:val="17"/>
            <w:u w:val="single" w:color="auto"/>
            <w:color w:val="0000FF"/>
          </w:rPr>
          <w:t>between Ultragenyx Pharmaceutcal Inc. and Thomas Kassberg</w:t>
        </w:r>
      </w:hyperlink>
    </w:p>
    <w:p>
      <w:pPr>
        <w:spacing w:after="0" w:line="20" w:lineRule="exact"/>
        <w:rPr>
          <w:rFonts w:ascii="Calibri" w:cs="Calibri" w:eastAsia="Calibri" w:hAnsi="Calibri"/>
          <w:sz w:val="18"/>
          <w:szCs w:val="18"/>
          <w:color w:val="0000FF"/>
        </w:rPr>
      </w:pPr>
      <w:r>
        <w:rPr>
          <w:rFonts w:ascii="Calibri" w:cs="Calibri" w:eastAsia="Calibri" w:hAnsi="Calibri"/>
          <w:sz w:val="18"/>
          <w:szCs w:val="18"/>
          <w:color w:val="0000FF"/>
        </w:rPr>
        <w:drawing>
          <wp:anchor simplePos="0" relativeHeight="251657728" behindDoc="1" locked="0" layoutInCell="0" allowOverlap="1">
            <wp:simplePos x="0" y="0"/>
            <wp:positionH relativeFrom="column">
              <wp:posOffset>635000</wp:posOffset>
            </wp:positionH>
            <wp:positionV relativeFrom="paragraph">
              <wp:posOffset>-165100</wp:posOffset>
            </wp:positionV>
            <wp:extent cx="28155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8">
                      <a:extLst>
                        <a:ext uri="{28A0092B-C50C-407E-A947-70E740481C1C}"/>
                      </a:extLst>
                    </a:blip>
                    <a:srcRect/>
                    <a:stretch>
                      <a:fillRect/>
                    </a:stretch>
                  </pic:blipFill>
                  <pic:spPr bwMode="auto">
                    <a:xfrm>
                      <a:off x="0" y="0"/>
                      <a:ext cx="2815590"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-27940</wp:posOffset>
            </wp:positionV>
            <wp:extent cx="28371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9">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61" w:lineRule="exact"/>
        <w:rPr>
          <w:rFonts w:ascii="Calibri" w:cs="Calibri" w:eastAsia="Calibri" w:hAnsi="Calibri"/>
          <w:sz w:val="18"/>
          <w:szCs w:val="18"/>
          <w:color w:val="0000FF"/>
        </w:rPr>
      </w:pPr>
    </w:p>
    <w:p>
      <w:pPr>
        <w:ind w:left="1000" w:right="660" w:hanging="998"/>
        <w:spacing w:after="0" w:line="235" w:lineRule="auto"/>
        <w:tabs>
          <w:tab w:leader="none" w:pos="98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10.56#</w:t>
      </w:r>
      <w:r>
        <w:rPr>
          <w:sz w:val="20"/>
          <w:szCs w:val="20"/>
          <w:color w:val="auto"/>
        </w:rPr>
        <w:tab/>
      </w:r>
      <w:hyperlink r:id="rId230">
        <w:r>
          <w:rPr>
            <w:rFonts w:ascii="Calibri" w:cs="Calibri" w:eastAsia="Calibri" w:hAnsi="Calibri"/>
            <w:sz w:val="18"/>
            <w:szCs w:val="18"/>
            <w:u w:val="single" w:color="auto"/>
            <w:color w:val="0000FF"/>
          </w:rPr>
          <w:t>Ofer Leter, dated as of April 26, 2016, between Ultragenyx</w:t>
        </w:r>
      </w:hyperlink>
      <w:r>
        <w:rPr>
          <w:rFonts w:ascii="Calibri" w:cs="Calibri" w:eastAsia="Calibri" w:hAnsi="Calibri"/>
          <w:sz w:val="18"/>
          <w:szCs w:val="18"/>
          <w:u w:val="single" w:color="auto"/>
          <w:color w:val="0000FF"/>
        </w:rPr>
        <w:t xml:space="preserve"> </w:t>
      </w:r>
      <w:hyperlink r:id="rId230">
        <w:r>
          <w:rPr>
            <w:rFonts w:ascii="Calibri" w:cs="Calibri" w:eastAsia="Calibri" w:hAnsi="Calibri"/>
            <w:sz w:val="18"/>
            <w:szCs w:val="18"/>
            <w:u w:val="single" w:color="auto"/>
            <w:color w:val="0000FF"/>
          </w:rPr>
          <w:t>Pharmaceutcal Inc. and Karah Parschauer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-155575</wp:posOffset>
            </wp:positionV>
            <wp:extent cx="273304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1">
                      <a:extLst>
                        <a:ext uri="{28A0092B-C50C-407E-A947-70E740481C1C}"/>
                      </a:extLst>
                    </a:blip>
                    <a:srcRect/>
                    <a:stretch>
                      <a:fillRect/>
                    </a:stretch>
                  </pic:blipFill>
                  <pic:spPr bwMode="auto">
                    <a:xfrm>
                      <a:off x="0" y="0"/>
                      <a:ext cx="273304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-18415</wp:posOffset>
            </wp:positionV>
            <wp:extent cx="190055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2">
                      <a:extLst>
                        <a:ext uri="{28A0092B-C50C-407E-A947-70E740481C1C}"/>
                      </a:extLst>
                    </a:blip>
                    <a:srcRect/>
                    <a:stretch>
                      <a:fillRect/>
                    </a:stretch>
                  </pic:blipFill>
                  <pic:spPr bwMode="auto">
                    <a:xfrm>
                      <a:off x="0" y="0"/>
                      <a:ext cx="1900555" cy="8890"/>
                    </a:xfrm>
                    <a:prstGeom prst="rect">
                      <a:avLst/>
                    </a:prstGeom>
                    <a:noFill/>
                  </pic:spPr>
                </pic:pic>
              </a:graphicData>
            </a:graphic>
          </wp:anchor>
        </w:drawing>
      </w:r>
    </w:p>
    <w:p>
      <w:pPr>
        <w:spacing w:after="0" w:line="76" w:lineRule="exact"/>
        <w:rPr>
          <w:sz w:val="20"/>
          <w:szCs w:val="20"/>
          <w:color w:val="auto"/>
        </w:rPr>
      </w:pPr>
    </w:p>
    <w:p>
      <w:pPr>
        <w:ind w:left="1000" w:right="280" w:hanging="998"/>
        <w:spacing w:after="0" w:line="235" w:lineRule="auto"/>
        <w:tabs>
          <w:tab w:leader="none" w:pos="98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10.57#</w:t>
      </w:r>
      <w:r>
        <w:rPr>
          <w:sz w:val="20"/>
          <w:szCs w:val="20"/>
          <w:color w:val="auto"/>
        </w:rPr>
        <w:tab/>
      </w:r>
      <w:hyperlink r:id="rId233">
        <w:r>
          <w:rPr>
            <w:rFonts w:ascii="Calibri" w:cs="Calibri" w:eastAsia="Calibri" w:hAnsi="Calibri"/>
            <w:sz w:val="18"/>
            <w:szCs w:val="18"/>
            <w:u w:val="single" w:color="auto"/>
            <w:color w:val="0000FF"/>
          </w:rPr>
          <w:t>Amendment, dated September 13, 2022, to Ofer Leter between</w:t>
        </w:r>
      </w:hyperlink>
      <w:r>
        <w:rPr>
          <w:rFonts w:ascii="Calibri" w:cs="Calibri" w:eastAsia="Calibri" w:hAnsi="Calibri"/>
          <w:sz w:val="18"/>
          <w:szCs w:val="18"/>
          <w:u w:val="single" w:color="auto"/>
          <w:color w:val="0000FF"/>
        </w:rPr>
        <w:t xml:space="preserve"> </w:t>
      </w:r>
      <w:hyperlink r:id="rId233">
        <w:r>
          <w:rPr>
            <w:rFonts w:ascii="Calibri" w:cs="Calibri" w:eastAsia="Calibri" w:hAnsi="Calibri"/>
            <w:sz w:val="18"/>
            <w:szCs w:val="18"/>
            <w:u w:val="single" w:color="auto"/>
            <w:color w:val="0000FF"/>
          </w:rPr>
          <w:t>Ultragenyx Pharmaceutcal Inc. and Karah Parschauer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-155575</wp:posOffset>
            </wp:positionV>
            <wp:extent cx="297561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4">
                      <a:extLst>
                        <a:ext uri="{28A0092B-C50C-407E-A947-70E740481C1C}"/>
                      </a:extLst>
                    </a:blip>
                    <a:srcRect/>
                    <a:stretch>
                      <a:fillRect/>
                    </a:stretch>
                  </pic:blipFill>
                  <pic:spPr bwMode="auto">
                    <a:xfrm>
                      <a:off x="0" y="0"/>
                      <a:ext cx="297561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-18415</wp:posOffset>
            </wp:positionV>
            <wp:extent cx="24174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5">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292" w:lineRule="exact"/>
        <w:rPr>
          <w:sz w:val="20"/>
          <w:szCs w:val="20"/>
          <w:color w:val="auto"/>
        </w:rPr>
      </w:pPr>
    </w:p>
    <w:p>
      <w:pPr>
        <w:ind w:left="1000" w:right="360" w:hanging="998"/>
        <w:spacing w:after="0" w:line="235" w:lineRule="auto"/>
        <w:tabs>
          <w:tab w:leader="none" w:pos="98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10.58#</w:t>
      </w:r>
      <w:r>
        <w:rPr>
          <w:sz w:val="20"/>
          <w:szCs w:val="20"/>
          <w:color w:val="auto"/>
        </w:rPr>
        <w:tab/>
      </w:r>
      <w:hyperlink r:id="rId236">
        <w:r>
          <w:rPr>
            <w:rFonts w:ascii="Calibri" w:cs="Calibri" w:eastAsia="Calibri" w:hAnsi="Calibri"/>
            <w:sz w:val="18"/>
            <w:szCs w:val="18"/>
            <w:u w:val="single" w:color="auto"/>
            <w:color w:val="0000FF"/>
          </w:rPr>
          <w:t>Ofer Leter, dated as of February 20, 2015, between Ultragenyx</w:t>
        </w:r>
      </w:hyperlink>
      <w:r>
        <w:rPr>
          <w:rFonts w:ascii="Calibri" w:cs="Calibri" w:eastAsia="Calibri" w:hAnsi="Calibri"/>
          <w:sz w:val="18"/>
          <w:szCs w:val="18"/>
          <w:u w:val="single" w:color="auto"/>
          <w:color w:val="0000FF"/>
        </w:rPr>
        <w:t xml:space="preserve"> </w:t>
      </w:r>
      <w:hyperlink r:id="rId236">
        <w:r>
          <w:rPr>
            <w:rFonts w:ascii="Calibri" w:cs="Calibri" w:eastAsia="Calibri" w:hAnsi="Calibri"/>
            <w:sz w:val="18"/>
            <w:szCs w:val="18"/>
            <w:u w:val="single" w:color="auto"/>
            <w:color w:val="0000FF"/>
          </w:rPr>
          <w:t>Pharmaceutcal Inc. and Dennis Huang</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-155575</wp:posOffset>
            </wp:positionV>
            <wp:extent cx="292481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7">
                      <a:extLst>
                        <a:ext uri="{28A0092B-C50C-407E-A947-70E740481C1C}"/>
                      </a:extLst>
                    </a:blip>
                    <a:srcRect/>
                    <a:stretch>
                      <a:fillRect/>
                    </a:stretch>
                  </pic:blipFill>
                  <pic:spPr bwMode="auto">
                    <a:xfrm>
                      <a:off x="0" y="0"/>
                      <a:ext cx="292481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-18415</wp:posOffset>
            </wp:positionV>
            <wp:extent cx="17360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8">
                      <a:extLst>
                        <a:ext uri="{28A0092B-C50C-407E-A947-70E740481C1C}"/>
                      </a:extLst>
                    </a:blip>
                    <a:srcRect/>
                    <a:stretch>
                      <a:fillRect/>
                    </a:stretch>
                  </pic:blipFill>
                  <pic:spPr bwMode="auto">
                    <a:xfrm>
                      <a:off x="0" y="0"/>
                      <a:ext cx="1736090" cy="8255"/>
                    </a:xfrm>
                    <a:prstGeom prst="rect">
                      <a:avLst/>
                    </a:prstGeom>
                    <a:noFill/>
                  </pic:spPr>
                </pic:pic>
              </a:graphicData>
            </a:graphic>
          </wp:anchor>
        </w:drawing>
      </w:r>
    </w:p>
    <w:p>
      <w:pPr>
        <w:spacing w:after="0" w:line="76" w:lineRule="exact"/>
        <w:rPr>
          <w:sz w:val="20"/>
          <w:szCs w:val="20"/>
          <w:color w:val="auto"/>
        </w:rPr>
      </w:pPr>
    </w:p>
    <w:p>
      <w:pPr>
        <w:jc w:val="center"/>
        <w:ind w:right="280"/>
        <w:spacing w:after="0" w:line="235" w:lineRule="auto"/>
        <w:rPr>
          <w:rFonts w:ascii="Calibri" w:cs="Calibri" w:eastAsia="Calibri" w:hAnsi="Calibri"/>
          <w:sz w:val="18"/>
          <w:szCs w:val="18"/>
          <w:u w:val="single" w:color="auto"/>
          <w:color w:val="0000FF"/>
        </w:rPr>
      </w:pPr>
      <w:r>
        <w:rPr>
          <w:rFonts w:ascii="Calibri" w:cs="Calibri" w:eastAsia="Calibri" w:hAnsi="Calibri"/>
          <w:sz w:val="18"/>
          <w:szCs w:val="18"/>
          <w:color w:val="auto"/>
        </w:rPr>
        <w:t xml:space="preserve">10.59#      </w:t>
      </w:r>
      <w:hyperlink r:id="rId239">
        <w:r>
          <w:rPr>
            <w:rFonts w:ascii="Calibri" w:cs="Calibri" w:eastAsia="Calibri" w:hAnsi="Calibri"/>
            <w:sz w:val="18"/>
            <w:szCs w:val="18"/>
            <w:u w:val="single" w:color="auto"/>
            <w:color w:val="0000FF"/>
          </w:rPr>
          <w:t>Amendment, dated September 13, 2022, to Ofer Leter between</w:t>
        </w:r>
      </w:hyperlink>
      <w:r>
        <w:rPr>
          <w:rFonts w:ascii="Calibri" w:cs="Calibri" w:eastAsia="Calibri" w:hAnsi="Calibri"/>
          <w:sz w:val="18"/>
          <w:szCs w:val="18"/>
          <w:color w:val="auto"/>
        </w:rPr>
        <w:t xml:space="preserve"> </w:t>
      </w:r>
      <w:hyperlink r:id="rId239">
        <w:r>
          <w:rPr>
            <w:rFonts w:ascii="Calibri" w:cs="Calibri" w:eastAsia="Calibri" w:hAnsi="Calibri"/>
            <w:sz w:val="18"/>
            <w:szCs w:val="18"/>
            <w:u w:val="single" w:color="auto"/>
            <w:color w:val="0000FF"/>
          </w:rPr>
          <w:t>Ultragenyx Pharmaceutcal Inc. and Dennis Huang</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-155575</wp:posOffset>
            </wp:positionV>
            <wp:extent cx="297561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40">
                      <a:extLst>
                        <a:ext uri="{28A0092B-C50C-407E-A947-70E740481C1C}"/>
                      </a:extLst>
                    </a:blip>
                    <a:srcRect/>
                    <a:stretch>
                      <a:fillRect/>
                    </a:stretch>
                  </pic:blipFill>
                  <pic:spPr bwMode="auto">
                    <a:xfrm>
                      <a:off x="0" y="0"/>
                      <a:ext cx="297561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-18415</wp:posOffset>
            </wp:positionV>
            <wp:extent cx="22529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1">
                      <a:extLst>
                        <a:ext uri="{28A0092B-C50C-407E-A947-70E740481C1C}"/>
                      </a:extLst>
                    </a:blip>
                    <a:srcRect/>
                    <a:stretch>
                      <a:fillRect/>
                    </a:stretch>
                  </pic:blipFill>
                  <pic:spPr bwMode="auto">
                    <a:xfrm>
                      <a:off x="0" y="0"/>
                      <a:ext cx="2252980" cy="8255"/>
                    </a:xfrm>
                    <a:prstGeom prst="rect">
                      <a:avLst/>
                    </a:prstGeom>
                    <a:noFill/>
                  </pic:spPr>
                </pic:pic>
              </a:graphicData>
            </a:graphic>
          </wp:anchor>
        </w:drawing>
      </w:r>
    </w:p>
    <w:p>
      <w:pPr>
        <w:spacing w:after="0" w:line="76" w:lineRule="exact"/>
        <w:rPr>
          <w:sz w:val="20"/>
          <w:szCs w:val="20"/>
          <w:color w:val="auto"/>
        </w:rPr>
      </w:pPr>
    </w:p>
    <w:p>
      <w:pPr>
        <w:ind w:left="1000" w:right="660" w:hanging="998"/>
        <w:spacing w:after="0" w:line="235" w:lineRule="auto"/>
        <w:tabs>
          <w:tab w:leader="none" w:pos="98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10.60#</w:t>
      </w:r>
      <w:r>
        <w:rPr>
          <w:sz w:val="20"/>
          <w:szCs w:val="20"/>
          <w:color w:val="auto"/>
        </w:rPr>
        <w:tab/>
      </w:r>
      <w:hyperlink r:id="rId242">
        <w:r>
          <w:rPr>
            <w:rFonts w:ascii="Calibri" w:cs="Calibri" w:eastAsia="Calibri" w:hAnsi="Calibri"/>
            <w:sz w:val="18"/>
            <w:szCs w:val="18"/>
            <w:u w:val="single" w:color="auto"/>
            <w:color w:val="0000FF"/>
          </w:rPr>
          <w:t>Ofer Leter, dated as of June 11, 2015, between Ultragenyx</w:t>
        </w:r>
      </w:hyperlink>
      <w:r>
        <w:rPr>
          <w:rFonts w:ascii="Calibri" w:cs="Calibri" w:eastAsia="Calibri" w:hAnsi="Calibri"/>
          <w:sz w:val="18"/>
          <w:szCs w:val="18"/>
          <w:u w:val="single" w:color="auto"/>
          <w:color w:val="0000FF"/>
        </w:rPr>
        <w:t xml:space="preserve"> </w:t>
      </w:r>
      <w:hyperlink r:id="rId242">
        <w:r>
          <w:rPr>
            <w:rFonts w:ascii="Calibri" w:cs="Calibri" w:eastAsia="Calibri" w:hAnsi="Calibri"/>
            <w:sz w:val="18"/>
            <w:szCs w:val="18"/>
            <w:u w:val="single" w:color="auto"/>
            <w:color w:val="0000FF"/>
          </w:rPr>
          <w:t>Pharmaceutcal Inc. and John R. Pinion II</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-155575</wp:posOffset>
            </wp:positionV>
            <wp:extent cx="272796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3">
                      <a:extLst>
                        <a:ext uri="{28A0092B-C50C-407E-A947-70E740481C1C}"/>
                      </a:extLst>
                    </a:blip>
                    <a:srcRect/>
                    <a:stretch>
                      <a:fillRect/>
                    </a:stretch>
                  </pic:blipFill>
                  <pic:spPr bwMode="auto">
                    <a:xfrm>
                      <a:off x="0" y="0"/>
                      <a:ext cx="2727960"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-18415</wp:posOffset>
            </wp:positionV>
            <wp:extent cx="182435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4">
                      <a:extLst>
                        <a:ext uri="{28A0092B-C50C-407E-A947-70E740481C1C}"/>
                      </a:extLst>
                    </a:blip>
                    <a:srcRect/>
                    <a:stretch>
                      <a:fillRect/>
                    </a:stretch>
                  </pic:blipFill>
                  <pic:spPr bwMode="auto">
                    <a:xfrm>
                      <a:off x="0" y="0"/>
                      <a:ext cx="1824355" cy="8890"/>
                    </a:xfrm>
                    <a:prstGeom prst="rect">
                      <a:avLst/>
                    </a:prstGeom>
                    <a:noFill/>
                  </pic:spPr>
                </pic:pic>
              </a:graphicData>
            </a:graphic>
          </wp:anchor>
        </w:drawing>
      </w:r>
    </w:p>
    <w:p>
      <w:pPr>
        <w:spacing w:after="0" w:line="71" w:lineRule="exact"/>
        <w:rPr>
          <w:sz w:val="20"/>
          <w:szCs w:val="20"/>
          <w:color w:val="auto"/>
        </w:rPr>
      </w:pPr>
    </w:p>
    <w:p>
      <w:pPr>
        <w:spacing w:after="0"/>
        <w:tabs>
          <w:tab w:leader="none" w:pos="980" w:val="left"/>
        </w:tabs>
        <w:rPr>
          <w:rFonts w:ascii="Calibri" w:cs="Calibri" w:eastAsia="Calibri" w:hAnsi="Calibri"/>
          <w:sz w:val="17"/>
          <w:szCs w:val="17"/>
          <w:u w:val="single" w:color="auto"/>
          <w:color w:val="0000FF"/>
        </w:rPr>
      </w:pPr>
      <w:r>
        <w:rPr>
          <w:rFonts w:ascii="Calibri" w:cs="Calibri" w:eastAsia="Calibri" w:hAnsi="Calibri"/>
          <w:sz w:val="18"/>
          <w:szCs w:val="18"/>
          <w:color w:val="auto"/>
        </w:rPr>
        <w:t>10.61#</w:t>
      </w:r>
      <w:r>
        <w:rPr>
          <w:sz w:val="20"/>
          <w:szCs w:val="20"/>
          <w:color w:val="auto"/>
        </w:rPr>
        <w:tab/>
      </w:r>
      <w:hyperlink r:id="rId245">
        <w:r>
          <w:rPr>
            <w:rFonts w:ascii="Calibri" w:cs="Calibri" w:eastAsia="Calibri" w:hAnsi="Calibri"/>
            <w:sz w:val="17"/>
            <w:szCs w:val="17"/>
            <w:u w:val="single" w:color="auto"/>
            <w:color w:val="0000FF"/>
          </w:rPr>
          <w:t>Amendment, dated September 13, 2022, to Ofer Leter between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-19050</wp:posOffset>
            </wp:positionV>
            <wp:extent cx="297561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6">
                      <a:extLst>
                        <a:ext uri="{28A0092B-C50C-407E-A947-70E740481C1C}"/>
                      </a:extLst>
                    </a:blip>
                    <a:srcRect/>
                    <a:stretch>
                      <a:fillRect/>
                    </a:stretch>
                  </pic:blipFill>
                  <pic:spPr bwMode="auto">
                    <a:xfrm>
                      <a:off x="0" y="0"/>
                      <a:ext cx="2975610" cy="8255"/>
                    </a:xfrm>
                    <a:prstGeom prst="rect">
                      <a:avLst/>
                    </a:prstGeom>
                    <a:noFill/>
                  </pic:spPr>
                </pic:pic>
              </a:graphicData>
            </a:graphic>
          </wp:anchor>
        </w:drawing>
      </w:r>
    </w:p>
    <w:p>
      <w:pPr>
        <w:ind w:left="1000"/>
        <w:spacing w:after="0" w:line="235" w:lineRule="auto"/>
        <w:rPr>
          <w:rFonts w:ascii="Calibri" w:cs="Calibri" w:eastAsia="Calibri" w:hAnsi="Calibri"/>
          <w:sz w:val="18"/>
          <w:szCs w:val="18"/>
          <w:u w:val="single" w:color="auto"/>
          <w:color w:val="0000FF"/>
        </w:rPr>
      </w:pPr>
      <w:hyperlink r:id="rId245">
        <w:r>
          <w:rPr>
            <w:rFonts w:ascii="Calibri" w:cs="Calibri" w:eastAsia="Calibri" w:hAnsi="Calibri"/>
            <w:sz w:val="18"/>
            <w:szCs w:val="18"/>
            <w:u w:val="single" w:color="auto"/>
            <w:color w:val="0000FF"/>
          </w:rPr>
          <w:t>Ultragenyx Pharmaceutcal Inc. and John R. Pinion II</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-18415</wp:posOffset>
            </wp:positionV>
            <wp:extent cx="23412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7">
                      <a:extLst>
                        <a:ext uri="{28A0092B-C50C-407E-A947-70E740481C1C}"/>
                      </a:extLst>
                    </a:blip>
                    <a:srcRect/>
                    <a:stretch>
                      <a:fillRect/>
                    </a:stretch>
                  </pic:blipFill>
                  <pic:spPr bwMode="auto">
                    <a:xfrm>
                      <a:off x="0" y="0"/>
                      <a:ext cx="2341245" cy="8255"/>
                    </a:xfrm>
                    <a:prstGeom prst="rect">
                      <a:avLst/>
                    </a:prstGeom>
                    <a:noFill/>
                  </pic:spPr>
                </pic:pic>
              </a:graphicData>
            </a:graphic>
          </wp:anchor>
        </w:drawing>
      </w:r>
    </w:p>
    <w:p>
      <w:pPr>
        <w:spacing w:after="0" w:line="288" w:lineRule="exact"/>
        <w:rPr>
          <w:sz w:val="20"/>
          <w:szCs w:val="20"/>
          <w:color w:val="auto"/>
        </w:rPr>
      </w:pPr>
    </w:p>
    <w:p>
      <w:pPr>
        <w:spacing w:after="0"/>
        <w:tabs>
          <w:tab w:leader="none" w:pos="980" w:val="left"/>
        </w:tabs>
        <w:rPr>
          <w:rFonts w:ascii="Calibri" w:cs="Calibri" w:eastAsia="Calibri" w:hAnsi="Calibri"/>
          <w:sz w:val="17"/>
          <w:szCs w:val="17"/>
          <w:u w:val="single" w:color="auto"/>
          <w:color w:val="0000FF"/>
        </w:rPr>
      </w:pPr>
      <w:r>
        <w:rPr>
          <w:rFonts w:ascii="Calibri" w:cs="Calibri" w:eastAsia="Calibri" w:hAnsi="Calibri"/>
          <w:sz w:val="18"/>
          <w:szCs w:val="18"/>
          <w:color w:val="auto"/>
        </w:rPr>
        <w:t>10.62#</w:t>
      </w:r>
      <w:r>
        <w:rPr>
          <w:sz w:val="20"/>
          <w:szCs w:val="20"/>
          <w:color w:val="auto"/>
        </w:rPr>
        <w:tab/>
      </w:r>
      <w:hyperlink r:id="rId248">
        <w:r>
          <w:rPr>
            <w:rFonts w:ascii="Calibri" w:cs="Calibri" w:eastAsia="Calibri" w:hAnsi="Calibri"/>
            <w:sz w:val="17"/>
            <w:szCs w:val="17"/>
            <w:u w:val="single" w:color="auto"/>
            <w:color w:val="0000FF"/>
          </w:rPr>
          <w:t>Amended and Restated Ofer Leter, dated March 31, 2023, between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-19050</wp:posOffset>
            </wp:positionV>
            <wp:extent cx="312864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9">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ind w:left="1000"/>
        <w:spacing w:after="0" w:line="235" w:lineRule="auto"/>
        <w:rPr>
          <w:rFonts w:ascii="Calibri" w:cs="Calibri" w:eastAsia="Calibri" w:hAnsi="Calibri"/>
          <w:sz w:val="18"/>
          <w:szCs w:val="18"/>
          <w:u w:val="single" w:color="auto"/>
          <w:color w:val="0000FF"/>
        </w:rPr>
      </w:pPr>
      <w:hyperlink r:id="rId248">
        <w:r>
          <w:rPr>
            <w:rFonts w:ascii="Calibri" w:cs="Calibri" w:eastAsia="Calibri" w:hAnsi="Calibri"/>
            <w:sz w:val="18"/>
            <w:szCs w:val="18"/>
            <w:u w:val="single" w:color="auto"/>
            <w:color w:val="0000FF"/>
          </w:rPr>
          <w:t>Ultragenyx Pharmaceutcal Inc. and Eric Crombez, M.D.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-18415</wp:posOffset>
            </wp:positionV>
            <wp:extent cx="249301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50">
                      <a:extLst>
                        <a:ext uri="{28A0092B-C50C-407E-A947-70E740481C1C}"/>
                      </a:extLst>
                    </a:blip>
                    <a:srcRect/>
                    <a:stretch>
                      <a:fillRect/>
                    </a:stretch>
                  </pic:blipFill>
                  <pic:spPr bwMode="auto">
                    <a:xfrm>
                      <a:off x="0" y="0"/>
                      <a:ext cx="2493010" cy="8890"/>
                    </a:xfrm>
                    <a:prstGeom prst="rect">
                      <a:avLst/>
                    </a:prstGeom>
                    <a:noFill/>
                  </pic:spPr>
                </pic:pic>
              </a:graphicData>
            </a:graphic>
          </wp:anchor>
        </w:drawing>
      </w:r>
    </w:p>
    <w:p>
      <w:pPr>
        <w:spacing w:after="0" w:line="72" w:lineRule="exact"/>
        <w:rPr>
          <w:sz w:val="20"/>
          <w:szCs w:val="20"/>
          <w:color w:val="auto"/>
        </w:rPr>
      </w:pPr>
    </w:p>
    <w:p>
      <w:pPr>
        <w:jc w:val="center"/>
        <w:ind w:right="1120"/>
        <w:spacing w:after="0"/>
        <w:tabs>
          <w:tab w:leader="none" w:pos="48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10.63#</w:t>
      </w:r>
      <w:r>
        <w:rPr>
          <w:sz w:val="20"/>
          <w:szCs w:val="20"/>
          <w:color w:val="auto"/>
        </w:rPr>
        <w:tab/>
      </w:r>
      <w:hyperlink r:id="rId251">
        <w:r>
          <w:rPr>
            <w:rFonts w:ascii="Calibri" w:cs="Calibri" w:eastAsia="Calibri" w:hAnsi="Calibri"/>
            <w:sz w:val="18"/>
            <w:szCs w:val="18"/>
            <w:u w:val="single" w:color="auto"/>
            <w:color w:val="0000FF"/>
          </w:rPr>
          <w:t>Ofer Leter, dated June 2, 2023, between Ultragenyx</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-18415</wp:posOffset>
            </wp:positionV>
            <wp:extent cx="24314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52">
                      <a:extLst>
                        <a:ext uri="{28A0092B-C50C-407E-A947-70E740481C1C}"/>
                      </a:extLst>
                    </a:blip>
                    <a:srcRect/>
                    <a:stretch>
                      <a:fillRect/>
                    </a:stretch>
                  </pic:blipFill>
                  <pic:spPr bwMode="auto">
                    <a:xfrm>
                      <a:off x="0" y="0"/>
                      <a:ext cx="2431415" cy="8255"/>
                    </a:xfrm>
                    <a:prstGeom prst="rect">
                      <a:avLst/>
                    </a:prstGeom>
                    <a:noFill/>
                  </pic:spPr>
                </pic:pic>
              </a:graphicData>
            </a:graphic>
          </wp:anchor>
        </w:drawing>
      </w:r>
    </w:p>
    <w:p>
      <w:pPr>
        <w:jc w:val="center"/>
        <w:ind w:right="1220"/>
        <w:spacing w:after="0" w:line="235" w:lineRule="auto"/>
        <w:rPr>
          <w:rFonts w:ascii="Calibri" w:cs="Calibri" w:eastAsia="Calibri" w:hAnsi="Calibri"/>
          <w:sz w:val="18"/>
          <w:szCs w:val="18"/>
          <w:u w:val="single" w:color="auto"/>
          <w:color w:val="0000FF"/>
        </w:rPr>
      </w:pPr>
      <w:hyperlink r:id="rId251">
        <w:r>
          <w:rPr>
            <w:rFonts w:ascii="Calibri" w:cs="Calibri" w:eastAsia="Calibri" w:hAnsi="Calibri"/>
            <w:sz w:val="18"/>
            <w:szCs w:val="18"/>
            <w:u w:val="single" w:color="auto"/>
            <w:color w:val="0000FF"/>
          </w:rPr>
          <w:t>Pharmaceutcal Inc. and Howard Horn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-18415</wp:posOffset>
            </wp:positionV>
            <wp:extent cx="171767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53">
                      <a:extLst>
                        <a:ext uri="{28A0092B-C50C-407E-A947-70E740481C1C}"/>
                      </a:extLst>
                    </a:blip>
                    <a:srcRect/>
                    <a:stretch>
                      <a:fillRect/>
                    </a:stretch>
                  </pic:blipFill>
                  <pic:spPr bwMode="auto">
                    <a:xfrm>
                      <a:off x="0" y="0"/>
                      <a:ext cx="1717675" cy="8255"/>
                    </a:xfrm>
                    <a:prstGeom prst="rect">
                      <a:avLst/>
                    </a:prstGeom>
                    <a:noFill/>
                  </pic:spPr>
                </pic:pic>
              </a:graphicData>
            </a:graphic>
          </wp:anchor>
        </w:drawing>
      </w:r>
    </w:p>
    <w:p>
      <w:pPr>
        <w:spacing w:after="0" w:line="76" w:lineRule="exact"/>
        <w:rPr>
          <w:sz w:val="20"/>
          <w:szCs w:val="20"/>
          <w:color w:val="auto"/>
        </w:rPr>
      </w:pPr>
    </w:p>
    <w:p>
      <w:pPr>
        <w:ind w:left="1000" w:right="80" w:hanging="998"/>
        <w:spacing w:after="0" w:line="235" w:lineRule="auto"/>
        <w:tabs>
          <w:tab w:leader="none" w:pos="98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10.64#</w:t>
      </w:r>
      <w:r>
        <w:rPr>
          <w:sz w:val="20"/>
          <w:szCs w:val="20"/>
          <w:color w:val="auto"/>
        </w:rPr>
        <w:tab/>
      </w:r>
      <w:hyperlink r:id="rId254">
        <w:r>
          <w:rPr>
            <w:rFonts w:ascii="Calibri" w:cs="Calibri" w:eastAsia="Calibri" w:hAnsi="Calibri"/>
            <w:sz w:val="18"/>
            <w:szCs w:val="18"/>
            <w:u w:val="single" w:color="auto"/>
            <w:color w:val="0000FF"/>
          </w:rPr>
          <w:t>Amendment, dated September 6, 2023, to the Ofer Leter between</w:t>
        </w:r>
      </w:hyperlink>
      <w:r>
        <w:rPr>
          <w:rFonts w:ascii="Calibri" w:cs="Calibri" w:eastAsia="Calibri" w:hAnsi="Calibri"/>
          <w:sz w:val="18"/>
          <w:szCs w:val="18"/>
          <w:u w:val="single" w:color="auto"/>
          <w:color w:val="0000FF"/>
        </w:rPr>
        <w:t xml:space="preserve"> </w:t>
      </w:r>
      <w:hyperlink r:id="rId254">
        <w:r>
          <w:rPr>
            <w:rFonts w:ascii="Calibri" w:cs="Calibri" w:eastAsia="Calibri" w:hAnsi="Calibri"/>
            <w:sz w:val="18"/>
            <w:szCs w:val="18"/>
            <w:u w:val="single" w:color="auto"/>
            <w:color w:val="0000FF"/>
          </w:rPr>
          <w:t>Ultragenyx Pharmaceutcal Inc. and Howard Horn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-155575</wp:posOffset>
            </wp:positionV>
            <wp:extent cx="30956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55">
                      <a:extLst>
                        <a:ext uri="{28A0092B-C50C-407E-A947-70E740481C1C}"/>
                      </a:extLst>
                    </a:blip>
                    <a:srcRect/>
                    <a:stretch>
                      <a:fillRect/>
                    </a:stretch>
                  </pic:blipFill>
                  <pic:spPr bwMode="auto">
                    <a:xfrm>
                      <a:off x="0" y="0"/>
                      <a:ext cx="309562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-18415</wp:posOffset>
            </wp:positionV>
            <wp:extent cx="223456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6">
                      <a:extLst>
                        <a:ext uri="{28A0092B-C50C-407E-A947-70E740481C1C}"/>
                      </a:extLst>
                    </a:blip>
                    <a:srcRect/>
                    <a:stretch>
                      <a:fillRect/>
                    </a:stretch>
                  </pic:blipFill>
                  <pic:spPr bwMode="auto">
                    <a:xfrm>
                      <a:off x="0" y="0"/>
                      <a:ext cx="2234565" cy="8890"/>
                    </a:xfrm>
                    <a:prstGeom prst="rect">
                      <a:avLst/>
                    </a:prstGeom>
                    <a:noFill/>
                  </pic:spPr>
                </pic:pic>
              </a:graphicData>
            </a:graphic>
          </wp:anchor>
        </w:drawing>
      </w:r>
    </w:p>
    <w:p>
      <w:pPr>
        <w:spacing w:after="0" w:line="76" w:lineRule="exact"/>
        <w:rPr>
          <w:sz w:val="20"/>
          <w:szCs w:val="20"/>
          <w:color w:val="auto"/>
        </w:rPr>
      </w:pPr>
    </w:p>
    <w:p>
      <w:pPr>
        <w:ind w:left="1000" w:right="1060" w:hanging="998"/>
        <w:spacing w:after="0" w:line="235" w:lineRule="auto"/>
        <w:tabs>
          <w:tab w:leader="none" w:pos="98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10.65#</w:t>
      </w:r>
      <w:r>
        <w:rPr>
          <w:sz w:val="20"/>
          <w:szCs w:val="20"/>
          <w:color w:val="auto"/>
        </w:rPr>
        <w:tab/>
      </w:r>
      <w:hyperlink r:id="rId257">
        <w:r>
          <w:rPr>
            <w:rFonts w:ascii="Calibri" w:cs="Calibri" w:eastAsia="Calibri" w:hAnsi="Calibri"/>
            <w:sz w:val="18"/>
            <w:szCs w:val="18"/>
            <w:u w:val="single" w:color="auto"/>
            <w:color w:val="0000FF"/>
          </w:rPr>
          <w:t>Ofer Leter, dated May 16, 2017, between Ultragenyx</w:t>
        </w:r>
      </w:hyperlink>
      <w:r>
        <w:rPr>
          <w:rFonts w:ascii="Calibri" w:cs="Calibri" w:eastAsia="Calibri" w:hAnsi="Calibri"/>
          <w:sz w:val="18"/>
          <w:szCs w:val="18"/>
          <w:u w:val="single" w:color="auto"/>
          <w:color w:val="0000FF"/>
        </w:rPr>
        <w:t xml:space="preserve"> </w:t>
      </w:r>
      <w:hyperlink r:id="rId257">
        <w:r>
          <w:rPr>
            <w:rFonts w:ascii="Calibri" w:cs="Calibri" w:eastAsia="Calibri" w:hAnsi="Calibri"/>
            <w:sz w:val="18"/>
            <w:szCs w:val="18"/>
            <w:u w:val="single" w:color="auto"/>
            <w:color w:val="0000FF"/>
          </w:rPr>
          <w:t>Pharmaceutcal Inc. and Erik Harris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-155575</wp:posOffset>
            </wp:positionV>
            <wp:extent cx="247904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8">
                      <a:extLst>
                        <a:ext uri="{28A0092B-C50C-407E-A947-70E740481C1C}"/>
                      </a:extLst>
                    </a:blip>
                    <a:srcRect/>
                    <a:stretch>
                      <a:fillRect/>
                    </a:stretch>
                  </pic:blipFill>
                  <pic:spPr bwMode="auto">
                    <a:xfrm>
                      <a:off x="0" y="0"/>
                      <a:ext cx="247904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-18415</wp:posOffset>
            </wp:positionV>
            <wp:extent cx="15722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9">
                      <a:extLst>
                        <a:ext uri="{28A0092B-C50C-407E-A947-70E740481C1C}"/>
                      </a:extLst>
                    </a:blip>
                    <a:srcRect/>
                    <a:stretch>
                      <a:fillRect/>
                    </a:stretch>
                  </pic:blipFill>
                  <pic:spPr bwMode="auto">
                    <a:xfrm>
                      <a:off x="0" y="0"/>
                      <a:ext cx="1572260" cy="8255"/>
                    </a:xfrm>
                    <a:prstGeom prst="rect">
                      <a:avLst/>
                    </a:prstGeom>
                    <a:noFill/>
                  </pic:spPr>
                </pic:pic>
              </a:graphicData>
            </a:graphic>
          </wp:anchor>
        </w:drawing>
      </w:r>
    </w:p>
    <w:p>
      <w:pPr>
        <w:spacing w:after="0" w:line="71" w:lineRule="exact"/>
        <w:rPr>
          <w:sz w:val="20"/>
          <w:szCs w:val="20"/>
          <w:color w:val="auto"/>
        </w:rPr>
      </w:pPr>
    </w:p>
    <w:p>
      <w:pPr>
        <w:spacing w:after="0"/>
        <w:tabs>
          <w:tab w:leader="none" w:pos="980" w:val="left"/>
        </w:tabs>
        <w:rPr>
          <w:rFonts w:ascii="Calibri" w:cs="Calibri" w:eastAsia="Calibri" w:hAnsi="Calibri"/>
          <w:sz w:val="17"/>
          <w:szCs w:val="17"/>
          <w:u w:val="single" w:color="auto"/>
          <w:color w:val="0000FF"/>
        </w:rPr>
      </w:pPr>
      <w:r>
        <w:rPr>
          <w:rFonts w:ascii="Calibri" w:cs="Calibri" w:eastAsia="Calibri" w:hAnsi="Calibri"/>
          <w:sz w:val="18"/>
          <w:szCs w:val="18"/>
          <w:color w:val="auto"/>
        </w:rPr>
        <w:t>10.66#</w:t>
      </w:r>
      <w:r>
        <w:rPr>
          <w:sz w:val="20"/>
          <w:szCs w:val="20"/>
          <w:color w:val="auto"/>
        </w:rPr>
        <w:tab/>
      </w:r>
      <w:hyperlink r:id="rId260">
        <w:r>
          <w:rPr>
            <w:rFonts w:ascii="Calibri" w:cs="Calibri" w:eastAsia="Calibri" w:hAnsi="Calibri"/>
            <w:sz w:val="17"/>
            <w:szCs w:val="17"/>
            <w:u w:val="single" w:color="auto"/>
            <w:color w:val="0000FF"/>
          </w:rPr>
          <w:t>Addendum #1, dated August 8, 2017, to Ofer Leter dated May 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-19050</wp:posOffset>
            </wp:positionV>
            <wp:extent cx="305943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61">
                      <a:extLst>
                        <a:ext uri="{28A0092B-C50C-407E-A947-70E740481C1C}"/>
                      </a:extLst>
                    </a:blip>
                    <a:srcRect/>
                    <a:stretch>
                      <a:fillRect/>
                    </a:stretch>
                  </pic:blipFill>
                  <pic:spPr bwMode="auto">
                    <a:xfrm>
                      <a:off x="0" y="0"/>
                      <a:ext cx="3059430" cy="8255"/>
                    </a:xfrm>
                    <a:prstGeom prst="rect">
                      <a:avLst/>
                    </a:prstGeom>
                    <a:noFill/>
                  </pic:spPr>
                </pic:pic>
              </a:graphicData>
            </a:graphic>
          </wp:anchor>
        </w:drawing>
      </w:r>
    </w:p>
    <w:p>
      <w:pPr>
        <w:ind w:left="1000"/>
        <w:spacing w:after="0" w:line="235" w:lineRule="auto"/>
        <w:rPr>
          <w:rFonts w:ascii="Calibri" w:cs="Calibri" w:eastAsia="Calibri" w:hAnsi="Calibri"/>
          <w:sz w:val="18"/>
          <w:szCs w:val="18"/>
          <w:u w:val="single" w:color="auto"/>
          <w:color w:val="0000FF"/>
        </w:rPr>
      </w:pPr>
      <w:hyperlink r:id="rId260">
        <w:r>
          <w:rPr>
            <w:rFonts w:ascii="Calibri" w:cs="Calibri" w:eastAsia="Calibri" w:hAnsi="Calibri"/>
            <w:sz w:val="18"/>
            <w:szCs w:val="18"/>
            <w:u w:val="single" w:color="auto"/>
            <w:color w:val="0000FF"/>
          </w:rPr>
          <w:t>2017 between Ultragenyx Pharmaceutcal Inc. and Erik Harris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-18415</wp:posOffset>
            </wp:positionV>
            <wp:extent cx="276606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62">
                      <a:extLst>
                        <a:ext uri="{28A0092B-C50C-407E-A947-70E740481C1C}"/>
                      </a:extLst>
                    </a:blip>
                    <a:srcRect/>
                    <a:stretch>
                      <a:fillRect/>
                    </a:stretch>
                  </pic:blipFill>
                  <pic:spPr bwMode="auto">
                    <a:xfrm>
                      <a:off x="0" y="0"/>
                      <a:ext cx="2766060" cy="8890"/>
                    </a:xfrm>
                    <a:prstGeom prst="rect">
                      <a:avLst/>
                    </a:prstGeom>
                    <a:noFill/>
                  </pic:spPr>
                </pic:pic>
              </a:graphicData>
            </a:graphic>
          </wp:anchor>
        </w:drawing>
      </w:r>
    </w:p>
    <w:p>
      <w:pPr>
        <w:spacing w:after="0" w:line="72" w:lineRule="exact"/>
        <w:rPr>
          <w:sz w:val="20"/>
          <w:szCs w:val="20"/>
          <w:color w:val="auto"/>
        </w:rPr>
      </w:pPr>
    </w:p>
    <w:p>
      <w:pPr>
        <w:spacing w:after="0"/>
        <w:tabs>
          <w:tab w:leader="none" w:pos="980" w:val="left"/>
        </w:tabs>
        <w:rPr>
          <w:rFonts w:ascii="Calibri" w:cs="Calibri" w:eastAsia="Calibri" w:hAnsi="Calibri"/>
          <w:sz w:val="17"/>
          <w:szCs w:val="17"/>
          <w:u w:val="single" w:color="auto"/>
          <w:color w:val="0000FF"/>
        </w:rPr>
      </w:pPr>
      <w:r>
        <w:rPr>
          <w:rFonts w:ascii="Calibri" w:cs="Calibri" w:eastAsia="Calibri" w:hAnsi="Calibri"/>
          <w:sz w:val="18"/>
          <w:szCs w:val="18"/>
          <w:color w:val="auto"/>
        </w:rPr>
        <w:t>10.67#</w:t>
      </w:r>
      <w:r>
        <w:rPr>
          <w:sz w:val="20"/>
          <w:szCs w:val="20"/>
          <w:color w:val="auto"/>
        </w:rPr>
        <w:tab/>
      </w:r>
      <w:hyperlink r:id="rId263">
        <w:r>
          <w:rPr>
            <w:rFonts w:ascii="Calibri" w:cs="Calibri" w:eastAsia="Calibri" w:hAnsi="Calibri"/>
            <w:sz w:val="17"/>
            <w:szCs w:val="17"/>
            <w:u w:val="single" w:color="auto"/>
            <w:color w:val="0000FF"/>
          </w:rPr>
          <w:t>Addendum #2, dated June 19, 2019, to Ofer Leter dated May 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-18415</wp:posOffset>
            </wp:positionV>
            <wp:extent cx="300926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64">
                      <a:extLst>
                        <a:ext uri="{28A0092B-C50C-407E-A947-70E740481C1C}"/>
                      </a:extLst>
                    </a:blip>
                    <a:srcRect/>
                    <a:stretch>
                      <a:fillRect/>
                    </a:stretch>
                  </pic:blipFill>
                  <pic:spPr bwMode="auto">
                    <a:xfrm>
                      <a:off x="0" y="0"/>
                      <a:ext cx="3009265" cy="8255"/>
                    </a:xfrm>
                    <a:prstGeom prst="rect">
                      <a:avLst/>
                    </a:prstGeom>
                    <a:noFill/>
                  </pic:spPr>
                </pic:pic>
              </a:graphicData>
            </a:graphic>
          </wp:anchor>
        </w:drawing>
      </w:r>
    </w:p>
    <w:p>
      <w:pPr>
        <w:ind w:left="1000"/>
        <w:spacing w:after="0" w:line="235" w:lineRule="auto"/>
        <w:rPr>
          <w:rFonts w:ascii="Calibri" w:cs="Calibri" w:eastAsia="Calibri" w:hAnsi="Calibri"/>
          <w:sz w:val="18"/>
          <w:szCs w:val="18"/>
          <w:u w:val="single" w:color="auto"/>
          <w:color w:val="0000FF"/>
        </w:rPr>
      </w:pPr>
      <w:hyperlink r:id="rId263">
        <w:r>
          <w:rPr>
            <w:rFonts w:ascii="Calibri" w:cs="Calibri" w:eastAsia="Calibri" w:hAnsi="Calibri"/>
            <w:sz w:val="18"/>
            <w:szCs w:val="18"/>
            <w:u w:val="single" w:color="auto"/>
            <w:color w:val="0000FF"/>
          </w:rPr>
          <w:t>2017 between Ultragenyx Pharmaceutcal Inc. and Erik Harris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-18415</wp:posOffset>
            </wp:positionV>
            <wp:extent cx="27660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65">
                      <a:extLst>
                        <a:ext uri="{28A0092B-C50C-407E-A947-70E740481C1C}"/>
                      </a:extLst>
                    </a:blip>
                    <a:srcRect/>
                    <a:stretch>
                      <a:fillRect/>
                    </a:stretch>
                  </pic:blipFill>
                  <pic:spPr bwMode="auto">
                    <a:xfrm>
                      <a:off x="0" y="0"/>
                      <a:ext cx="2766060" cy="8255"/>
                    </a:xfrm>
                    <a:prstGeom prst="rect">
                      <a:avLst/>
                    </a:prstGeom>
                    <a:noFill/>
                  </pic:spPr>
                </pic:pic>
              </a:graphicData>
            </a:graphic>
          </wp:anchor>
        </w:drawing>
      </w:r>
    </w:p>
    <w:p>
      <w:pPr>
        <w:spacing w:after="0" w:line="76" w:lineRule="exact"/>
        <w:rPr>
          <w:sz w:val="20"/>
          <w:szCs w:val="20"/>
          <w:color w:val="auto"/>
        </w:rPr>
      </w:pPr>
    </w:p>
    <w:p>
      <w:pPr>
        <w:ind w:left="1000" w:right="520" w:hanging="998"/>
        <w:spacing w:after="0" w:line="258" w:lineRule="auto"/>
        <w:tabs>
          <w:tab w:leader="none" w:pos="980" w:val="left"/>
        </w:tabs>
        <w:rPr>
          <w:rFonts w:ascii="Calibri" w:cs="Calibri" w:eastAsia="Calibri" w:hAnsi="Calibri"/>
          <w:sz w:val="17"/>
          <w:szCs w:val="17"/>
          <w:u w:val="single" w:color="auto"/>
          <w:color w:val="0000FF"/>
        </w:rPr>
      </w:pPr>
      <w:r>
        <w:rPr>
          <w:rFonts w:ascii="Calibri" w:cs="Calibri" w:eastAsia="Calibri" w:hAnsi="Calibri"/>
          <w:sz w:val="18"/>
          <w:szCs w:val="18"/>
          <w:color w:val="auto"/>
        </w:rPr>
        <w:t>10.68#</w:t>
      </w:r>
      <w:r>
        <w:rPr>
          <w:sz w:val="20"/>
          <w:szCs w:val="20"/>
          <w:color w:val="auto"/>
        </w:rPr>
        <w:tab/>
      </w:r>
      <w:hyperlink r:id="rId266">
        <w:r>
          <w:rPr>
            <w:rFonts w:ascii="Calibri" w:cs="Calibri" w:eastAsia="Calibri" w:hAnsi="Calibri"/>
            <w:sz w:val="17"/>
            <w:szCs w:val="17"/>
            <w:u w:val="single" w:color="auto"/>
            <w:color w:val="0000FF"/>
          </w:rPr>
          <w:t>Amendment No. 3, dated September 13, 2022, to Ofer Leter</w:t>
        </w:r>
      </w:hyperlink>
      <w:r>
        <w:rPr>
          <w:rFonts w:ascii="Calibri" w:cs="Calibri" w:eastAsia="Calibri" w:hAnsi="Calibri"/>
          <w:sz w:val="17"/>
          <w:szCs w:val="17"/>
          <w:u w:val="single" w:color="auto"/>
          <w:color w:val="0000FF"/>
        </w:rPr>
        <w:t xml:space="preserve"> </w:t>
      </w:r>
      <w:hyperlink r:id="rId266">
        <w:r>
          <w:rPr>
            <w:rFonts w:ascii="Calibri" w:cs="Calibri" w:eastAsia="Calibri" w:hAnsi="Calibri"/>
            <w:sz w:val="17"/>
            <w:szCs w:val="17"/>
            <w:u w:val="single" w:color="auto"/>
            <w:color w:val="0000FF"/>
          </w:rPr>
          <w:t>between Ultragenyx Pharmaceutcal Inc. and Erik Harris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-165735</wp:posOffset>
            </wp:positionV>
            <wp:extent cx="28155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67">
                      <a:extLst>
                        <a:ext uri="{28A0092B-C50C-407E-A947-70E740481C1C}"/>
                      </a:extLst>
                    </a:blip>
                    <a:srcRect/>
                    <a:stretch>
                      <a:fillRect/>
                    </a:stretch>
                  </pic:blipFill>
                  <pic:spPr bwMode="auto">
                    <a:xfrm>
                      <a:off x="0" y="0"/>
                      <a:ext cx="281559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-28575</wp:posOffset>
            </wp:positionV>
            <wp:extent cx="25152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8">
                      <a:extLst>
                        <a:ext uri="{28A0092B-C50C-407E-A947-70E740481C1C}"/>
                      </a:extLst>
                    </a:blip>
                    <a:srcRect/>
                    <a:stretch>
                      <a:fillRect/>
                    </a:stretch>
                  </pic:blipFill>
                  <pic:spPr bwMode="auto">
                    <a:xfrm>
                      <a:off x="0" y="0"/>
                      <a:ext cx="2515235" cy="8890"/>
                    </a:xfrm>
                    <a:prstGeom prst="rect">
                      <a:avLst/>
                    </a:prstGeom>
                    <a:noFill/>
                  </pic:spPr>
                </pic:pic>
              </a:graphicData>
            </a:graphic>
          </wp:anchor>
        </w:drawing>
      </w:r>
    </w:p>
    <w:p>
      <w:pPr>
        <w:spacing w:after="0" w:line="56" w:lineRule="exact"/>
        <w:rPr>
          <w:sz w:val="20"/>
          <w:szCs w:val="20"/>
          <w:color w:val="auto"/>
        </w:rPr>
      </w:pPr>
    </w:p>
    <w:p>
      <w:pPr>
        <w:spacing w:after="0"/>
        <w:tabs>
          <w:tab w:leader="none" w:pos="98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10.69#</w:t>
      </w:r>
      <w:r>
        <w:rPr>
          <w:sz w:val="20"/>
          <w:szCs w:val="20"/>
          <w:color w:val="auto"/>
        </w:rPr>
        <w:tab/>
      </w:r>
      <w:hyperlink r:id="rId269">
        <w:r>
          <w:rPr>
            <w:rFonts w:ascii="Calibri" w:cs="Calibri" w:eastAsia="Calibri" w:hAnsi="Calibri"/>
            <w:sz w:val="18"/>
            <w:szCs w:val="18"/>
            <w:u w:val="single" w:color="auto"/>
            <w:color w:val="0000FF"/>
          </w:rPr>
          <w:t>Form of Indemnifcaton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-18415</wp:posOffset>
            </wp:positionV>
            <wp:extent cx="16256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70">
                      <a:extLst>
                        <a:ext uri="{28A0092B-C50C-407E-A947-70E740481C1C}"/>
                      </a:extLst>
                    </a:blip>
                    <a:srcRect/>
                    <a:stretch>
                      <a:fillRect/>
                    </a:stretch>
                  </pic:blipFill>
                  <pic:spPr bwMode="auto">
                    <a:xfrm>
                      <a:off x="0" y="0"/>
                      <a:ext cx="1625600" cy="8255"/>
                    </a:xfrm>
                    <a:prstGeom prst="rect">
                      <a:avLst/>
                    </a:prstGeom>
                    <a:noFill/>
                  </pic:spPr>
                </pic:pic>
              </a:graphicData>
            </a:graphic>
          </wp:anchor>
        </w:drawing>
      </w:r>
    </w:p>
    <w:p>
      <w:pPr>
        <w:spacing w:after="0" w:line="76" w:lineRule="exact"/>
        <w:rPr>
          <w:sz w:val="20"/>
          <w:szCs w:val="20"/>
          <w:color w:val="auto"/>
        </w:rPr>
      </w:pPr>
    </w:p>
    <w:p>
      <w:pPr>
        <w:ind w:left="1000" w:right="560" w:hanging="998"/>
        <w:spacing w:after="0" w:line="249" w:lineRule="auto"/>
        <w:tabs>
          <w:tab w:leader="none" w:pos="980" w:val="left"/>
        </w:tabs>
        <w:rPr>
          <w:rFonts w:ascii="Calibri" w:cs="Calibri" w:eastAsia="Calibri" w:hAnsi="Calibri"/>
          <w:sz w:val="17"/>
          <w:szCs w:val="17"/>
          <w:u w:val="single" w:color="auto"/>
          <w:color w:val="0000FF"/>
        </w:rPr>
      </w:pPr>
      <w:r>
        <w:rPr>
          <w:rFonts w:ascii="Calibri" w:cs="Calibri" w:eastAsia="Calibri" w:hAnsi="Calibri"/>
          <w:sz w:val="18"/>
          <w:szCs w:val="18"/>
          <w:color w:val="auto"/>
        </w:rPr>
        <w:t>10.70</w:t>
      </w:r>
      <w:r>
        <w:rPr>
          <w:sz w:val="20"/>
          <w:szCs w:val="20"/>
          <w:color w:val="auto"/>
        </w:rPr>
        <w:tab/>
      </w:r>
      <w:hyperlink r:id="rId271">
        <w:r>
          <w:rPr>
            <w:rFonts w:ascii="Calibri" w:cs="Calibri" w:eastAsia="Calibri" w:hAnsi="Calibri"/>
            <w:sz w:val="17"/>
            <w:szCs w:val="17"/>
            <w:u w:val="single" w:color="auto"/>
            <w:color w:val="0000FF"/>
          </w:rPr>
          <w:t>Standard Lease, dated as of July 5, 2011, between Ultragenyx</w:t>
        </w:r>
      </w:hyperlink>
      <w:r>
        <w:rPr>
          <w:rFonts w:ascii="Calibri" w:cs="Calibri" w:eastAsia="Calibri" w:hAnsi="Calibri"/>
          <w:sz w:val="17"/>
          <w:szCs w:val="17"/>
          <w:u w:val="single" w:color="auto"/>
          <w:color w:val="0000FF"/>
        </w:rPr>
        <w:t xml:space="preserve"> </w:t>
      </w:r>
      <w:hyperlink r:id="rId271">
        <w:r>
          <w:rPr>
            <w:rFonts w:ascii="Calibri" w:cs="Calibri" w:eastAsia="Calibri" w:hAnsi="Calibri"/>
            <w:sz w:val="17"/>
            <w:szCs w:val="17"/>
            <w:u w:val="single" w:color="auto"/>
            <w:color w:val="0000FF"/>
          </w:rPr>
          <w:t>Pharmaceutcal Inc. and Condiot Enterprises,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-155575</wp:posOffset>
            </wp:positionV>
            <wp:extent cx="279781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72">
                      <a:extLst>
                        <a:ext uri="{28A0092B-C50C-407E-A947-70E740481C1C}"/>
                      </a:extLst>
                    </a:blip>
                    <a:srcRect/>
                    <a:stretch>
                      <a:fillRect/>
                    </a:stretch>
                  </pic:blipFill>
                  <pic:spPr bwMode="auto">
                    <a:xfrm>
                      <a:off x="0" y="0"/>
                      <a:ext cx="279781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-18415</wp:posOffset>
            </wp:positionV>
            <wp:extent cx="22733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73">
                      <a:extLst>
                        <a:ext uri="{28A0092B-C50C-407E-A947-70E740481C1C}"/>
                      </a:extLst>
                    </a:blip>
                    <a:srcRect/>
                    <a:stretch>
                      <a:fillRect/>
                    </a:stretch>
                  </pic:blipFill>
                  <pic:spPr bwMode="auto">
                    <a:xfrm>
                      <a:off x="0" y="0"/>
                      <a:ext cx="2273300" cy="8255"/>
                    </a:xfrm>
                    <a:prstGeom prst="rect">
                      <a:avLst/>
                    </a:prstGeom>
                    <a:noFill/>
                  </pic:spPr>
                </pic:pic>
              </a:graphicData>
            </a:graphic>
          </wp:anchor>
        </w:drawing>
      </w:r>
    </w:p>
    <w:p>
      <w:pPr>
        <w:ind w:left="5520"/>
        <w:spacing w:after="0" w:line="236" w:lineRule="auto"/>
        <w:rPr>
          <w:sz w:val="20"/>
          <w:szCs w:val="20"/>
          <w:color w:val="auto"/>
        </w:rPr>
      </w:pPr>
      <w:r>
        <w:rPr>
          <w:rFonts w:ascii="Calibri" w:cs="Calibri" w:eastAsia="Calibri" w:hAnsi="Calibri"/>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482600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740" w:type="dxa"/>
            <w:vAlign w:val="bottom"/>
          </w:tcPr>
          <w:p>
            <w:pPr>
              <w:jc w:val="center"/>
              <w:ind w:right="310"/>
              <w:spacing w:after="0"/>
              <w:rPr>
                <w:sz w:val="20"/>
                <w:szCs w:val="20"/>
                <w:color w:val="auto"/>
              </w:rPr>
            </w:pPr>
            <w:r>
              <w:rPr>
                <w:rFonts w:ascii="Calibri" w:cs="Calibri" w:eastAsia="Calibri" w:hAnsi="Calibri"/>
                <w:sz w:val="18"/>
                <w:szCs w:val="18"/>
                <w:color w:val="auto"/>
                <w:w w:val="94"/>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11/3/2022</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10.2</w:t>
            </w:r>
          </w:p>
        </w:tc>
      </w:tr>
      <w:tr>
        <w:trPr>
          <w:trHeight w:val="743"/>
        </w:trPr>
        <w:tc>
          <w:tcPr>
            <w:tcW w:w="740" w:type="dxa"/>
            <w:vAlign w:val="bottom"/>
          </w:tcPr>
          <w:p>
            <w:pPr>
              <w:jc w:val="center"/>
              <w:ind w:right="310"/>
              <w:spacing w:after="0"/>
              <w:rPr>
                <w:sz w:val="20"/>
                <w:szCs w:val="20"/>
                <w:color w:val="auto"/>
              </w:rPr>
            </w:pPr>
            <w:r>
              <w:rPr>
                <w:rFonts w:ascii="Calibri" w:cs="Calibri" w:eastAsia="Calibri" w:hAnsi="Calibri"/>
                <w:sz w:val="18"/>
                <w:szCs w:val="18"/>
                <w:color w:val="auto"/>
                <w:w w:val="95"/>
              </w:rPr>
              <w:t>S-1</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11/8/2013</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w w:val="97"/>
              </w:rPr>
              <w:t>10.19</w:t>
            </w:r>
          </w:p>
        </w:tc>
      </w:tr>
      <w:tr>
        <w:trPr>
          <w:trHeight w:val="527"/>
        </w:trPr>
        <w:tc>
          <w:tcPr>
            <w:tcW w:w="740" w:type="dxa"/>
            <w:vAlign w:val="bottom"/>
          </w:tcPr>
          <w:p>
            <w:pPr>
              <w:jc w:val="center"/>
              <w:ind w:right="310"/>
              <w:spacing w:after="0"/>
              <w:rPr>
                <w:sz w:val="20"/>
                <w:szCs w:val="20"/>
                <w:color w:val="auto"/>
              </w:rPr>
            </w:pPr>
            <w:r>
              <w:rPr>
                <w:rFonts w:ascii="Calibri" w:cs="Calibri" w:eastAsia="Calibri" w:hAnsi="Calibri"/>
                <w:sz w:val="18"/>
                <w:szCs w:val="18"/>
                <w:color w:val="auto"/>
                <w:w w:val="94"/>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8/11/2014</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10.3</w:t>
            </w:r>
          </w:p>
        </w:tc>
      </w:tr>
      <w:tr>
        <w:trPr>
          <w:trHeight w:val="527"/>
        </w:trPr>
        <w:tc>
          <w:tcPr>
            <w:tcW w:w="740" w:type="dxa"/>
            <w:vAlign w:val="bottom"/>
          </w:tcPr>
          <w:p>
            <w:pPr>
              <w:jc w:val="center"/>
              <w:ind w:right="310"/>
              <w:spacing w:after="0"/>
              <w:rPr>
                <w:sz w:val="20"/>
                <w:szCs w:val="20"/>
                <w:color w:val="auto"/>
              </w:rPr>
            </w:pPr>
            <w:r>
              <w:rPr>
                <w:rFonts w:ascii="Calibri" w:cs="Calibri" w:eastAsia="Calibri" w:hAnsi="Calibri"/>
                <w:sz w:val="18"/>
                <w:szCs w:val="18"/>
                <w:color w:val="auto"/>
                <w:w w:val="94"/>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11/3/2022</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10.5</w:t>
            </w:r>
          </w:p>
        </w:tc>
      </w:tr>
      <w:tr>
        <w:trPr>
          <w:trHeight w:val="432"/>
        </w:trPr>
        <w:tc>
          <w:tcPr>
            <w:tcW w:w="740" w:type="dxa"/>
            <w:vAlign w:val="bottom"/>
          </w:tcPr>
          <w:p>
            <w:pPr>
              <w:jc w:val="center"/>
              <w:ind w:right="310"/>
              <w:spacing w:after="0"/>
              <w:rPr>
                <w:sz w:val="20"/>
                <w:szCs w:val="20"/>
                <w:color w:val="auto"/>
              </w:rPr>
            </w:pPr>
            <w:r>
              <w:rPr>
                <w:rFonts w:ascii="Calibri" w:cs="Calibri" w:eastAsia="Calibri" w:hAnsi="Calibri"/>
                <w:sz w:val="18"/>
                <w:szCs w:val="18"/>
                <w:color w:val="auto"/>
                <w:w w:val="94"/>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8"/>
              </w:rPr>
              <w:t>8/9/2016</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10.3</w:t>
            </w:r>
          </w:p>
        </w:tc>
      </w:tr>
      <w:tr>
        <w:trPr>
          <w:trHeight w:val="527"/>
        </w:trPr>
        <w:tc>
          <w:tcPr>
            <w:tcW w:w="740" w:type="dxa"/>
            <w:vAlign w:val="bottom"/>
          </w:tcPr>
          <w:p>
            <w:pPr>
              <w:jc w:val="center"/>
              <w:ind w:right="310"/>
              <w:spacing w:after="0"/>
              <w:rPr>
                <w:sz w:val="20"/>
                <w:szCs w:val="20"/>
                <w:color w:val="auto"/>
              </w:rPr>
            </w:pPr>
            <w:r>
              <w:rPr>
                <w:rFonts w:ascii="Calibri" w:cs="Calibri" w:eastAsia="Calibri" w:hAnsi="Calibri"/>
                <w:sz w:val="18"/>
                <w:szCs w:val="18"/>
                <w:color w:val="auto"/>
                <w:w w:val="94"/>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11/3/2022</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10.6</w:t>
            </w:r>
          </w:p>
        </w:tc>
      </w:tr>
      <w:tr>
        <w:trPr>
          <w:trHeight w:val="743"/>
        </w:trPr>
        <w:tc>
          <w:tcPr>
            <w:tcW w:w="740" w:type="dxa"/>
            <w:vAlign w:val="bottom"/>
          </w:tcPr>
          <w:p>
            <w:pPr>
              <w:jc w:val="center"/>
              <w:ind w:right="310"/>
              <w:spacing w:after="0"/>
              <w:rPr>
                <w:sz w:val="20"/>
                <w:szCs w:val="20"/>
                <w:color w:val="auto"/>
              </w:rPr>
            </w:pPr>
            <w:r>
              <w:rPr>
                <w:rFonts w:ascii="Calibri" w:cs="Calibri" w:eastAsia="Calibri" w:hAnsi="Calibri"/>
                <w:sz w:val="18"/>
                <w:szCs w:val="18"/>
                <w:color w:val="auto"/>
              </w:rPr>
              <w:t>10-K</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2/17/2017</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w w:val="97"/>
              </w:rPr>
              <w:t>10.36</w:t>
            </w:r>
          </w:p>
        </w:tc>
      </w:tr>
      <w:tr>
        <w:trPr>
          <w:trHeight w:val="526"/>
        </w:trPr>
        <w:tc>
          <w:tcPr>
            <w:tcW w:w="740" w:type="dxa"/>
            <w:vAlign w:val="bottom"/>
          </w:tcPr>
          <w:p>
            <w:pPr>
              <w:jc w:val="center"/>
              <w:ind w:right="310"/>
              <w:spacing w:after="0"/>
              <w:rPr>
                <w:sz w:val="20"/>
                <w:szCs w:val="20"/>
                <w:color w:val="auto"/>
              </w:rPr>
            </w:pPr>
            <w:r>
              <w:rPr>
                <w:rFonts w:ascii="Calibri" w:cs="Calibri" w:eastAsia="Calibri" w:hAnsi="Calibri"/>
                <w:sz w:val="18"/>
                <w:szCs w:val="18"/>
                <w:color w:val="auto"/>
                <w:w w:val="94"/>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11/3/2022</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10.7</w:t>
            </w:r>
          </w:p>
        </w:tc>
      </w:tr>
      <w:tr>
        <w:trPr>
          <w:trHeight w:val="527"/>
        </w:trPr>
        <w:tc>
          <w:tcPr>
            <w:tcW w:w="740" w:type="dxa"/>
            <w:vAlign w:val="bottom"/>
          </w:tcPr>
          <w:p>
            <w:pPr>
              <w:jc w:val="center"/>
              <w:ind w:right="310"/>
              <w:spacing w:after="0"/>
              <w:rPr>
                <w:sz w:val="20"/>
                <w:szCs w:val="20"/>
                <w:color w:val="auto"/>
              </w:rPr>
            </w:pPr>
            <w:r>
              <w:rPr>
                <w:rFonts w:ascii="Calibri" w:cs="Calibri" w:eastAsia="Calibri" w:hAnsi="Calibri"/>
                <w:sz w:val="18"/>
                <w:szCs w:val="18"/>
                <w:color w:val="auto"/>
              </w:rPr>
              <w:t>10-K</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2/17/2017</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w w:val="97"/>
              </w:rPr>
              <w:t>10.37</w:t>
            </w:r>
          </w:p>
        </w:tc>
      </w:tr>
      <w:tr>
        <w:trPr>
          <w:trHeight w:val="527"/>
        </w:trPr>
        <w:tc>
          <w:tcPr>
            <w:tcW w:w="740" w:type="dxa"/>
            <w:vAlign w:val="bottom"/>
          </w:tcPr>
          <w:p>
            <w:pPr>
              <w:jc w:val="center"/>
              <w:ind w:right="310"/>
              <w:spacing w:after="0"/>
              <w:rPr>
                <w:sz w:val="20"/>
                <w:szCs w:val="20"/>
                <w:color w:val="auto"/>
              </w:rPr>
            </w:pPr>
            <w:r>
              <w:rPr>
                <w:rFonts w:ascii="Calibri" w:cs="Calibri" w:eastAsia="Calibri" w:hAnsi="Calibri"/>
                <w:sz w:val="18"/>
                <w:szCs w:val="18"/>
                <w:color w:val="auto"/>
                <w:w w:val="94"/>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11/3/2022</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10.9</w:t>
            </w:r>
          </w:p>
        </w:tc>
      </w:tr>
      <w:tr>
        <w:trPr>
          <w:trHeight w:val="743"/>
        </w:trPr>
        <w:tc>
          <w:tcPr>
            <w:tcW w:w="740" w:type="dxa"/>
            <w:vAlign w:val="bottom"/>
          </w:tcPr>
          <w:p>
            <w:pPr>
              <w:jc w:val="center"/>
              <w:ind w:right="310"/>
              <w:spacing w:after="0"/>
              <w:rPr>
                <w:sz w:val="20"/>
                <w:szCs w:val="20"/>
                <w:color w:val="auto"/>
              </w:rPr>
            </w:pPr>
            <w:r>
              <w:rPr>
                <w:rFonts w:ascii="Calibri" w:cs="Calibri" w:eastAsia="Calibri" w:hAnsi="Calibri"/>
                <w:sz w:val="18"/>
                <w:szCs w:val="18"/>
                <w:color w:val="auto"/>
                <w:w w:val="94"/>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8"/>
              </w:rPr>
              <w:t>5/4/2023</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10.2</w:t>
            </w:r>
          </w:p>
        </w:tc>
      </w:tr>
      <w:tr>
        <w:trPr>
          <w:trHeight w:val="526"/>
        </w:trPr>
        <w:tc>
          <w:tcPr>
            <w:tcW w:w="740" w:type="dxa"/>
            <w:vAlign w:val="bottom"/>
          </w:tcPr>
          <w:p>
            <w:pPr>
              <w:jc w:val="center"/>
              <w:ind w:right="310"/>
              <w:spacing w:after="0"/>
              <w:rPr>
                <w:sz w:val="20"/>
                <w:szCs w:val="20"/>
                <w:color w:val="auto"/>
              </w:rPr>
            </w:pPr>
            <w:r>
              <w:rPr>
                <w:rFonts w:ascii="Calibri" w:cs="Calibri" w:eastAsia="Calibri" w:hAnsi="Calibri"/>
                <w:sz w:val="18"/>
                <w:szCs w:val="18"/>
                <w:color w:val="auto"/>
                <w:w w:val="91"/>
              </w:rPr>
              <w:t>8-K</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7/12/2023</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10.1</w:t>
            </w:r>
          </w:p>
        </w:tc>
      </w:tr>
      <w:tr>
        <w:trPr>
          <w:trHeight w:val="527"/>
        </w:trPr>
        <w:tc>
          <w:tcPr>
            <w:tcW w:w="740" w:type="dxa"/>
            <w:vAlign w:val="bottom"/>
          </w:tcPr>
          <w:p>
            <w:pPr>
              <w:jc w:val="center"/>
              <w:ind w:right="310"/>
              <w:spacing w:after="0"/>
              <w:rPr>
                <w:sz w:val="20"/>
                <w:szCs w:val="20"/>
                <w:color w:val="auto"/>
              </w:rPr>
            </w:pPr>
            <w:r>
              <w:rPr>
                <w:rFonts w:ascii="Calibri" w:cs="Calibri" w:eastAsia="Calibri" w:hAnsi="Calibri"/>
                <w:sz w:val="18"/>
                <w:szCs w:val="18"/>
                <w:color w:val="auto"/>
                <w:w w:val="91"/>
              </w:rPr>
              <w:t>8-K</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8"/>
              </w:rPr>
              <w:t>9/8/2023</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10.1</w:t>
            </w:r>
          </w:p>
        </w:tc>
      </w:tr>
      <w:tr>
        <w:trPr>
          <w:trHeight w:val="526"/>
        </w:trPr>
        <w:tc>
          <w:tcPr>
            <w:tcW w:w="740" w:type="dxa"/>
            <w:vAlign w:val="bottom"/>
          </w:tcPr>
          <w:p>
            <w:pPr>
              <w:jc w:val="center"/>
              <w:ind w:right="310"/>
              <w:spacing w:after="0"/>
              <w:rPr>
                <w:sz w:val="20"/>
                <w:szCs w:val="20"/>
                <w:color w:val="auto"/>
              </w:rPr>
            </w:pPr>
            <w:r>
              <w:rPr>
                <w:rFonts w:ascii="Calibri" w:cs="Calibri" w:eastAsia="Calibri" w:hAnsi="Calibri"/>
                <w:sz w:val="18"/>
                <w:szCs w:val="18"/>
                <w:color w:val="auto"/>
                <w:w w:val="94"/>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8"/>
              </w:rPr>
              <w:t>8/2/2019</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10.4</w:t>
            </w:r>
          </w:p>
        </w:tc>
      </w:tr>
      <w:tr>
        <w:trPr>
          <w:trHeight w:val="527"/>
        </w:trPr>
        <w:tc>
          <w:tcPr>
            <w:tcW w:w="740" w:type="dxa"/>
            <w:vAlign w:val="bottom"/>
          </w:tcPr>
          <w:p>
            <w:pPr>
              <w:jc w:val="center"/>
              <w:ind w:right="310"/>
              <w:spacing w:after="0"/>
              <w:rPr>
                <w:sz w:val="20"/>
                <w:szCs w:val="20"/>
                <w:color w:val="auto"/>
              </w:rPr>
            </w:pPr>
            <w:r>
              <w:rPr>
                <w:rFonts w:ascii="Calibri" w:cs="Calibri" w:eastAsia="Calibri" w:hAnsi="Calibri"/>
                <w:sz w:val="18"/>
                <w:szCs w:val="18"/>
                <w:color w:val="auto"/>
                <w:w w:val="94"/>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8"/>
              </w:rPr>
              <w:t>8/2/2019</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10.5</w:t>
            </w:r>
          </w:p>
        </w:tc>
      </w:tr>
      <w:tr>
        <w:trPr>
          <w:trHeight w:val="526"/>
        </w:trPr>
        <w:tc>
          <w:tcPr>
            <w:tcW w:w="740" w:type="dxa"/>
            <w:vAlign w:val="bottom"/>
          </w:tcPr>
          <w:p>
            <w:pPr>
              <w:jc w:val="center"/>
              <w:ind w:right="310"/>
              <w:spacing w:after="0"/>
              <w:rPr>
                <w:sz w:val="20"/>
                <w:szCs w:val="20"/>
                <w:color w:val="auto"/>
              </w:rPr>
            </w:pPr>
            <w:r>
              <w:rPr>
                <w:rFonts w:ascii="Calibri" w:cs="Calibri" w:eastAsia="Calibri" w:hAnsi="Calibri"/>
                <w:sz w:val="18"/>
                <w:szCs w:val="18"/>
                <w:color w:val="auto"/>
                <w:w w:val="94"/>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8"/>
              </w:rPr>
              <w:t>8/2/2019</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10.6</w:t>
            </w:r>
          </w:p>
        </w:tc>
      </w:tr>
      <w:tr>
        <w:trPr>
          <w:trHeight w:val="527"/>
        </w:trPr>
        <w:tc>
          <w:tcPr>
            <w:tcW w:w="740" w:type="dxa"/>
            <w:vAlign w:val="bottom"/>
          </w:tcPr>
          <w:p>
            <w:pPr>
              <w:jc w:val="center"/>
              <w:ind w:right="310"/>
              <w:spacing w:after="0"/>
              <w:rPr>
                <w:sz w:val="20"/>
                <w:szCs w:val="20"/>
                <w:color w:val="auto"/>
              </w:rPr>
            </w:pPr>
            <w:r>
              <w:rPr>
                <w:rFonts w:ascii="Calibri" w:cs="Calibri" w:eastAsia="Calibri" w:hAnsi="Calibri"/>
                <w:sz w:val="18"/>
                <w:szCs w:val="18"/>
                <w:color w:val="auto"/>
                <w:w w:val="94"/>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11/3/2022</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10.8</w:t>
            </w:r>
          </w:p>
        </w:tc>
      </w:tr>
      <w:tr>
        <w:trPr>
          <w:trHeight w:val="526"/>
        </w:trPr>
        <w:tc>
          <w:tcPr>
            <w:tcW w:w="740" w:type="dxa"/>
            <w:vAlign w:val="bottom"/>
          </w:tcPr>
          <w:p>
            <w:pPr>
              <w:jc w:val="center"/>
              <w:ind w:right="310"/>
              <w:spacing w:after="0"/>
              <w:rPr>
                <w:sz w:val="20"/>
                <w:szCs w:val="20"/>
                <w:color w:val="auto"/>
              </w:rPr>
            </w:pPr>
            <w:r>
              <w:rPr>
                <w:rFonts w:ascii="Calibri" w:cs="Calibri" w:eastAsia="Calibri" w:hAnsi="Calibri"/>
                <w:sz w:val="18"/>
                <w:szCs w:val="18"/>
                <w:color w:val="auto"/>
              </w:rPr>
              <w:t>10-K</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3/24/2014</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w w:val="97"/>
              </w:rPr>
              <w:t>10.23</w:t>
            </w:r>
          </w:p>
        </w:tc>
      </w:tr>
      <w:tr>
        <w:trPr>
          <w:trHeight w:val="310"/>
        </w:trPr>
        <w:tc>
          <w:tcPr>
            <w:tcW w:w="740" w:type="dxa"/>
            <w:vAlign w:val="bottom"/>
          </w:tcPr>
          <w:p>
            <w:pPr>
              <w:jc w:val="center"/>
              <w:ind w:right="310"/>
              <w:spacing w:after="0"/>
              <w:rPr>
                <w:sz w:val="20"/>
                <w:szCs w:val="20"/>
                <w:color w:val="auto"/>
              </w:rPr>
            </w:pPr>
            <w:r>
              <w:rPr>
                <w:rFonts w:ascii="Calibri" w:cs="Calibri" w:eastAsia="Calibri" w:hAnsi="Calibri"/>
                <w:sz w:val="18"/>
                <w:szCs w:val="18"/>
                <w:color w:val="auto"/>
                <w:w w:val="95"/>
              </w:rPr>
              <w:t>S-1</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11/8/2013</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w w:val="97"/>
              </w:rPr>
              <w:t>10.22</w:t>
            </w:r>
          </w:p>
        </w:tc>
      </w:tr>
    </w:tbl>
    <w:p>
      <w:pPr>
        <w:sectPr>
          <w:pgSz w:w="11900" w:h="16838" w:orient="portrait"/>
          <w:cols w:equalWidth="0" w:num="2">
            <w:col w:w="5920" w:space="360"/>
            <w:col w:w="3839"/>
          </w:cols>
          <w:pgMar w:left="340" w:top="1071" w:right="1440"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20" w:type="dxa"/>
            <w:vAlign w:val="bottom"/>
          </w:tcPr>
          <w:p>
            <w:pPr>
              <w:jc w:val="right"/>
              <w:ind w:right="530"/>
              <w:spacing w:after="0"/>
              <w:rPr>
                <w:sz w:val="20"/>
                <w:szCs w:val="20"/>
                <w:color w:val="auto"/>
              </w:rPr>
            </w:pPr>
            <w:r>
              <w:rPr>
                <w:rFonts w:ascii="Calibri" w:cs="Calibri" w:eastAsia="Calibri" w:hAnsi="Calibri"/>
                <w:sz w:val="18"/>
                <w:szCs w:val="18"/>
                <w:color w:val="auto"/>
                <w:w w:val="92"/>
              </w:rPr>
              <w:t>10.71</w:t>
            </w:r>
          </w:p>
        </w:tc>
        <w:tc>
          <w:tcPr>
            <w:tcW w:w="4900" w:type="dxa"/>
            <w:vAlign w:val="bottom"/>
            <w:gridSpan w:val="15"/>
          </w:tcPr>
          <w:p>
            <w:pPr>
              <w:spacing w:after="0"/>
              <w:rPr>
                <w:rFonts w:ascii="Calibri" w:cs="Calibri" w:eastAsia="Calibri" w:hAnsi="Calibri"/>
                <w:sz w:val="18"/>
                <w:szCs w:val="18"/>
                <w:color w:val="0000FF"/>
                <w:w w:val="96"/>
              </w:rPr>
            </w:pPr>
            <w:hyperlink r:id="rId275">
              <w:r>
                <w:rPr>
                  <w:rFonts w:ascii="Calibri" w:cs="Calibri" w:eastAsia="Calibri" w:hAnsi="Calibri"/>
                  <w:sz w:val="18"/>
                  <w:szCs w:val="18"/>
                  <w:color w:val="0000FF"/>
                  <w:w w:val="96"/>
                </w:rPr>
                <w:t>Addendum One to Standard Lease, dated as of July 5, 2011, between</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275">
              <w:r>
                <w:rPr>
                  <w:rFonts w:ascii="Calibri" w:cs="Calibri" w:eastAsia="Calibri" w:hAnsi="Calibri"/>
                  <w:sz w:val="18"/>
                  <w:szCs w:val="18"/>
                  <w:color w:val="0000FF"/>
                </w:rPr>
                <w:t>Ultragenyx Pharmaceutcal Inc. and Condiot Enterprises, Inc.</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0"/>
        </w:trPr>
        <w:tc>
          <w:tcPr>
            <w:tcW w:w="1020" w:type="dxa"/>
            <w:vAlign w:val="bottom"/>
          </w:tcPr>
          <w:p>
            <w:pPr>
              <w:jc w:val="right"/>
              <w:ind w:right="530"/>
              <w:spacing w:after="0"/>
              <w:rPr>
                <w:sz w:val="20"/>
                <w:szCs w:val="20"/>
                <w:color w:val="auto"/>
              </w:rPr>
            </w:pPr>
            <w:r>
              <w:rPr>
                <w:rFonts w:ascii="Calibri" w:cs="Calibri" w:eastAsia="Calibri" w:hAnsi="Calibri"/>
                <w:sz w:val="18"/>
                <w:szCs w:val="18"/>
                <w:color w:val="auto"/>
                <w:w w:val="92"/>
              </w:rPr>
              <w:t>10.72</w:t>
            </w:r>
          </w:p>
        </w:tc>
        <w:tc>
          <w:tcPr>
            <w:tcW w:w="4900" w:type="dxa"/>
            <w:vAlign w:val="bottom"/>
            <w:gridSpan w:val="15"/>
          </w:tcPr>
          <w:p>
            <w:pPr>
              <w:spacing w:after="0"/>
              <w:rPr>
                <w:rFonts w:ascii="Calibri" w:cs="Calibri" w:eastAsia="Calibri" w:hAnsi="Calibri"/>
                <w:sz w:val="18"/>
                <w:szCs w:val="18"/>
                <w:color w:val="0000FF"/>
              </w:rPr>
            </w:pPr>
            <w:hyperlink r:id="rId276">
              <w:r>
                <w:rPr>
                  <w:rFonts w:ascii="Calibri" w:cs="Calibri" w:eastAsia="Calibri" w:hAnsi="Calibri"/>
                  <w:sz w:val="18"/>
                  <w:szCs w:val="18"/>
                  <w:color w:val="0000FF"/>
                </w:rPr>
                <w:t>Addendum Two to Standard Lease, dated as of March 7, 2012,</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276">
              <w:r>
                <w:rPr>
                  <w:rFonts w:ascii="Calibri" w:cs="Calibri" w:eastAsia="Calibri" w:hAnsi="Calibri"/>
                  <w:sz w:val="18"/>
                  <w:szCs w:val="18"/>
                  <w:color w:val="0000FF"/>
                </w:rPr>
                <w:t>between Ultragenyx Pharmaceutcal Inc. and Condiot Enterprises,</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276">
              <w:r>
                <w:rPr>
                  <w:rFonts w:ascii="Calibri" w:cs="Calibri" w:eastAsia="Calibri" w:hAnsi="Calibri"/>
                  <w:sz w:val="18"/>
                  <w:szCs w:val="18"/>
                  <w:color w:val="0000FF"/>
                </w:rPr>
                <w:t>Inc.</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1"/>
        </w:trPr>
        <w:tc>
          <w:tcPr>
            <w:tcW w:w="1020" w:type="dxa"/>
            <w:vAlign w:val="bottom"/>
          </w:tcPr>
          <w:p>
            <w:pPr>
              <w:jc w:val="right"/>
              <w:ind w:right="530"/>
              <w:spacing w:after="0"/>
              <w:rPr>
                <w:sz w:val="20"/>
                <w:szCs w:val="20"/>
                <w:color w:val="auto"/>
              </w:rPr>
            </w:pPr>
            <w:r>
              <w:rPr>
                <w:rFonts w:ascii="Calibri" w:cs="Calibri" w:eastAsia="Calibri" w:hAnsi="Calibri"/>
                <w:sz w:val="18"/>
                <w:szCs w:val="18"/>
                <w:color w:val="auto"/>
                <w:w w:val="92"/>
              </w:rPr>
              <w:t>10.73</w:t>
            </w:r>
          </w:p>
        </w:tc>
        <w:tc>
          <w:tcPr>
            <w:tcW w:w="4900" w:type="dxa"/>
            <w:vAlign w:val="bottom"/>
            <w:gridSpan w:val="15"/>
          </w:tcPr>
          <w:p>
            <w:pPr>
              <w:spacing w:after="0"/>
              <w:rPr>
                <w:rFonts w:ascii="Calibri" w:cs="Calibri" w:eastAsia="Calibri" w:hAnsi="Calibri"/>
                <w:sz w:val="18"/>
                <w:szCs w:val="18"/>
                <w:color w:val="0000FF"/>
              </w:rPr>
            </w:pPr>
            <w:hyperlink r:id="rId277">
              <w:r>
                <w:rPr>
                  <w:rFonts w:ascii="Calibri" w:cs="Calibri" w:eastAsia="Calibri" w:hAnsi="Calibri"/>
                  <w:sz w:val="18"/>
                  <w:szCs w:val="18"/>
                  <w:color w:val="0000FF"/>
                </w:rPr>
                <w:t>Addendum #3 to Standard Lease, efectve as of February 12, 2014,</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277">
              <w:r>
                <w:rPr>
                  <w:rFonts w:ascii="Calibri" w:cs="Calibri" w:eastAsia="Calibri" w:hAnsi="Calibri"/>
                  <w:sz w:val="18"/>
                  <w:szCs w:val="18"/>
                  <w:color w:val="0000FF"/>
                </w:rPr>
                <w:t>between Ultragenyx Pharmaceutcal Inc. and Condiot Enterprises,</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277">
              <w:r>
                <w:rPr>
                  <w:rFonts w:ascii="Calibri" w:cs="Calibri" w:eastAsia="Calibri" w:hAnsi="Calibri"/>
                  <w:sz w:val="18"/>
                  <w:szCs w:val="18"/>
                  <w:color w:val="0000FF"/>
                </w:rPr>
                <w:t>Inc.</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1"/>
        </w:trPr>
        <w:tc>
          <w:tcPr>
            <w:tcW w:w="1020" w:type="dxa"/>
            <w:vAlign w:val="bottom"/>
          </w:tcPr>
          <w:p>
            <w:pPr>
              <w:jc w:val="right"/>
              <w:ind w:right="530"/>
              <w:spacing w:after="0"/>
              <w:rPr>
                <w:sz w:val="20"/>
                <w:szCs w:val="20"/>
                <w:color w:val="auto"/>
              </w:rPr>
            </w:pPr>
            <w:r>
              <w:rPr>
                <w:rFonts w:ascii="Calibri" w:cs="Calibri" w:eastAsia="Calibri" w:hAnsi="Calibri"/>
                <w:sz w:val="18"/>
                <w:szCs w:val="18"/>
                <w:color w:val="auto"/>
                <w:w w:val="92"/>
              </w:rPr>
              <w:t>10.74</w:t>
            </w:r>
          </w:p>
        </w:tc>
        <w:tc>
          <w:tcPr>
            <w:tcW w:w="4900" w:type="dxa"/>
            <w:vAlign w:val="bottom"/>
            <w:gridSpan w:val="15"/>
          </w:tcPr>
          <w:p>
            <w:pPr>
              <w:spacing w:after="0"/>
              <w:rPr>
                <w:rFonts w:ascii="Calibri" w:cs="Calibri" w:eastAsia="Calibri" w:hAnsi="Calibri"/>
                <w:sz w:val="18"/>
                <w:szCs w:val="18"/>
                <w:color w:val="0000FF"/>
              </w:rPr>
            </w:pPr>
            <w:hyperlink r:id="rId278">
              <w:r>
                <w:rPr>
                  <w:rFonts w:ascii="Calibri" w:cs="Calibri" w:eastAsia="Calibri" w:hAnsi="Calibri"/>
                  <w:sz w:val="18"/>
                  <w:szCs w:val="18"/>
                  <w:color w:val="0000FF"/>
                </w:rPr>
                <w:t>Addendum #4 to Standard Lease, efectve as of March 9, 2015,</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278">
              <w:r>
                <w:rPr>
                  <w:rFonts w:ascii="Calibri" w:cs="Calibri" w:eastAsia="Calibri" w:hAnsi="Calibri"/>
                  <w:sz w:val="18"/>
                  <w:szCs w:val="18"/>
                  <w:color w:val="0000FF"/>
                </w:rPr>
                <w:t>between Ultragenyx Pharmaceutcal Inc. and Condiot Enterprises,</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278">
              <w:r>
                <w:rPr>
                  <w:rFonts w:ascii="Calibri" w:cs="Calibri" w:eastAsia="Calibri" w:hAnsi="Calibri"/>
                  <w:sz w:val="18"/>
                  <w:szCs w:val="18"/>
                  <w:color w:val="0000FF"/>
                </w:rPr>
                <w:t>Inc.</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1"/>
        </w:trPr>
        <w:tc>
          <w:tcPr>
            <w:tcW w:w="1020" w:type="dxa"/>
            <w:vAlign w:val="bottom"/>
          </w:tcPr>
          <w:p>
            <w:pPr>
              <w:jc w:val="right"/>
              <w:ind w:right="530"/>
              <w:spacing w:after="0"/>
              <w:rPr>
                <w:sz w:val="20"/>
                <w:szCs w:val="20"/>
                <w:color w:val="auto"/>
              </w:rPr>
            </w:pPr>
            <w:r>
              <w:rPr>
                <w:rFonts w:ascii="Calibri" w:cs="Calibri" w:eastAsia="Calibri" w:hAnsi="Calibri"/>
                <w:sz w:val="18"/>
                <w:szCs w:val="18"/>
                <w:color w:val="auto"/>
                <w:w w:val="92"/>
              </w:rPr>
              <w:t>10.75</w:t>
            </w:r>
          </w:p>
        </w:tc>
        <w:tc>
          <w:tcPr>
            <w:tcW w:w="4900" w:type="dxa"/>
            <w:vAlign w:val="bottom"/>
            <w:gridSpan w:val="15"/>
          </w:tcPr>
          <w:p>
            <w:pPr>
              <w:spacing w:after="0"/>
              <w:rPr>
                <w:rFonts w:ascii="Calibri" w:cs="Calibri" w:eastAsia="Calibri" w:hAnsi="Calibri"/>
                <w:sz w:val="18"/>
                <w:szCs w:val="18"/>
                <w:color w:val="0000FF"/>
              </w:rPr>
            </w:pPr>
            <w:hyperlink r:id="rId279">
              <w:r>
                <w:rPr>
                  <w:rFonts w:ascii="Calibri" w:cs="Calibri" w:eastAsia="Calibri" w:hAnsi="Calibri"/>
                  <w:sz w:val="18"/>
                  <w:szCs w:val="18"/>
                  <w:color w:val="0000FF"/>
                </w:rPr>
                <w:t>Addendum #5 to Standard Lease, efectve as of April 7, 2015,</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279">
              <w:r>
                <w:rPr>
                  <w:rFonts w:ascii="Calibri" w:cs="Calibri" w:eastAsia="Calibri" w:hAnsi="Calibri"/>
                  <w:sz w:val="18"/>
                  <w:szCs w:val="18"/>
                  <w:color w:val="0000FF"/>
                </w:rPr>
                <w:t>between Ultragenyx Pharmaceutcal Inc. and Condiot Enterprises,</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279">
              <w:r>
                <w:rPr>
                  <w:rFonts w:ascii="Calibri" w:cs="Calibri" w:eastAsia="Calibri" w:hAnsi="Calibri"/>
                  <w:sz w:val="18"/>
                  <w:szCs w:val="18"/>
                  <w:color w:val="0000FF"/>
                </w:rPr>
                <w:t>Inc.</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1"/>
        </w:trPr>
        <w:tc>
          <w:tcPr>
            <w:tcW w:w="1020" w:type="dxa"/>
            <w:vAlign w:val="bottom"/>
          </w:tcPr>
          <w:p>
            <w:pPr>
              <w:jc w:val="right"/>
              <w:ind w:right="530"/>
              <w:spacing w:after="0"/>
              <w:rPr>
                <w:sz w:val="20"/>
                <w:szCs w:val="20"/>
                <w:color w:val="auto"/>
              </w:rPr>
            </w:pPr>
            <w:r>
              <w:rPr>
                <w:rFonts w:ascii="Calibri" w:cs="Calibri" w:eastAsia="Calibri" w:hAnsi="Calibri"/>
                <w:sz w:val="18"/>
                <w:szCs w:val="18"/>
                <w:color w:val="auto"/>
                <w:w w:val="92"/>
              </w:rPr>
              <w:t>10.76</w:t>
            </w:r>
          </w:p>
        </w:tc>
        <w:tc>
          <w:tcPr>
            <w:tcW w:w="4900" w:type="dxa"/>
            <w:vAlign w:val="bottom"/>
            <w:gridSpan w:val="15"/>
          </w:tcPr>
          <w:p>
            <w:pPr>
              <w:spacing w:after="0"/>
              <w:rPr>
                <w:rFonts w:ascii="Calibri" w:cs="Calibri" w:eastAsia="Calibri" w:hAnsi="Calibri"/>
                <w:sz w:val="18"/>
                <w:szCs w:val="18"/>
                <w:color w:val="0000FF"/>
              </w:rPr>
            </w:pPr>
            <w:hyperlink r:id="rId280">
              <w:r>
                <w:rPr>
                  <w:rFonts w:ascii="Calibri" w:cs="Calibri" w:eastAsia="Calibri" w:hAnsi="Calibri"/>
                  <w:sz w:val="18"/>
                  <w:szCs w:val="18"/>
                  <w:color w:val="0000FF"/>
                </w:rPr>
                <w:t>Addendum #6 to Standard Lease, efectve as of April 29, 2019,</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280">
              <w:r>
                <w:rPr>
                  <w:rFonts w:ascii="Calibri" w:cs="Calibri" w:eastAsia="Calibri" w:hAnsi="Calibri"/>
                  <w:sz w:val="18"/>
                  <w:szCs w:val="18"/>
                  <w:color w:val="0000FF"/>
                </w:rPr>
                <w:t>between Ultragenyx Pharmaceutcal Inc. and Condiot Enterprises,</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280">
              <w:r>
                <w:rPr>
                  <w:rFonts w:ascii="Calibri" w:cs="Calibri" w:eastAsia="Calibri" w:hAnsi="Calibri"/>
                  <w:sz w:val="18"/>
                  <w:szCs w:val="18"/>
                  <w:color w:val="0000FF"/>
                </w:rPr>
                <w:t>Inc.</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1"/>
        </w:trPr>
        <w:tc>
          <w:tcPr>
            <w:tcW w:w="1020" w:type="dxa"/>
            <w:vAlign w:val="bottom"/>
          </w:tcPr>
          <w:p>
            <w:pPr>
              <w:jc w:val="right"/>
              <w:ind w:right="530"/>
              <w:spacing w:after="0"/>
              <w:rPr>
                <w:sz w:val="20"/>
                <w:szCs w:val="20"/>
                <w:color w:val="auto"/>
              </w:rPr>
            </w:pPr>
            <w:r>
              <w:rPr>
                <w:rFonts w:ascii="Calibri" w:cs="Calibri" w:eastAsia="Calibri" w:hAnsi="Calibri"/>
                <w:sz w:val="18"/>
                <w:szCs w:val="18"/>
                <w:color w:val="auto"/>
                <w:w w:val="92"/>
              </w:rPr>
              <w:t>10.77</w:t>
            </w:r>
          </w:p>
        </w:tc>
        <w:tc>
          <w:tcPr>
            <w:tcW w:w="4900" w:type="dxa"/>
            <w:vAlign w:val="bottom"/>
            <w:gridSpan w:val="15"/>
          </w:tcPr>
          <w:p>
            <w:pPr>
              <w:spacing w:after="0"/>
              <w:rPr>
                <w:sz w:val="20"/>
                <w:szCs w:val="20"/>
                <w:color w:val="auto"/>
              </w:rPr>
            </w:pPr>
            <w:r>
              <w:rPr>
                <w:rFonts w:ascii="Calibri" w:cs="Calibri" w:eastAsia="Calibri" w:hAnsi="Calibri"/>
                <w:sz w:val="18"/>
                <w:szCs w:val="18"/>
                <w:color w:val="0000FF"/>
                <w:w w:val="98"/>
              </w:rPr>
              <w:t>Addendum #7 to Standard Lease, efectve as of November 22, 2024,</w:t>
            </w:r>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sz w:val="20"/>
                <w:szCs w:val="20"/>
                <w:color w:val="auto"/>
              </w:rPr>
            </w:pPr>
            <w:r>
              <w:rPr>
                <w:rFonts w:ascii="Calibri" w:cs="Calibri" w:eastAsia="Calibri" w:hAnsi="Calibri"/>
                <w:sz w:val="18"/>
                <w:szCs w:val="18"/>
                <w:color w:val="0000FF"/>
              </w:rPr>
              <w:t>between Ultragenyx Pharmaceutcal Inc. and Condiot Enterprises,</w:t>
            </w:r>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sz w:val="20"/>
                <w:szCs w:val="20"/>
                <w:color w:val="auto"/>
              </w:rPr>
            </w:pPr>
            <w:r>
              <w:rPr>
                <w:rFonts w:ascii="Calibri" w:cs="Calibri" w:eastAsia="Calibri" w:hAnsi="Calibri"/>
                <w:sz w:val="18"/>
                <w:szCs w:val="18"/>
                <w:color w:val="0000FF"/>
              </w:rPr>
              <w:t>Inc.</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1"/>
        </w:trPr>
        <w:tc>
          <w:tcPr>
            <w:tcW w:w="1020" w:type="dxa"/>
            <w:vAlign w:val="bottom"/>
          </w:tcPr>
          <w:p>
            <w:pPr>
              <w:jc w:val="right"/>
              <w:ind w:right="530"/>
              <w:spacing w:after="0"/>
              <w:rPr>
                <w:sz w:val="20"/>
                <w:szCs w:val="20"/>
                <w:color w:val="auto"/>
              </w:rPr>
            </w:pPr>
            <w:r>
              <w:rPr>
                <w:rFonts w:ascii="Calibri" w:cs="Calibri" w:eastAsia="Calibri" w:hAnsi="Calibri"/>
                <w:sz w:val="18"/>
                <w:szCs w:val="18"/>
                <w:color w:val="auto"/>
                <w:w w:val="92"/>
              </w:rPr>
              <w:t>10.78</w:t>
            </w:r>
          </w:p>
        </w:tc>
        <w:tc>
          <w:tcPr>
            <w:tcW w:w="4900" w:type="dxa"/>
            <w:vAlign w:val="bottom"/>
            <w:gridSpan w:val="15"/>
          </w:tcPr>
          <w:p>
            <w:pPr>
              <w:spacing w:after="0"/>
              <w:rPr>
                <w:rFonts w:ascii="Calibri" w:cs="Calibri" w:eastAsia="Calibri" w:hAnsi="Calibri"/>
                <w:sz w:val="18"/>
                <w:szCs w:val="18"/>
                <w:color w:val="0000FF"/>
              </w:rPr>
            </w:pPr>
            <w:hyperlink r:id="rId281">
              <w:r>
                <w:rPr>
                  <w:rFonts w:ascii="Calibri" w:cs="Calibri" w:eastAsia="Calibri" w:hAnsi="Calibri"/>
                  <w:sz w:val="18"/>
                  <w:szCs w:val="18"/>
                  <w:color w:val="0000FF"/>
                </w:rPr>
                <w:t>Lease Agreement, dated as of December 8, 2015, between Marina</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281">
              <w:r>
                <w:rPr>
                  <w:rFonts w:ascii="Calibri" w:cs="Calibri" w:eastAsia="Calibri" w:hAnsi="Calibri"/>
                  <w:sz w:val="18"/>
                  <w:szCs w:val="18"/>
                  <w:color w:val="0000FF"/>
                </w:rPr>
                <w:t>Boulevard Property, LLC and Ultragenyx Pharmaceutcal Inc.</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0"/>
        </w:trPr>
        <w:tc>
          <w:tcPr>
            <w:tcW w:w="1020" w:type="dxa"/>
            <w:vAlign w:val="bottom"/>
          </w:tcPr>
          <w:p>
            <w:pPr>
              <w:jc w:val="right"/>
              <w:ind w:right="530"/>
              <w:spacing w:after="0"/>
              <w:rPr>
                <w:sz w:val="20"/>
                <w:szCs w:val="20"/>
                <w:color w:val="auto"/>
              </w:rPr>
            </w:pPr>
            <w:r>
              <w:rPr>
                <w:rFonts w:ascii="Calibri" w:cs="Calibri" w:eastAsia="Calibri" w:hAnsi="Calibri"/>
                <w:sz w:val="18"/>
                <w:szCs w:val="18"/>
                <w:color w:val="auto"/>
                <w:w w:val="92"/>
              </w:rPr>
              <w:t>10.79</w:t>
            </w:r>
          </w:p>
        </w:tc>
        <w:tc>
          <w:tcPr>
            <w:tcW w:w="4900" w:type="dxa"/>
            <w:vAlign w:val="bottom"/>
            <w:gridSpan w:val="15"/>
          </w:tcPr>
          <w:p>
            <w:pPr>
              <w:spacing w:after="0"/>
              <w:rPr>
                <w:rFonts w:ascii="Calibri" w:cs="Calibri" w:eastAsia="Calibri" w:hAnsi="Calibri"/>
                <w:sz w:val="18"/>
                <w:szCs w:val="18"/>
                <w:color w:val="0000FF"/>
              </w:rPr>
            </w:pPr>
            <w:hyperlink r:id="rId282">
              <w:r>
                <w:rPr>
                  <w:rFonts w:ascii="Calibri" w:cs="Calibri" w:eastAsia="Calibri" w:hAnsi="Calibri"/>
                  <w:sz w:val="18"/>
                  <w:szCs w:val="18"/>
                  <w:color w:val="0000FF"/>
                </w:rPr>
                <w:t>Lease Agreement, dated November 2, 2015, between Dimension</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282">
              <w:r>
                <w:rPr>
                  <w:rFonts w:ascii="Calibri" w:cs="Calibri" w:eastAsia="Calibri" w:hAnsi="Calibri"/>
                  <w:sz w:val="18"/>
                  <w:szCs w:val="18"/>
                  <w:color w:val="0000FF"/>
                </w:rPr>
                <w:t>Therapeutcs, Inc. and ARE-MA Region No. 20, LLC, and Consent to</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282">
              <w:r>
                <w:rPr>
                  <w:rFonts w:ascii="Calibri" w:cs="Calibri" w:eastAsia="Calibri" w:hAnsi="Calibri"/>
                  <w:sz w:val="18"/>
                  <w:szCs w:val="18"/>
                  <w:color w:val="0000FF"/>
                </w:rPr>
                <w:t>Assignment to Ultragenyx Pharmaceutcal Inc.</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0"/>
        </w:trPr>
        <w:tc>
          <w:tcPr>
            <w:tcW w:w="1020" w:type="dxa"/>
            <w:vAlign w:val="bottom"/>
          </w:tcPr>
          <w:p>
            <w:pPr>
              <w:jc w:val="right"/>
              <w:ind w:right="530"/>
              <w:spacing w:after="0"/>
              <w:rPr>
                <w:sz w:val="20"/>
                <w:szCs w:val="20"/>
                <w:color w:val="auto"/>
              </w:rPr>
            </w:pPr>
            <w:r>
              <w:rPr>
                <w:rFonts w:ascii="Calibri" w:cs="Calibri" w:eastAsia="Calibri" w:hAnsi="Calibri"/>
                <w:sz w:val="18"/>
                <w:szCs w:val="18"/>
                <w:color w:val="auto"/>
                <w:w w:val="92"/>
              </w:rPr>
              <w:t>10.80</w:t>
            </w:r>
          </w:p>
        </w:tc>
        <w:tc>
          <w:tcPr>
            <w:tcW w:w="4900" w:type="dxa"/>
            <w:vAlign w:val="bottom"/>
            <w:gridSpan w:val="15"/>
          </w:tcPr>
          <w:p>
            <w:pPr>
              <w:spacing w:after="0"/>
              <w:rPr>
                <w:rFonts w:ascii="Calibri" w:cs="Calibri" w:eastAsia="Calibri" w:hAnsi="Calibri"/>
                <w:sz w:val="18"/>
                <w:szCs w:val="18"/>
                <w:color w:val="0000FF"/>
              </w:rPr>
            </w:pPr>
            <w:hyperlink r:id="rId283">
              <w:r>
                <w:rPr>
                  <w:rFonts w:ascii="Calibri" w:cs="Calibri" w:eastAsia="Calibri" w:hAnsi="Calibri"/>
                  <w:sz w:val="18"/>
                  <w:szCs w:val="18"/>
                  <w:color w:val="0000FF"/>
                </w:rPr>
                <w:t>First Amendment to Lease Agreement, dated March 20, 2018,</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w w:val="97"/>
              </w:rPr>
            </w:pPr>
            <w:hyperlink r:id="rId283">
              <w:r>
                <w:rPr>
                  <w:rFonts w:ascii="Calibri" w:cs="Calibri" w:eastAsia="Calibri" w:hAnsi="Calibri"/>
                  <w:sz w:val="18"/>
                  <w:szCs w:val="18"/>
                  <w:color w:val="0000FF"/>
                  <w:w w:val="97"/>
                </w:rPr>
                <w:t>between Ultragenyx Pharmaceutcal Inc. and ARE-MA Region No. 20,</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283">
              <w:r>
                <w:rPr>
                  <w:rFonts w:ascii="Calibri" w:cs="Calibri" w:eastAsia="Calibri" w:hAnsi="Calibri"/>
                  <w:sz w:val="18"/>
                  <w:szCs w:val="18"/>
                  <w:color w:val="0000FF"/>
                </w:rPr>
                <w:t>LLC</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0"/>
        </w:trPr>
        <w:tc>
          <w:tcPr>
            <w:tcW w:w="1020" w:type="dxa"/>
            <w:vAlign w:val="bottom"/>
          </w:tcPr>
          <w:p>
            <w:pPr>
              <w:jc w:val="right"/>
              <w:ind w:right="530"/>
              <w:spacing w:after="0"/>
              <w:rPr>
                <w:sz w:val="20"/>
                <w:szCs w:val="20"/>
                <w:color w:val="auto"/>
              </w:rPr>
            </w:pPr>
            <w:r>
              <w:rPr>
                <w:rFonts w:ascii="Calibri" w:cs="Calibri" w:eastAsia="Calibri" w:hAnsi="Calibri"/>
                <w:sz w:val="18"/>
                <w:szCs w:val="18"/>
                <w:color w:val="auto"/>
                <w:w w:val="92"/>
              </w:rPr>
              <w:t>10.81</w:t>
            </w:r>
          </w:p>
        </w:tc>
        <w:tc>
          <w:tcPr>
            <w:tcW w:w="4900" w:type="dxa"/>
            <w:vAlign w:val="bottom"/>
            <w:gridSpan w:val="15"/>
          </w:tcPr>
          <w:p>
            <w:pPr>
              <w:spacing w:after="0"/>
              <w:rPr>
                <w:rFonts w:ascii="Calibri" w:cs="Calibri" w:eastAsia="Calibri" w:hAnsi="Calibri"/>
                <w:sz w:val="18"/>
                <w:szCs w:val="18"/>
                <w:color w:val="0000FF"/>
              </w:rPr>
            </w:pPr>
            <w:hyperlink r:id="rId284">
              <w:r>
                <w:rPr>
                  <w:rFonts w:ascii="Calibri" w:cs="Calibri" w:eastAsia="Calibri" w:hAnsi="Calibri"/>
                  <w:sz w:val="18"/>
                  <w:szCs w:val="18"/>
                  <w:color w:val="0000FF"/>
                </w:rPr>
                <w:t>Second Amendment to Lease Agreement, dated July 1, 2018,</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w w:val="97"/>
              </w:rPr>
            </w:pPr>
            <w:hyperlink r:id="rId284">
              <w:r>
                <w:rPr>
                  <w:rFonts w:ascii="Calibri" w:cs="Calibri" w:eastAsia="Calibri" w:hAnsi="Calibri"/>
                  <w:sz w:val="18"/>
                  <w:szCs w:val="18"/>
                  <w:color w:val="0000FF"/>
                  <w:w w:val="97"/>
                </w:rPr>
                <w:t>between Ultragenyx Pharmaceutcal Inc. and ARE-MA Region No. 20,</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284">
              <w:r>
                <w:rPr>
                  <w:rFonts w:ascii="Calibri" w:cs="Calibri" w:eastAsia="Calibri" w:hAnsi="Calibri"/>
                  <w:sz w:val="18"/>
                  <w:szCs w:val="18"/>
                  <w:color w:val="0000FF"/>
                </w:rPr>
                <w:t>LLC</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1"/>
        </w:trPr>
        <w:tc>
          <w:tcPr>
            <w:tcW w:w="1020" w:type="dxa"/>
            <w:vAlign w:val="bottom"/>
          </w:tcPr>
          <w:p>
            <w:pPr>
              <w:jc w:val="right"/>
              <w:ind w:right="530"/>
              <w:spacing w:after="0"/>
              <w:rPr>
                <w:sz w:val="20"/>
                <w:szCs w:val="20"/>
                <w:color w:val="auto"/>
              </w:rPr>
            </w:pPr>
            <w:r>
              <w:rPr>
                <w:rFonts w:ascii="Calibri" w:cs="Calibri" w:eastAsia="Calibri" w:hAnsi="Calibri"/>
                <w:sz w:val="18"/>
                <w:szCs w:val="18"/>
                <w:color w:val="auto"/>
                <w:w w:val="92"/>
              </w:rPr>
              <w:t>10.82</w:t>
            </w:r>
          </w:p>
        </w:tc>
        <w:tc>
          <w:tcPr>
            <w:tcW w:w="4900" w:type="dxa"/>
            <w:vAlign w:val="bottom"/>
            <w:gridSpan w:val="15"/>
          </w:tcPr>
          <w:p>
            <w:pPr>
              <w:spacing w:after="0"/>
              <w:rPr>
                <w:rFonts w:ascii="Calibri" w:cs="Calibri" w:eastAsia="Calibri" w:hAnsi="Calibri"/>
                <w:sz w:val="18"/>
                <w:szCs w:val="18"/>
                <w:color w:val="0000FF"/>
              </w:rPr>
            </w:pPr>
            <w:hyperlink r:id="rId285">
              <w:r>
                <w:rPr>
                  <w:rFonts w:ascii="Calibri" w:cs="Calibri" w:eastAsia="Calibri" w:hAnsi="Calibri"/>
                  <w:sz w:val="18"/>
                  <w:szCs w:val="18"/>
                  <w:color w:val="0000FF"/>
                </w:rPr>
                <w:t>Third Amendment to the Lease Agreement, dated July 29, 2019,</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285">
              <w:r>
                <w:rPr>
                  <w:rFonts w:ascii="Calibri" w:cs="Calibri" w:eastAsia="Calibri" w:hAnsi="Calibri"/>
                  <w:sz w:val="18"/>
                  <w:szCs w:val="18"/>
                  <w:color w:val="0000FF"/>
                </w:rPr>
                <w:t>between Ultragenyx Pharmaceutcal Inc. and ARE-MA Region No.,</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285">
              <w:r>
                <w:rPr>
                  <w:rFonts w:ascii="Calibri" w:cs="Calibri" w:eastAsia="Calibri" w:hAnsi="Calibri"/>
                  <w:sz w:val="18"/>
                  <w:szCs w:val="18"/>
                  <w:color w:val="0000FF"/>
                </w:rPr>
                <w:t>LLC.</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0"/>
        </w:trPr>
        <w:tc>
          <w:tcPr>
            <w:tcW w:w="1020" w:type="dxa"/>
            <w:vAlign w:val="bottom"/>
          </w:tcPr>
          <w:p>
            <w:pPr>
              <w:jc w:val="right"/>
              <w:ind w:right="530"/>
              <w:spacing w:after="0"/>
              <w:rPr>
                <w:sz w:val="20"/>
                <w:szCs w:val="20"/>
                <w:color w:val="auto"/>
              </w:rPr>
            </w:pPr>
            <w:r>
              <w:rPr>
                <w:rFonts w:ascii="Calibri" w:cs="Calibri" w:eastAsia="Calibri" w:hAnsi="Calibri"/>
                <w:sz w:val="18"/>
                <w:szCs w:val="18"/>
                <w:color w:val="auto"/>
                <w:w w:val="92"/>
              </w:rPr>
              <w:t>10.83</w:t>
            </w:r>
          </w:p>
        </w:tc>
        <w:tc>
          <w:tcPr>
            <w:tcW w:w="4900" w:type="dxa"/>
            <w:vAlign w:val="bottom"/>
            <w:gridSpan w:val="15"/>
          </w:tcPr>
          <w:p>
            <w:pPr>
              <w:spacing w:after="0"/>
              <w:rPr>
                <w:rFonts w:ascii="Calibri" w:cs="Calibri" w:eastAsia="Calibri" w:hAnsi="Calibri"/>
                <w:sz w:val="18"/>
                <w:szCs w:val="18"/>
                <w:color w:val="0000FF"/>
                <w:w w:val="99"/>
              </w:rPr>
            </w:pPr>
            <w:hyperlink r:id="rId286">
              <w:r>
                <w:rPr>
                  <w:rFonts w:ascii="Calibri" w:cs="Calibri" w:eastAsia="Calibri" w:hAnsi="Calibri"/>
                  <w:sz w:val="18"/>
                  <w:szCs w:val="18"/>
                  <w:color w:val="0000FF"/>
                  <w:w w:val="99"/>
                </w:rPr>
                <w:t>Amended and Restated Fourth Amendment, dated August 4, 2020,</w:t>
              </w:r>
            </w:hyperlink>
          </w:p>
        </w:tc>
      </w:tr>
      <w:tr>
        <w:trPr>
          <w:trHeight w:val="20"/>
        </w:trPr>
        <w:tc>
          <w:tcPr>
            <w:tcW w:w="102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286">
              <w:r>
                <w:rPr>
                  <w:rFonts w:ascii="Calibri" w:cs="Calibri" w:eastAsia="Calibri" w:hAnsi="Calibri"/>
                  <w:sz w:val="18"/>
                  <w:szCs w:val="18"/>
                  <w:color w:val="0000FF"/>
                </w:rPr>
                <w:t>to the Lease Agreement between Ultragenyx Pharmaceutcal Inc.</w:t>
              </w:r>
            </w:hyperlink>
          </w:p>
        </w:tc>
      </w:tr>
      <w:tr>
        <w:trPr>
          <w:trHeight w:val="20"/>
        </w:trPr>
        <w:tc>
          <w:tcPr>
            <w:tcW w:w="102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5"/>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286">
              <w:r>
                <w:rPr>
                  <w:rFonts w:ascii="Calibri" w:cs="Calibri" w:eastAsia="Calibri" w:hAnsi="Calibri"/>
                  <w:sz w:val="18"/>
                  <w:szCs w:val="18"/>
                  <w:color w:val="0000FF"/>
                </w:rPr>
                <w:t>and ARE-MA Region No., LLC.</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90"/>
        </w:trPr>
        <w:tc>
          <w:tcPr>
            <w:tcW w:w="1020" w:type="dxa"/>
            <w:vAlign w:val="bottom"/>
          </w:tcPr>
          <w:p>
            <w:pPr>
              <w:jc w:val="right"/>
              <w:ind w:right="530"/>
              <w:spacing w:after="0"/>
              <w:rPr>
                <w:sz w:val="20"/>
                <w:szCs w:val="20"/>
                <w:color w:val="auto"/>
              </w:rPr>
            </w:pPr>
            <w:r>
              <w:rPr>
                <w:rFonts w:ascii="Calibri" w:cs="Calibri" w:eastAsia="Calibri" w:hAnsi="Calibri"/>
                <w:sz w:val="18"/>
                <w:szCs w:val="18"/>
                <w:color w:val="auto"/>
                <w:w w:val="92"/>
              </w:rPr>
              <w:t>10.84</w:t>
            </w:r>
          </w:p>
        </w:tc>
        <w:tc>
          <w:tcPr>
            <w:tcW w:w="4900" w:type="dxa"/>
            <w:vAlign w:val="bottom"/>
            <w:gridSpan w:val="15"/>
          </w:tcPr>
          <w:p>
            <w:pPr>
              <w:spacing w:after="0"/>
              <w:rPr>
                <w:sz w:val="20"/>
                <w:szCs w:val="20"/>
                <w:color w:val="auto"/>
              </w:rPr>
            </w:pPr>
            <w:r>
              <w:rPr>
                <w:rFonts w:ascii="Calibri" w:cs="Calibri" w:eastAsia="Calibri" w:hAnsi="Calibri"/>
                <w:sz w:val="18"/>
                <w:szCs w:val="18"/>
                <w:color w:val="0000FF"/>
              </w:rPr>
              <w:t>Fifh Amendment, dated November 25, 2024, to the Lease</w:t>
            </w:r>
          </w:p>
        </w:tc>
      </w:tr>
      <w:tr>
        <w:trPr>
          <w:trHeight w:val="20"/>
        </w:trPr>
        <w:tc>
          <w:tcPr>
            <w:tcW w:w="102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262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sz w:val="20"/>
                <w:szCs w:val="20"/>
                <w:color w:val="auto"/>
              </w:rPr>
            </w:pPr>
            <w:r>
              <w:rPr>
                <w:rFonts w:ascii="Calibri" w:cs="Calibri" w:eastAsia="Calibri" w:hAnsi="Calibri"/>
                <w:sz w:val="18"/>
                <w:szCs w:val="18"/>
                <w:color w:val="0000FF"/>
              </w:rPr>
              <w:t>Agreement between Ultragenyx Pharmaceutcal Inc. and ARE-MA</w:t>
            </w:r>
          </w:p>
        </w:tc>
      </w:tr>
      <w:tr>
        <w:trPr>
          <w:trHeight w:val="20"/>
        </w:trPr>
        <w:tc>
          <w:tcPr>
            <w:tcW w:w="1020" w:type="dxa"/>
            <w:vAlign w:val="bottom"/>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262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6"/>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sz w:val="20"/>
                <w:szCs w:val="20"/>
                <w:color w:val="auto"/>
              </w:rPr>
            </w:pPr>
            <w:r>
              <w:rPr>
                <w:rFonts w:ascii="Calibri" w:cs="Calibri" w:eastAsia="Calibri" w:hAnsi="Calibri"/>
                <w:sz w:val="18"/>
                <w:szCs w:val="18"/>
                <w:color w:val="0000FF"/>
              </w:rPr>
              <w:t>Region No. 20, LLC</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90"/>
        </w:trPr>
        <w:tc>
          <w:tcPr>
            <w:tcW w:w="1020" w:type="dxa"/>
            <w:vAlign w:val="bottom"/>
          </w:tcPr>
          <w:p>
            <w:pPr>
              <w:jc w:val="right"/>
              <w:ind w:right="530"/>
              <w:spacing w:after="0"/>
              <w:rPr>
                <w:sz w:val="20"/>
                <w:szCs w:val="20"/>
                <w:color w:val="auto"/>
              </w:rPr>
            </w:pPr>
            <w:r>
              <w:rPr>
                <w:rFonts w:ascii="Calibri" w:cs="Calibri" w:eastAsia="Calibri" w:hAnsi="Calibri"/>
                <w:sz w:val="18"/>
                <w:szCs w:val="18"/>
                <w:color w:val="auto"/>
                <w:w w:val="92"/>
              </w:rPr>
              <w:t>10.85</w:t>
            </w:r>
          </w:p>
        </w:tc>
        <w:tc>
          <w:tcPr>
            <w:tcW w:w="4900" w:type="dxa"/>
            <w:vAlign w:val="bottom"/>
            <w:gridSpan w:val="15"/>
          </w:tcPr>
          <w:p>
            <w:pPr>
              <w:spacing w:after="0"/>
              <w:rPr>
                <w:rFonts w:ascii="Calibri" w:cs="Calibri" w:eastAsia="Calibri" w:hAnsi="Calibri"/>
                <w:sz w:val="18"/>
                <w:szCs w:val="18"/>
                <w:color w:val="0000FF"/>
              </w:rPr>
            </w:pPr>
            <w:hyperlink r:id="rId287">
              <w:r>
                <w:rPr>
                  <w:rFonts w:ascii="Calibri" w:cs="Calibri" w:eastAsia="Calibri" w:hAnsi="Calibri"/>
                  <w:sz w:val="18"/>
                  <w:szCs w:val="18"/>
                  <w:color w:val="0000FF"/>
                </w:rPr>
                <w:t>Lease Agreement, dated December 15, 2019, between Ultragenyx</w:t>
              </w:r>
            </w:hyperlink>
          </w:p>
        </w:tc>
      </w:tr>
      <w:tr>
        <w:trPr>
          <w:trHeight w:val="20"/>
        </w:trPr>
        <w:tc>
          <w:tcPr>
            <w:tcW w:w="1020" w:type="dxa"/>
            <w:vAlign w:val="bottom"/>
          </w:tcPr>
          <w:p>
            <w:pPr>
              <w:spacing w:after="0" w:line="20" w:lineRule="exact"/>
              <w:rPr>
                <w:sz w:val="1"/>
                <w:szCs w:val="1"/>
                <w:color w:val="auto"/>
              </w:rPr>
            </w:pPr>
          </w:p>
        </w:tc>
        <w:tc>
          <w:tcPr>
            <w:tcW w:w="3920" w:type="dxa"/>
            <w:vAlign w:val="bottom"/>
            <w:tcBorders>
              <w:right w:val="single" w:sz="8" w:color="0000FF"/>
            </w:tcBorders>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6"/>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287">
              <w:r>
                <w:rPr>
                  <w:rFonts w:ascii="Calibri" w:cs="Calibri" w:eastAsia="Calibri" w:hAnsi="Calibri"/>
                  <w:sz w:val="18"/>
                  <w:szCs w:val="18"/>
                  <w:color w:val="0000FF"/>
                </w:rPr>
                <w:t>Pharmaceutcal Inc. and ARE-San Francisco No. 17, LLC.</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920" w:type="dxa"/>
            <w:vAlign w:val="bottom"/>
            <w:tcBorders>
              <w:right w:val="single" w:sz="8" w:color="0000EE"/>
            </w:tcBorders>
            <w:gridSpan w:val="5"/>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91"/>
        </w:trPr>
        <w:tc>
          <w:tcPr>
            <w:tcW w:w="1020" w:type="dxa"/>
            <w:vAlign w:val="bottom"/>
          </w:tcPr>
          <w:p>
            <w:pPr>
              <w:jc w:val="right"/>
              <w:ind w:right="530"/>
              <w:spacing w:after="0"/>
              <w:rPr>
                <w:sz w:val="20"/>
                <w:szCs w:val="20"/>
                <w:color w:val="auto"/>
              </w:rPr>
            </w:pPr>
            <w:r>
              <w:rPr>
                <w:rFonts w:ascii="Calibri" w:cs="Calibri" w:eastAsia="Calibri" w:hAnsi="Calibri"/>
                <w:sz w:val="18"/>
                <w:szCs w:val="18"/>
                <w:color w:val="auto"/>
                <w:w w:val="92"/>
              </w:rPr>
              <w:t>10.86</w:t>
            </w:r>
          </w:p>
        </w:tc>
        <w:tc>
          <w:tcPr>
            <w:tcW w:w="4900" w:type="dxa"/>
            <w:vAlign w:val="bottom"/>
            <w:gridSpan w:val="15"/>
          </w:tcPr>
          <w:p>
            <w:pPr>
              <w:spacing w:after="0"/>
              <w:rPr>
                <w:rFonts w:ascii="Calibri" w:cs="Calibri" w:eastAsia="Calibri" w:hAnsi="Calibri"/>
                <w:sz w:val="18"/>
                <w:szCs w:val="18"/>
                <w:color w:val="0000FF"/>
              </w:rPr>
            </w:pPr>
            <w:hyperlink r:id="rId288">
              <w:r>
                <w:rPr>
                  <w:rFonts w:ascii="Calibri" w:cs="Calibri" w:eastAsia="Calibri" w:hAnsi="Calibri"/>
                  <w:sz w:val="18"/>
                  <w:szCs w:val="18"/>
                  <w:color w:val="0000FF"/>
                </w:rPr>
                <w:t>First Amendment, dated September 20, 2020, to the Lease</w:t>
              </w:r>
            </w:hyperlink>
          </w:p>
        </w:tc>
      </w:tr>
      <w:tr>
        <w:trPr>
          <w:trHeight w:val="20"/>
        </w:trPr>
        <w:tc>
          <w:tcPr>
            <w:tcW w:w="1020" w:type="dxa"/>
            <w:vAlign w:val="bottom"/>
          </w:tcPr>
          <w:p>
            <w:pPr>
              <w:spacing w:after="0" w:line="20" w:lineRule="exact"/>
              <w:rPr>
                <w:sz w:val="1"/>
                <w:szCs w:val="1"/>
                <w:color w:val="auto"/>
              </w:rPr>
            </w:pPr>
          </w:p>
        </w:tc>
        <w:tc>
          <w:tcPr>
            <w:tcW w:w="4200" w:type="dxa"/>
            <w:vAlign w:val="bottom"/>
            <w:gridSpan w:val="7"/>
            <w:shd w:val="clear" w:color="auto" w:fill="0000FF"/>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900" w:type="dxa"/>
            <w:vAlign w:val="bottom"/>
            <w:gridSpan w:val="15"/>
          </w:tcPr>
          <w:p>
            <w:pPr>
              <w:spacing w:after="0" w:line="196" w:lineRule="exact"/>
              <w:rPr>
                <w:rFonts w:ascii="Calibri" w:cs="Calibri" w:eastAsia="Calibri" w:hAnsi="Calibri"/>
                <w:sz w:val="18"/>
                <w:szCs w:val="18"/>
                <w:color w:val="0000FF"/>
              </w:rPr>
            </w:pPr>
            <w:hyperlink r:id="rId288">
              <w:r>
                <w:rPr>
                  <w:rFonts w:ascii="Calibri" w:cs="Calibri" w:eastAsia="Calibri" w:hAnsi="Calibri"/>
                  <w:sz w:val="18"/>
                  <w:szCs w:val="18"/>
                  <w:color w:val="0000FF"/>
                </w:rPr>
                <w:t>Agreement between Ultragenyx Pharmaceutcal Inc. and ARE-San</w:t>
              </w:r>
            </w:hyperlink>
          </w:p>
        </w:tc>
      </w:tr>
      <w:tr>
        <w:trPr>
          <w:trHeight w:val="20"/>
        </w:trPr>
        <w:tc>
          <w:tcPr>
            <w:tcW w:w="1020" w:type="dxa"/>
            <w:vAlign w:val="bottom"/>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 w:lineRule="exact"/>
        <w:rPr>
          <w:sz w:val="20"/>
          <w:szCs w:val="20"/>
          <w:color w:val="auto"/>
        </w:rPr>
      </w:pPr>
    </w:p>
    <w:p>
      <w:pPr>
        <w:ind w:left="1000"/>
        <w:spacing w:after="0"/>
        <w:rPr>
          <w:rFonts w:ascii="Calibri" w:cs="Calibri" w:eastAsia="Calibri" w:hAnsi="Calibri"/>
          <w:sz w:val="18"/>
          <w:szCs w:val="18"/>
          <w:u w:val="single" w:color="auto"/>
          <w:color w:val="0000FF"/>
        </w:rPr>
      </w:pPr>
      <w:hyperlink r:id="rId288">
        <w:r>
          <w:rPr>
            <w:rFonts w:ascii="Calibri" w:cs="Calibri" w:eastAsia="Calibri" w:hAnsi="Calibri"/>
            <w:sz w:val="18"/>
            <w:szCs w:val="18"/>
            <w:u w:val="single" w:color="auto"/>
            <w:color w:val="0000FF"/>
          </w:rPr>
          <w:t>Francisco No. 17,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-18415</wp:posOffset>
            </wp:positionV>
            <wp:extent cx="98044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89">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ind w:left="5520"/>
        <w:spacing w:after="0" w:line="235" w:lineRule="auto"/>
        <w:rPr>
          <w:sz w:val="20"/>
          <w:szCs w:val="20"/>
          <w:color w:val="auto"/>
        </w:rPr>
      </w:pPr>
      <w:r>
        <w:rPr>
          <w:rFonts w:ascii="Calibri" w:cs="Calibri" w:eastAsia="Calibri" w:hAnsi="Calibri"/>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482600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740" w:type="dxa"/>
            <w:vAlign w:val="bottom"/>
          </w:tcPr>
          <w:p>
            <w:pPr>
              <w:jc w:val="center"/>
              <w:ind w:right="310"/>
              <w:spacing w:after="0"/>
              <w:rPr>
                <w:sz w:val="20"/>
                <w:szCs w:val="20"/>
                <w:color w:val="auto"/>
              </w:rPr>
            </w:pPr>
            <w:r>
              <w:rPr>
                <w:rFonts w:ascii="Calibri" w:cs="Calibri" w:eastAsia="Calibri" w:hAnsi="Calibri"/>
                <w:sz w:val="18"/>
                <w:szCs w:val="18"/>
                <w:color w:val="auto"/>
              </w:rPr>
              <w:t>10-K</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2/26/2016</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w w:val="97"/>
              </w:rPr>
              <w:t>10.34</w:t>
            </w:r>
          </w:p>
        </w:tc>
      </w:tr>
      <w:tr>
        <w:trPr>
          <w:trHeight w:val="527"/>
        </w:trPr>
        <w:tc>
          <w:tcPr>
            <w:tcW w:w="740" w:type="dxa"/>
            <w:vAlign w:val="bottom"/>
          </w:tcPr>
          <w:p>
            <w:pPr>
              <w:jc w:val="center"/>
              <w:ind w:right="310"/>
              <w:spacing w:after="0"/>
              <w:rPr>
                <w:sz w:val="20"/>
                <w:szCs w:val="20"/>
                <w:color w:val="auto"/>
              </w:rPr>
            </w:pPr>
            <w:r>
              <w:rPr>
                <w:rFonts w:ascii="Calibri" w:cs="Calibri" w:eastAsia="Calibri" w:hAnsi="Calibri"/>
                <w:sz w:val="18"/>
                <w:szCs w:val="18"/>
                <w:color w:val="auto"/>
              </w:rPr>
              <w:t>10-K</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2/26/2016</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w w:val="97"/>
              </w:rPr>
              <w:t>10.35</w:t>
            </w:r>
          </w:p>
        </w:tc>
      </w:tr>
      <w:tr>
        <w:trPr>
          <w:trHeight w:val="743"/>
        </w:trPr>
        <w:tc>
          <w:tcPr>
            <w:tcW w:w="740" w:type="dxa"/>
            <w:vAlign w:val="bottom"/>
          </w:tcPr>
          <w:p>
            <w:pPr>
              <w:jc w:val="center"/>
              <w:ind w:right="310"/>
              <w:spacing w:after="0"/>
              <w:rPr>
                <w:sz w:val="20"/>
                <w:szCs w:val="20"/>
                <w:color w:val="auto"/>
              </w:rPr>
            </w:pPr>
            <w:r>
              <w:rPr>
                <w:rFonts w:ascii="Calibri" w:cs="Calibri" w:eastAsia="Calibri" w:hAnsi="Calibri"/>
                <w:sz w:val="18"/>
                <w:szCs w:val="18"/>
                <w:color w:val="auto"/>
                <w:w w:val="91"/>
              </w:rPr>
              <w:t>8-K</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2/25/2014</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10.1</w:t>
            </w:r>
          </w:p>
        </w:tc>
      </w:tr>
      <w:tr>
        <w:trPr>
          <w:trHeight w:val="743"/>
        </w:trPr>
        <w:tc>
          <w:tcPr>
            <w:tcW w:w="740" w:type="dxa"/>
            <w:vAlign w:val="bottom"/>
          </w:tcPr>
          <w:p>
            <w:pPr>
              <w:jc w:val="center"/>
              <w:ind w:right="310"/>
              <w:spacing w:after="0"/>
              <w:rPr>
                <w:sz w:val="20"/>
                <w:szCs w:val="20"/>
                <w:color w:val="auto"/>
              </w:rPr>
            </w:pPr>
            <w:r>
              <w:rPr>
                <w:rFonts w:ascii="Calibri" w:cs="Calibri" w:eastAsia="Calibri" w:hAnsi="Calibri"/>
                <w:sz w:val="18"/>
                <w:szCs w:val="18"/>
                <w:color w:val="auto"/>
                <w:w w:val="91"/>
              </w:rPr>
              <w:t>8-K</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3/13/2015</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10.1</w:t>
            </w:r>
          </w:p>
        </w:tc>
      </w:tr>
      <w:tr>
        <w:trPr>
          <w:trHeight w:val="743"/>
        </w:trPr>
        <w:tc>
          <w:tcPr>
            <w:tcW w:w="740" w:type="dxa"/>
            <w:vAlign w:val="bottom"/>
          </w:tcPr>
          <w:p>
            <w:pPr>
              <w:jc w:val="center"/>
              <w:ind w:right="310"/>
              <w:spacing w:after="0"/>
              <w:rPr>
                <w:sz w:val="20"/>
                <w:szCs w:val="20"/>
                <w:color w:val="auto"/>
              </w:rPr>
            </w:pPr>
            <w:r>
              <w:rPr>
                <w:rFonts w:ascii="Calibri" w:cs="Calibri" w:eastAsia="Calibri" w:hAnsi="Calibri"/>
                <w:sz w:val="18"/>
                <w:szCs w:val="18"/>
                <w:color w:val="auto"/>
              </w:rPr>
              <w:t>10-K</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7"/>
              </w:rPr>
              <w:t>2/26/2016</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w w:val="97"/>
              </w:rPr>
              <w:t>10.38</w:t>
            </w:r>
          </w:p>
        </w:tc>
      </w:tr>
      <w:tr>
        <w:trPr>
          <w:trHeight w:val="743"/>
        </w:trPr>
        <w:tc>
          <w:tcPr>
            <w:tcW w:w="740" w:type="dxa"/>
            <w:vAlign w:val="bottom"/>
          </w:tcPr>
          <w:p>
            <w:pPr>
              <w:jc w:val="center"/>
              <w:ind w:right="310"/>
              <w:spacing w:after="0"/>
              <w:rPr>
                <w:sz w:val="20"/>
                <w:szCs w:val="20"/>
                <w:color w:val="auto"/>
              </w:rPr>
            </w:pPr>
            <w:r>
              <w:rPr>
                <w:rFonts w:ascii="Calibri" w:cs="Calibri" w:eastAsia="Calibri" w:hAnsi="Calibri"/>
                <w:sz w:val="18"/>
                <w:szCs w:val="18"/>
                <w:color w:val="auto"/>
                <w:w w:val="94"/>
              </w:rPr>
              <w:t>10-Q</w:t>
            </w:r>
          </w:p>
        </w:tc>
        <w:tc>
          <w:tcPr>
            <w:tcW w:w="1680" w:type="dxa"/>
            <w:vAlign w:val="bottom"/>
          </w:tcPr>
          <w:p>
            <w:pPr>
              <w:jc w:val="center"/>
              <w:ind w:right="70"/>
              <w:spacing w:after="0"/>
              <w:rPr>
                <w:sz w:val="20"/>
                <w:szCs w:val="20"/>
                <w:color w:val="auto"/>
              </w:rPr>
            </w:pPr>
            <w:r>
              <w:rPr>
                <w:rFonts w:ascii="Calibri" w:cs="Calibri" w:eastAsia="Calibri" w:hAnsi="Calibri"/>
                <w:sz w:val="18"/>
                <w:szCs w:val="18"/>
                <w:color w:val="auto"/>
                <w:w w:val="98"/>
              </w:rPr>
              <w:t>8/2/2019</w:t>
            </w:r>
          </w:p>
        </w:tc>
        <w:tc>
          <w:tcPr>
            <w:tcW w:w="940" w:type="dxa"/>
            <w:vAlign w:val="bottom"/>
          </w:tcPr>
          <w:p>
            <w:pPr>
              <w:jc w:val="center"/>
              <w:ind w:left="450"/>
              <w:spacing w:after="0"/>
              <w:rPr>
                <w:sz w:val="20"/>
                <w:szCs w:val="20"/>
                <w:color w:val="auto"/>
              </w:rPr>
            </w:pPr>
            <w:r>
              <w:rPr>
                <w:rFonts w:ascii="Calibri" w:cs="Calibri" w:eastAsia="Calibri" w:hAnsi="Calibri"/>
                <w:sz w:val="18"/>
                <w:szCs w:val="18"/>
                <w:color w:val="auto"/>
              </w:rPr>
              <w:t>10.3</w:t>
            </w:r>
          </w:p>
        </w:tc>
      </w:tr>
    </w:tbl>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Calibri" w:cs="Calibri" w:eastAsia="Calibri" w:hAnsi="Calibri"/>
          <w:sz w:val="18"/>
          <w:szCs w:val="18"/>
          <w:color w:val="auto"/>
        </w:rPr>
        <w:t>X</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20" w:type="dxa"/>
            <w:vAlign w:val="bottom"/>
          </w:tcPr>
          <w:p>
            <w:pPr>
              <w:spacing w:after="0"/>
              <w:rPr>
                <w:sz w:val="20"/>
                <w:szCs w:val="20"/>
                <w:color w:val="auto"/>
              </w:rPr>
            </w:pPr>
            <w:r>
              <w:rPr>
                <w:rFonts w:ascii="Calibri" w:cs="Calibri" w:eastAsia="Calibri" w:hAnsi="Calibri"/>
                <w:sz w:val="18"/>
                <w:szCs w:val="18"/>
                <w:color w:val="auto"/>
              </w:rPr>
              <w:t>10-K</w:t>
            </w:r>
          </w:p>
        </w:tc>
        <w:tc>
          <w:tcPr>
            <w:tcW w:w="1720" w:type="dxa"/>
            <w:vAlign w:val="bottom"/>
          </w:tcPr>
          <w:p>
            <w:pPr>
              <w:jc w:val="center"/>
              <w:ind w:right="70"/>
              <w:spacing w:after="0"/>
              <w:rPr>
                <w:sz w:val="20"/>
                <w:szCs w:val="20"/>
                <w:color w:val="auto"/>
              </w:rPr>
            </w:pPr>
            <w:r>
              <w:rPr>
                <w:rFonts w:ascii="Calibri" w:cs="Calibri" w:eastAsia="Calibri" w:hAnsi="Calibri"/>
                <w:sz w:val="18"/>
                <w:szCs w:val="18"/>
                <w:color w:val="auto"/>
                <w:w w:val="97"/>
              </w:rPr>
              <w:t>2/26/2016</w:t>
            </w:r>
          </w:p>
        </w:tc>
        <w:tc>
          <w:tcPr>
            <w:tcW w:w="920" w:type="dxa"/>
            <w:vAlign w:val="bottom"/>
          </w:tcPr>
          <w:p>
            <w:pPr>
              <w:jc w:val="center"/>
              <w:ind w:left="430"/>
              <w:spacing w:after="0"/>
              <w:rPr>
                <w:sz w:val="20"/>
                <w:szCs w:val="20"/>
                <w:color w:val="auto"/>
              </w:rPr>
            </w:pPr>
            <w:r>
              <w:rPr>
                <w:rFonts w:ascii="Calibri" w:cs="Calibri" w:eastAsia="Calibri" w:hAnsi="Calibri"/>
                <w:sz w:val="18"/>
                <w:szCs w:val="18"/>
                <w:color w:val="auto"/>
                <w:w w:val="97"/>
              </w:rPr>
              <w:t>10.43</w:t>
            </w:r>
          </w:p>
        </w:tc>
      </w:tr>
      <w:tr>
        <w:trPr>
          <w:trHeight w:val="526"/>
        </w:trPr>
        <w:tc>
          <w:tcPr>
            <w:tcW w:w="720" w:type="dxa"/>
            <w:vAlign w:val="bottom"/>
          </w:tcPr>
          <w:p>
            <w:pPr>
              <w:spacing w:after="0"/>
              <w:rPr>
                <w:sz w:val="20"/>
                <w:szCs w:val="20"/>
                <w:color w:val="auto"/>
              </w:rPr>
            </w:pPr>
            <w:r>
              <w:rPr>
                <w:rFonts w:ascii="Calibri" w:cs="Calibri" w:eastAsia="Calibri" w:hAnsi="Calibri"/>
                <w:sz w:val="18"/>
                <w:szCs w:val="18"/>
                <w:color w:val="auto"/>
              </w:rPr>
              <w:t>10-K</w:t>
            </w:r>
          </w:p>
        </w:tc>
        <w:tc>
          <w:tcPr>
            <w:tcW w:w="1720" w:type="dxa"/>
            <w:vAlign w:val="bottom"/>
          </w:tcPr>
          <w:p>
            <w:pPr>
              <w:jc w:val="center"/>
              <w:ind w:right="70"/>
              <w:spacing w:after="0"/>
              <w:rPr>
                <w:sz w:val="20"/>
                <w:szCs w:val="20"/>
                <w:color w:val="auto"/>
              </w:rPr>
            </w:pPr>
            <w:r>
              <w:rPr>
                <w:rFonts w:ascii="Calibri" w:cs="Calibri" w:eastAsia="Calibri" w:hAnsi="Calibri"/>
                <w:sz w:val="18"/>
                <w:szCs w:val="18"/>
                <w:color w:val="auto"/>
                <w:w w:val="97"/>
              </w:rPr>
              <w:t>2/21/2018</w:t>
            </w:r>
          </w:p>
        </w:tc>
        <w:tc>
          <w:tcPr>
            <w:tcW w:w="920" w:type="dxa"/>
            <w:vAlign w:val="bottom"/>
          </w:tcPr>
          <w:p>
            <w:pPr>
              <w:jc w:val="center"/>
              <w:ind w:left="430"/>
              <w:spacing w:after="0"/>
              <w:rPr>
                <w:sz w:val="20"/>
                <w:szCs w:val="20"/>
                <w:color w:val="auto"/>
              </w:rPr>
            </w:pPr>
            <w:r>
              <w:rPr>
                <w:rFonts w:ascii="Calibri" w:cs="Calibri" w:eastAsia="Calibri" w:hAnsi="Calibri"/>
                <w:sz w:val="18"/>
                <w:szCs w:val="18"/>
                <w:color w:val="auto"/>
                <w:w w:val="97"/>
              </w:rPr>
              <w:t>10.66</w:t>
            </w:r>
          </w:p>
        </w:tc>
      </w:tr>
      <w:tr>
        <w:trPr>
          <w:trHeight w:val="742"/>
        </w:trPr>
        <w:tc>
          <w:tcPr>
            <w:tcW w:w="720" w:type="dxa"/>
            <w:vAlign w:val="bottom"/>
          </w:tcPr>
          <w:p>
            <w:pPr>
              <w:spacing w:after="0"/>
              <w:rPr>
                <w:sz w:val="20"/>
                <w:szCs w:val="20"/>
                <w:color w:val="auto"/>
              </w:rPr>
            </w:pPr>
            <w:r>
              <w:rPr>
                <w:rFonts w:ascii="Calibri" w:cs="Calibri" w:eastAsia="Calibri" w:hAnsi="Calibri"/>
                <w:sz w:val="18"/>
                <w:szCs w:val="18"/>
                <w:color w:val="auto"/>
              </w:rPr>
              <w:t>10-Q</w:t>
            </w:r>
          </w:p>
        </w:tc>
        <w:tc>
          <w:tcPr>
            <w:tcW w:w="1720" w:type="dxa"/>
            <w:vAlign w:val="bottom"/>
          </w:tcPr>
          <w:p>
            <w:pPr>
              <w:jc w:val="center"/>
              <w:ind w:right="70"/>
              <w:spacing w:after="0"/>
              <w:rPr>
                <w:sz w:val="20"/>
                <w:szCs w:val="20"/>
                <w:color w:val="auto"/>
              </w:rPr>
            </w:pPr>
            <w:r>
              <w:rPr>
                <w:rFonts w:ascii="Calibri" w:cs="Calibri" w:eastAsia="Calibri" w:hAnsi="Calibri"/>
                <w:sz w:val="18"/>
                <w:szCs w:val="18"/>
                <w:color w:val="auto"/>
                <w:w w:val="98"/>
              </w:rPr>
              <w:t>5/8/2018</w:t>
            </w:r>
          </w:p>
        </w:tc>
        <w:tc>
          <w:tcPr>
            <w:tcW w:w="920" w:type="dxa"/>
            <w:vAlign w:val="bottom"/>
          </w:tcPr>
          <w:p>
            <w:pPr>
              <w:jc w:val="center"/>
              <w:ind w:left="430"/>
              <w:spacing w:after="0"/>
              <w:rPr>
                <w:sz w:val="20"/>
                <w:szCs w:val="20"/>
                <w:color w:val="auto"/>
              </w:rPr>
            </w:pPr>
            <w:r>
              <w:rPr>
                <w:rFonts w:ascii="Calibri" w:cs="Calibri" w:eastAsia="Calibri" w:hAnsi="Calibri"/>
                <w:sz w:val="18"/>
                <w:szCs w:val="18"/>
                <w:color w:val="auto"/>
              </w:rPr>
              <w:t>10.6</w:t>
            </w:r>
          </w:p>
        </w:tc>
      </w:tr>
      <w:tr>
        <w:trPr>
          <w:trHeight w:val="743"/>
        </w:trPr>
        <w:tc>
          <w:tcPr>
            <w:tcW w:w="720" w:type="dxa"/>
            <w:vAlign w:val="bottom"/>
          </w:tcPr>
          <w:p>
            <w:pPr>
              <w:spacing w:after="0"/>
              <w:rPr>
                <w:sz w:val="20"/>
                <w:szCs w:val="20"/>
                <w:color w:val="auto"/>
              </w:rPr>
            </w:pPr>
            <w:r>
              <w:rPr>
                <w:rFonts w:ascii="Calibri" w:cs="Calibri" w:eastAsia="Calibri" w:hAnsi="Calibri"/>
                <w:sz w:val="18"/>
                <w:szCs w:val="18"/>
                <w:color w:val="auto"/>
              </w:rPr>
              <w:t>10-Q</w:t>
            </w:r>
          </w:p>
        </w:tc>
        <w:tc>
          <w:tcPr>
            <w:tcW w:w="1720" w:type="dxa"/>
            <w:vAlign w:val="bottom"/>
          </w:tcPr>
          <w:p>
            <w:pPr>
              <w:jc w:val="center"/>
              <w:ind w:right="70"/>
              <w:spacing w:after="0"/>
              <w:rPr>
                <w:sz w:val="20"/>
                <w:szCs w:val="20"/>
                <w:color w:val="auto"/>
              </w:rPr>
            </w:pPr>
            <w:r>
              <w:rPr>
                <w:rFonts w:ascii="Calibri" w:cs="Calibri" w:eastAsia="Calibri" w:hAnsi="Calibri"/>
                <w:sz w:val="18"/>
                <w:szCs w:val="18"/>
                <w:color w:val="auto"/>
                <w:w w:val="98"/>
              </w:rPr>
              <w:t>8/3/2018</w:t>
            </w:r>
          </w:p>
        </w:tc>
        <w:tc>
          <w:tcPr>
            <w:tcW w:w="920" w:type="dxa"/>
            <w:vAlign w:val="bottom"/>
          </w:tcPr>
          <w:p>
            <w:pPr>
              <w:jc w:val="center"/>
              <w:ind w:left="430"/>
              <w:spacing w:after="0"/>
              <w:rPr>
                <w:sz w:val="20"/>
                <w:szCs w:val="20"/>
                <w:color w:val="auto"/>
              </w:rPr>
            </w:pPr>
            <w:r>
              <w:rPr>
                <w:rFonts w:ascii="Calibri" w:cs="Calibri" w:eastAsia="Calibri" w:hAnsi="Calibri"/>
                <w:sz w:val="18"/>
                <w:szCs w:val="18"/>
                <w:color w:val="auto"/>
              </w:rPr>
              <w:t>10.3</w:t>
            </w:r>
          </w:p>
        </w:tc>
      </w:tr>
      <w:tr>
        <w:trPr>
          <w:trHeight w:val="743"/>
        </w:trPr>
        <w:tc>
          <w:tcPr>
            <w:tcW w:w="720" w:type="dxa"/>
            <w:vAlign w:val="bottom"/>
          </w:tcPr>
          <w:p>
            <w:pPr>
              <w:spacing w:after="0"/>
              <w:rPr>
                <w:sz w:val="20"/>
                <w:szCs w:val="20"/>
                <w:color w:val="auto"/>
              </w:rPr>
            </w:pPr>
            <w:r>
              <w:rPr>
                <w:rFonts w:ascii="Calibri" w:cs="Calibri" w:eastAsia="Calibri" w:hAnsi="Calibri"/>
                <w:sz w:val="18"/>
                <w:szCs w:val="18"/>
                <w:color w:val="auto"/>
              </w:rPr>
              <w:t>10-Q</w:t>
            </w:r>
          </w:p>
        </w:tc>
        <w:tc>
          <w:tcPr>
            <w:tcW w:w="1720" w:type="dxa"/>
            <w:vAlign w:val="bottom"/>
          </w:tcPr>
          <w:p>
            <w:pPr>
              <w:jc w:val="center"/>
              <w:ind w:right="70"/>
              <w:spacing w:after="0"/>
              <w:rPr>
                <w:sz w:val="20"/>
                <w:szCs w:val="20"/>
                <w:color w:val="auto"/>
              </w:rPr>
            </w:pPr>
            <w:r>
              <w:rPr>
                <w:rFonts w:ascii="Calibri" w:cs="Calibri" w:eastAsia="Calibri" w:hAnsi="Calibri"/>
                <w:sz w:val="18"/>
                <w:szCs w:val="18"/>
                <w:color w:val="auto"/>
                <w:w w:val="97"/>
              </w:rPr>
              <w:t>7/30/2020</w:t>
            </w:r>
          </w:p>
        </w:tc>
        <w:tc>
          <w:tcPr>
            <w:tcW w:w="920" w:type="dxa"/>
            <w:vAlign w:val="bottom"/>
          </w:tcPr>
          <w:p>
            <w:pPr>
              <w:jc w:val="center"/>
              <w:ind w:left="430"/>
              <w:spacing w:after="0"/>
              <w:rPr>
                <w:sz w:val="20"/>
                <w:szCs w:val="20"/>
                <w:color w:val="auto"/>
              </w:rPr>
            </w:pPr>
            <w:r>
              <w:rPr>
                <w:rFonts w:ascii="Calibri" w:cs="Calibri" w:eastAsia="Calibri" w:hAnsi="Calibri"/>
                <w:sz w:val="18"/>
                <w:szCs w:val="18"/>
                <w:color w:val="auto"/>
              </w:rPr>
              <w:t>10.2</w:t>
            </w:r>
          </w:p>
        </w:tc>
      </w:tr>
      <w:tr>
        <w:trPr>
          <w:trHeight w:val="743"/>
        </w:trPr>
        <w:tc>
          <w:tcPr>
            <w:tcW w:w="720" w:type="dxa"/>
            <w:vAlign w:val="bottom"/>
          </w:tcPr>
          <w:p>
            <w:pPr>
              <w:spacing w:after="0"/>
              <w:rPr>
                <w:sz w:val="20"/>
                <w:szCs w:val="20"/>
                <w:color w:val="auto"/>
              </w:rPr>
            </w:pPr>
            <w:r>
              <w:rPr>
                <w:rFonts w:ascii="Calibri" w:cs="Calibri" w:eastAsia="Calibri" w:hAnsi="Calibri"/>
                <w:sz w:val="18"/>
                <w:szCs w:val="18"/>
                <w:color w:val="auto"/>
              </w:rPr>
              <w:t>10-Q</w:t>
            </w:r>
          </w:p>
        </w:tc>
        <w:tc>
          <w:tcPr>
            <w:tcW w:w="1720" w:type="dxa"/>
            <w:vAlign w:val="bottom"/>
          </w:tcPr>
          <w:p>
            <w:pPr>
              <w:jc w:val="center"/>
              <w:ind w:right="50"/>
              <w:spacing w:after="0"/>
              <w:rPr>
                <w:sz w:val="20"/>
                <w:szCs w:val="20"/>
                <w:color w:val="auto"/>
              </w:rPr>
            </w:pPr>
            <w:r>
              <w:rPr>
                <w:rFonts w:ascii="Calibri" w:cs="Calibri" w:eastAsia="Calibri" w:hAnsi="Calibri"/>
                <w:sz w:val="18"/>
                <w:szCs w:val="18"/>
                <w:color w:val="auto"/>
                <w:w w:val="98"/>
              </w:rPr>
              <w:t>10/27/2020</w:t>
            </w:r>
          </w:p>
        </w:tc>
        <w:tc>
          <w:tcPr>
            <w:tcW w:w="920" w:type="dxa"/>
            <w:vAlign w:val="bottom"/>
          </w:tcPr>
          <w:p>
            <w:pPr>
              <w:jc w:val="center"/>
              <w:ind w:left="430"/>
              <w:spacing w:after="0"/>
              <w:rPr>
                <w:sz w:val="20"/>
                <w:szCs w:val="20"/>
                <w:color w:val="auto"/>
              </w:rPr>
            </w:pPr>
            <w:r>
              <w:rPr>
                <w:rFonts w:ascii="Calibri" w:cs="Calibri" w:eastAsia="Calibri" w:hAnsi="Calibri"/>
                <w:sz w:val="18"/>
                <w:szCs w:val="18"/>
                <w:color w:val="auto"/>
              </w:rPr>
              <w:t>10.5</w:t>
            </w:r>
          </w:p>
        </w:tc>
      </w:tr>
    </w:tbl>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Calibri" w:cs="Calibri" w:eastAsia="Calibri" w:hAnsi="Calibri"/>
          <w:sz w:val="18"/>
          <w:szCs w:val="18"/>
          <w:color w:val="auto"/>
        </w:rPr>
        <w:t>X</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20" w:type="dxa"/>
            <w:vAlign w:val="bottom"/>
          </w:tcPr>
          <w:p>
            <w:pPr>
              <w:spacing w:after="0"/>
              <w:rPr>
                <w:sz w:val="20"/>
                <w:szCs w:val="20"/>
                <w:color w:val="auto"/>
              </w:rPr>
            </w:pPr>
            <w:r>
              <w:rPr>
                <w:rFonts w:ascii="Calibri" w:cs="Calibri" w:eastAsia="Calibri" w:hAnsi="Calibri"/>
                <w:sz w:val="18"/>
                <w:szCs w:val="18"/>
                <w:color w:val="auto"/>
              </w:rPr>
              <w:t>10-K</w:t>
            </w:r>
          </w:p>
        </w:tc>
        <w:tc>
          <w:tcPr>
            <w:tcW w:w="1700" w:type="dxa"/>
            <w:vAlign w:val="bottom"/>
          </w:tcPr>
          <w:p>
            <w:pPr>
              <w:jc w:val="right"/>
              <w:ind w:right="450"/>
              <w:spacing w:after="0"/>
              <w:rPr>
                <w:sz w:val="20"/>
                <w:szCs w:val="20"/>
                <w:color w:val="auto"/>
              </w:rPr>
            </w:pPr>
            <w:r>
              <w:rPr>
                <w:rFonts w:ascii="Calibri" w:cs="Calibri" w:eastAsia="Calibri" w:hAnsi="Calibri"/>
                <w:sz w:val="18"/>
                <w:szCs w:val="18"/>
                <w:color w:val="auto"/>
              </w:rPr>
              <w:t>2/12/2021</w:t>
            </w:r>
          </w:p>
        </w:tc>
        <w:tc>
          <w:tcPr>
            <w:tcW w:w="940" w:type="dxa"/>
            <w:vAlign w:val="bottom"/>
          </w:tcPr>
          <w:p>
            <w:pPr>
              <w:jc w:val="right"/>
              <w:spacing w:after="0"/>
              <w:rPr>
                <w:sz w:val="20"/>
                <w:szCs w:val="20"/>
                <w:color w:val="auto"/>
              </w:rPr>
            </w:pPr>
            <w:r>
              <w:rPr>
                <w:rFonts w:ascii="Calibri" w:cs="Calibri" w:eastAsia="Calibri" w:hAnsi="Calibri"/>
                <w:sz w:val="18"/>
                <w:szCs w:val="18"/>
                <w:color w:val="auto"/>
              </w:rPr>
              <w:t>10.81</w:t>
            </w:r>
          </w:p>
        </w:tc>
      </w:tr>
      <w:tr>
        <w:trPr>
          <w:trHeight w:val="526"/>
        </w:trPr>
        <w:tc>
          <w:tcPr>
            <w:tcW w:w="720" w:type="dxa"/>
            <w:vAlign w:val="bottom"/>
          </w:tcPr>
          <w:p>
            <w:pPr>
              <w:spacing w:after="0"/>
              <w:rPr>
                <w:sz w:val="20"/>
                <w:szCs w:val="20"/>
                <w:color w:val="auto"/>
              </w:rPr>
            </w:pPr>
            <w:r>
              <w:rPr>
                <w:rFonts w:ascii="Calibri" w:cs="Calibri" w:eastAsia="Calibri" w:hAnsi="Calibri"/>
                <w:sz w:val="18"/>
                <w:szCs w:val="18"/>
                <w:color w:val="auto"/>
              </w:rPr>
              <w:t>10-K</w:t>
            </w:r>
          </w:p>
        </w:tc>
        <w:tc>
          <w:tcPr>
            <w:tcW w:w="1700" w:type="dxa"/>
            <w:vAlign w:val="bottom"/>
          </w:tcPr>
          <w:p>
            <w:pPr>
              <w:jc w:val="right"/>
              <w:ind w:right="450"/>
              <w:spacing w:after="0"/>
              <w:rPr>
                <w:sz w:val="20"/>
                <w:szCs w:val="20"/>
                <w:color w:val="auto"/>
              </w:rPr>
            </w:pPr>
            <w:r>
              <w:rPr>
                <w:rFonts w:ascii="Calibri" w:cs="Calibri" w:eastAsia="Calibri" w:hAnsi="Calibri"/>
                <w:sz w:val="18"/>
                <w:szCs w:val="18"/>
                <w:color w:val="auto"/>
              </w:rPr>
              <w:t>2/12/2021</w:t>
            </w:r>
          </w:p>
        </w:tc>
        <w:tc>
          <w:tcPr>
            <w:tcW w:w="940" w:type="dxa"/>
            <w:vAlign w:val="bottom"/>
          </w:tcPr>
          <w:p>
            <w:pPr>
              <w:jc w:val="right"/>
              <w:spacing w:after="0"/>
              <w:rPr>
                <w:sz w:val="20"/>
                <w:szCs w:val="20"/>
                <w:color w:val="auto"/>
              </w:rPr>
            </w:pPr>
            <w:r>
              <w:rPr>
                <w:rFonts w:ascii="Calibri" w:cs="Calibri" w:eastAsia="Calibri" w:hAnsi="Calibri"/>
                <w:sz w:val="18"/>
                <w:szCs w:val="18"/>
                <w:color w:val="auto"/>
              </w:rPr>
              <w:t>10.82</w:t>
            </w:r>
          </w:p>
        </w:tc>
      </w:tr>
    </w:tbl>
    <w:p>
      <w:pPr>
        <w:sectPr>
          <w:pgSz w:w="11900" w:h="16838" w:orient="portrait"/>
          <w:cols w:equalWidth="0" w:num="2">
            <w:col w:w="5920" w:space="360"/>
            <w:col w:w="4500"/>
          </w:cols>
          <w:pgMar w:left="340" w:top="1040" w:right="779" w:bottom="1440" w:gutter="0" w:footer="0" w:header="0"/>
        </w:sectPr>
      </w:pPr>
    </w:p>
    <w:bookmarkStart w:id="91" w:name="page92"/>
    <w:bookmarkEnd w:id="91"/>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1020" w:type="dxa"/>
            <w:vAlign w:val="bottom"/>
          </w:tcPr>
          <w:p>
            <w:pPr>
              <w:spacing w:after="0"/>
              <w:rPr>
                <w:sz w:val="20"/>
                <w:szCs w:val="20"/>
                <w:color w:val="auto"/>
              </w:rPr>
            </w:pPr>
            <w:r>
              <w:rPr>
                <w:rFonts w:ascii="Calibri" w:cs="Calibri" w:eastAsia="Calibri" w:hAnsi="Calibri"/>
                <w:sz w:val="18"/>
                <w:szCs w:val="18"/>
                <w:color w:val="auto"/>
              </w:rPr>
              <w:t>10.87</w:t>
            </w:r>
          </w:p>
        </w:tc>
        <w:tc>
          <w:tcPr>
            <w:tcW w:w="4820" w:type="dxa"/>
            <w:vAlign w:val="bottom"/>
            <w:gridSpan w:val="18"/>
          </w:tcPr>
          <w:p>
            <w:pPr>
              <w:spacing w:after="0"/>
              <w:rPr>
                <w:rFonts w:ascii="Calibri" w:cs="Calibri" w:eastAsia="Calibri" w:hAnsi="Calibri"/>
                <w:sz w:val="18"/>
                <w:szCs w:val="18"/>
                <w:color w:val="0000FF"/>
              </w:rPr>
            </w:pPr>
            <w:hyperlink r:id="rId291">
              <w:r>
                <w:rPr>
                  <w:rFonts w:ascii="Calibri" w:cs="Calibri" w:eastAsia="Calibri" w:hAnsi="Calibri"/>
                  <w:sz w:val="18"/>
                  <w:szCs w:val="18"/>
                  <w:color w:val="0000FF"/>
                </w:rPr>
                <w:t>Second Amendment, dated October 21, 2020, to the Lease</w:t>
              </w:r>
            </w:hyperlink>
          </w:p>
        </w:tc>
        <w:tc>
          <w:tcPr>
            <w:tcW w:w="80" w:type="dxa"/>
            <w:vAlign w:val="bottom"/>
          </w:tcPr>
          <w:p>
            <w:pPr>
              <w:spacing w:after="0"/>
              <w:rPr>
                <w:sz w:val="19"/>
                <w:szCs w:val="19"/>
                <w:color w:val="auto"/>
              </w:rPr>
            </w:pPr>
          </w:p>
        </w:tc>
        <w:tc>
          <w:tcPr>
            <w:tcW w:w="1080" w:type="dxa"/>
            <w:vAlign w:val="bottom"/>
          </w:tcPr>
          <w:p>
            <w:pPr>
              <w:ind w:left="360"/>
              <w:spacing w:after="0"/>
              <w:rPr>
                <w:sz w:val="20"/>
                <w:szCs w:val="20"/>
                <w:color w:val="auto"/>
              </w:rPr>
            </w:pPr>
            <w:r>
              <w:rPr>
                <w:rFonts w:ascii="Calibri" w:cs="Calibri" w:eastAsia="Calibri" w:hAnsi="Calibri"/>
                <w:sz w:val="18"/>
                <w:szCs w:val="18"/>
                <w:color w:val="auto"/>
              </w:rPr>
              <w:t>10-K</w:t>
            </w:r>
          </w:p>
        </w:tc>
        <w:tc>
          <w:tcPr>
            <w:tcW w:w="1700" w:type="dxa"/>
            <w:vAlign w:val="bottom"/>
          </w:tcPr>
          <w:p>
            <w:pPr>
              <w:jc w:val="right"/>
              <w:ind w:right="450"/>
              <w:spacing w:after="0"/>
              <w:rPr>
                <w:sz w:val="20"/>
                <w:szCs w:val="20"/>
                <w:color w:val="auto"/>
              </w:rPr>
            </w:pPr>
            <w:r>
              <w:rPr>
                <w:rFonts w:ascii="Calibri" w:cs="Calibri" w:eastAsia="Calibri" w:hAnsi="Calibri"/>
                <w:sz w:val="18"/>
                <w:szCs w:val="18"/>
                <w:color w:val="auto"/>
              </w:rPr>
              <w:t>2/12/2021</w:t>
            </w:r>
          </w:p>
        </w:tc>
        <w:tc>
          <w:tcPr>
            <w:tcW w:w="2080" w:type="dxa"/>
            <w:vAlign w:val="bottom"/>
          </w:tcPr>
          <w:p>
            <w:pPr>
              <w:jc w:val="center"/>
              <w:ind w:right="510"/>
              <w:spacing w:after="0"/>
              <w:rPr>
                <w:sz w:val="20"/>
                <w:szCs w:val="20"/>
                <w:color w:val="auto"/>
              </w:rPr>
            </w:pPr>
            <w:r>
              <w:rPr>
                <w:rFonts w:ascii="Calibri" w:cs="Calibri" w:eastAsia="Calibri" w:hAnsi="Calibri"/>
                <w:sz w:val="18"/>
                <w:szCs w:val="18"/>
                <w:color w:val="auto"/>
                <w:w w:val="97"/>
              </w:rPr>
              <w:t>10.83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20" w:type="dxa"/>
            <w:vAlign w:val="bottom"/>
            <w:gridSpan w:val="18"/>
          </w:tcPr>
          <w:p>
            <w:pPr>
              <w:spacing w:after="0" w:line="196" w:lineRule="exact"/>
              <w:rPr>
                <w:rFonts w:ascii="Calibri" w:cs="Calibri" w:eastAsia="Calibri" w:hAnsi="Calibri"/>
                <w:sz w:val="18"/>
                <w:szCs w:val="18"/>
                <w:color w:val="0000FF"/>
              </w:rPr>
            </w:pPr>
            <w:hyperlink r:id="rId291">
              <w:r>
                <w:rPr>
                  <w:rFonts w:ascii="Calibri" w:cs="Calibri" w:eastAsia="Calibri" w:hAnsi="Calibri"/>
                  <w:sz w:val="18"/>
                  <w:szCs w:val="18"/>
                  <w:color w:val="0000FF"/>
                </w:rPr>
                <w:t>Agreement between Ultragenyx Pharmaceutcal Inc. and ARE-San</w:t>
              </w:r>
            </w:hyperlink>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20" w:type="dxa"/>
            <w:vAlign w:val="bottom"/>
            <w:gridSpan w:val="18"/>
          </w:tcPr>
          <w:p>
            <w:pPr>
              <w:spacing w:after="0" w:line="196" w:lineRule="exact"/>
              <w:rPr>
                <w:rFonts w:ascii="Calibri" w:cs="Calibri" w:eastAsia="Calibri" w:hAnsi="Calibri"/>
                <w:sz w:val="18"/>
                <w:szCs w:val="18"/>
                <w:color w:val="0000FF"/>
              </w:rPr>
            </w:pPr>
            <w:hyperlink r:id="rId291">
              <w:r>
                <w:rPr>
                  <w:rFonts w:ascii="Calibri" w:cs="Calibri" w:eastAsia="Calibri" w:hAnsi="Calibri"/>
                  <w:sz w:val="18"/>
                  <w:szCs w:val="18"/>
                  <w:color w:val="0000FF"/>
                </w:rPr>
                <w:t>Francisco No. 17, LLC.</w:t>
              </w:r>
            </w:hyperlink>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20" w:type="dxa"/>
            <w:vAlign w:val="bottom"/>
          </w:tcPr>
          <w:p>
            <w:pPr>
              <w:spacing w:after="0"/>
              <w:rPr>
                <w:sz w:val="20"/>
                <w:szCs w:val="20"/>
                <w:color w:val="auto"/>
              </w:rPr>
            </w:pPr>
            <w:r>
              <w:rPr>
                <w:rFonts w:ascii="Calibri" w:cs="Calibri" w:eastAsia="Calibri" w:hAnsi="Calibri"/>
                <w:sz w:val="18"/>
                <w:szCs w:val="18"/>
                <w:color w:val="auto"/>
              </w:rPr>
              <w:t>10.88</w:t>
            </w:r>
          </w:p>
        </w:tc>
        <w:tc>
          <w:tcPr>
            <w:tcW w:w="4820" w:type="dxa"/>
            <w:vAlign w:val="bottom"/>
            <w:gridSpan w:val="18"/>
          </w:tcPr>
          <w:p>
            <w:pPr>
              <w:spacing w:after="0"/>
              <w:rPr>
                <w:rFonts w:ascii="Calibri" w:cs="Calibri" w:eastAsia="Calibri" w:hAnsi="Calibri"/>
                <w:sz w:val="18"/>
                <w:szCs w:val="18"/>
                <w:color w:val="0000FF"/>
              </w:rPr>
            </w:pPr>
            <w:hyperlink r:id="rId292">
              <w:r>
                <w:rPr>
                  <w:rFonts w:ascii="Calibri" w:cs="Calibri" w:eastAsia="Calibri" w:hAnsi="Calibri"/>
                  <w:sz w:val="18"/>
                  <w:szCs w:val="18"/>
                  <w:color w:val="0000FF"/>
                </w:rPr>
                <w:t>Third Amendment, dated July 27, 2022, to the Lease Agreement</w:t>
              </w:r>
            </w:hyperlink>
          </w:p>
        </w:tc>
        <w:tc>
          <w:tcPr>
            <w:tcW w:w="80" w:type="dxa"/>
            <w:vAlign w:val="bottom"/>
          </w:tcPr>
          <w:p>
            <w:pPr>
              <w:spacing w:after="0"/>
              <w:rPr>
                <w:sz w:val="24"/>
                <w:szCs w:val="24"/>
                <w:color w:val="auto"/>
              </w:rPr>
            </w:pPr>
          </w:p>
        </w:tc>
        <w:tc>
          <w:tcPr>
            <w:tcW w:w="1080" w:type="dxa"/>
            <w:vAlign w:val="bottom"/>
          </w:tcPr>
          <w:p>
            <w:pPr>
              <w:ind w:left="360"/>
              <w:spacing w:after="0"/>
              <w:rPr>
                <w:sz w:val="20"/>
                <w:szCs w:val="20"/>
                <w:color w:val="auto"/>
              </w:rPr>
            </w:pPr>
            <w:r>
              <w:rPr>
                <w:rFonts w:ascii="Calibri" w:cs="Calibri" w:eastAsia="Calibri" w:hAnsi="Calibri"/>
                <w:sz w:val="18"/>
                <w:szCs w:val="18"/>
                <w:color w:val="auto"/>
              </w:rPr>
              <w:t>10-K</w:t>
            </w:r>
          </w:p>
        </w:tc>
        <w:tc>
          <w:tcPr>
            <w:tcW w:w="1700" w:type="dxa"/>
            <w:vAlign w:val="bottom"/>
          </w:tcPr>
          <w:p>
            <w:pPr>
              <w:jc w:val="right"/>
              <w:ind w:right="450"/>
              <w:spacing w:after="0"/>
              <w:rPr>
                <w:sz w:val="20"/>
                <w:szCs w:val="20"/>
                <w:color w:val="auto"/>
              </w:rPr>
            </w:pPr>
            <w:r>
              <w:rPr>
                <w:rFonts w:ascii="Calibri" w:cs="Calibri" w:eastAsia="Calibri" w:hAnsi="Calibri"/>
                <w:sz w:val="18"/>
                <w:szCs w:val="18"/>
                <w:color w:val="auto"/>
              </w:rPr>
              <w:t>2/16/2023</w:t>
            </w:r>
          </w:p>
        </w:tc>
        <w:tc>
          <w:tcPr>
            <w:tcW w:w="2080" w:type="dxa"/>
            <w:vAlign w:val="bottom"/>
          </w:tcPr>
          <w:p>
            <w:pPr>
              <w:jc w:val="center"/>
              <w:ind w:right="510"/>
              <w:spacing w:after="0"/>
              <w:rPr>
                <w:sz w:val="20"/>
                <w:szCs w:val="20"/>
                <w:color w:val="auto"/>
              </w:rPr>
            </w:pPr>
            <w:r>
              <w:rPr>
                <w:rFonts w:ascii="Calibri" w:cs="Calibri" w:eastAsia="Calibri" w:hAnsi="Calibri"/>
                <w:sz w:val="18"/>
                <w:szCs w:val="18"/>
                <w:color w:val="auto"/>
                <w:w w:val="97"/>
              </w:rPr>
              <w:t>10.92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20" w:type="dxa"/>
            <w:vAlign w:val="bottom"/>
            <w:gridSpan w:val="18"/>
          </w:tcPr>
          <w:p>
            <w:pPr>
              <w:spacing w:after="0" w:line="196" w:lineRule="exact"/>
              <w:rPr>
                <w:rFonts w:ascii="Calibri" w:cs="Calibri" w:eastAsia="Calibri" w:hAnsi="Calibri"/>
                <w:sz w:val="18"/>
                <w:szCs w:val="18"/>
                <w:color w:val="0000FF"/>
                <w:w w:val="97"/>
              </w:rPr>
            </w:pPr>
            <w:hyperlink r:id="rId292">
              <w:r>
                <w:rPr>
                  <w:rFonts w:ascii="Calibri" w:cs="Calibri" w:eastAsia="Calibri" w:hAnsi="Calibri"/>
                  <w:sz w:val="18"/>
                  <w:szCs w:val="18"/>
                  <w:color w:val="0000FF"/>
                  <w:w w:val="97"/>
                </w:rPr>
                <w:t>between Ultragenyx Pharmaceutcal Inc. and ARE-San Francisco No.</w:t>
              </w:r>
            </w:hyperlink>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20" w:type="dxa"/>
            <w:vAlign w:val="bottom"/>
            <w:gridSpan w:val="18"/>
          </w:tcPr>
          <w:p>
            <w:pPr>
              <w:spacing w:after="0" w:line="196" w:lineRule="exact"/>
              <w:rPr>
                <w:rFonts w:ascii="Calibri" w:cs="Calibri" w:eastAsia="Calibri" w:hAnsi="Calibri"/>
                <w:sz w:val="18"/>
                <w:szCs w:val="18"/>
                <w:color w:val="0000FF"/>
              </w:rPr>
            </w:pPr>
            <w:hyperlink r:id="rId292">
              <w:r>
                <w:rPr>
                  <w:rFonts w:ascii="Calibri" w:cs="Calibri" w:eastAsia="Calibri" w:hAnsi="Calibri"/>
                  <w:sz w:val="18"/>
                  <w:szCs w:val="18"/>
                  <w:color w:val="0000FF"/>
                </w:rPr>
                <w:t>17, LLC</w:t>
              </w:r>
            </w:hyperlink>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left w:val="single" w:sz="8" w:color="0000FF"/>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vMerge w:val="restart"/>
          </w:tcPr>
          <w:p>
            <w:pPr>
              <w:spacing w:after="0"/>
              <w:rPr>
                <w:sz w:val="20"/>
                <w:szCs w:val="20"/>
                <w:color w:val="auto"/>
              </w:rPr>
            </w:pPr>
            <w:r>
              <w:rPr>
                <w:rFonts w:ascii="Calibri" w:cs="Calibri" w:eastAsia="Calibri" w:hAnsi="Calibri"/>
                <w:sz w:val="18"/>
                <w:szCs w:val="18"/>
                <w:color w:val="auto"/>
              </w:rPr>
              <w:t>10.89</w:t>
            </w:r>
          </w:p>
        </w:tc>
        <w:tc>
          <w:tcPr>
            <w:tcW w:w="4820" w:type="dxa"/>
            <w:vAlign w:val="bottom"/>
            <w:gridSpan w:val="18"/>
          </w:tcPr>
          <w:p>
            <w:pPr>
              <w:spacing w:after="0" w:line="196" w:lineRule="exact"/>
              <w:rPr>
                <w:sz w:val="20"/>
                <w:szCs w:val="20"/>
                <w:color w:val="auto"/>
              </w:rPr>
            </w:pPr>
            <w:r>
              <w:rPr>
                <w:rFonts w:ascii="Calibri" w:cs="Calibri" w:eastAsia="Calibri" w:hAnsi="Calibri"/>
                <w:sz w:val="18"/>
                <w:szCs w:val="18"/>
                <w:color w:val="0000FF"/>
              </w:rPr>
              <w:t>Fourth Amendment, dated December 13, 2024, to the Lease</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80" w:type="dxa"/>
            <w:vAlign w:val="bottom"/>
            <w:vMerge w:val="restart"/>
          </w:tcPr>
          <w:p>
            <w:pPr>
              <w:ind w:left="1980"/>
              <w:spacing w:after="0"/>
              <w:rPr>
                <w:sz w:val="20"/>
                <w:szCs w:val="20"/>
                <w:color w:val="auto"/>
              </w:rPr>
            </w:pPr>
            <w:r>
              <w:rPr>
                <w:rFonts w:ascii="Calibri" w:cs="Calibri" w:eastAsia="Calibri" w:hAnsi="Calibri"/>
                <w:sz w:val="18"/>
                <w:szCs w:val="18"/>
                <w:color w:val="auto"/>
                <w:w w:val="85"/>
              </w:rPr>
              <w:t>X</w:t>
            </w: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1020" w:type="dxa"/>
            <w:vAlign w:val="bottom"/>
            <w:vMerge w:val="continue"/>
          </w:tcPr>
          <w:p>
            <w:pPr>
              <w:spacing w:after="0"/>
              <w:rPr>
                <w:sz w:val="9"/>
                <w:szCs w:val="9"/>
                <w:color w:val="auto"/>
              </w:rPr>
            </w:pPr>
          </w:p>
        </w:tc>
        <w:tc>
          <w:tcPr>
            <w:tcW w:w="4820" w:type="dxa"/>
            <w:vAlign w:val="bottom"/>
            <w:gridSpan w:val="18"/>
            <w:vMerge w:val="restart"/>
          </w:tcPr>
          <w:p>
            <w:pPr>
              <w:spacing w:after="0" w:line="196" w:lineRule="exact"/>
              <w:rPr>
                <w:sz w:val="20"/>
                <w:szCs w:val="20"/>
                <w:color w:val="auto"/>
              </w:rPr>
            </w:pPr>
            <w:r>
              <w:rPr>
                <w:rFonts w:ascii="Calibri" w:cs="Calibri" w:eastAsia="Calibri" w:hAnsi="Calibri"/>
                <w:sz w:val="18"/>
                <w:szCs w:val="18"/>
                <w:color w:val="0000FF"/>
              </w:rPr>
              <w:t>Agreement between Ultragenyx Pharmaceutcal Inc. and GI ETS</w:t>
            </w: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020" w:type="dxa"/>
            <w:vAlign w:val="bottom"/>
          </w:tcPr>
          <w:p>
            <w:pPr>
              <w:spacing w:after="0"/>
              <w:rPr>
                <w:sz w:val="7"/>
                <w:szCs w:val="7"/>
                <w:color w:val="auto"/>
              </w:rPr>
            </w:pPr>
          </w:p>
        </w:tc>
        <w:tc>
          <w:tcPr>
            <w:tcW w:w="4820" w:type="dxa"/>
            <w:vAlign w:val="bottom"/>
            <w:gridSpan w:val="18"/>
            <w:vMerge w:val="continue"/>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2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20" w:type="dxa"/>
            <w:vAlign w:val="bottom"/>
            <w:gridSpan w:val="18"/>
          </w:tcPr>
          <w:p>
            <w:pPr>
              <w:spacing w:after="0" w:line="196" w:lineRule="exact"/>
              <w:rPr>
                <w:sz w:val="20"/>
                <w:szCs w:val="20"/>
                <w:color w:val="auto"/>
              </w:rPr>
            </w:pPr>
            <w:r>
              <w:rPr>
                <w:rFonts w:ascii="Calibri" w:cs="Calibri" w:eastAsia="Calibri" w:hAnsi="Calibri"/>
                <w:sz w:val="18"/>
                <w:szCs w:val="18"/>
                <w:color w:val="0000FF"/>
                <w:w w:val="97"/>
              </w:rPr>
              <w:t>Shoreline LLC (as successor-in-interest to ARE-San Francisco No. 17,</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20" w:type="dxa"/>
            <w:vAlign w:val="bottom"/>
            <w:gridSpan w:val="18"/>
          </w:tcPr>
          <w:p>
            <w:pPr>
              <w:spacing w:after="0" w:line="196" w:lineRule="exact"/>
              <w:rPr>
                <w:sz w:val="20"/>
                <w:szCs w:val="20"/>
                <w:color w:val="auto"/>
              </w:rPr>
            </w:pPr>
            <w:r>
              <w:rPr>
                <w:rFonts w:ascii="Calibri" w:cs="Calibri" w:eastAsia="Calibri" w:hAnsi="Calibri"/>
                <w:sz w:val="18"/>
                <w:szCs w:val="18"/>
                <w:color w:val="0000FF"/>
              </w:rPr>
              <w:t>LLC)</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20" w:type="dxa"/>
            <w:vAlign w:val="bottom"/>
          </w:tcPr>
          <w:p>
            <w:pPr>
              <w:spacing w:after="0"/>
              <w:rPr>
                <w:sz w:val="20"/>
                <w:szCs w:val="20"/>
                <w:color w:val="auto"/>
              </w:rPr>
            </w:pPr>
            <w:r>
              <w:rPr>
                <w:rFonts w:ascii="Calibri" w:cs="Calibri" w:eastAsia="Calibri" w:hAnsi="Calibri"/>
                <w:sz w:val="18"/>
                <w:szCs w:val="18"/>
                <w:color w:val="auto"/>
              </w:rPr>
              <w:t>10.90</w:t>
            </w:r>
          </w:p>
        </w:tc>
        <w:tc>
          <w:tcPr>
            <w:tcW w:w="4820" w:type="dxa"/>
            <w:vAlign w:val="bottom"/>
            <w:gridSpan w:val="18"/>
          </w:tcPr>
          <w:p>
            <w:pPr>
              <w:spacing w:after="0"/>
              <w:rPr>
                <w:rFonts w:ascii="Calibri" w:cs="Calibri" w:eastAsia="Calibri" w:hAnsi="Calibri"/>
                <w:sz w:val="18"/>
                <w:szCs w:val="18"/>
                <w:color w:val="0000FF"/>
              </w:rPr>
            </w:pPr>
            <w:hyperlink r:id="rId293">
              <w:r>
                <w:rPr>
                  <w:rFonts w:ascii="Calibri" w:cs="Calibri" w:eastAsia="Calibri" w:hAnsi="Calibri"/>
                  <w:sz w:val="18"/>
                  <w:szCs w:val="18"/>
                  <w:color w:val="0000FF"/>
                </w:rPr>
                <w:t>Ofce Lease, dated April 19, 2019, between Ultragenyx</w:t>
              </w:r>
            </w:hyperlink>
          </w:p>
        </w:tc>
        <w:tc>
          <w:tcPr>
            <w:tcW w:w="80" w:type="dxa"/>
            <w:vAlign w:val="bottom"/>
          </w:tcPr>
          <w:p>
            <w:pPr>
              <w:spacing w:after="0"/>
              <w:rPr>
                <w:sz w:val="24"/>
                <w:szCs w:val="24"/>
                <w:color w:val="auto"/>
              </w:rPr>
            </w:pPr>
          </w:p>
        </w:tc>
        <w:tc>
          <w:tcPr>
            <w:tcW w:w="1080" w:type="dxa"/>
            <w:vAlign w:val="bottom"/>
          </w:tcPr>
          <w:p>
            <w:pPr>
              <w:ind w:left="360"/>
              <w:spacing w:after="0"/>
              <w:rPr>
                <w:sz w:val="20"/>
                <w:szCs w:val="20"/>
                <w:color w:val="auto"/>
              </w:rPr>
            </w:pPr>
            <w:r>
              <w:rPr>
                <w:rFonts w:ascii="Calibri" w:cs="Calibri" w:eastAsia="Calibri" w:hAnsi="Calibri"/>
                <w:sz w:val="18"/>
                <w:szCs w:val="18"/>
                <w:color w:val="auto"/>
              </w:rPr>
              <w:t>10-K</w:t>
            </w:r>
          </w:p>
        </w:tc>
        <w:tc>
          <w:tcPr>
            <w:tcW w:w="1700" w:type="dxa"/>
            <w:vAlign w:val="bottom"/>
          </w:tcPr>
          <w:p>
            <w:pPr>
              <w:jc w:val="right"/>
              <w:ind w:right="450"/>
              <w:spacing w:after="0"/>
              <w:rPr>
                <w:sz w:val="20"/>
                <w:szCs w:val="20"/>
                <w:color w:val="auto"/>
              </w:rPr>
            </w:pPr>
            <w:r>
              <w:rPr>
                <w:rFonts w:ascii="Calibri" w:cs="Calibri" w:eastAsia="Calibri" w:hAnsi="Calibri"/>
                <w:sz w:val="18"/>
                <w:szCs w:val="18"/>
                <w:color w:val="auto"/>
              </w:rPr>
              <w:t>2/14/2020</w:t>
            </w:r>
          </w:p>
        </w:tc>
        <w:tc>
          <w:tcPr>
            <w:tcW w:w="2080" w:type="dxa"/>
            <w:vAlign w:val="bottom"/>
          </w:tcPr>
          <w:p>
            <w:pPr>
              <w:jc w:val="center"/>
              <w:ind w:right="510"/>
              <w:spacing w:after="0"/>
              <w:rPr>
                <w:sz w:val="20"/>
                <w:szCs w:val="20"/>
                <w:color w:val="auto"/>
              </w:rPr>
            </w:pPr>
            <w:r>
              <w:rPr>
                <w:rFonts w:ascii="Calibri" w:cs="Calibri" w:eastAsia="Calibri" w:hAnsi="Calibri"/>
                <w:sz w:val="18"/>
                <w:szCs w:val="18"/>
                <w:color w:val="auto"/>
                <w:w w:val="97"/>
              </w:rPr>
              <w:t>10.70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20" w:type="dxa"/>
            <w:vAlign w:val="bottom"/>
            <w:gridSpan w:val="18"/>
          </w:tcPr>
          <w:p>
            <w:pPr>
              <w:spacing w:after="0" w:line="196" w:lineRule="exact"/>
              <w:rPr>
                <w:rFonts w:ascii="Calibri" w:cs="Calibri" w:eastAsia="Calibri" w:hAnsi="Calibri"/>
                <w:sz w:val="18"/>
                <w:szCs w:val="18"/>
                <w:color w:val="0000FF"/>
              </w:rPr>
            </w:pPr>
            <w:hyperlink r:id="rId293">
              <w:r>
                <w:rPr>
                  <w:rFonts w:ascii="Calibri" w:cs="Calibri" w:eastAsia="Calibri" w:hAnsi="Calibri"/>
                  <w:sz w:val="18"/>
                  <w:szCs w:val="18"/>
                  <w:color w:val="0000FF"/>
                </w:rPr>
                <w:t>Pharmaceutcal Inc. and Woburn MCB II, LLC</w:t>
              </w:r>
            </w:hyperlink>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20" w:type="dxa"/>
            <w:vAlign w:val="bottom"/>
          </w:tcPr>
          <w:p>
            <w:pPr>
              <w:spacing w:after="0"/>
              <w:rPr>
                <w:sz w:val="20"/>
                <w:szCs w:val="20"/>
                <w:color w:val="auto"/>
              </w:rPr>
            </w:pPr>
            <w:r>
              <w:rPr>
                <w:rFonts w:ascii="Calibri" w:cs="Calibri" w:eastAsia="Calibri" w:hAnsi="Calibri"/>
                <w:sz w:val="18"/>
                <w:szCs w:val="18"/>
                <w:color w:val="auto"/>
              </w:rPr>
              <w:t>10.91</w:t>
            </w:r>
          </w:p>
        </w:tc>
        <w:tc>
          <w:tcPr>
            <w:tcW w:w="4820" w:type="dxa"/>
            <w:vAlign w:val="bottom"/>
            <w:gridSpan w:val="18"/>
          </w:tcPr>
          <w:p>
            <w:pPr>
              <w:spacing w:after="0"/>
              <w:rPr>
                <w:rFonts w:ascii="Calibri" w:cs="Calibri" w:eastAsia="Calibri" w:hAnsi="Calibri"/>
                <w:sz w:val="18"/>
                <w:szCs w:val="18"/>
                <w:color w:val="0000FF"/>
              </w:rPr>
            </w:pPr>
            <w:hyperlink r:id="rId294">
              <w:r>
                <w:rPr>
                  <w:rFonts w:ascii="Calibri" w:cs="Calibri" w:eastAsia="Calibri" w:hAnsi="Calibri"/>
                  <w:sz w:val="18"/>
                  <w:szCs w:val="18"/>
                  <w:color w:val="0000FF"/>
                </w:rPr>
                <w:t>Commercial Lease, dated July 2, 2018, between Ultragenyx</w:t>
              </w:r>
            </w:hyperlink>
          </w:p>
        </w:tc>
        <w:tc>
          <w:tcPr>
            <w:tcW w:w="80" w:type="dxa"/>
            <w:vAlign w:val="bottom"/>
          </w:tcPr>
          <w:p>
            <w:pPr>
              <w:spacing w:after="0"/>
              <w:rPr>
                <w:sz w:val="24"/>
                <w:szCs w:val="24"/>
                <w:color w:val="auto"/>
              </w:rPr>
            </w:pPr>
          </w:p>
        </w:tc>
        <w:tc>
          <w:tcPr>
            <w:tcW w:w="1080" w:type="dxa"/>
            <w:vAlign w:val="bottom"/>
          </w:tcPr>
          <w:p>
            <w:pPr>
              <w:ind w:left="360"/>
              <w:spacing w:after="0"/>
              <w:rPr>
                <w:sz w:val="20"/>
                <w:szCs w:val="20"/>
                <w:color w:val="auto"/>
              </w:rPr>
            </w:pPr>
            <w:r>
              <w:rPr>
                <w:rFonts w:ascii="Calibri" w:cs="Calibri" w:eastAsia="Calibri" w:hAnsi="Calibri"/>
                <w:sz w:val="18"/>
                <w:szCs w:val="18"/>
                <w:color w:val="auto"/>
              </w:rPr>
              <w:t>10-K</w:t>
            </w:r>
          </w:p>
        </w:tc>
        <w:tc>
          <w:tcPr>
            <w:tcW w:w="1700" w:type="dxa"/>
            <w:vAlign w:val="bottom"/>
          </w:tcPr>
          <w:p>
            <w:pPr>
              <w:jc w:val="right"/>
              <w:ind w:right="450"/>
              <w:spacing w:after="0"/>
              <w:rPr>
                <w:sz w:val="20"/>
                <w:szCs w:val="20"/>
                <w:color w:val="auto"/>
              </w:rPr>
            </w:pPr>
            <w:r>
              <w:rPr>
                <w:rFonts w:ascii="Calibri" w:cs="Calibri" w:eastAsia="Calibri" w:hAnsi="Calibri"/>
                <w:sz w:val="18"/>
                <w:szCs w:val="18"/>
                <w:color w:val="auto"/>
              </w:rPr>
              <w:t>2/14/2020</w:t>
            </w:r>
          </w:p>
        </w:tc>
        <w:tc>
          <w:tcPr>
            <w:tcW w:w="2080" w:type="dxa"/>
            <w:vAlign w:val="bottom"/>
          </w:tcPr>
          <w:p>
            <w:pPr>
              <w:jc w:val="center"/>
              <w:ind w:right="510"/>
              <w:spacing w:after="0"/>
              <w:rPr>
                <w:sz w:val="20"/>
                <w:szCs w:val="20"/>
                <w:color w:val="auto"/>
              </w:rPr>
            </w:pPr>
            <w:r>
              <w:rPr>
                <w:rFonts w:ascii="Calibri" w:cs="Calibri" w:eastAsia="Calibri" w:hAnsi="Calibri"/>
                <w:sz w:val="18"/>
                <w:szCs w:val="18"/>
                <w:color w:val="auto"/>
                <w:w w:val="97"/>
              </w:rPr>
              <w:t>10.71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20" w:type="dxa"/>
            <w:vAlign w:val="bottom"/>
            <w:gridSpan w:val="18"/>
          </w:tcPr>
          <w:p>
            <w:pPr>
              <w:spacing w:after="0" w:line="196" w:lineRule="exact"/>
              <w:rPr>
                <w:rFonts w:ascii="Calibri" w:cs="Calibri" w:eastAsia="Calibri" w:hAnsi="Calibri"/>
                <w:sz w:val="18"/>
                <w:szCs w:val="18"/>
                <w:color w:val="0000FF"/>
              </w:rPr>
            </w:pPr>
            <w:hyperlink r:id="rId294">
              <w:r>
                <w:rPr>
                  <w:rFonts w:ascii="Calibri" w:cs="Calibri" w:eastAsia="Calibri" w:hAnsi="Calibri"/>
                  <w:sz w:val="18"/>
                  <w:szCs w:val="18"/>
                  <w:color w:val="0000FF"/>
                </w:rPr>
                <w:t>Pharmaceutcal Inc. and 32 Leveroni LLC</w:t>
              </w:r>
            </w:hyperlink>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20" w:type="dxa"/>
            <w:vAlign w:val="bottom"/>
          </w:tcPr>
          <w:p>
            <w:pPr>
              <w:spacing w:after="0"/>
              <w:rPr>
                <w:sz w:val="20"/>
                <w:szCs w:val="20"/>
                <w:color w:val="auto"/>
              </w:rPr>
            </w:pPr>
            <w:r>
              <w:rPr>
                <w:rFonts w:ascii="Calibri" w:cs="Calibri" w:eastAsia="Calibri" w:hAnsi="Calibri"/>
                <w:sz w:val="18"/>
                <w:szCs w:val="18"/>
                <w:color w:val="auto"/>
              </w:rPr>
              <w:t>10.92</w:t>
            </w:r>
          </w:p>
        </w:tc>
        <w:tc>
          <w:tcPr>
            <w:tcW w:w="4820" w:type="dxa"/>
            <w:vAlign w:val="bottom"/>
            <w:gridSpan w:val="18"/>
          </w:tcPr>
          <w:p>
            <w:pPr>
              <w:spacing w:after="0"/>
              <w:rPr>
                <w:rFonts w:ascii="Calibri" w:cs="Calibri" w:eastAsia="Calibri" w:hAnsi="Calibri"/>
                <w:sz w:val="18"/>
                <w:szCs w:val="18"/>
                <w:color w:val="0000FF"/>
                <w:w w:val="98"/>
              </w:rPr>
            </w:pPr>
            <w:hyperlink r:id="rId295">
              <w:r>
                <w:rPr>
                  <w:rFonts w:ascii="Calibri" w:cs="Calibri" w:eastAsia="Calibri" w:hAnsi="Calibri"/>
                  <w:sz w:val="18"/>
                  <w:szCs w:val="18"/>
                  <w:color w:val="0000FF"/>
                  <w:w w:val="98"/>
                </w:rPr>
                <w:t>Lease, dated August 18, 2022, between Ultragenyx Pharmaceutcal</w:t>
              </w:r>
            </w:hyperlink>
          </w:p>
        </w:tc>
        <w:tc>
          <w:tcPr>
            <w:tcW w:w="80" w:type="dxa"/>
            <w:vAlign w:val="bottom"/>
          </w:tcPr>
          <w:p>
            <w:pPr>
              <w:spacing w:after="0"/>
              <w:rPr>
                <w:sz w:val="24"/>
                <w:szCs w:val="24"/>
                <w:color w:val="auto"/>
              </w:rPr>
            </w:pPr>
          </w:p>
        </w:tc>
        <w:tc>
          <w:tcPr>
            <w:tcW w:w="1080" w:type="dxa"/>
            <w:vAlign w:val="bottom"/>
          </w:tcPr>
          <w:p>
            <w:pPr>
              <w:ind w:left="360"/>
              <w:spacing w:after="0"/>
              <w:rPr>
                <w:sz w:val="20"/>
                <w:szCs w:val="20"/>
                <w:color w:val="auto"/>
              </w:rPr>
            </w:pPr>
            <w:r>
              <w:rPr>
                <w:rFonts w:ascii="Calibri" w:cs="Calibri" w:eastAsia="Calibri" w:hAnsi="Calibri"/>
                <w:sz w:val="18"/>
                <w:szCs w:val="18"/>
                <w:color w:val="auto"/>
              </w:rPr>
              <w:t>10-K</w:t>
            </w:r>
          </w:p>
        </w:tc>
        <w:tc>
          <w:tcPr>
            <w:tcW w:w="1700" w:type="dxa"/>
            <w:vAlign w:val="bottom"/>
          </w:tcPr>
          <w:p>
            <w:pPr>
              <w:jc w:val="right"/>
              <w:ind w:right="450"/>
              <w:spacing w:after="0"/>
              <w:rPr>
                <w:sz w:val="20"/>
                <w:szCs w:val="20"/>
                <w:color w:val="auto"/>
              </w:rPr>
            </w:pPr>
            <w:r>
              <w:rPr>
                <w:rFonts w:ascii="Calibri" w:cs="Calibri" w:eastAsia="Calibri" w:hAnsi="Calibri"/>
                <w:sz w:val="18"/>
                <w:szCs w:val="18"/>
                <w:color w:val="auto"/>
              </w:rPr>
              <w:t>2/17/2023</w:t>
            </w:r>
          </w:p>
        </w:tc>
        <w:tc>
          <w:tcPr>
            <w:tcW w:w="2080" w:type="dxa"/>
            <w:vAlign w:val="bottom"/>
          </w:tcPr>
          <w:p>
            <w:pPr>
              <w:jc w:val="center"/>
              <w:ind w:right="510"/>
              <w:spacing w:after="0"/>
              <w:rPr>
                <w:sz w:val="20"/>
                <w:szCs w:val="20"/>
                <w:color w:val="auto"/>
              </w:rPr>
            </w:pPr>
            <w:r>
              <w:rPr>
                <w:rFonts w:ascii="Calibri" w:cs="Calibri" w:eastAsia="Calibri" w:hAnsi="Calibri"/>
                <w:sz w:val="18"/>
                <w:szCs w:val="18"/>
                <w:color w:val="auto"/>
                <w:w w:val="97"/>
              </w:rPr>
              <w:t>10.95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20" w:type="dxa"/>
            <w:vAlign w:val="bottom"/>
            <w:gridSpan w:val="18"/>
          </w:tcPr>
          <w:p>
            <w:pPr>
              <w:spacing w:after="0" w:line="196" w:lineRule="exact"/>
              <w:rPr>
                <w:rFonts w:ascii="Calibri" w:cs="Calibri" w:eastAsia="Calibri" w:hAnsi="Calibri"/>
                <w:sz w:val="18"/>
                <w:szCs w:val="18"/>
                <w:color w:val="0000FF"/>
              </w:rPr>
            </w:pPr>
            <w:hyperlink r:id="rId295">
              <w:r>
                <w:rPr>
                  <w:rFonts w:ascii="Calibri" w:cs="Calibri" w:eastAsia="Calibri" w:hAnsi="Calibri"/>
                  <w:sz w:val="18"/>
                  <w:szCs w:val="18"/>
                  <w:color w:val="0000FF"/>
                </w:rPr>
                <w:t>Inc. and Brickbotom I QOZB L.P.</w:t>
              </w:r>
            </w:hyperlink>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20" w:type="dxa"/>
            <w:vAlign w:val="bottom"/>
          </w:tcPr>
          <w:p>
            <w:pPr>
              <w:spacing w:after="0"/>
              <w:rPr>
                <w:sz w:val="20"/>
                <w:szCs w:val="20"/>
                <w:color w:val="auto"/>
              </w:rPr>
            </w:pPr>
            <w:r>
              <w:rPr>
                <w:rFonts w:ascii="Calibri" w:cs="Calibri" w:eastAsia="Calibri" w:hAnsi="Calibri"/>
                <w:sz w:val="18"/>
                <w:szCs w:val="18"/>
                <w:color w:val="auto"/>
              </w:rPr>
              <w:t>10.93</w:t>
            </w:r>
          </w:p>
        </w:tc>
        <w:tc>
          <w:tcPr>
            <w:tcW w:w="4820" w:type="dxa"/>
            <w:vAlign w:val="bottom"/>
            <w:gridSpan w:val="18"/>
          </w:tcPr>
          <w:p>
            <w:pPr>
              <w:spacing w:after="0"/>
              <w:rPr>
                <w:sz w:val="20"/>
                <w:szCs w:val="20"/>
                <w:color w:val="auto"/>
              </w:rPr>
            </w:pPr>
            <w:r>
              <w:rPr>
                <w:rFonts w:ascii="Calibri" w:cs="Calibri" w:eastAsia="Calibri" w:hAnsi="Calibri"/>
                <w:sz w:val="18"/>
                <w:szCs w:val="18"/>
                <w:color w:val="0000FF"/>
              </w:rPr>
              <w:t>First Amendment, dated March 12, 2024, between Ultragenyx</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80" w:type="dxa"/>
            <w:vAlign w:val="bottom"/>
          </w:tcPr>
          <w:p>
            <w:pPr>
              <w:ind w:left="1980"/>
              <w:spacing w:after="0"/>
              <w:rPr>
                <w:sz w:val="20"/>
                <w:szCs w:val="20"/>
                <w:color w:val="auto"/>
              </w:rPr>
            </w:pPr>
            <w:r>
              <w:rPr>
                <w:rFonts w:ascii="Calibri" w:cs="Calibri" w:eastAsia="Calibri" w:hAnsi="Calibri"/>
                <w:sz w:val="18"/>
                <w:szCs w:val="18"/>
                <w:color w:val="auto"/>
                <w:w w:val="85"/>
              </w:rPr>
              <w:t>X</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20" w:type="dxa"/>
            <w:vAlign w:val="bottom"/>
            <w:gridSpan w:val="18"/>
          </w:tcPr>
          <w:p>
            <w:pPr>
              <w:spacing w:after="0" w:line="196" w:lineRule="exact"/>
              <w:rPr>
                <w:sz w:val="20"/>
                <w:szCs w:val="20"/>
                <w:color w:val="auto"/>
              </w:rPr>
            </w:pPr>
            <w:r>
              <w:rPr>
                <w:rFonts w:ascii="Calibri" w:cs="Calibri" w:eastAsia="Calibri" w:hAnsi="Calibri"/>
                <w:sz w:val="18"/>
                <w:szCs w:val="18"/>
                <w:color w:val="0000FF"/>
              </w:rPr>
              <w:t>Pharmaceutcal Inc. and Brickbotom I QOZB L.P.</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20" w:type="dxa"/>
            <w:vAlign w:val="bottom"/>
          </w:tcPr>
          <w:p>
            <w:pPr>
              <w:spacing w:after="0"/>
              <w:rPr>
                <w:sz w:val="20"/>
                <w:szCs w:val="20"/>
                <w:color w:val="auto"/>
              </w:rPr>
            </w:pPr>
            <w:r>
              <w:rPr>
                <w:rFonts w:ascii="Calibri" w:cs="Calibri" w:eastAsia="Calibri" w:hAnsi="Calibri"/>
                <w:sz w:val="18"/>
                <w:szCs w:val="18"/>
                <w:color w:val="auto"/>
              </w:rPr>
              <w:t>19.1</w:t>
            </w:r>
          </w:p>
        </w:tc>
        <w:tc>
          <w:tcPr>
            <w:tcW w:w="4820" w:type="dxa"/>
            <w:vAlign w:val="bottom"/>
            <w:gridSpan w:val="18"/>
          </w:tcPr>
          <w:p>
            <w:pPr>
              <w:spacing w:after="0"/>
              <w:rPr>
                <w:sz w:val="20"/>
                <w:szCs w:val="20"/>
                <w:color w:val="auto"/>
              </w:rPr>
            </w:pPr>
            <w:r>
              <w:rPr>
                <w:rFonts w:ascii="Calibri" w:cs="Calibri" w:eastAsia="Calibri" w:hAnsi="Calibri"/>
                <w:sz w:val="18"/>
                <w:szCs w:val="18"/>
                <w:color w:val="0000FF"/>
              </w:rPr>
              <w:t>Ultragenyx Insider Trading Policy</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80" w:type="dxa"/>
            <w:vAlign w:val="bottom"/>
          </w:tcPr>
          <w:p>
            <w:pPr>
              <w:ind w:left="1980"/>
              <w:spacing w:after="0"/>
              <w:rPr>
                <w:sz w:val="20"/>
                <w:szCs w:val="20"/>
                <w:color w:val="auto"/>
              </w:rPr>
            </w:pPr>
            <w:r>
              <w:rPr>
                <w:rFonts w:ascii="Calibri" w:cs="Calibri" w:eastAsia="Calibri" w:hAnsi="Calibri"/>
                <w:sz w:val="18"/>
                <w:szCs w:val="18"/>
                <w:color w:val="auto"/>
                <w:w w:val="85"/>
              </w:rPr>
              <w:t>X</w:t>
            </w: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left w:val="single" w:sz="8" w:color="0000EE"/>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20" w:type="dxa"/>
            <w:vAlign w:val="bottom"/>
          </w:tcPr>
          <w:p>
            <w:pPr>
              <w:spacing w:after="0"/>
              <w:rPr>
                <w:sz w:val="20"/>
                <w:szCs w:val="20"/>
                <w:color w:val="auto"/>
              </w:rPr>
            </w:pPr>
            <w:r>
              <w:rPr>
                <w:rFonts w:ascii="Calibri" w:cs="Calibri" w:eastAsia="Calibri" w:hAnsi="Calibri"/>
                <w:sz w:val="18"/>
                <w:szCs w:val="18"/>
                <w:color w:val="auto"/>
              </w:rPr>
              <w:t>21.1</w:t>
            </w:r>
          </w:p>
        </w:tc>
        <w:tc>
          <w:tcPr>
            <w:tcW w:w="4820" w:type="dxa"/>
            <w:vAlign w:val="bottom"/>
            <w:gridSpan w:val="18"/>
          </w:tcPr>
          <w:p>
            <w:pPr>
              <w:spacing w:after="0"/>
              <w:rPr>
                <w:sz w:val="20"/>
                <w:szCs w:val="20"/>
                <w:color w:val="auto"/>
              </w:rPr>
            </w:pPr>
            <w:r>
              <w:rPr>
                <w:rFonts w:ascii="Calibri" w:cs="Calibri" w:eastAsia="Calibri" w:hAnsi="Calibri"/>
                <w:sz w:val="18"/>
                <w:szCs w:val="18"/>
                <w:color w:val="0000FF"/>
              </w:rPr>
              <w:t>Subsidiaries of Ultragenyx Pharmaceutcal Inc.</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80" w:type="dxa"/>
            <w:vAlign w:val="bottom"/>
          </w:tcPr>
          <w:p>
            <w:pPr>
              <w:ind w:left="1980"/>
              <w:spacing w:after="0"/>
              <w:rPr>
                <w:sz w:val="20"/>
                <w:szCs w:val="20"/>
                <w:color w:val="auto"/>
              </w:rPr>
            </w:pPr>
            <w:r>
              <w:rPr>
                <w:rFonts w:ascii="Calibri" w:cs="Calibri" w:eastAsia="Calibri" w:hAnsi="Calibri"/>
                <w:sz w:val="18"/>
                <w:szCs w:val="18"/>
                <w:color w:val="auto"/>
                <w:w w:val="85"/>
              </w:rPr>
              <w:t>X</w:t>
            </w: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320" w:type="dxa"/>
            <w:vAlign w:val="bottom"/>
            <w:tcBorders>
              <w:right w:val="single" w:sz="8" w:color="0000EE"/>
            </w:tcBorders>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20" w:type="dxa"/>
            <w:vAlign w:val="bottom"/>
          </w:tcPr>
          <w:p>
            <w:pPr>
              <w:spacing w:after="0"/>
              <w:rPr>
                <w:sz w:val="20"/>
                <w:szCs w:val="20"/>
                <w:color w:val="auto"/>
              </w:rPr>
            </w:pPr>
            <w:r>
              <w:rPr>
                <w:rFonts w:ascii="Calibri" w:cs="Calibri" w:eastAsia="Calibri" w:hAnsi="Calibri"/>
                <w:sz w:val="18"/>
                <w:szCs w:val="18"/>
                <w:color w:val="auto"/>
              </w:rPr>
              <w:t>23.1</w:t>
            </w:r>
          </w:p>
        </w:tc>
        <w:tc>
          <w:tcPr>
            <w:tcW w:w="4820" w:type="dxa"/>
            <w:vAlign w:val="bottom"/>
            <w:gridSpan w:val="18"/>
          </w:tcPr>
          <w:p>
            <w:pPr>
              <w:spacing w:after="0"/>
              <w:rPr>
                <w:sz w:val="20"/>
                <w:szCs w:val="20"/>
                <w:color w:val="auto"/>
              </w:rPr>
            </w:pPr>
            <w:r>
              <w:rPr>
                <w:rFonts w:ascii="Calibri" w:cs="Calibri" w:eastAsia="Calibri" w:hAnsi="Calibri"/>
                <w:sz w:val="18"/>
                <w:szCs w:val="18"/>
                <w:color w:val="0000FF"/>
              </w:rPr>
              <w:t>Consent of Independent Registered Public Accountng Firm</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80" w:type="dxa"/>
            <w:vAlign w:val="bottom"/>
          </w:tcPr>
          <w:p>
            <w:pPr>
              <w:ind w:left="1980"/>
              <w:spacing w:after="0"/>
              <w:rPr>
                <w:sz w:val="20"/>
                <w:szCs w:val="20"/>
                <w:color w:val="auto"/>
              </w:rPr>
            </w:pPr>
            <w:r>
              <w:rPr>
                <w:rFonts w:ascii="Calibri" w:cs="Calibri" w:eastAsia="Calibri" w:hAnsi="Calibri"/>
                <w:sz w:val="18"/>
                <w:szCs w:val="18"/>
                <w:color w:val="auto"/>
                <w:w w:val="85"/>
              </w:rPr>
              <w:t>X</w:t>
            </w: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20" w:type="dxa"/>
            <w:vAlign w:val="bottom"/>
            <w:tcBorders>
              <w:right w:val="single" w:sz="8" w:color="0000FF"/>
            </w:tcBorders>
            <w:gridSpan w:val="5"/>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20" w:type="dxa"/>
            <w:vAlign w:val="bottom"/>
          </w:tcPr>
          <w:p>
            <w:pPr>
              <w:spacing w:after="0"/>
              <w:rPr>
                <w:sz w:val="20"/>
                <w:szCs w:val="20"/>
                <w:color w:val="auto"/>
              </w:rPr>
            </w:pPr>
            <w:r>
              <w:rPr>
                <w:rFonts w:ascii="Calibri" w:cs="Calibri" w:eastAsia="Calibri" w:hAnsi="Calibri"/>
                <w:sz w:val="18"/>
                <w:szCs w:val="18"/>
                <w:color w:val="auto"/>
              </w:rPr>
              <w:t>24.1</w:t>
            </w:r>
          </w:p>
        </w:tc>
        <w:tc>
          <w:tcPr>
            <w:tcW w:w="4820" w:type="dxa"/>
            <w:vAlign w:val="bottom"/>
            <w:gridSpan w:val="18"/>
          </w:tcPr>
          <w:p>
            <w:pPr>
              <w:spacing w:after="0"/>
              <w:rPr>
                <w:sz w:val="20"/>
                <w:szCs w:val="20"/>
                <w:color w:val="auto"/>
              </w:rPr>
            </w:pPr>
            <w:r>
              <w:rPr>
                <w:rFonts w:ascii="Calibri" w:cs="Calibri" w:eastAsia="Calibri" w:hAnsi="Calibri"/>
                <w:sz w:val="18"/>
                <w:szCs w:val="18"/>
                <w:color w:val="0000FF"/>
              </w:rPr>
              <w:t>Power of Atorney (included on the signature page of this report)</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20" w:type="dxa"/>
            <w:vAlign w:val="bottom"/>
            <w:tcBorders>
              <w:right w:val="single" w:sz="8" w:color="0000FF"/>
            </w:tcBorders>
            <w:gridSpan w:val="5"/>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4"/>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20" w:type="dxa"/>
            <w:vAlign w:val="bottom"/>
          </w:tcPr>
          <w:p>
            <w:pPr>
              <w:spacing w:after="0"/>
              <w:rPr>
                <w:sz w:val="20"/>
                <w:szCs w:val="20"/>
                <w:color w:val="auto"/>
              </w:rPr>
            </w:pPr>
            <w:r>
              <w:rPr>
                <w:rFonts w:ascii="Calibri" w:cs="Calibri" w:eastAsia="Calibri" w:hAnsi="Calibri"/>
                <w:sz w:val="18"/>
                <w:szCs w:val="18"/>
                <w:color w:val="auto"/>
              </w:rPr>
              <w:t>31.1</w:t>
            </w:r>
          </w:p>
        </w:tc>
        <w:tc>
          <w:tcPr>
            <w:tcW w:w="4820" w:type="dxa"/>
            <w:vAlign w:val="bottom"/>
            <w:gridSpan w:val="18"/>
          </w:tcPr>
          <w:p>
            <w:pPr>
              <w:spacing w:after="0"/>
              <w:rPr>
                <w:sz w:val="20"/>
                <w:szCs w:val="20"/>
                <w:color w:val="auto"/>
              </w:rPr>
            </w:pPr>
            <w:r>
              <w:rPr>
                <w:rFonts w:ascii="Calibri" w:cs="Calibri" w:eastAsia="Calibri" w:hAnsi="Calibri"/>
                <w:sz w:val="18"/>
                <w:szCs w:val="18"/>
                <w:color w:val="0000FF"/>
              </w:rPr>
              <w:t>Certfcaton of Principal Executve Ofcer of Ultragenyx</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80" w:type="dxa"/>
            <w:vAlign w:val="bottom"/>
          </w:tcPr>
          <w:p>
            <w:pPr>
              <w:ind w:left="1980"/>
              <w:spacing w:after="0"/>
              <w:rPr>
                <w:sz w:val="20"/>
                <w:szCs w:val="20"/>
                <w:color w:val="auto"/>
              </w:rPr>
            </w:pPr>
            <w:r>
              <w:rPr>
                <w:rFonts w:ascii="Calibri" w:cs="Calibri" w:eastAsia="Calibri" w:hAnsi="Calibri"/>
                <w:sz w:val="18"/>
                <w:szCs w:val="18"/>
                <w:color w:val="auto"/>
                <w:w w:val="85"/>
              </w:rPr>
              <w:t>X</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20" w:type="dxa"/>
            <w:vAlign w:val="bottom"/>
            <w:tcBorders>
              <w:right w:val="single" w:sz="8" w:color="0000FF"/>
            </w:tcBorders>
            <w:gridSpan w:val="5"/>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20" w:type="dxa"/>
            <w:vAlign w:val="bottom"/>
            <w:gridSpan w:val="18"/>
          </w:tcPr>
          <w:p>
            <w:pPr>
              <w:spacing w:after="0" w:line="196" w:lineRule="exact"/>
              <w:rPr>
                <w:sz w:val="20"/>
                <w:szCs w:val="20"/>
                <w:color w:val="auto"/>
              </w:rPr>
            </w:pPr>
            <w:r>
              <w:rPr>
                <w:rFonts w:ascii="Calibri" w:cs="Calibri" w:eastAsia="Calibri" w:hAnsi="Calibri"/>
                <w:sz w:val="18"/>
                <w:szCs w:val="18"/>
                <w:color w:val="0000FF"/>
                <w:w w:val="96"/>
              </w:rPr>
              <w:t>Pharmaceutcal Inc., as required by Rule 13a-14(a) or Rule 15d-14(a)</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20" w:type="dxa"/>
            <w:vAlign w:val="bottom"/>
            <w:tcBorders>
              <w:right w:val="single" w:sz="8" w:color="0000FF"/>
            </w:tcBorders>
            <w:gridSpan w:val="5"/>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20" w:type="dxa"/>
            <w:vAlign w:val="bottom"/>
            <w:gridSpan w:val="18"/>
          </w:tcPr>
          <w:p>
            <w:pPr>
              <w:spacing w:after="0" w:line="196" w:lineRule="exact"/>
              <w:rPr>
                <w:sz w:val="20"/>
                <w:szCs w:val="20"/>
                <w:color w:val="auto"/>
              </w:rPr>
            </w:pPr>
            <w:r>
              <w:rPr>
                <w:rFonts w:ascii="Calibri" w:cs="Calibri" w:eastAsia="Calibri" w:hAnsi="Calibri"/>
                <w:sz w:val="18"/>
                <w:szCs w:val="18"/>
                <w:color w:val="0000FF"/>
              </w:rPr>
              <w:t>of the Exchange Act as adopted pursuant to Secton 302 of the</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20" w:type="dxa"/>
            <w:vAlign w:val="bottom"/>
            <w:tcBorders>
              <w:right w:val="single" w:sz="8" w:color="0000FF"/>
            </w:tcBorders>
            <w:gridSpan w:val="5"/>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20" w:type="dxa"/>
            <w:vAlign w:val="bottom"/>
            <w:gridSpan w:val="18"/>
          </w:tcPr>
          <w:p>
            <w:pPr>
              <w:spacing w:after="0" w:line="196" w:lineRule="exact"/>
              <w:rPr>
                <w:sz w:val="20"/>
                <w:szCs w:val="20"/>
                <w:color w:val="auto"/>
              </w:rPr>
            </w:pPr>
            <w:r>
              <w:rPr>
                <w:rFonts w:ascii="Calibri" w:cs="Calibri" w:eastAsia="Calibri" w:hAnsi="Calibri"/>
                <w:sz w:val="18"/>
                <w:szCs w:val="18"/>
                <w:color w:val="0000FF"/>
              </w:rPr>
              <w:t>Sarbanes-Oxley Act of 2002</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20" w:type="dxa"/>
            <w:vAlign w:val="bottom"/>
          </w:tcPr>
          <w:p>
            <w:pPr>
              <w:spacing w:after="0"/>
              <w:rPr>
                <w:sz w:val="20"/>
                <w:szCs w:val="20"/>
                <w:color w:val="auto"/>
              </w:rPr>
            </w:pPr>
            <w:r>
              <w:rPr>
                <w:rFonts w:ascii="Calibri" w:cs="Calibri" w:eastAsia="Calibri" w:hAnsi="Calibri"/>
                <w:sz w:val="18"/>
                <w:szCs w:val="18"/>
                <w:color w:val="auto"/>
              </w:rPr>
              <w:t>31.2</w:t>
            </w:r>
          </w:p>
        </w:tc>
        <w:tc>
          <w:tcPr>
            <w:tcW w:w="4820" w:type="dxa"/>
            <w:vAlign w:val="bottom"/>
            <w:gridSpan w:val="18"/>
          </w:tcPr>
          <w:p>
            <w:pPr>
              <w:spacing w:after="0"/>
              <w:rPr>
                <w:sz w:val="20"/>
                <w:szCs w:val="20"/>
                <w:color w:val="auto"/>
              </w:rPr>
            </w:pPr>
            <w:r>
              <w:rPr>
                <w:rFonts w:ascii="Calibri" w:cs="Calibri" w:eastAsia="Calibri" w:hAnsi="Calibri"/>
                <w:sz w:val="18"/>
                <w:szCs w:val="18"/>
                <w:color w:val="0000FF"/>
              </w:rPr>
              <w:t>Certfcaton of Principal Financial Ofcer of Ultragenyx</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80" w:type="dxa"/>
            <w:vAlign w:val="bottom"/>
          </w:tcPr>
          <w:p>
            <w:pPr>
              <w:ind w:left="1980"/>
              <w:spacing w:after="0"/>
              <w:rPr>
                <w:sz w:val="20"/>
                <w:szCs w:val="20"/>
                <w:color w:val="auto"/>
              </w:rPr>
            </w:pPr>
            <w:r>
              <w:rPr>
                <w:rFonts w:ascii="Calibri" w:cs="Calibri" w:eastAsia="Calibri" w:hAnsi="Calibri"/>
                <w:sz w:val="18"/>
                <w:szCs w:val="18"/>
                <w:color w:val="auto"/>
                <w:w w:val="85"/>
              </w:rPr>
              <w:t>X</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288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20" w:type="dxa"/>
            <w:vAlign w:val="bottom"/>
            <w:gridSpan w:val="18"/>
          </w:tcPr>
          <w:p>
            <w:pPr>
              <w:spacing w:after="0" w:line="196" w:lineRule="exact"/>
              <w:rPr>
                <w:sz w:val="20"/>
                <w:szCs w:val="20"/>
                <w:color w:val="auto"/>
              </w:rPr>
            </w:pPr>
            <w:r>
              <w:rPr>
                <w:rFonts w:ascii="Calibri" w:cs="Calibri" w:eastAsia="Calibri" w:hAnsi="Calibri"/>
                <w:sz w:val="18"/>
                <w:szCs w:val="18"/>
                <w:color w:val="0000FF"/>
                <w:w w:val="96"/>
              </w:rPr>
              <w:t>Pharmaceutcal Inc., as required by Rule 13a-14(a) or Rule 15d-14(a)</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288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1360" w:type="dxa"/>
            <w:vAlign w:val="bottom"/>
            <w:tcBorders>
              <w:left w:val="single" w:sz="8" w:color="0000FF"/>
            </w:tcBorders>
            <w:gridSpan w:val="8"/>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20" w:type="dxa"/>
            <w:vAlign w:val="bottom"/>
            <w:gridSpan w:val="18"/>
          </w:tcPr>
          <w:p>
            <w:pPr>
              <w:spacing w:after="0" w:line="196" w:lineRule="exact"/>
              <w:rPr>
                <w:sz w:val="20"/>
                <w:szCs w:val="20"/>
                <w:color w:val="auto"/>
              </w:rPr>
            </w:pPr>
            <w:r>
              <w:rPr>
                <w:rFonts w:ascii="Calibri" w:cs="Calibri" w:eastAsia="Calibri" w:hAnsi="Calibri"/>
                <w:sz w:val="18"/>
                <w:szCs w:val="18"/>
                <w:color w:val="0000FF"/>
              </w:rPr>
              <w:t>of the Exchange Act as adopted pursuant to Secton 302 of the</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288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1100" w:type="dxa"/>
            <w:vAlign w:val="bottom"/>
            <w:tcBorders>
              <w:left w:val="single" w:sz="8" w:color="0000FF"/>
            </w:tcBorders>
            <w:gridSpan w:val="5"/>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20" w:type="dxa"/>
            <w:vAlign w:val="bottom"/>
            <w:gridSpan w:val="18"/>
          </w:tcPr>
          <w:p>
            <w:pPr>
              <w:spacing w:after="0" w:line="196" w:lineRule="exact"/>
              <w:rPr>
                <w:sz w:val="20"/>
                <w:szCs w:val="20"/>
                <w:color w:val="auto"/>
              </w:rPr>
            </w:pPr>
            <w:r>
              <w:rPr>
                <w:rFonts w:ascii="Calibri" w:cs="Calibri" w:eastAsia="Calibri" w:hAnsi="Calibri"/>
                <w:sz w:val="18"/>
                <w:szCs w:val="18"/>
                <w:color w:val="0000FF"/>
              </w:rPr>
              <w:t>Sarbanes-Oxley Act of 2002</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4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36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20" w:type="dxa"/>
            <w:vAlign w:val="bottom"/>
          </w:tcPr>
          <w:p>
            <w:pPr>
              <w:spacing w:after="0"/>
              <w:rPr>
                <w:sz w:val="20"/>
                <w:szCs w:val="20"/>
                <w:color w:val="auto"/>
              </w:rPr>
            </w:pPr>
            <w:r>
              <w:rPr>
                <w:rFonts w:ascii="Calibri" w:cs="Calibri" w:eastAsia="Calibri" w:hAnsi="Calibri"/>
                <w:sz w:val="18"/>
                <w:szCs w:val="18"/>
                <w:color w:val="auto"/>
              </w:rPr>
              <w:t>32.1§</w:t>
            </w:r>
          </w:p>
        </w:tc>
        <w:tc>
          <w:tcPr>
            <w:tcW w:w="4820" w:type="dxa"/>
            <w:vAlign w:val="bottom"/>
            <w:gridSpan w:val="18"/>
          </w:tcPr>
          <w:p>
            <w:pPr>
              <w:spacing w:after="0"/>
              <w:rPr>
                <w:sz w:val="20"/>
                <w:szCs w:val="20"/>
                <w:color w:val="auto"/>
              </w:rPr>
            </w:pPr>
            <w:r>
              <w:rPr>
                <w:rFonts w:ascii="Calibri" w:cs="Calibri" w:eastAsia="Calibri" w:hAnsi="Calibri"/>
                <w:sz w:val="18"/>
                <w:szCs w:val="18"/>
                <w:color w:val="0000FF"/>
              </w:rPr>
              <w:t>Certfcaton by the Principal Executve Ofcer and Principal Financial</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80" w:type="dxa"/>
            <w:vAlign w:val="bottom"/>
          </w:tcPr>
          <w:p>
            <w:pPr>
              <w:ind w:left="1980"/>
              <w:spacing w:after="0"/>
              <w:rPr>
                <w:sz w:val="20"/>
                <w:szCs w:val="20"/>
                <w:color w:val="auto"/>
              </w:rPr>
            </w:pPr>
            <w:r>
              <w:rPr>
                <w:rFonts w:ascii="Calibri" w:cs="Calibri" w:eastAsia="Calibri" w:hAnsi="Calibri"/>
                <w:sz w:val="18"/>
                <w:szCs w:val="18"/>
                <w:color w:val="auto"/>
                <w:w w:val="85"/>
              </w:rPr>
              <w:t>X</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288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1360" w:type="dxa"/>
            <w:vAlign w:val="bottom"/>
            <w:tcBorders>
              <w:left w:val="single" w:sz="8" w:color="0000FF"/>
            </w:tcBorders>
            <w:gridSpan w:val="8"/>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20" w:type="dxa"/>
            <w:vAlign w:val="bottom"/>
            <w:gridSpan w:val="18"/>
          </w:tcPr>
          <w:p>
            <w:pPr>
              <w:spacing w:after="0" w:line="196" w:lineRule="exact"/>
              <w:rPr>
                <w:sz w:val="20"/>
                <w:szCs w:val="20"/>
                <w:color w:val="auto"/>
              </w:rPr>
            </w:pPr>
            <w:r>
              <w:rPr>
                <w:rFonts w:ascii="Calibri" w:cs="Calibri" w:eastAsia="Calibri" w:hAnsi="Calibri"/>
                <w:sz w:val="18"/>
                <w:szCs w:val="18"/>
                <w:color w:val="0000FF"/>
                <w:w w:val="99"/>
              </w:rPr>
              <w:t>Ofcer, as required by Rule 13a-14(b) or Rule 15d-14(b) and Secton</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288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1360" w:type="dxa"/>
            <w:vAlign w:val="bottom"/>
            <w:tcBorders>
              <w:left w:val="single" w:sz="8" w:color="0000FF"/>
            </w:tcBorders>
            <w:gridSpan w:val="8"/>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820" w:type="dxa"/>
            <w:vAlign w:val="bottom"/>
            <w:gridSpan w:val="18"/>
          </w:tcPr>
          <w:p>
            <w:pPr>
              <w:spacing w:after="0" w:line="196" w:lineRule="exact"/>
              <w:rPr>
                <w:sz w:val="20"/>
                <w:szCs w:val="20"/>
                <w:color w:val="auto"/>
              </w:rPr>
            </w:pPr>
            <w:r>
              <w:rPr>
                <w:rFonts w:ascii="Calibri" w:cs="Calibri" w:eastAsia="Calibri" w:hAnsi="Calibri"/>
                <w:sz w:val="18"/>
                <w:szCs w:val="18"/>
                <w:color w:val="0000FF"/>
                <w:w w:val="98"/>
              </w:rPr>
              <w:t>1350 of Chapter 36 of Title 18 of the United States Code (18 U.S.C.</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500" w:type="dxa"/>
            <w:vAlign w:val="bottom"/>
            <w:gridSpan w:val="2"/>
          </w:tcPr>
          <w:p>
            <w:pPr>
              <w:spacing w:after="0" w:line="196" w:lineRule="exact"/>
              <w:rPr>
                <w:sz w:val="20"/>
                <w:szCs w:val="20"/>
                <w:color w:val="auto"/>
              </w:rPr>
            </w:pPr>
            <w:r>
              <w:rPr>
                <w:rFonts w:ascii="Calibri" w:cs="Calibri" w:eastAsia="Calibri" w:hAnsi="Calibri"/>
                <w:sz w:val="18"/>
                <w:szCs w:val="18"/>
                <w:color w:val="0000FF"/>
                <w:w w:val="90"/>
              </w:rPr>
              <w:t>§1350)</w:t>
            </w: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gridSpan w:val="2"/>
            <w:shd w:val="clear" w:color="auto" w:fill="0000FF"/>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144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20" w:type="dxa"/>
            <w:vAlign w:val="bottom"/>
          </w:tcPr>
          <w:p>
            <w:pPr>
              <w:spacing w:after="0"/>
              <w:rPr>
                <w:sz w:val="20"/>
                <w:szCs w:val="20"/>
                <w:color w:val="auto"/>
              </w:rPr>
            </w:pPr>
            <w:r>
              <w:rPr>
                <w:rFonts w:ascii="Calibri" w:cs="Calibri" w:eastAsia="Calibri" w:hAnsi="Calibri"/>
                <w:sz w:val="18"/>
                <w:szCs w:val="18"/>
                <w:color w:val="auto"/>
              </w:rPr>
              <w:t>97.1</w:t>
            </w:r>
          </w:p>
        </w:tc>
        <w:tc>
          <w:tcPr>
            <w:tcW w:w="4820" w:type="dxa"/>
            <w:vAlign w:val="bottom"/>
            <w:gridSpan w:val="18"/>
          </w:tcPr>
          <w:p>
            <w:pPr>
              <w:spacing w:after="0"/>
              <w:rPr>
                <w:rFonts w:ascii="Calibri" w:cs="Calibri" w:eastAsia="Calibri" w:hAnsi="Calibri"/>
                <w:sz w:val="18"/>
                <w:szCs w:val="18"/>
                <w:color w:val="0000FF"/>
              </w:rPr>
            </w:pPr>
            <w:hyperlink r:id="rId296">
              <w:r>
                <w:rPr>
                  <w:rFonts w:ascii="Calibri" w:cs="Calibri" w:eastAsia="Calibri" w:hAnsi="Calibri"/>
                  <w:sz w:val="18"/>
                  <w:szCs w:val="18"/>
                  <w:color w:val="0000FF"/>
                </w:rPr>
                <w:t>Ultragenyx Pharmaceutcal Inc. Clawback Policy</w:t>
              </w:r>
            </w:hyperlink>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jc w:val="right"/>
              <w:ind w:right="450"/>
              <w:spacing w:after="0"/>
              <w:rPr>
                <w:sz w:val="20"/>
                <w:szCs w:val="20"/>
                <w:color w:val="auto"/>
              </w:rPr>
            </w:pPr>
            <w:r>
              <w:rPr>
                <w:rFonts w:ascii="Calibri" w:cs="Calibri" w:eastAsia="Calibri" w:hAnsi="Calibri"/>
                <w:sz w:val="18"/>
                <w:szCs w:val="18"/>
                <w:color w:val="auto"/>
              </w:rPr>
              <w:t>2/21/2024</w:t>
            </w:r>
          </w:p>
        </w:tc>
        <w:tc>
          <w:tcPr>
            <w:tcW w:w="2080" w:type="dxa"/>
            <w:vAlign w:val="bottom"/>
          </w:tcPr>
          <w:p>
            <w:pPr>
              <w:jc w:val="center"/>
              <w:ind w:right="510"/>
              <w:spacing w:after="0"/>
              <w:rPr>
                <w:sz w:val="20"/>
                <w:szCs w:val="20"/>
                <w:color w:val="auto"/>
              </w:rPr>
            </w:pPr>
            <w:r>
              <w:rPr>
                <w:rFonts w:ascii="Calibri" w:cs="Calibri" w:eastAsia="Calibri" w:hAnsi="Calibri"/>
                <w:sz w:val="18"/>
                <w:szCs w:val="18"/>
                <w:color w:val="auto"/>
              </w:rPr>
              <w:t>97.1</w:t>
            </w: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380" w:type="dxa"/>
            <w:vAlign w:val="bottom"/>
            <w:tcBorders>
              <w:right w:val="single" w:sz="8" w:color="0000EE"/>
            </w:tcBorders>
            <w:gridSpan w:val="9"/>
            <w:shd w:val="clear" w:color="auto" w:fill="0000FF"/>
          </w:tcPr>
          <w:p>
            <w:pPr>
              <w:spacing w:after="0" w:line="20" w:lineRule="exact"/>
              <w:rPr>
                <w:sz w:val="1"/>
                <w:szCs w:val="1"/>
                <w:color w:val="auto"/>
              </w:rPr>
            </w:pPr>
          </w:p>
        </w:tc>
        <w:tc>
          <w:tcPr>
            <w:tcW w:w="144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1020" w:type="dxa"/>
            <w:vAlign w:val="bottom"/>
          </w:tcPr>
          <w:p>
            <w:pPr>
              <w:spacing w:after="0"/>
              <w:rPr>
                <w:sz w:val="20"/>
                <w:szCs w:val="20"/>
                <w:color w:val="auto"/>
              </w:rPr>
            </w:pPr>
            <w:r>
              <w:rPr>
                <w:rFonts w:ascii="Calibri" w:cs="Calibri" w:eastAsia="Calibri" w:hAnsi="Calibri"/>
                <w:sz w:val="18"/>
                <w:szCs w:val="18"/>
                <w:color w:val="auto"/>
              </w:rPr>
              <w:t>101.INS</w:t>
            </w:r>
          </w:p>
        </w:tc>
        <w:tc>
          <w:tcPr>
            <w:tcW w:w="4820" w:type="dxa"/>
            <w:vAlign w:val="bottom"/>
            <w:gridSpan w:val="18"/>
          </w:tcPr>
          <w:p>
            <w:pPr>
              <w:spacing w:after="0"/>
              <w:rPr>
                <w:sz w:val="20"/>
                <w:szCs w:val="20"/>
                <w:color w:val="auto"/>
              </w:rPr>
            </w:pPr>
            <w:r>
              <w:rPr>
                <w:rFonts w:ascii="Calibri" w:cs="Calibri" w:eastAsia="Calibri" w:hAnsi="Calibri"/>
                <w:sz w:val="18"/>
                <w:szCs w:val="18"/>
                <w:color w:val="auto"/>
              </w:rPr>
              <w:t>XBRL Instance Document, formated in Inline XBRL</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80" w:type="dxa"/>
            <w:vAlign w:val="bottom"/>
          </w:tcPr>
          <w:p>
            <w:pPr>
              <w:ind w:left="1980"/>
              <w:spacing w:after="0"/>
              <w:rPr>
                <w:sz w:val="20"/>
                <w:szCs w:val="20"/>
                <w:color w:val="auto"/>
              </w:rPr>
            </w:pPr>
            <w:r>
              <w:rPr>
                <w:rFonts w:ascii="Calibri" w:cs="Calibri" w:eastAsia="Calibri" w:hAnsi="Calibri"/>
                <w:sz w:val="18"/>
                <w:szCs w:val="18"/>
                <w:color w:val="auto"/>
                <w:w w:val="85"/>
              </w:rPr>
              <w:t>X</w:t>
            </w:r>
          </w:p>
        </w:tc>
        <w:tc>
          <w:tcPr>
            <w:tcW w:w="0" w:type="dxa"/>
            <w:vAlign w:val="bottom"/>
          </w:tcPr>
          <w:p>
            <w:pPr>
              <w:spacing w:after="0"/>
              <w:rPr>
                <w:sz w:val="1"/>
                <w:szCs w:val="1"/>
                <w:color w:val="auto"/>
              </w:rPr>
            </w:pPr>
          </w:p>
        </w:tc>
      </w:tr>
      <w:tr>
        <w:trPr>
          <w:trHeight w:val="310"/>
        </w:trPr>
        <w:tc>
          <w:tcPr>
            <w:tcW w:w="1020" w:type="dxa"/>
            <w:vAlign w:val="bottom"/>
          </w:tcPr>
          <w:p>
            <w:pPr>
              <w:spacing w:after="0"/>
              <w:rPr>
                <w:sz w:val="20"/>
                <w:szCs w:val="20"/>
                <w:color w:val="auto"/>
              </w:rPr>
            </w:pPr>
            <w:r>
              <w:rPr>
                <w:rFonts w:ascii="Calibri" w:cs="Calibri" w:eastAsia="Calibri" w:hAnsi="Calibri"/>
                <w:sz w:val="18"/>
                <w:szCs w:val="18"/>
                <w:color w:val="auto"/>
              </w:rPr>
              <w:t>101.SCH</w:t>
            </w:r>
          </w:p>
        </w:tc>
        <w:tc>
          <w:tcPr>
            <w:tcW w:w="4820" w:type="dxa"/>
            <w:vAlign w:val="bottom"/>
            <w:gridSpan w:val="18"/>
          </w:tcPr>
          <w:p>
            <w:pPr>
              <w:spacing w:after="0"/>
              <w:rPr>
                <w:sz w:val="20"/>
                <w:szCs w:val="20"/>
                <w:color w:val="auto"/>
              </w:rPr>
            </w:pPr>
            <w:r>
              <w:rPr>
                <w:rFonts w:ascii="Calibri" w:cs="Calibri" w:eastAsia="Calibri" w:hAnsi="Calibri"/>
                <w:sz w:val="18"/>
                <w:szCs w:val="18"/>
                <w:color w:val="auto"/>
              </w:rPr>
              <w:t>Inline XBRL Taxonomy Extension Schema Document</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80" w:type="dxa"/>
            <w:vAlign w:val="bottom"/>
          </w:tcPr>
          <w:p>
            <w:pPr>
              <w:ind w:left="1980"/>
              <w:spacing w:after="0"/>
              <w:rPr>
                <w:sz w:val="20"/>
                <w:szCs w:val="20"/>
                <w:color w:val="auto"/>
              </w:rPr>
            </w:pPr>
            <w:r>
              <w:rPr>
                <w:rFonts w:ascii="Calibri" w:cs="Calibri" w:eastAsia="Calibri" w:hAnsi="Calibri"/>
                <w:sz w:val="18"/>
                <w:szCs w:val="18"/>
                <w:color w:val="auto"/>
                <w:w w:val="85"/>
              </w:rPr>
              <w:t>X</w:t>
            </w:r>
          </w:p>
        </w:tc>
        <w:tc>
          <w:tcPr>
            <w:tcW w:w="0" w:type="dxa"/>
            <w:vAlign w:val="bottom"/>
          </w:tcPr>
          <w:p>
            <w:pPr>
              <w:spacing w:after="0"/>
              <w:rPr>
                <w:sz w:val="1"/>
                <w:szCs w:val="1"/>
                <w:color w:val="auto"/>
              </w:rPr>
            </w:pPr>
          </w:p>
        </w:tc>
      </w:tr>
      <w:tr>
        <w:trPr>
          <w:trHeight w:val="310"/>
        </w:trPr>
        <w:tc>
          <w:tcPr>
            <w:tcW w:w="1020" w:type="dxa"/>
            <w:vAlign w:val="bottom"/>
          </w:tcPr>
          <w:p>
            <w:pPr>
              <w:spacing w:after="0"/>
              <w:rPr>
                <w:sz w:val="20"/>
                <w:szCs w:val="20"/>
                <w:color w:val="auto"/>
              </w:rPr>
            </w:pPr>
            <w:r>
              <w:rPr>
                <w:rFonts w:ascii="Calibri" w:cs="Calibri" w:eastAsia="Calibri" w:hAnsi="Calibri"/>
                <w:sz w:val="18"/>
                <w:szCs w:val="18"/>
                <w:color w:val="auto"/>
              </w:rPr>
              <w:t>104</w:t>
            </w:r>
          </w:p>
        </w:tc>
        <w:tc>
          <w:tcPr>
            <w:tcW w:w="4820" w:type="dxa"/>
            <w:vAlign w:val="bottom"/>
            <w:gridSpan w:val="18"/>
          </w:tcPr>
          <w:p>
            <w:pPr>
              <w:spacing w:after="0"/>
              <w:rPr>
                <w:sz w:val="20"/>
                <w:szCs w:val="20"/>
                <w:color w:val="auto"/>
              </w:rPr>
            </w:pPr>
            <w:r>
              <w:rPr>
                <w:rFonts w:ascii="Calibri" w:cs="Calibri" w:eastAsia="Calibri" w:hAnsi="Calibri"/>
                <w:sz w:val="18"/>
                <w:szCs w:val="18"/>
                <w:color w:val="auto"/>
                <w:w w:val="97"/>
              </w:rPr>
              <w:t>The cover page from this Annual Report on Form 10-K, formated in</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80" w:type="dxa"/>
            <w:vAlign w:val="bottom"/>
          </w:tcPr>
          <w:p>
            <w:pPr>
              <w:ind w:left="1980"/>
              <w:spacing w:after="0"/>
              <w:rPr>
                <w:sz w:val="20"/>
                <w:szCs w:val="20"/>
                <w:color w:val="auto"/>
              </w:rPr>
            </w:pPr>
            <w:r>
              <w:rPr>
                <w:rFonts w:ascii="Calibri" w:cs="Calibri" w:eastAsia="Calibri" w:hAnsi="Calibri"/>
                <w:sz w:val="18"/>
                <w:szCs w:val="18"/>
                <w:color w:val="auto"/>
                <w:w w:val="85"/>
              </w:rPr>
              <w:t>X</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4820" w:type="dxa"/>
            <w:vAlign w:val="bottom"/>
            <w:gridSpan w:val="18"/>
          </w:tcPr>
          <w:p>
            <w:pPr>
              <w:spacing w:after="0" w:line="216" w:lineRule="exact"/>
              <w:rPr>
                <w:sz w:val="20"/>
                <w:szCs w:val="20"/>
                <w:color w:val="auto"/>
              </w:rPr>
            </w:pPr>
            <w:r>
              <w:rPr>
                <w:rFonts w:ascii="Calibri" w:cs="Calibri" w:eastAsia="Calibri" w:hAnsi="Calibri"/>
                <w:sz w:val="18"/>
                <w:szCs w:val="18"/>
                <w:color w:val="auto"/>
              </w:rPr>
              <w:t>Inline XBRL and contained in Exhibit 101</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92583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97">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firstLine="8"/>
        <w:spacing w:after="0" w:line="235" w:lineRule="auto"/>
        <w:tabs>
          <w:tab w:leader="none" w:pos="127"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Certain identfed informaton has been omited by means of marking such informaton with asterisks in reliance on Item 601(b)(10)(iv) of Regulaton S-K because it is both (i) not material and (ii) the type that the registrant treats as private or confdental.</w:t>
      </w:r>
    </w:p>
    <w:p>
      <w:pPr>
        <w:spacing w:after="0" w:line="78" w:lineRule="exact"/>
        <w:rPr>
          <w:sz w:val="20"/>
          <w:szCs w:val="20"/>
          <w:color w:val="auto"/>
        </w:rPr>
      </w:pPr>
    </w:p>
    <w:p>
      <w:pPr>
        <w:spacing w:after="0"/>
        <w:rPr>
          <w:sz w:val="20"/>
          <w:szCs w:val="20"/>
          <w:color w:val="auto"/>
        </w:rPr>
      </w:pPr>
      <w:r>
        <w:rPr>
          <w:rFonts w:ascii="Calibri" w:cs="Calibri" w:eastAsia="Calibri" w:hAnsi="Calibri"/>
          <w:sz w:val="18"/>
          <w:szCs w:val="18"/>
          <w:color w:val="auto"/>
        </w:rPr>
        <w:t># Indicates management contract or compensatory plan.</w:t>
      </w:r>
    </w:p>
    <w:p>
      <w:pPr>
        <w:jc w:val="center"/>
        <w:ind w:right="-259"/>
        <w:spacing w:after="0" w:line="235" w:lineRule="auto"/>
        <w:rPr>
          <w:sz w:val="20"/>
          <w:szCs w:val="20"/>
          <w:color w:val="auto"/>
        </w:rPr>
      </w:pPr>
      <w:r>
        <w:rPr>
          <w:rFonts w:ascii="Calibri" w:cs="Calibri" w:eastAsia="Calibri" w:hAnsi="Calibri"/>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40" w:right="599" w:bottom="1440" w:gutter="0" w:footer="0" w:header="0"/>
        </w:sectPr>
      </w:pPr>
    </w:p>
    <w:bookmarkStart w:id="92" w:name="page93"/>
    <w:bookmarkEnd w:id="92"/>
    <w:p>
      <w:pPr>
        <w:jc w:val="both"/>
        <w:ind w:firstLine="8"/>
        <w:spacing w:after="0" w:line="235" w:lineRule="auto"/>
        <w:tabs>
          <w:tab w:leader="none" w:pos="127" w:val="left"/>
        </w:tabs>
        <w:numPr>
          <w:ilvl w:val="0"/>
          <w:numId w:val="38"/>
        </w:numPr>
        <w:rPr>
          <w:rFonts w:ascii="Calibri" w:cs="Calibri" w:eastAsia="Calibri" w:hAnsi="Calibri"/>
          <w:sz w:val="18"/>
          <w:szCs w:val="18"/>
          <w:color w:val="auto"/>
        </w:rPr>
      </w:pPr>
      <w:r>
        <w:rPr>
          <w:rFonts w:ascii="Calibri" w:cs="Calibri" w:eastAsia="Calibri" w:hAnsi="Calibri"/>
          <w:sz w:val="18"/>
          <w:szCs w:val="18"/>
          <w:color w:val="auto"/>
        </w:rPr>
        <w:t>The certfcaton atached as Exhibit 32.1 that accompanies this Annual Report is not deemed fled with the SEC and is not to be incorporated by reference into any fling of Ultragenyx Pharmaceutcal Inc. under the Securites Act or the Exchange Act, whether made before or afer the date of this Annual Report, irrespectve of any general incorporaton language contained in such fling.</w:t>
      </w:r>
    </w:p>
    <w:p>
      <w:pPr>
        <w:spacing w:after="0" w:line="32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Item 16. </w:t>
      </w:r>
      <w:r>
        <w:rPr>
          <w:rFonts w:ascii="Calibri" w:cs="Calibri" w:eastAsia="Calibri" w:hAnsi="Calibri"/>
          <w:sz w:val="18"/>
          <w:szCs w:val="18"/>
          <w:b w:val="1"/>
          <w:bCs w:val="1"/>
          <w:i w:val="1"/>
          <w:iCs w:val="1"/>
          <w:color w:val="auto"/>
        </w:rPr>
        <w:t>Form 10-K Summary</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None.</w:t>
      </w:r>
    </w:p>
    <w:p>
      <w:pPr>
        <w:jc w:val="center"/>
        <w:ind w:right="-139"/>
        <w:spacing w:after="0" w:line="235" w:lineRule="auto"/>
        <w:rPr>
          <w:sz w:val="20"/>
          <w:szCs w:val="20"/>
          <w:color w:val="auto"/>
        </w:rPr>
      </w:pPr>
      <w:r>
        <w:rPr>
          <w:rFonts w:ascii="Calibri" w:cs="Calibri" w:eastAsia="Calibri" w:hAnsi="Calibri"/>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62" w:right="479" w:bottom="1440" w:gutter="0" w:footer="0" w:header="0"/>
        </w:sectPr>
      </w:pPr>
    </w:p>
    <w:bookmarkStart w:id="93" w:name="page94"/>
    <w:bookmarkEnd w:id="93"/>
    <w:p>
      <w:pPr>
        <w:jc w:val="center"/>
        <w:ind w:right="20"/>
        <w:spacing w:after="0"/>
        <w:rPr>
          <w:sz w:val="20"/>
          <w:szCs w:val="20"/>
          <w:color w:val="auto"/>
        </w:rPr>
      </w:pPr>
      <w:r>
        <w:rPr>
          <w:rFonts w:ascii="Calibri" w:cs="Calibri" w:eastAsia="Calibri" w:hAnsi="Calibri"/>
          <w:sz w:val="18"/>
          <w:szCs w:val="18"/>
          <w:b w:val="1"/>
          <w:bCs w:val="1"/>
          <w:color w:val="auto"/>
        </w:rPr>
        <w:t>SIGNATURES</w:t>
      </w:r>
    </w:p>
    <w:p>
      <w:pPr>
        <w:spacing w:after="0" w:line="82"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Pursuant to the requirements of Secton 13 or 15(d) of the Securites Exchange Act of 1934, the registrant has duly caused this report to be signed on its behalf by the undersigned, thereunto duly authorized.</w:t>
      </w:r>
    </w:p>
    <w:p>
      <w:pPr>
        <w:ind w:left="5640"/>
        <w:spacing w:after="0" w:line="236" w:lineRule="auto"/>
        <w:rPr>
          <w:sz w:val="20"/>
          <w:szCs w:val="20"/>
          <w:color w:val="auto"/>
        </w:rPr>
      </w:pPr>
      <w:r>
        <w:rPr>
          <w:rFonts w:ascii="Calibri" w:cs="Calibri" w:eastAsia="Calibri" w:hAnsi="Calibri"/>
          <w:sz w:val="18"/>
          <w:szCs w:val="18"/>
          <w:color w:val="auto"/>
        </w:rPr>
        <w:t>U</w:t>
      </w:r>
      <w:r>
        <w:rPr>
          <w:rFonts w:ascii="Calibri" w:cs="Calibri" w:eastAsia="Calibri" w:hAnsi="Calibri"/>
          <w:sz w:val="14"/>
          <w:szCs w:val="14"/>
          <w:color w:val="auto"/>
        </w:rPr>
        <w:t>LTRAGENYX</w:t>
      </w:r>
      <w:r>
        <w:rPr>
          <w:rFonts w:ascii="Calibri" w:cs="Calibri" w:eastAsia="Calibri" w:hAnsi="Calibri"/>
          <w:sz w:val="18"/>
          <w:szCs w:val="18"/>
          <w:color w:val="auto"/>
        </w:rPr>
        <w:t xml:space="preserve"> P</w:t>
      </w:r>
      <w:r>
        <w:rPr>
          <w:rFonts w:ascii="Calibri" w:cs="Calibri" w:eastAsia="Calibri" w:hAnsi="Calibri"/>
          <w:sz w:val="14"/>
          <w:szCs w:val="14"/>
          <w:color w:val="auto"/>
        </w:rPr>
        <w:t>HARMACEUTICAL</w:t>
      </w:r>
      <w:r>
        <w:rPr>
          <w:rFonts w:ascii="Calibri" w:cs="Calibri" w:eastAsia="Calibri" w:hAnsi="Calibri"/>
          <w:sz w:val="18"/>
          <w:szCs w:val="18"/>
          <w:color w:val="auto"/>
        </w:rPr>
        <w:t xml:space="preserve"> Inc.</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80" w:type="dxa"/>
            <w:vAlign w:val="bottom"/>
          </w:tcPr>
          <w:p>
            <w:pPr>
              <w:ind w:left="5640"/>
              <w:spacing w:after="0"/>
              <w:rPr>
                <w:sz w:val="20"/>
                <w:szCs w:val="20"/>
                <w:color w:val="auto"/>
              </w:rPr>
            </w:pPr>
            <w:r>
              <w:rPr>
                <w:rFonts w:ascii="Calibri" w:cs="Calibri" w:eastAsia="Calibri" w:hAnsi="Calibri"/>
                <w:sz w:val="18"/>
                <w:szCs w:val="18"/>
                <w:color w:val="auto"/>
              </w:rPr>
              <w:t>By:</w:t>
            </w:r>
          </w:p>
        </w:tc>
        <w:tc>
          <w:tcPr>
            <w:tcW w:w="4960" w:type="dxa"/>
            <w:vAlign w:val="bottom"/>
          </w:tcPr>
          <w:p>
            <w:pPr>
              <w:jc w:val="center"/>
              <w:spacing w:after="0"/>
              <w:rPr>
                <w:sz w:val="20"/>
                <w:szCs w:val="20"/>
                <w:color w:val="auto"/>
              </w:rPr>
            </w:pPr>
            <w:r>
              <w:rPr>
                <w:rFonts w:ascii="Calibri" w:cs="Calibri" w:eastAsia="Calibri" w:hAnsi="Calibri"/>
                <w:sz w:val="18"/>
                <w:szCs w:val="18"/>
                <w:color w:val="auto"/>
                <w:w w:val="98"/>
              </w:rPr>
              <w:t>/s/ Emil D. Kakkis</w:t>
            </w:r>
          </w:p>
        </w:tc>
      </w:tr>
      <w:tr>
        <w:trPr>
          <w:trHeight w:val="23"/>
        </w:trPr>
        <w:tc>
          <w:tcPr>
            <w:tcW w:w="6280" w:type="dxa"/>
            <w:vAlign w:val="bottom"/>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r>
      <w:tr>
        <w:trPr>
          <w:trHeight w:val="187"/>
        </w:trPr>
        <w:tc>
          <w:tcPr>
            <w:tcW w:w="6280" w:type="dxa"/>
            <w:vAlign w:val="bottom"/>
          </w:tcPr>
          <w:p>
            <w:pPr>
              <w:spacing w:after="0"/>
              <w:rPr>
                <w:sz w:val="16"/>
                <w:szCs w:val="16"/>
                <w:color w:val="auto"/>
              </w:rPr>
            </w:pPr>
          </w:p>
        </w:tc>
        <w:tc>
          <w:tcPr>
            <w:tcW w:w="4960" w:type="dxa"/>
            <w:vAlign w:val="bottom"/>
          </w:tcPr>
          <w:p>
            <w:pPr>
              <w:jc w:val="center"/>
              <w:spacing w:after="0" w:line="187" w:lineRule="exact"/>
              <w:rPr>
                <w:sz w:val="20"/>
                <w:szCs w:val="20"/>
                <w:color w:val="auto"/>
              </w:rPr>
            </w:pPr>
            <w:r>
              <w:rPr>
                <w:rFonts w:ascii="Calibri" w:cs="Calibri" w:eastAsia="Calibri" w:hAnsi="Calibri"/>
                <w:sz w:val="18"/>
                <w:szCs w:val="18"/>
                <w:color w:val="auto"/>
                <w:w w:val="97"/>
              </w:rPr>
              <w:t>Emil D. Kakkis, M.D., Ph.D.</w:t>
            </w:r>
          </w:p>
        </w:tc>
      </w:tr>
      <w:tr>
        <w:trPr>
          <w:trHeight w:val="215"/>
        </w:trPr>
        <w:tc>
          <w:tcPr>
            <w:tcW w:w="6280" w:type="dxa"/>
            <w:vAlign w:val="bottom"/>
          </w:tcPr>
          <w:p>
            <w:pPr>
              <w:spacing w:after="0"/>
              <w:rPr>
                <w:sz w:val="18"/>
                <w:szCs w:val="18"/>
                <w:color w:val="auto"/>
              </w:rPr>
            </w:pPr>
          </w:p>
        </w:tc>
        <w:tc>
          <w:tcPr>
            <w:tcW w:w="4960" w:type="dxa"/>
            <w:vAlign w:val="bottom"/>
          </w:tcPr>
          <w:p>
            <w:pPr>
              <w:jc w:val="center"/>
              <w:spacing w:after="0" w:line="215" w:lineRule="exact"/>
              <w:rPr>
                <w:sz w:val="20"/>
                <w:szCs w:val="20"/>
                <w:color w:val="auto"/>
              </w:rPr>
            </w:pPr>
            <w:r>
              <w:rPr>
                <w:rFonts w:ascii="Calibri" w:cs="Calibri" w:eastAsia="Calibri" w:hAnsi="Calibri"/>
                <w:sz w:val="18"/>
                <w:szCs w:val="18"/>
                <w:i w:val="1"/>
                <w:iCs w:val="1"/>
                <w:color w:val="auto"/>
              </w:rPr>
              <w:t>President and Chief Executve Ofcer</w:t>
            </w:r>
          </w:p>
        </w:tc>
      </w:tr>
      <w:tr>
        <w:trPr>
          <w:trHeight w:val="216"/>
        </w:trPr>
        <w:tc>
          <w:tcPr>
            <w:tcW w:w="6280" w:type="dxa"/>
            <w:vAlign w:val="bottom"/>
          </w:tcPr>
          <w:p>
            <w:pPr>
              <w:spacing w:after="0"/>
              <w:rPr>
                <w:sz w:val="18"/>
                <w:szCs w:val="18"/>
                <w:color w:val="auto"/>
              </w:rPr>
            </w:pPr>
          </w:p>
        </w:tc>
        <w:tc>
          <w:tcPr>
            <w:tcW w:w="4960" w:type="dxa"/>
            <w:vAlign w:val="bottom"/>
          </w:tcPr>
          <w:p>
            <w:pPr>
              <w:jc w:val="center"/>
              <w:spacing w:after="0" w:line="216" w:lineRule="exact"/>
              <w:rPr>
                <w:sz w:val="20"/>
                <w:szCs w:val="20"/>
                <w:color w:val="auto"/>
              </w:rPr>
            </w:pPr>
            <w:r>
              <w:rPr>
                <w:rFonts w:ascii="Calibri" w:cs="Calibri" w:eastAsia="Calibri" w:hAnsi="Calibri"/>
                <w:sz w:val="18"/>
                <w:szCs w:val="18"/>
                <w:i w:val="1"/>
                <w:iCs w:val="1"/>
                <w:color w:val="auto"/>
              </w:rPr>
              <w:t>(Principal Executve Ofcer)</w:t>
            </w:r>
          </w:p>
        </w:tc>
      </w:tr>
      <w:tr>
        <w:trPr>
          <w:trHeight w:val="297"/>
        </w:trPr>
        <w:tc>
          <w:tcPr>
            <w:tcW w:w="6280" w:type="dxa"/>
            <w:vAlign w:val="bottom"/>
          </w:tcPr>
          <w:p>
            <w:pPr>
              <w:spacing w:after="0"/>
              <w:rPr>
                <w:sz w:val="20"/>
                <w:szCs w:val="20"/>
                <w:color w:val="auto"/>
              </w:rPr>
            </w:pPr>
            <w:r>
              <w:rPr>
                <w:rFonts w:ascii="Calibri" w:cs="Calibri" w:eastAsia="Calibri" w:hAnsi="Calibri"/>
                <w:sz w:val="18"/>
                <w:szCs w:val="18"/>
                <w:color w:val="auto"/>
              </w:rPr>
              <w:t>Date: February 19, 2025</w:t>
            </w:r>
          </w:p>
        </w:tc>
        <w:tc>
          <w:tcPr>
            <w:tcW w:w="4960" w:type="dxa"/>
            <w:vAlign w:val="bottom"/>
          </w:tcPr>
          <w:p>
            <w:pPr>
              <w:spacing w:after="0"/>
              <w:rPr>
                <w:sz w:val="24"/>
                <w:szCs w:val="24"/>
                <w:color w:val="auto"/>
              </w:rPr>
            </w:pPr>
          </w:p>
        </w:tc>
      </w:tr>
    </w:tbl>
    <w:p>
      <w:pPr>
        <w:spacing w:after="0" w:line="239"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auto"/>
        </w:rPr>
        <w:t>POWER OF ATTORNEY</w:t>
      </w:r>
    </w:p>
    <w:p>
      <w:pPr>
        <w:spacing w:after="0" w:line="82"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KNOW ALL PERSONS BY THESE PRESENTS, that each person whose signature appears below consttutes and appoints Emil D. Kakkis, M.D., Ph.D. and Howard Horn, and each of them, as his or her true and lawful atorneys-in-fact and agents, with full power of substtuton for him or her, and in his or her name in any and all capacites, to sign any and all amendments to this Annual Report, and to fle the same, with exhibits thereto and other documents in connecton therewith, with the Securites and Exchange Commission, grantng unto said atorneys-in-fact and agents, and each of them, full power and authority to do and perform each and every act and thing requisite and necessary to be done therewith, as fully to all intents and purposes as he or she might or could do in person, hereby ratfying and confrming all that said atorneys-in-fact and agents, and any of them, his or her substtute or substtutes, may lawfully do or cause to be done by virtue hereof.</w:t>
      </w:r>
    </w:p>
    <w:p>
      <w:pPr>
        <w:spacing w:after="0" w:line="87" w:lineRule="exact"/>
        <w:rPr>
          <w:sz w:val="20"/>
          <w:szCs w:val="20"/>
          <w:color w:val="auto"/>
        </w:rPr>
      </w:pPr>
    </w:p>
    <w:p>
      <w:pPr>
        <w:ind w:right="380" w:firstLine="509"/>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this report has been signed below by the following persons on behalf of the registrant and in the capacites and on the dates indicated.</w:t>
      </w:r>
    </w:p>
    <w:p>
      <w:pPr>
        <w:sectPr>
          <w:pgSz w:w="11900" w:h="16838" w:orient="portrait"/>
          <w:cols w:equalWidth="0" w:num="1">
            <w:col w:w="11240"/>
          </w:cols>
          <w:pgMar w:left="320" w:top="976" w:right="339" w:bottom="1440" w:gutter="0" w:footer="0" w:header="0"/>
        </w:sectPr>
      </w:pPr>
    </w:p>
    <w:p>
      <w:pPr>
        <w:spacing w:after="0" w:line="9" w:lineRule="exact"/>
        <w:rPr>
          <w:sz w:val="20"/>
          <w:szCs w:val="20"/>
          <w:color w:val="auto"/>
        </w:rPr>
      </w:pPr>
    </w:p>
    <w:p>
      <w:pPr>
        <w:jc w:val="center"/>
        <w:ind w:left="540"/>
        <w:spacing w:after="0"/>
        <w:rPr>
          <w:sz w:val="20"/>
          <w:szCs w:val="20"/>
          <w:color w:val="auto"/>
        </w:rPr>
      </w:pPr>
      <w:r>
        <w:rPr>
          <w:rFonts w:ascii="Calibri" w:cs="Calibri" w:eastAsia="Calibri" w:hAnsi="Calibri"/>
          <w:sz w:val="14"/>
          <w:szCs w:val="14"/>
          <w:b w:val="1"/>
          <w:bCs w:val="1"/>
          <w:color w:val="auto"/>
        </w:rPr>
        <w:t>Signature</w:t>
      </w:r>
    </w:p>
    <w:p>
      <w:pPr>
        <w:spacing w:after="0" w:line="20" w:lineRule="exact"/>
        <w:rPr>
          <w:sz w:val="20"/>
          <w:szCs w:val="20"/>
          <w:color w:val="auto"/>
        </w:rPr>
      </w:pPr>
    </w:p>
    <w:p>
      <w:pPr>
        <w:ind w:left="1000"/>
        <w:spacing w:after="0"/>
        <w:rPr>
          <w:sz w:val="20"/>
          <w:szCs w:val="20"/>
          <w:color w:val="auto"/>
        </w:rPr>
      </w:pPr>
      <w:r>
        <w:rPr>
          <w:rFonts w:ascii="Calibri" w:cs="Calibri" w:eastAsia="Calibri" w:hAnsi="Calibri"/>
          <w:sz w:val="18"/>
          <w:szCs w:val="18"/>
          <w:color w:val="auto"/>
        </w:rPr>
        <w:t>/s/ Emil D. Kakkis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-130175</wp:posOffset>
            </wp:positionV>
            <wp:extent cx="58293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00">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23495</wp:posOffset>
            </wp:positionV>
            <wp:extent cx="202311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301">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35" w:lineRule="exact"/>
        <w:rPr>
          <w:sz w:val="20"/>
          <w:szCs w:val="20"/>
          <w:color w:val="auto"/>
        </w:rPr>
      </w:pPr>
    </w:p>
    <w:p>
      <w:pPr>
        <w:ind w:left="700"/>
        <w:spacing w:after="0"/>
        <w:rPr>
          <w:sz w:val="20"/>
          <w:szCs w:val="20"/>
          <w:color w:val="auto"/>
        </w:rPr>
      </w:pPr>
      <w:r>
        <w:rPr>
          <w:rFonts w:ascii="Calibri" w:cs="Calibri" w:eastAsia="Calibri" w:hAnsi="Calibri"/>
          <w:sz w:val="17"/>
          <w:szCs w:val="17"/>
          <w:color w:val="auto"/>
        </w:rPr>
        <w:t>Emil D. Kakkis, M.D., Ph.D.</w:t>
      </w:r>
    </w:p>
    <w:p>
      <w:pPr>
        <w:spacing w:after="0" w:line="85" w:lineRule="exact"/>
        <w:rPr>
          <w:sz w:val="20"/>
          <w:szCs w:val="20"/>
          <w:color w:val="auto"/>
        </w:rPr>
      </w:pPr>
    </w:p>
    <w:p>
      <w:pPr>
        <w:ind w:left="1020"/>
        <w:spacing w:after="0"/>
        <w:rPr>
          <w:sz w:val="20"/>
          <w:szCs w:val="20"/>
          <w:color w:val="auto"/>
        </w:rPr>
      </w:pPr>
      <w:r>
        <w:rPr>
          <w:rFonts w:ascii="Calibri" w:cs="Calibri" w:eastAsia="Calibri" w:hAnsi="Calibri"/>
          <w:sz w:val="18"/>
          <w:szCs w:val="18"/>
          <w:color w:val="auto"/>
        </w:rPr>
        <w:t>/s/ Howard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202311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02">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30" w:lineRule="exact"/>
        <w:rPr>
          <w:sz w:val="20"/>
          <w:szCs w:val="20"/>
          <w:color w:val="auto"/>
        </w:rPr>
      </w:pPr>
    </w:p>
    <w:p>
      <w:pPr>
        <w:jc w:val="center"/>
        <w:ind w:left="580"/>
        <w:spacing w:after="0"/>
        <w:rPr>
          <w:sz w:val="20"/>
          <w:szCs w:val="20"/>
          <w:color w:val="auto"/>
        </w:rPr>
      </w:pPr>
      <w:r>
        <w:rPr>
          <w:rFonts w:ascii="Calibri" w:cs="Calibri" w:eastAsia="Calibri" w:hAnsi="Calibri"/>
          <w:sz w:val="18"/>
          <w:szCs w:val="18"/>
          <w:color w:val="auto"/>
        </w:rPr>
        <w:t>Howard Horn</w:t>
      </w:r>
    </w:p>
    <w:p>
      <w:pPr>
        <w:spacing w:after="0" w:line="82" w:lineRule="exact"/>
        <w:rPr>
          <w:sz w:val="20"/>
          <w:szCs w:val="20"/>
          <w:color w:val="auto"/>
        </w:rPr>
      </w:pPr>
    </w:p>
    <w:p>
      <w:pPr>
        <w:jc w:val="center"/>
        <w:ind w:left="540"/>
        <w:spacing w:after="0"/>
        <w:rPr>
          <w:sz w:val="20"/>
          <w:szCs w:val="20"/>
          <w:color w:val="auto"/>
        </w:rPr>
      </w:pPr>
      <w:r>
        <w:rPr>
          <w:rFonts w:ascii="Calibri" w:cs="Calibri" w:eastAsia="Calibri" w:hAnsi="Calibri"/>
          <w:sz w:val="17"/>
          <w:szCs w:val="17"/>
          <w:color w:val="auto"/>
        </w:rPr>
        <w:t>/s/ Theodore A. Huizenga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27940</wp:posOffset>
            </wp:positionV>
            <wp:extent cx="202311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03">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38" w:lineRule="exact"/>
        <w:rPr>
          <w:sz w:val="20"/>
          <w:szCs w:val="20"/>
          <w:color w:val="auto"/>
        </w:rPr>
      </w:pPr>
    </w:p>
    <w:p>
      <w:pPr>
        <w:ind w:left="840"/>
        <w:spacing w:after="0"/>
        <w:rPr>
          <w:sz w:val="20"/>
          <w:szCs w:val="20"/>
          <w:color w:val="auto"/>
        </w:rPr>
      </w:pPr>
      <w:r>
        <w:rPr>
          <w:rFonts w:ascii="Calibri" w:cs="Calibri" w:eastAsia="Calibri" w:hAnsi="Calibri"/>
          <w:sz w:val="18"/>
          <w:szCs w:val="18"/>
          <w:color w:val="auto"/>
        </w:rPr>
        <w:t>Theodore A. Huizenga</w:t>
      </w:r>
    </w:p>
    <w:p>
      <w:pPr>
        <w:spacing w:after="0" w:line="77" w:lineRule="exact"/>
        <w:rPr>
          <w:sz w:val="20"/>
          <w:szCs w:val="20"/>
          <w:color w:val="auto"/>
        </w:rPr>
      </w:pPr>
    </w:p>
    <w:p>
      <w:pPr>
        <w:ind w:left="920"/>
        <w:spacing w:after="0"/>
        <w:rPr>
          <w:sz w:val="20"/>
          <w:szCs w:val="20"/>
          <w:color w:val="auto"/>
        </w:rPr>
      </w:pPr>
      <w:r>
        <w:rPr>
          <w:rFonts w:ascii="Calibri" w:cs="Calibri" w:eastAsia="Calibri" w:hAnsi="Calibri"/>
          <w:sz w:val="18"/>
          <w:szCs w:val="18"/>
          <w:color w:val="auto"/>
        </w:rPr>
        <w:t>/s/ Daniel G.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202311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04">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30" w:lineRule="exact"/>
        <w:rPr>
          <w:sz w:val="20"/>
          <w:szCs w:val="20"/>
          <w:color w:val="auto"/>
        </w:rPr>
      </w:pPr>
    </w:p>
    <w:p>
      <w:pPr>
        <w:ind w:left="1060"/>
        <w:spacing w:after="0"/>
        <w:rPr>
          <w:sz w:val="20"/>
          <w:szCs w:val="20"/>
          <w:color w:val="auto"/>
        </w:rPr>
      </w:pPr>
      <w:r>
        <w:rPr>
          <w:rFonts w:ascii="Calibri" w:cs="Calibri" w:eastAsia="Calibri" w:hAnsi="Calibri"/>
          <w:sz w:val="18"/>
          <w:szCs w:val="18"/>
          <w:color w:val="auto"/>
        </w:rPr>
        <w:t>Daniel G. Welch</w:t>
      </w:r>
    </w:p>
    <w:p>
      <w:pPr>
        <w:spacing w:after="0" w:line="77" w:lineRule="exact"/>
        <w:rPr>
          <w:sz w:val="20"/>
          <w:szCs w:val="20"/>
          <w:color w:val="auto"/>
        </w:rPr>
      </w:pPr>
    </w:p>
    <w:p>
      <w:pPr>
        <w:ind w:left="880"/>
        <w:spacing w:after="0"/>
        <w:rPr>
          <w:sz w:val="20"/>
          <w:szCs w:val="20"/>
          <w:color w:val="auto"/>
        </w:rPr>
      </w:pPr>
      <w:r>
        <w:rPr>
          <w:rFonts w:ascii="Calibri" w:cs="Calibri" w:eastAsia="Calibri" w:hAnsi="Calibri"/>
          <w:sz w:val="18"/>
          <w:szCs w:val="18"/>
          <w:color w:val="auto"/>
        </w:rPr>
        <w:t>/s/ Deborah Dunsire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202311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05">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30" w:lineRule="exact"/>
        <w:rPr>
          <w:sz w:val="20"/>
          <w:szCs w:val="20"/>
          <w:color w:val="auto"/>
        </w:rPr>
      </w:pPr>
    </w:p>
    <w:p>
      <w:pPr>
        <w:jc w:val="center"/>
        <w:ind w:left="540"/>
        <w:spacing w:after="0"/>
        <w:rPr>
          <w:sz w:val="20"/>
          <w:szCs w:val="20"/>
          <w:color w:val="auto"/>
        </w:rPr>
      </w:pPr>
      <w:r>
        <w:rPr>
          <w:rFonts w:ascii="Calibri" w:cs="Calibri" w:eastAsia="Calibri" w:hAnsi="Calibri"/>
          <w:sz w:val="18"/>
          <w:szCs w:val="18"/>
          <w:color w:val="auto"/>
        </w:rPr>
        <w:t>Deborah Dunsire, M.D.</w:t>
      </w:r>
    </w:p>
    <w:p>
      <w:pPr>
        <w:spacing w:after="0" w:line="77" w:lineRule="exact"/>
        <w:rPr>
          <w:sz w:val="20"/>
          <w:szCs w:val="20"/>
          <w:color w:val="auto"/>
        </w:rPr>
      </w:pPr>
    </w:p>
    <w:p>
      <w:pPr>
        <w:jc w:val="center"/>
        <w:ind w:left="540"/>
        <w:spacing w:after="0"/>
        <w:rPr>
          <w:sz w:val="20"/>
          <w:szCs w:val="20"/>
          <w:color w:val="auto"/>
        </w:rPr>
      </w:pPr>
      <w:r>
        <w:rPr>
          <w:rFonts w:ascii="Calibri" w:cs="Calibri" w:eastAsia="Calibri" w:hAnsi="Calibri"/>
          <w:sz w:val="18"/>
          <w:szCs w:val="18"/>
          <w:color w:val="auto"/>
        </w:rPr>
        <w:t>/s/ Mathew K. Fust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202311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06">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30" w:lineRule="exact"/>
        <w:rPr>
          <w:sz w:val="20"/>
          <w:szCs w:val="20"/>
          <w:color w:val="auto"/>
        </w:rPr>
      </w:pPr>
    </w:p>
    <w:p>
      <w:pPr>
        <w:ind w:left="1060"/>
        <w:spacing w:after="0"/>
        <w:rPr>
          <w:sz w:val="20"/>
          <w:szCs w:val="20"/>
          <w:color w:val="auto"/>
        </w:rPr>
      </w:pPr>
      <w:r>
        <w:rPr>
          <w:rFonts w:ascii="Calibri" w:cs="Calibri" w:eastAsia="Calibri" w:hAnsi="Calibri"/>
          <w:sz w:val="18"/>
          <w:szCs w:val="18"/>
          <w:color w:val="auto"/>
        </w:rPr>
        <w:t>Mathew K. Fust</w:t>
      </w:r>
    </w:p>
    <w:p>
      <w:pPr>
        <w:spacing w:after="0" w:line="77" w:lineRule="exact"/>
        <w:rPr>
          <w:sz w:val="20"/>
          <w:szCs w:val="20"/>
          <w:color w:val="auto"/>
        </w:rPr>
      </w:pPr>
    </w:p>
    <w:p>
      <w:pPr>
        <w:ind w:left="920"/>
        <w:spacing w:after="0"/>
        <w:rPr>
          <w:sz w:val="20"/>
          <w:szCs w:val="20"/>
          <w:color w:val="auto"/>
        </w:rPr>
      </w:pPr>
      <w:r>
        <w:rPr>
          <w:rFonts w:ascii="Calibri" w:cs="Calibri" w:eastAsia="Calibri" w:hAnsi="Calibri"/>
          <w:sz w:val="18"/>
          <w:szCs w:val="18"/>
          <w:color w:val="auto"/>
        </w:rPr>
        <w:t>/s/ Michael Narachi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202311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07">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30" w:lineRule="exact"/>
        <w:rPr>
          <w:sz w:val="20"/>
          <w:szCs w:val="20"/>
          <w:color w:val="auto"/>
        </w:rPr>
      </w:pPr>
    </w:p>
    <w:p>
      <w:pPr>
        <w:ind w:left="1060"/>
        <w:spacing w:after="0"/>
        <w:rPr>
          <w:sz w:val="20"/>
          <w:szCs w:val="20"/>
          <w:color w:val="auto"/>
        </w:rPr>
      </w:pPr>
      <w:r>
        <w:rPr>
          <w:rFonts w:ascii="Calibri" w:cs="Calibri" w:eastAsia="Calibri" w:hAnsi="Calibri"/>
          <w:sz w:val="18"/>
          <w:szCs w:val="18"/>
          <w:color w:val="auto"/>
        </w:rPr>
        <w:t>Michael Narachi</w:t>
      </w:r>
    </w:p>
    <w:p>
      <w:pPr>
        <w:spacing w:after="0" w:line="77"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/s/ Amrit Ray</w:t>
      </w:r>
    </w:p>
    <w:p>
      <w:pPr>
        <w:spacing w:after="0" w:line="10" w:lineRule="exact"/>
        <w:rPr>
          <w:sz w:val="20"/>
          <w:szCs w:val="20"/>
          <w:color w:val="auto"/>
        </w:rPr>
      </w:pPr>
    </w:p>
    <w:p>
      <w:pPr>
        <w:ind w:left="1040"/>
        <w:spacing w:after="0"/>
        <w:rPr>
          <w:sz w:val="20"/>
          <w:szCs w:val="20"/>
          <w:color w:val="auto"/>
        </w:rPr>
      </w:pPr>
      <w:r>
        <w:rPr>
          <w:rFonts w:ascii="Calibri" w:cs="Calibri" w:eastAsia="Calibri" w:hAnsi="Calibri"/>
          <w:sz w:val="18"/>
          <w:szCs w:val="18"/>
          <w:color w:val="auto"/>
        </w:rPr>
        <w:t>Amrit Ray,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0402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08">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71" w:lineRule="exact"/>
        <w:rPr>
          <w:sz w:val="20"/>
          <w:szCs w:val="20"/>
          <w:color w:val="auto"/>
        </w:rPr>
      </w:pPr>
    </w:p>
    <w:p>
      <w:pPr>
        <w:ind w:left="840"/>
        <w:spacing w:after="0"/>
        <w:rPr>
          <w:sz w:val="20"/>
          <w:szCs w:val="20"/>
          <w:color w:val="auto"/>
        </w:rPr>
      </w:pPr>
      <w:r>
        <w:rPr>
          <w:rFonts w:ascii="Calibri" w:cs="Calibri" w:eastAsia="Calibri" w:hAnsi="Calibri"/>
          <w:sz w:val="18"/>
          <w:szCs w:val="18"/>
          <w:color w:val="auto"/>
        </w:rPr>
        <w:t>/s/ Corsee D. Sanders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202311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09">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30" w:lineRule="exact"/>
        <w:rPr>
          <w:sz w:val="20"/>
          <w:szCs w:val="20"/>
          <w:color w:val="auto"/>
        </w:rPr>
      </w:pPr>
    </w:p>
    <w:p>
      <w:pPr>
        <w:ind w:left="760"/>
        <w:spacing w:after="0"/>
        <w:rPr>
          <w:sz w:val="20"/>
          <w:szCs w:val="20"/>
          <w:color w:val="auto"/>
        </w:rPr>
      </w:pPr>
      <w:r>
        <w:rPr>
          <w:rFonts w:ascii="Calibri" w:cs="Calibri" w:eastAsia="Calibri" w:hAnsi="Calibri"/>
          <w:sz w:val="18"/>
          <w:szCs w:val="18"/>
          <w:color w:val="auto"/>
        </w:rPr>
        <w:t>Corsee D. Sanders, Ph.D.</w:t>
      </w:r>
    </w:p>
    <w:p>
      <w:pPr>
        <w:spacing w:after="0" w:line="158" w:lineRule="exact"/>
        <w:rPr>
          <w:sz w:val="20"/>
          <w:szCs w:val="20"/>
          <w:color w:val="auto"/>
        </w:rPr>
      </w:pPr>
    </w:p>
    <w:p>
      <w:pPr>
        <w:jc w:val="center"/>
        <w:ind w:left="540"/>
        <w:spacing w:after="0"/>
        <w:rPr>
          <w:sz w:val="20"/>
          <w:szCs w:val="20"/>
          <w:color w:val="auto"/>
        </w:rPr>
      </w:pPr>
      <w:r>
        <w:rPr>
          <w:rFonts w:ascii="Calibri" w:cs="Calibri" w:eastAsia="Calibri" w:hAnsi="Calibri"/>
          <w:sz w:val="18"/>
          <w:szCs w:val="18"/>
          <w:color w:val="auto"/>
        </w:rPr>
        <w:t>/s/ Shehnaaz Suliman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40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10">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3" w:lineRule="exact"/>
        <w:rPr>
          <w:sz w:val="20"/>
          <w:szCs w:val="20"/>
          <w:color w:val="auto"/>
        </w:rPr>
      </w:pPr>
    </w:p>
    <w:p>
      <w:pPr>
        <w:jc w:val="center"/>
        <w:ind w:left="540"/>
        <w:spacing w:after="0"/>
        <w:rPr>
          <w:sz w:val="20"/>
          <w:szCs w:val="20"/>
          <w:color w:val="auto"/>
        </w:rPr>
      </w:pPr>
      <w:r>
        <w:rPr>
          <w:rFonts w:ascii="Calibri" w:cs="Calibri" w:eastAsia="Calibri" w:hAnsi="Calibri"/>
          <w:sz w:val="18"/>
          <w:szCs w:val="18"/>
          <w:color w:val="auto"/>
        </w:rPr>
        <w:t>Shehnaaz Suliman, M.D.</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center"/>
        <w:ind w:right="100"/>
        <w:spacing w:after="0"/>
        <w:rPr>
          <w:sz w:val="20"/>
          <w:szCs w:val="20"/>
          <w:color w:val="auto"/>
        </w:rPr>
      </w:pPr>
      <w:r>
        <w:rPr>
          <w:rFonts w:ascii="Calibri" w:cs="Calibri" w:eastAsia="Calibri" w:hAnsi="Calibri"/>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1382395</wp:posOffset>
            </wp:positionH>
            <wp:positionV relativeFrom="paragraph">
              <wp:posOffset>12700</wp:posOffset>
            </wp:positionV>
            <wp:extent cx="36004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11">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jc w:val="center"/>
        <w:ind w:right="220"/>
        <w:spacing w:after="0"/>
        <w:rPr>
          <w:sz w:val="20"/>
          <w:szCs w:val="20"/>
          <w:color w:val="auto"/>
        </w:rPr>
      </w:pPr>
      <w:r>
        <w:rPr>
          <w:rFonts w:ascii="Calibri" w:cs="Calibri" w:eastAsia="Calibri" w:hAnsi="Calibri"/>
          <w:sz w:val="18"/>
          <w:szCs w:val="18"/>
          <w:color w:val="auto"/>
        </w:rPr>
        <w:t>President and Chief Executve Ofcer and Director</w:t>
      </w:r>
    </w:p>
    <w:p>
      <w:pPr>
        <w:jc w:val="center"/>
        <w:ind w:right="240"/>
        <w:spacing w:after="0" w:line="235" w:lineRule="auto"/>
        <w:rPr>
          <w:sz w:val="20"/>
          <w:szCs w:val="20"/>
          <w:color w:val="auto"/>
        </w:rPr>
      </w:pPr>
      <w:r>
        <w:rPr>
          <w:rFonts w:ascii="Calibri" w:cs="Calibri" w:eastAsia="Calibri" w:hAnsi="Calibri"/>
          <w:sz w:val="18"/>
          <w:szCs w:val="18"/>
          <w:color w:val="auto"/>
        </w:rPr>
        <w:t>(Principal Executve Ofcer)</w:t>
      </w:r>
    </w:p>
    <w:p>
      <w:pPr>
        <w:spacing w:after="0" w:line="105" w:lineRule="exact"/>
        <w:rPr>
          <w:sz w:val="20"/>
          <w:szCs w:val="20"/>
          <w:color w:val="auto"/>
        </w:rPr>
      </w:pPr>
    </w:p>
    <w:p>
      <w:pPr>
        <w:jc w:val="center"/>
        <w:ind w:right="220"/>
        <w:spacing w:after="0"/>
        <w:rPr>
          <w:sz w:val="20"/>
          <w:szCs w:val="20"/>
          <w:color w:val="auto"/>
        </w:rPr>
      </w:pPr>
      <w:r>
        <w:rPr>
          <w:rFonts w:ascii="Calibri" w:cs="Calibri" w:eastAsia="Calibri" w:hAnsi="Calibri"/>
          <w:sz w:val="18"/>
          <w:szCs w:val="18"/>
          <w:color w:val="auto"/>
        </w:rPr>
        <w:t>Executve Vice President, Chief Financial Ofcer, Corporate Strategy</w:t>
      </w:r>
    </w:p>
    <w:p>
      <w:pPr>
        <w:jc w:val="center"/>
        <w:ind w:right="240"/>
        <w:spacing w:after="0" w:line="235" w:lineRule="auto"/>
        <w:rPr>
          <w:sz w:val="20"/>
          <w:szCs w:val="20"/>
          <w:color w:val="auto"/>
        </w:rPr>
      </w:pPr>
      <w:r>
        <w:rPr>
          <w:rFonts w:ascii="Calibri" w:cs="Calibri" w:eastAsia="Calibri" w:hAnsi="Calibri"/>
          <w:sz w:val="18"/>
          <w:szCs w:val="18"/>
          <w:color w:val="auto"/>
        </w:rPr>
        <w:t>(Principal Financial Ofcer)</w:t>
      </w:r>
    </w:p>
    <w:p>
      <w:pPr>
        <w:spacing w:after="0" w:line="186" w:lineRule="exact"/>
        <w:rPr>
          <w:sz w:val="20"/>
          <w:szCs w:val="20"/>
          <w:color w:val="auto"/>
        </w:rPr>
      </w:pPr>
    </w:p>
    <w:p>
      <w:pPr>
        <w:jc w:val="center"/>
        <w:ind w:right="220"/>
        <w:spacing w:after="0"/>
        <w:rPr>
          <w:sz w:val="20"/>
          <w:szCs w:val="20"/>
          <w:color w:val="auto"/>
        </w:rPr>
      </w:pPr>
      <w:r>
        <w:rPr>
          <w:rFonts w:ascii="Calibri" w:cs="Calibri" w:eastAsia="Calibri" w:hAnsi="Calibri"/>
          <w:sz w:val="18"/>
          <w:szCs w:val="18"/>
          <w:color w:val="auto"/>
        </w:rPr>
        <w:t>Senior Vice President and Chief Accountng Ofcer</w:t>
      </w:r>
    </w:p>
    <w:p>
      <w:pPr>
        <w:jc w:val="center"/>
        <w:ind w:right="240"/>
        <w:spacing w:after="0" w:line="235" w:lineRule="auto"/>
        <w:rPr>
          <w:sz w:val="20"/>
          <w:szCs w:val="20"/>
          <w:color w:val="auto"/>
        </w:rPr>
      </w:pPr>
      <w:r>
        <w:rPr>
          <w:rFonts w:ascii="Calibri" w:cs="Calibri" w:eastAsia="Calibri" w:hAnsi="Calibri"/>
          <w:sz w:val="18"/>
          <w:szCs w:val="18"/>
          <w:color w:val="auto"/>
        </w:rPr>
        <w:t>(Principal Accountng Ofcer)</w:t>
      </w:r>
    </w:p>
    <w:p>
      <w:pPr>
        <w:spacing w:after="0" w:line="227" w:lineRule="exact"/>
        <w:rPr>
          <w:sz w:val="20"/>
          <w:szCs w:val="20"/>
          <w:color w:val="auto"/>
        </w:rPr>
      </w:pPr>
    </w:p>
    <w:p>
      <w:pPr>
        <w:jc w:val="center"/>
        <w:ind w:right="220"/>
        <w:spacing w:after="0"/>
        <w:rPr>
          <w:sz w:val="20"/>
          <w:szCs w:val="20"/>
          <w:color w:val="auto"/>
        </w:rPr>
      </w:pPr>
      <w:r>
        <w:rPr>
          <w:rFonts w:ascii="Calibri" w:cs="Calibri" w:eastAsia="Calibri" w:hAnsi="Calibri"/>
          <w:sz w:val="18"/>
          <w:szCs w:val="18"/>
          <w:color w:val="auto"/>
        </w:rPr>
        <w:t>Chairman of the Board</w:t>
      </w:r>
    </w:p>
    <w:p>
      <w:pPr>
        <w:spacing w:after="0" w:line="361" w:lineRule="exact"/>
        <w:rPr>
          <w:sz w:val="20"/>
          <w:szCs w:val="20"/>
          <w:color w:val="auto"/>
        </w:rPr>
      </w:pPr>
    </w:p>
    <w:p>
      <w:pPr>
        <w:jc w:val="center"/>
        <w:ind w:right="220"/>
        <w:spacing w:after="0"/>
        <w:rPr>
          <w:sz w:val="20"/>
          <w:szCs w:val="20"/>
          <w:color w:val="auto"/>
        </w:rPr>
      </w:pPr>
      <w:r>
        <w:rPr>
          <w:rFonts w:ascii="Calibri" w:cs="Calibri" w:eastAsia="Calibri" w:hAnsi="Calibri"/>
          <w:sz w:val="18"/>
          <w:szCs w:val="18"/>
          <w:color w:val="auto"/>
        </w:rPr>
        <w:t>Director</w:t>
      </w:r>
    </w:p>
    <w:p>
      <w:pPr>
        <w:spacing w:after="0" w:line="334" w:lineRule="exact"/>
        <w:rPr>
          <w:sz w:val="20"/>
          <w:szCs w:val="20"/>
          <w:color w:val="auto"/>
        </w:rPr>
      </w:pPr>
    </w:p>
    <w:p>
      <w:pPr>
        <w:jc w:val="center"/>
        <w:ind w:right="220"/>
        <w:spacing w:after="0"/>
        <w:rPr>
          <w:sz w:val="20"/>
          <w:szCs w:val="20"/>
          <w:color w:val="auto"/>
        </w:rPr>
      </w:pPr>
      <w:r>
        <w:rPr>
          <w:rFonts w:ascii="Calibri" w:cs="Calibri" w:eastAsia="Calibri" w:hAnsi="Calibri"/>
          <w:sz w:val="18"/>
          <w:szCs w:val="18"/>
          <w:color w:val="auto"/>
        </w:rPr>
        <w:t>Director</w:t>
      </w:r>
    </w:p>
    <w:p>
      <w:pPr>
        <w:spacing w:after="0" w:line="347" w:lineRule="exact"/>
        <w:rPr>
          <w:sz w:val="20"/>
          <w:szCs w:val="20"/>
          <w:color w:val="auto"/>
        </w:rPr>
      </w:pPr>
    </w:p>
    <w:p>
      <w:pPr>
        <w:jc w:val="center"/>
        <w:ind w:right="220"/>
        <w:spacing w:after="0"/>
        <w:rPr>
          <w:sz w:val="20"/>
          <w:szCs w:val="20"/>
          <w:color w:val="auto"/>
        </w:rPr>
      </w:pPr>
      <w:r>
        <w:rPr>
          <w:rFonts w:ascii="Calibri" w:cs="Calibri" w:eastAsia="Calibri" w:hAnsi="Calibri"/>
          <w:sz w:val="18"/>
          <w:szCs w:val="18"/>
          <w:color w:val="auto"/>
        </w:rPr>
        <w:t>Director</w:t>
      </w:r>
    </w:p>
    <w:p>
      <w:pPr>
        <w:spacing w:after="0" w:line="239" w:lineRule="exact"/>
        <w:rPr>
          <w:sz w:val="20"/>
          <w:szCs w:val="20"/>
          <w:color w:val="auto"/>
        </w:rPr>
      </w:pPr>
    </w:p>
    <w:p>
      <w:pPr>
        <w:jc w:val="center"/>
        <w:ind w:right="220"/>
        <w:spacing w:after="0"/>
        <w:rPr>
          <w:sz w:val="20"/>
          <w:szCs w:val="20"/>
          <w:color w:val="auto"/>
        </w:rPr>
      </w:pPr>
      <w:r>
        <w:rPr>
          <w:rFonts w:ascii="Calibri" w:cs="Calibri" w:eastAsia="Calibri" w:hAnsi="Calibri"/>
          <w:sz w:val="18"/>
          <w:szCs w:val="18"/>
          <w:color w:val="auto"/>
        </w:rPr>
        <w:t>Director</w:t>
      </w:r>
    </w:p>
    <w:p>
      <w:pPr>
        <w:spacing w:after="0" w:line="334" w:lineRule="exact"/>
        <w:rPr>
          <w:sz w:val="20"/>
          <w:szCs w:val="20"/>
          <w:color w:val="auto"/>
        </w:rPr>
      </w:pPr>
    </w:p>
    <w:p>
      <w:pPr>
        <w:jc w:val="center"/>
        <w:ind w:right="220"/>
        <w:spacing w:after="0"/>
        <w:rPr>
          <w:sz w:val="20"/>
          <w:szCs w:val="20"/>
          <w:color w:val="auto"/>
        </w:rPr>
      </w:pPr>
      <w:r>
        <w:rPr>
          <w:rFonts w:ascii="Calibri" w:cs="Calibri" w:eastAsia="Calibri" w:hAnsi="Calibri"/>
          <w:sz w:val="18"/>
          <w:szCs w:val="18"/>
          <w:color w:val="auto"/>
        </w:rPr>
        <w:t>Director</w:t>
      </w:r>
    </w:p>
    <w:p>
      <w:pPr>
        <w:spacing w:after="0" w:line="347" w:lineRule="exact"/>
        <w:rPr>
          <w:sz w:val="20"/>
          <w:szCs w:val="20"/>
          <w:color w:val="auto"/>
        </w:rPr>
      </w:pPr>
    </w:p>
    <w:p>
      <w:pPr>
        <w:jc w:val="center"/>
        <w:ind w:right="220"/>
        <w:spacing w:after="0"/>
        <w:rPr>
          <w:sz w:val="20"/>
          <w:szCs w:val="20"/>
          <w:color w:val="auto"/>
        </w:rPr>
      </w:pPr>
      <w:r>
        <w:rPr>
          <w:rFonts w:ascii="Calibri" w:cs="Calibri" w:eastAsia="Calibri" w:hAnsi="Calibri"/>
          <w:sz w:val="18"/>
          <w:szCs w:val="18"/>
          <w:color w:val="auto"/>
        </w:rPr>
        <w:t>Director</w:t>
      </w:r>
    </w:p>
    <w:p>
      <w:pPr>
        <w:spacing w:after="0" w:line="200" w:lineRule="exact"/>
        <w:rPr>
          <w:sz w:val="20"/>
          <w:szCs w:val="20"/>
          <w:color w:val="auto"/>
        </w:rPr>
      </w:pPr>
    </w:p>
    <w:p>
      <w:pPr>
        <w:spacing w:after="0" w:line="323" w:lineRule="exact"/>
        <w:rPr>
          <w:sz w:val="20"/>
          <w:szCs w:val="20"/>
          <w:color w:val="auto"/>
        </w:rPr>
      </w:pPr>
    </w:p>
    <w:p>
      <w:pPr>
        <w:ind w:left="2120"/>
        <w:spacing w:after="0"/>
        <w:rPr>
          <w:sz w:val="20"/>
          <w:szCs w:val="20"/>
          <w:color w:val="auto"/>
        </w:rPr>
      </w:pPr>
      <w:r>
        <w:rPr>
          <w:rFonts w:ascii="Calibri" w:cs="Calibri" w:eastAsia="Calibri" w:hAnsi="Calibri"/>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481965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center"/>
        <w:ind w:right="880"/>
        <w:spacing w:after="0"/>
        <w:rPr>
          <w:sz w:val="20"/>
          <w:szCs w:val="20"/>
          <w:color w:val="auto"/>
        </w:rPr>
      </w:pPr>
      <w:r>
        <w:rPr>
          <w:rFonts w:ascii="Calibri" w:cs="Calibri" w:eastAsia="Calibri" w:hAnsi="Calibri"/>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12700</wp:posOffset>
            </wp:positionV>
            <wp:extent cx="28321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13">
                      <a:extLst>
                        <a:ext uri="{28A0092B-C50C-407E-A947-70E740481C1C}"/>
                      </a:extLst>
                    </a:blip>
                    <a:srcRect/>
                    <a:stretch>
                      <a:fillRect/>
                    </a:stretch>
                  </pic:blipFill>
                  <pic:spPr bwMode="auto">
                    <a:xfrm>
                      <a:off x="0" y="0"/>
                      <a:ext cx="283210" cy="8255"/>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Calibri" w:cs="Calibri" w:eastAsia="Calibri" w:hAnsi="Calibri"/>
          <w:sz w:val="17"/>
          <w:szCs w:val="17"/>
          <w:color w:val="auto"/>
        </w:rPr>
        <w:t>February 19, 2025</w:t>
      </w:r>
    </w:p>
    <w:p>
      <w:pPr>
        <w:spacing w:after="0" w:line="319" w:lineRule="exact"/>
        <w:rPr>
          <w:sz w:val="20"/>
          <w:szCs w:val="20"/>
          <w:color w:val="auto"/>
        </w:rPr>
      </w:pPr>
    </w:p>
    <w:p>
      <w:pPr>
        <w:spacing w:after="0"/>
        <w:rPr>
          <w:sz w:val="20"/>
          <w:szCs w:val="20"/>
          <w:color w:val="auto"/>
        </w:rPr>
      </w:pPr>
      <w:r>
        <w:rPr>
          <w:rFonts w:ascii="Calibri" w:cs="Calibri" w:eastAsia="Calibri" w:hAnsi="Calibri"/>
          <w:sz w:val="17"/>
          <w:szCs w:val="17"/>
          <w:color w:val="auto"/>
        </w:rPr>
        <w:t>February 19, 2025</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alibri" w:cs="Calibri" w:eastAsia="Calibri" w:hAnsi="Calibri"/>
          <w:sz w:val="17"/>
          <w:szCs w:val="17"/>
          <w:color w:val="auto"/>
        </w:rPr>
        <w:t>February 19, 2025</w:t>
      </w:r>
    </w:p>
    <w:p>
      <w:pPr>
        <w:spacing w:after="0" w:line="359" w:lineRule="exact"/>
        <w:rPr>
          <w:sz w:val="20"/>
          <w:szCs w:val="20"/>
          <w:color w:val="auto"/>
        </w:rPr>
      </w:pPr>
    </w:p>
    <w:p>
      <w:pPr>
        <w:spacing w:after="0"/>
        <w:rPr>
          <w:sz w:val="20"/>
          <w:szCs w:val="20"/>
          <w:color w:val="auto"/>
        </w:rPr>
      </w:pPr>
      <w:r>
        <w:rPr>
          <w:rFonts w:ascii="Calibri" w:cs="Calibri" w:eastAsia="Calibri" w:hAnsi="Calibri"/>
          <w:sz w:val="17"/>
          <w:szCs w:val="17"/>
          <w:color w:val="auto"/>
        </w:rPr>
        <w:t>February 19, 2025</w:t>
      </w:r>
    </w:p>
    <w:p>
      <w:pPr>
        <w:spacing w:after="0" w:line="373" w:lineRule="exact"/>
        <w:rPr>
          <w:sz w:val="20"/>
          <w:szCs w:val="20"/>
          <w:color w:val="auto"/>
        </w:rPr>
      </w:pPr>
    </w:p>
    <w:p>
      <w:pPr>
        <w:spacing w:after="0"/>
        <w:rPr>
          <w:sz w:val="20"/>
          <w:szCs w:val="20"/>
          <w:color w:val="auto"/>
        </w:rPr>
      </w:pPr>
      <w:r>
        <w:rPr>
          <w:rFonts w:ascii="Calibri" w:cs="Calibri" w:eastAsia="Calibri" w:hAnsi="Calibri"/>
          <w:sz w:val="17"/>
          <w:szCs w:val="17"/>
          <w:color w:val="auto"/>
        </w:rPr>
        <w:t>February 19, 2025</w:t>
      </w:r>
    </w:p>
    <w:p>
      <w:pPr>
        <w:spacing w:after="0" w:line="346" w:lineRule="exact"/>
        <w:rPr>
          <w:sz w:val="20"/>
          <w:szCs w:val="20"/>
          <w:color w:val="auto"/>
        </w:rPr>
      </w:pPr>
    </w:p>
    <w:p>
      <w:pPr>
        <w:spacing w:after="0"/>
        <w:rPr>
          <w:sz w:val="20"/>
          <w:szCs w:val="20"/>
          <w:color w:val="auto"/>
        </w:rPr>
      </w:pPr>
      <w:r>
        <w:rPr>
          <w:rFonts w:ascii="Calibri" w:cs="Calibri" w:eastAsia="Calibri" w:hAnsi="Calibri"/>
          <w:sz w:val="17"/>
          <w:szCs w:val="17"/>
          <w:color w:val="auto"/>
        </w:rPr>
        <w:t>February 19, 2025</w:t>
      </w:r>
    </w:p>
    <w:p>
      <w:pPr>
        <w:spacing w:after="0" w:line="359" w:lineRule="exact"/>
        <w:rPr>
          <w:sz w:val="20"/>
          <w:szCs w:val="20"/>
          <w:color w:val="auto"/>
        </w:rPr>
      </w:pPr>
    </w:p>
    <w:p>
      <w:pPr>
        <w:spacing w:after="0"/>
        <w:rPr>
          <w:sz w:val="20"/>
          <w:szCs w:val="20"/>
          <w:color w:val="auto"/>
        </w:rPr>
      </w:pPr>
      <w:r>
        <w:rPr>
          <w:rFonts w:ascii="Calibri" w:cs="Calibri" w:eastAsia="Calibri" w:hAnsi="Calibri"/>
          <w:sz w:val="17"/>
          <w:szCs w:val="17"/>
          <w:color w:val="auto"/>
        </w:rPr>
        <w:t>February 19, 2025</w:t>
      </w:r>
    </w:p>
    <w:p>
      <w:pPr>
        <w:spacing w:after="0" w:line="400" w:lineRule="exact"/>
        <w:rPr>
          <w:sz w:val="20"/>
          <w:szCs w:val="20"/>
          <w:color w:val="auto"/>
        </w:rPr>
      </w:pPr>
    </w:p>
    <w:p>
      <w:pPr>
        <w:spacing w:after="0"/>
        <w:rPr>
          <w:sz w:val="20"/>
          <w:szCs w:val="20"/>
          <w:color w:val="auto"/>
        </w:rPr>
      </w:pPr>
      <w:r>
        <w:rPr>
          <w:rFonts w:ascii="Calibri" w:cs="Calibri" w:eastAsia="Calibri" w:hAnsi="Calibri"/>
          <w:sz w:val="17"/>
          <w:szCs w:val="17"/>
          <w:color w:val="auto"/>
        </w:rPr>
        <w:t>February 19, 2025</w:t>
      </w:r>
    </w:p>
    <w:p>
      <w:pPr>
        <w:spacing w:after="0" w:line="359" w:lineRule="exact"/>
        <w:rPr>
          <w:sz w:val="20"/>
          <w:szCs w:val="20"/>
          <w:color w:val="auto"/>
        </w:rPr>
      </w:pPr>
    </w:p>
    <w:p>
      <w:pPr>
        <w:spacing w:after="0"/>
        <w:rPr>
          <w:sz w:val="20"/>
          <w:szCs w:val="20"/>
          <w:color w:val="auto"/>
        </w:rPr>
      </w:pPr>
      <w:r>
        <w:rPr>
          <w:rFonts w:ascii="Calibri" w:cs="Calibri" w:eastAsia="Calibri" w:hAnsi="Calibri"/>
          <w:sz w:val="17"/>
          <w:szCs w:val="17"/>
          <w:color w:val="auto"/>
        </w:rPr>
        <w:t>February 19, 2025</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alibri" w:cs="Calibri" w:eastAsia="Calibri" w:hAnsi="Calibri"/>
          <w:sz w:val="17"/>
          <w:szCs w:val="17"/>
          <w:color w:val="auto"/>
        </w:rPr>
        <w:t>February 19, 2025</w:t>
      </w:r>
    </w:p>
    <w:p>
      <w:pPr>
        <w:sectPr>
          <w:pgSz w:w="11900" w:h="16838" w:orient="portrait"/>
          <w:cols w:equalWidth="0" w:num="3">
            <w:col w:w="2700" w:space="720"/>
            <w:col w:w="5040" w:space="720"/>
            <w:col w:w="2060"/>
          </w:cols>
          <w:pgMar w:left="320" w:top="976" w:right="339" w:bottom="1440" w:gutter="0" w:footer="0" w:header="0"/>
          <w:type w:val="continuous"/>
        </w:sectPr>
      </w:pPr>
    </w:p>
    <w:bookmarkStart w:id="94" w:name="page95"/>
    <w:bookmarkEnd w:id="94"/>
    <w:p>
      <w:pPr>
        <w:jc w:val="center"/>
        <w:ind w:right="40"/>
        <w:spacing w:after="0"/>
        <w:rPr>
          <w:sz w:val="20"/>
          <w:szCs w:val="20"/>
          <w:color w:val="auto"/>
        </w:rPr>
      </w:pPr>
      <w:r>
        <w:rPr>
          <w:rFonts w:ascii="Calibri" w:cs="Calibri" w:eastAsia="Calibri" w:hAnsi="Calibri"/>
          <w:sz w:val="18"/>
          <w:szCs w:val="18"/>
          <w:b w:val="1"/>
          <w:bCs w:val="1"/>
          <w:color w:val="auto"/>
        </w:rPr>
        <w:t>Ultragenyx Pharmaceutcal Inc.</w:t>
      </w:r>
    </w:p>
    <w:p>
      <w:pPr>
        <w:spacing w:after="0" w:line="77"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auto"/>
        </w:rPr>
        <w:t>INDEX TO FINANCIAL STATEMENTS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w w:val="99"/>
              </w:rPr>
              <w:t>Page</w:t>
            </w:r>
          </w:p>
        </w:tc>
      </w:tr>
      <w:tr>
        <w:trPr>
          <w:trHeight w:val="162"/>
        </w:trPr>
        <w:tc>
          <w:tcPr>
            <w:tcW w:w="20" w:type="dxa"/>
            <w:vAlign w:val="bottom"/>
          </w:tcPr>
          <w:p>
            <w:pPr>
              <w:spacing w:after="0"/>
              <w:rPr>
                <w:sz w:val="14"/>
                <w:szCs w:val="14"/>
                <w:color w:val="auto"/>
              </w:rPr>
            </w:pPr>
          </w:p>
        </w:tc>
        <w:tc>
          <w:tcPr>
            <w:tcW w:w="5340" w:type="dxa"/>
            <w:vAlign w:val="bottom"/>
            <w:gridSpan w:val="8"/>
          </w:tcPr>
          <w:p>
            <w:pPr>
              <w:spacing w:after="0" w:line="162" w:lineRule="exact"/>
              <w:rPr>
                <w:sz w:val="20"/>
                <w:szCs w:val="20"/>
                <w:color w:val="auto"/>
              </w:rPr>
            </w:pPr>
            <w:r>
              <w:rPr>
                <w:rFonts w:ascii="Calibri" w:cs="Calibri" w:eastAsia="Calibri" w:hAnsi="Calibri"/>
                <w:sz w:val="17"/>
                <w:szCs w:val="17"/>
                <w:color w:val="0000FF"/>
              </w:rPr>
              <w:t>Report of Independent Registered Public Accountng Firm (PCAOB ID: 42)</w:t>
            </w:r>
          </w:p>
        </w:tc>
        <w:tc>
          <w:tcPr>
            <w:tcW w:w="5320" w:type="dxa"/>
            <w:vAlign w:val="bottom"/>
          </w:tcPr>
          <w:p>
            <w:pPr>
              <w:spacing w:after="0"/>
              <w:rPr>
                <w:sz w:val="14"/>
                <w:szCs w:val="14"/>
                <w:color w:val="auto"/>
              </w:rPr>
            </w:pPr>
          </w:p>
        </w:tc>
        <w:tc>
          <w:tcPr>
            <w:tcW w:w="560" w:type="dxa"/>
            <w:vAlign w:val="bottom"/>
          </w:tcPr>
          <w:p>
            <w:pPr>
              <w:jc w:val="center"/>
              <w:spacing w:after="0" w:line="162" w:lineRule="exact"/>
              <w:rPr>
                <w:sz w:val="20"/>
                <w:szCs w:val="20"/>
                <w:color w:val="auto"/>
              </w:rPr>
            </w:pPr>
            <w:r>
              <w:rPr>
                <w:rFonts w:ascii="Calibri" w:cs="Calibri" w:eastAsia="Calibri" w:hAnsi="Calibri"/>
                <w:sz w:val="17"/>
                <w:szCs w:val="17"/>
                <w:color w:val="auto"/>
              </w:rPr>
              <w:t>F-2</w:t>
            </w:r>
          </w:p>
        </w:tc>
      </w:tr>
      <w:tr>
        <w:trPr>
          <w:trHeight w:val="227"/>
        </w:trPr>
        <w:tc>
          <w:tcPr>
            <w:tcW w:w="20" w:type="dxa"/>
            <w:vAlign w:val="bottom"/>
          </w:tcPr>
          <w:p>
            <w:pPr>
              <w:spacing w:after="0"/>
              <w:rPr>
                <w:sz w:val="19"/>
                <w:szCs w:val="19"/>
                <w:color w:val="auto"/>
              </w:rPr>
            </w:pPr>
          </w:p>
        </w:tc>
        <w:tc>
          <w:tcPr>
            <w:tcW w:w="5200" w:type="dxa"/>
            <w:vAlign w:val="bottom"/>
            <w:tcBorders>
              <w:top w:val="single" w:sz="8" w:color="0000FF"/>
            </w:tcBorders>
            <w:gridSpan w:val="7"/>
          </w:tcPr>
          <w:p>
            <w:pPr>
              <w:spacing w:after="0"/>
              <w:rPr>
                <w:sz w:val="20"/>
                <w:szCs w:val="20"/>
                <w:color w:val="auto"/>
              </w:rPr>
            </w:pPr>
            <w:r>
              <w:rPr>
                <w:rFonts w:ascii="Calibri" w:cs="Calibri" w:eastAsia="Calibri" w:hAnsi="Calibri"/>
                <w:sz w:val="18"/>
                <w:szCs w:val="18"/>
                <w:color w:val="auto"/>
              </w:rPr>
              <w:t>Consolidated Financial Statements:</w:t>
            </w:r>
          </w:p>
        </w:tc>
        <w:tc>
          <w:tcPr>
            <w:tcW w:w="14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185"/>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180" w:type="dxa"/>
            <w:vAlign w:val="bottom"/>
            <w:gridSpan w:val="7"/>
          </w:tcPr>
          <w:p>
            <w:pPr>
              <w:spacing w:after="0" w:line="185" w:lineRule="exact"/>
              <w:rPr>
                <w:sz w:val="20"/>
                <w:szCs w:val="20"/>
                <w:color w:val="auto"/>
              </w:rPr>
            </w:pPr>
            <w:r>
              <w:rPr>
                <w:rFonts w:ascii="Calibri" w:cs="Calibri" w:eastAsia="Calibri" w:hAnsi="Calibri"/>
                <w:sz w:val="18"/>
                <w:szCs w:val="18"/>
                <w:color w:val="0000FF"/>
              </w:rPr>
              <w:t>Consolidated Balance Sheets</w:t>
            </w:r>
          </w:p>
        </w:tc>
        <w:tc>
          <w:tcPr>
            <w:tcW w:w="5320" w:type="dxa"/>
            <w:vAlign w:val="bottom"/>
          </w:tcPr>
          <w:p>
            <w:pPr>
              <w:spacing w:after="0"/>
              <w:rPr>
                <w:sz w:val="16"/>
                <w:szCs w:val="16"/>
                <w:color w:val="auto"/>
              </w:rPr>
            </w:pPr>
          </w:p>
        </w:tc>
        <w:tc>
          <w:tcPr>
            <w:tcW w:w="560" w:type="dxa"/>
            <w:vAlign w:val="bottom"/>
          </w:tcPr>
          <w:p>
            <w:pPr>
              <w:jc w:val="center"/>
              <w:spacing w:after="0" w:line="185" w:lineRule="exact"/>
              <w:rPr>
                <w:sz w:val="20"/>
                <w:szCs w:val="20"/>
                <w:color w:val="auto"/>
              </w:rPr>
            </w:pPr>
            <w:r>
              <w:rPr>
                <w:rFonts w:ascii="Calibri" w:cs="Calibri" w:eastAsia="Calibri" w:hAnsi="Calibri"/>
                <w:sz w:val="18"/>
                <w:szCs w:val="18"/>
                <w:color w:val="auto"/>
                <w:w w:val="95"/>
              </w:rPr>
              <w:t>F-4</w:t>
            </w:r>
          </w:p>
        </w:tc>
      </w:tr>
      <w:tr>
        <w:trPr>
          <w:trHeight w:val="20"/>
        </w:trPr>
        <w:tc>
          <w:tcPr>
            <w:tcW w:w="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180" w:type="dxa"/>
            <w:vAlign w:val="bottom"/>
            <w:gridSpan w:val="7"/>
          </w:tcPr>
          <w:p>
            <w:pPr>
              <w:spacing w:after="0" w:line="196" w:lineRule="exact"/>
              <w:rPr>
                <w:sz w:val="20"/>
                <w:szCs w:val="20"/>
                <w:color w:val="auto"/>
              </w:rPr>
            </w:pPr>
            <w:r>
              <w:rPr>
                <w:rFonts w:ascii="Calibri" w:cs="Calibri" w:eastAsia="Calibri" w:hAnsi="Calibri"/>
                <w:sz w:val="18"/>
                <w:szCs w:val="18"/>
                <w:color w:val="0000FF"/>
              </w:rPr>
              <w:t>Consolidated Statements of Operatons</w:t>
            </w:r>
          </w:p>
        </w:tc>
        <w:tc>
          <w:tcPr>
            <w:tcW w:w="532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Calibri" w:cs="Calibri" w:eastAsia="Calibri" w:hAnsi="Calibri"/>
                <w:sz w:val="18"/>
                <w:szCs w:val="18"/>
                <w:color w:val="auto"/>
                <w:w w:val="95"/>
              </w:rPr>
              <w:t>F-5</w:t>
            </w:r>
          </w:p>
        </w:tc>
      </w:tr>
      <w:tr>
        <w:trPr>
          <w:trHeight w:val="20"/>
        </w:trPr>
        <w:tc>
          <w:tcPr>
            <w:tcW w:w="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8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180" w:type="dxa"/>
            <w:vAlign w:val="bottom"/>
            <w:gridSpan w:val="7"/>
          </w:tcPr>
          <w:p>
            <w:pPr>
              <w:spacing w:after="0" w:line="196" w:lineRule="exact"/>
              <w:rPr>
                <w:sz w:val="20"/>
                <w:szCs w:val="20"/>
                <w:color w:val="auto"/>
              </w:rPr>
            </w:pPr>
            <w:r>
              <w:rPr>
                <w:rFonts w:ascii="Calibri" w:cs="Calibri" w:eastAsia="Calibri" w:hAnsi="Calibri"/>
                <w:sz w:val="18"/>
                <w:szCs w:val="18"/>
                <w:color w:val="0000FF"/>
              </w:rPr>
              <w:t>Consolidated Statements of Comprehensive Loss</w:t>
            </w:r>
          </w:p>
        </w:tc>
        <w:tc>
          <w:tcPr>
            <w:tcW w:w="532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Calibri" w:cs="Calibri" w:eastAsia="Calibri" w:hAnsi="Calibri"/>
                <w:sz w:val="18"/>
                <w:szCs w:val="18"/>
                <w:color w:val="auto"/>
                <w:w w:val="95"/>
              </w:rPr>
              <w:t>F-5</w:t>
            </w:r>
          </w:p>
        </w:tc>
      </w:tr>
      <w:tr>
        <w:trPr>
          <w:trHeight w:val="20"/>
        </w:trPr>
        <w:tc>
          <w:tcPr>
            <w:tcW w:w="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8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180" w:type="dxa"/>
            <w:vAlign w:val="bottom"/>
            <w:gridSpan w:val="7"/>
          </w:tcPr>
          <w:p>
            <w:pPr>
              <w:spacing w:after="0" w:line="196" w:lineRule="exact"/>
              <w:rPr>
                <w:sz w:val="20"/>
                <w:szCs w:val="20"/>
                <w:color w:val="auto"/>
              </w:rPr>
            </w:pPr>
            <w:r>
              <w:rPr>
                <w:rFonts w:ascii="Calibri" w:cs="Calibri" w:eastAsia="Calibri" w:hAnsi="Calibri"/>
                <w:sz w:val="18"/>
                <w:szCs w:val="18"/>
                <w:color w:val="0000FF"/>
              </w:rPr>
              <w:t>Consolidated Statements of Stockholders’ Equity</w:t>
            </w:r>
          </w:p>
        </w:tc>
        <w:tc>
          <w:tcPr>
            <w:tcW w:w="532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Calibri" w:cs="Calibri" w:eastAsia="Calibri" w:hAnsi="Calibri"/>
                <w:sz w:val="18"/>
                <w:szCs w:val="18"/>
                <w:color w:val="auto"/>
                <w:w w:val="95"/>
              </w:rPr>
              <w:t>F-6</w:t>
            </w:r>
          </w:p>
        </w:tc>
      </w:tr>
      <w:tr>
        <w:trPr>
          <w:trHeight w:val="20"/>
        </w:trPr>
        <w:tc>
          <w:tcPr>
            <w:tcW w:w="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280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180" w:type="dxa"/>
            <w:vAlign w:val="bottom"/>
            <w:gridSpan w:val="7"/>
          </w:tcPr>
          <w:p>
            <w:pPr>
              <w:spacing w:after="0" w:line="196" w:lineRule="exact"/>
              <w:rPr>
                <w:sz w:val="20"/>
                <w:szCs w:val="20"/>
                <w:color w:val="auto"/>
              </w:rPr>
            </w:pPr>
            <w:r>
              <w:rPr>
                <w:rFonts w:ascii="Calibri" w:cs="Calibri" w:eastAsia="Calibri" w:hAnsi="Calibri"/>
                <w:sz w:val="18"/>
                <w:szCs w:val="18"/>
                <w:color w:val="0000FF"/>
              </w:rPr>
              <w:t>Consolidated Statements of Cash Flows</w:t>
            </w:r>
          </w:p>
        </w:tc>
        <w:tc>
          <w:tcPr>
            <w:tcW w:w="532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Calibri" w:cs="Calibri" w:eastAsia="Calibri" w:hAnsi="Calibri"/>
                <w:sz w:val="18"/>
                <w:szCs w:val="18"/>
                <w:color w:val="auto"/>
                <w:w w:val="95"/>
              </w:rPr>
              <w:t>F-7</w:t>
            </w:r>
          </w:p>
        </w:tc>
      </w:tr>
      <w:tr>
        <w:trPr>
          <w:trHeight w:val="20"/>
        </w:trPr>
        <w:tc>
          <w:tcPr>
            <w:tcW w:w="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80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180" w:type="dxa"/>
            <w:vAlign w:val="bottom"/>
            <w:gridSpan w:val="7"/>
          </w:tcPr>
          <w:p>
            <w:pPr>
              <w:spacing w:after="0" w:line="196" w:lineRule="exact"/>
              <w:rPr>
                <w:sz w:val="20"/>
                <w:szCs w:val="20"/>
                <w:color w:val="auto"/>
              </w:rPr>
            </w:pPr>
            <w:r>
              <w:rPr>
                <w:rFonts w:ascii="Calibri" w:cs="Calibri" w:eastAsia="Calibri" w:hAnsi="Calibri"/>
                <w:sz w:val="18"/>
                <w:szCs w:val="18"/>
                <w:color w:val="0000FF"/>
              </w:rPr>
              <w:t>Notes to Consolidated Financial Statements</w:t>
            </w:r>
          </w:p>
        </w:tc>
        <w:tc>
          <w:tcPr>
            <w:tcW w:w="532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Calibri" w:cs="Calibri" w:eastAsia="Calibri" w:hAnsi="Calibri"/>
                <w:sz w:val="18"/>
                <w:szCs w:val="18"/>
                <w:color w:val="auto"/>
                <w:w w:val="95"/>
              </w:rPr>
              <w:t>F-9</w:t>
            </w:r>
          </w:p>
        </w:tc>
      </w:tr>
      <w:tr>
        <w:trPr>
          <w:trHeight w:val="875"/>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80" w:type="dxa"/>
            <w:vAlign w:val="bottom"/>
            <w:gridSpan w:val="2"/>
          </w:tcPr>
          <w:p>
            <w:pPr>
              <w:ind w:left="160"/>
              <w:spacing w:after="0"/>
              <w:rPr>
                <w:sz w:val="20"/>
                <w:szCs w:val="20"/>
                <w:color w:val="auto"/>
              </w:rPr>
            </w:pPr>
            <w:r>
              <w:rPr>
                <w:rFonts w:ascii="Calibri" w:cs="Calibri" w:eastAsia="Calibri" w:hAnsi="Calibri"/>
                <w:sz w:val="18"/>
                <w:szCs w:val="18"/>
                <w:color w:val="auto"/>
              </w:rPr>
              <w:t>F-1</w:t>
            </w:r>
          </w:p>
        </w:tc>
      </w:tr>
      <w:tr>
        <w:trPr>
          <w:trHeight w:val="786"/>
        </w:trPr>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95" w:name="page96"/>
    <w:bookmarkEnd w:id="95"/>
    <w:p>
      <w:pPr>
        <w:jc w:val="center"/>
        <w:ind w:right="-19"/>
        <w:spacing w:after="0"/>
        <w:rPr>
          <w:sz w:val="20"/>
          <w:szCs w:val="20"/>
          <w:color w:val="auto"/>
        </w:rPr>
      </w:pPr>
      <w:r>
        <w:rPr>
          <w:rFonts w:ascii="Calibri" w:cs="Calibri" w:eastAsia="Calibri" w:hAnsi="Calibri"/>
          <w:sz w:val="18"/>
          <w:szCs w:val="18"/>
          <w:b w:val="1"/>
          <w:bCs w:val="1"/>
          <w:color w:val="auto"/>
        </w:rPr>
        <w:t>Report of Independent Registered Public Accountng Firm</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To the Stockholders and the Board of Directors of Ultragenyx Pharmaceutcal Inc.</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Opinion on the Financial Statements</w:t>
      </w:r>
    </w:p>
    <w:p>
      <w:pPr>
        <w:spacing w:after="0" w:line="82" w:lineRule="exact"/>
        <w:rPr>
          <w:sz w:val="20"/>
          <w:szCs w:val="20"/>
          <w:color w:val="auto"/>
        </w:rPr>
      </w:pPr>
    </w:p>
    <w:p>
      <w:pPr>
        <w:spacing w:after="0" w:line="251" w:lineRule="auto"/>
        <w:rPr>
          <w:sz w:val="20"/>
          <w:szCs w:val="20"/>
          <w:color w:val="auto"/>
        </w:rPr>
      </w:pPr>
      <w:r>
        <w:rPr>
          <w:rFonts w:ascii="Calibri" w:cs="Calibri" w:eastAsia="Calibri" w:hAnsi="Calibri"/>
          <w:sz w:val="17"/>
          <w:szCs w:val="17"/>
          <w:color w:val="auto"/>
        </w:rPr>
        <w:t>We have audited the accompanying consolidated balance sheets of Ultragenyx Pharmaceutcal Inc. (the Company) as of December 31, 2024 and 2023, the related consolidated statements of operatons, comprehensive loss, stockholders' equity and cash fows for each of the three years in the period ended December 31, 2024, and the related notes (collectvely referred to as the “consolidated fnancial statements”). In our opinion, the consolidated fnancial statements present fairly, in all material respects, the fnancial positon of the Company at December 31, 2024 and 2023, and the results of its operatons and its cash fows for each of the three years in the period ended December 31, 2024, in conformity with U.S. generally accepted accountng principles.</w:t>
      </w:r>
    </w:p>
    <w:p>
      <w:pPr>
        <w:spacing w:after="0" w:line="76"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We also have audited, in accordance with the standards of the Public Company Accountng Oversight Board (United States) (PCAOB), the Company's internal control over fnancial reportng as of December 31, 2024, based on criteria established in Internal Control—Integrated Framework issued by the Commitee of Sponsoring Organizatons of the Treadway Commission (2013 framework), and our report dated February 19, 2025 expressed an unqualifed opinion thereon.</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Basis for Opinion</w:t>
      </w:r>
    </w:p>
    <w:p>
      <w:pPr>
        <w:spacing w:after="0" w:line="82" w:lineRule="exact"/>
        <w:rPr>
          <w:sz w:val="20"/>
          <w:szCs w:val="20"/>
          <w:color w:val="auto"/>
        </w:rPr>
      </w:pPr>
    </w:p>
    <w:p>
      <w:pPr>
        <w:ind w:right="340"/>
        <w:spacing w:after="0" w:line="235" w:lineRule="auto"/>
        <w:rPr>
          <w:sz w:val="20"/>
          <w:szCs w:val="20"/>
          <w:color w:val="auto"/>
        </w:rPr>
      </w:pPr>
      <w:r>
        <w:rPr>
          <w:rFonts w:ascii="Calibri" w:cs="Calibri" w:eastAsia="Calibri" w:hAnsi="Calibri"/>
          <w:sz w:val="18"/>
          <w:szCs w:val="18"/>
          <w:color w:val="auto"/>
        </w:rPr>
        <w:t>These fnancial statements are the responsibility of the Company's management. Our responsibility is to express an opinion on the Company’s fnancial statements based on our audits. We are a public accountng frm registered with the PCAOB and are required to be independent with respect to the Company in accordance with the U.S. federal securites laws and the applicable rules and regulatons of the Securites and Exchange Commission and the PCAOB.</w:t>
      </w:r>
    </w:p>
    <w:p>
      <w:pPr>
        <w:spacing w:after="0" w:line="84"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We conducted our audits in accordance with the standards of the PCAOB. Those standards require that we plan and perform the audit to obtain reasonable assurance about whether the fnancial statements are free of material misstatement, whether due to error or fraud. Our audits included performing procedures to assess the risks of material misstatement of the fnancial statements, whether due to error or fraud, and performing procedures that respond to those risks. Such procedures included examining, on a test basis, evidence regarding the amounts and disclosures in the fnancial statements. Our audits also included evaluatng the accountng principles used and signifcant estmates made by management, as well as evaluatng the overall presentaton of the fnancial statements. We believe that our audits provide a reasonable basis for our opinion.</w:t>
      </w:r>
    </w:p>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Critcal Audit Mater</w:t>
      </w:r>
    </w:p>
    <w:p>
      <w:pPr>
        <w:spacing w:after="0" w:line="82"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The critcal audit mater communicated below is a mater arising from the current period audit of the fnancial statements that was communicated or required to be communicated to the audit commitee and that: (1) relates to accounts or disclosures that are material to the fnancial statements and (2) involved our especially challenging, subjectve or complex judgments. The communicaton of the critcal audit mater does not alter in any way our opinion on the consolidated fnancial statements, taken as a whole, and we are not, by communicatng the critcal audit mater below, providing a separate opinion on the critcal audit mater or on the account or disclosure to which it relates.</w:t>
      </w:r>
    </w:p>
    <w:p>
      <w:pPr>
        <w:spacing w:after="0" w:line="215" w:lineRule="exact"/>
        <w:rPr>
          <w:sz w:val="20"/>
          <w:szCs w:val="20"/>
          <w:color w:val="auto"/>
        </w:rPr>
      </w:pPr>
    </w:p>
    <w:p>
      <w:pPr>
        <w:ind w:left="1000"/>
        <w:spacing w:after="0"/>
        <w:rPr>
          <w:sz w:val="20"/>
          <w:szCs w:val="20"/>
          <w:color w:val="auto"/>
        </w:rPr>
      </w:pPr>
      <w:r>
        <w:rPr>
          <w:rFonts w:ascii="Calibri" w:cs="Calibri" w:eastAsia="Calibri" w:hAnsi="Calibri"/>
          <w:sz w:val="18"/>
          <w:szCs w:val="18"/>
          <w:b w:val="1"/>
          <w:bCs w:val="1"/>
          <w:i w:val="1"/>
          <w:iCs w:val="1"/>
          <w:color w:val="auto"/>
        </w:rPr>
        <w:t>Liabilites for sales of future royaltes</w:t>
      </w:r>
    </w:p>
    <w:p>
      <w:pPr>
        <w:ind w:left="20"/>
        <w:spacing w:after="0" w:line="235" w:lineRule="auto"/>
        <w:tabs>
          <w:tab w:leader="none" w:pos="980" w:val="left"/>
        </w:tabs>
        <w:rPr>
          <w:sz w:val="20"/>
          <w:szCs w:val="20"/>
          <w:color w:val="auto"/>
        </w:rPr>
      </w:pPr>
      <w:r>
        <w:rPr>
          <w:rFonts w:ascii="Calibri" w:cs="Calibri" w:eastAsia="Calibri" w:hAnsi="Calibri"/>
          <w:sz w:val="18"/>
          <w:szCs w:val="18"/>
          <w:i w:val="1"/>
          <w:iCs w:val="1"/>
          <w:color w:val="auto"/>
        </w:rPr>
        <w:t>Descripton</w:t>
      </w:r>
      <w:r>
        <w:rPr>
          <w:sz w:val="20"/>
          <w:szCs w:val="20"/>
          <w:color w:val="auto"/>
        </w:rPr>
        <w:tab/>
      </w:r>
      <w:r>
        <w:rPr>
          <w:rFonts w:ascii="Calibri" w:cs="Calibri" w:eastAsia="Calibri" w:hAnsi="Calibri"/>
          <w:sz w:val="18"/>
          <w:szCs w:val="18"/>
          <w:color w:val="auto"/>
        </w:rPr>
        <w:t>As discussed in Note 11, the Company has entered into two royalty purchase agreements, under which the Company</w:t>
      </w:r>
    </w:p>
    <w:p>
      <w:pPr>
        <w:ind w:left="20"/>
        <w:spacing w:after="0"/>
        <w:tabs>
          <w:tab w:leader="none" w:pos="980" w:val="left"/>
        </w:tabs>
        <w:rPr>
          <w:sz w:val="20"/>
          <w:szCs w:val="20"/>
          <w:color w:val="auto"/>
        </w:rPr>
      </w:pPr>
      <w:r>
        <w:rPr>
          <w:rFonts w:ascii="Calibri" w:cs="Calibri" w:eastAsia="Calibri" w:hAnsi="Calibri"/>
          <w:sz w:val="18"/>
          <w:szCs w:val="18"/>
          <w:i w:val="1"/>
          <w:iCs w:val="1"/>
          <w:color w:val="auto"/>
        </w:rPr>
        <w:t>of the</w:t>
      </w:r>
      <w:r>
        <w:rPr>
          <w:sz w:val="20"/>
          <w:szCs w:val="20"/>
          <w:color w:val="auto"/>
        </w:rPr>
        <w:tab/>
      </w:r>
      <w:r>
        <w:rPr>
          <w:rFonts w:ascii="Calibri" w:cs="Calibri" w:eastAsia="Calibri" w:hAnsi="Calibri"/>
          <w:sz w:val="17"/>
          <w:szCs w:val="17"/>
          <w:color w:val="auto"/>
        </w:rPr>
        <w:t>sold its rights to receive royalty payments arising from the net sales of Crysvita in the European and North American</w:t>
      </w:r>
    </w:p>
    <w:p>
      <w:pPr>
        <w:spacing w:after="0" w:line="2" w:lineRule="exact"/>
        <w:rPr>
          <w:sz w:val="20"/>
          <w:szCs w:val="20"/>
          <w:color w:val="auto"/>
        </w:rPr>
      </w:pPr>
    </w:p>
    <w:p>
      <w:pPr>
        <w:ind w:left="1000" w:right="2020" w:hanging="979"/>
        <w:spacing w:after="0" w:line="235" w:lineRule="auto"/>
        <w:tabs>
          <w:tab w:leader="none" w:pos="980" w:val="left"/>
        </w:tabs>
        <w:rPr>
          <w:sz w:val="20"/>
          <w:szCs w:val="20"/>
          <w:color w:val="auto"/>
        </w:rPr>
      </w:pPr>
      <w:r>
        <w:rPr>
          <w:rFonts w:ascii="Calibri" w:cs="Calibri" w:eastAsia="Calibri" w:hAnsi="Calibri"/>
          <w:sz w:val="18"/>
          <w:szCs w:val="18"/>
          <w:i w:val="1"/>
          <w:iCs w:val="1"/>
          <w:color w:val="auto"/>
        </w:rPr>
        <w:t>Mater</w:t>
      </w:r>
      <w:r>
        <w:rPr>
          <w:sz w:val="20"/>
          <w:szCs w:val="20"/>
          <w:color w:val="auto"/>
        </w:rPr>
        <w:tab/>
      </w:r>
      <w:r>
        <w:rPr>
          <w:rFonts w:ascii="Calibri" w:cs="Calibri" w:eastAsia="Calibri" w:hAnsi="Calibri"/>
          <w:sz w:val="18"/>
          <w:szCs w:val="18"/>
          <w:color w:val="auto"/>
        </w:rPr>
        <w:t>markets in exchange for $320 million and $500 million, respectvely. The proceeds from each transacton were recorded as liabilites that are being amortzed using the efectve interest method over the estmated lives of the respectve arrangements. In order to determine the amortzaton of the liabilites, the Company is required to estmate the total amount of future royalty payments to be paid to the respectve counterparty, subject to the capped amount, over the life of the arrangement. The Company estmates an imputed interest on the unamortzed porton of the liability and records non-cash interest expense relatng to the transacton.</w:t>
      </w:r>
    </w:p>
    <w:p>
      <w:pPr>
        <w:spacing w:after="0" w:line="181" w:lineRule="exact"/>
        <w:rPr>
          <w:sz w:val="20"/>
          <w:szCs w:val="20"/>
          <w:color w:val="auto"/>
        </w:rPr>
      </w:pPr>
    </w:p>
    <w:p>
      <w:pPr>
        <w:jc w:val="both"/>
        <w:ind w:left="1000" w:right="1880"/>
        <w:spacing w:after="0" w:line="254" w:lineRule="auto"/>
        <w:rPr>
          <w:sz w:val="20"/>
          <w:szCs w:val="20"/>
          <w:color w:val="auto"/>
        </w:rPr>
      </w:pPr>
      <w:r>
        <w:rPr>
          <w:rFonts w:ascii="Calibri" w:cs="Calibri" w:eastAsia="Calibri" w:hAnsi="Calibri"/>
          <w:sz w:val="17"/>
          <w:szCs w:val="17"/>
          <w:color w:val="auto"/>
        </w:rPr>
        <w:t>Auditng the Company’s liabilites related to the sale of future royaltes was complex due to the subjectve judgments required to forecast the expected royalty payments subject to each agreement. Specifcally, the forecasted revenues of Crysvita involve signifcant estmaton uncertainty given the limited historical Crysvita sales data.</w:t>
      </w:r>
    </w:p>
    <w:p>
      <w:pPr>
        <w:spacing w:after="0" w:line="394" w:lineRule="exact"/>
        <w:rPr>
          <w:sz w:val="20"/>
          <w:szCs w:val="20"/>
          <w:color w:val="auto"/>
        </w:rPr>
      </w:pPr>
    </w:p>
    <w:p>
      <w:pPr>
        <w:ind w:left="20" w:right="1980"/>
        <w:spacing w:after="0" w:line="235" w:lineRule="auto"/>
        <w:rPr>
          <w:sz w:val="20"/>
          <w:szCs w:val="20"/>
          <w:color w:val="auto"/>
        </w:rPr>
      </w:pPr>
      <w:r>
        <w:rPr>
          <w:rFonts w:ascii="Calibri" w:cs="Calibri" w:eastAsia="Calibri" w:hAnsi="Calibri"/>
          <w:sz w:val="18"/>
          <w:szCs w:val="18"/>
          <w:i w:val="1"/>
          <w:iCs w:val="1"/>
          <w:color w:val="auto"/>
        </w:rPr>
        <w:t xml:space="preserve">How We </w:t>
      </w:r>
      <w:r>
        <w:rPr>
          <w:rFonts w:ascii="Calibri" w:cs="Calibri" w:eastAsia="Calibri" w:hAnsi="Calibri"/>
          <w:sz w:val="18"/>
          <w:szCs w:val="18"/>
          <w:color w:val="auto"/>
        </w:rPr>
        <w:t>We obtained an understanding, evaluated the design and tested the operatng efectveness of controls over the</w:t>
      </w:r>
      <w:r>
        <w:rPr>
          <w:rFonts w:ascii="Calibri" w:cs="Calibri" w:eastAsia="Calibri" w:hAnsi="Calibri"/>
          <w:sz w:val="18"/>
          <w:szCs w:val="18"/>
          <w:i w:val="1"/>
          <w:iCs w:val="1"/>
          <w:color w:val="auto"/>
        </w:rPr>
        <w:t xml:space="preserve"> Addressed </w:t>
      </w:r>
      <w:r>
        <w:rPr>
          <w:rFonts w:ascii="Calibri" w:cs="Calibri" w:eastAsia="Calibri" w:hAnsi="Calibri"/>
          <w:sz w:val="18"/>
          <w:szCs w:val="18"/>
          <w:color w:val="auto"/>
        </w:rPr>
        <w:t>Company’s process of accountng for the liabilites related to the sale of future royaltes, including controls over the</w:t>
      </w:r>
      <w:r>
        <w:rPr>
          <w:rFonts w:ascii="Calibri" w:cs="Calibri" w:eastAsia="Calibri" w:hAnsi="Calibri"/>
          <w:sz w:val="18"/>
          <w:szCs w:val="18"/>
          <w:i w:val="1"/>
          <w:iCs w:val="1"/>
          <w:color w:val="auto"/>
        </w:rPr>
        <w:t xml:space="preserve"> the Mater </w:t>
      </w:r>
      <w:r>
        <w:rPr>
          <w:rFonts w:ascii="Calibri" w:cs="Calibri" w:eastAsia="Calibri" w:hAnsi="Calibri"/>
          <w:sz w:val="18"/>
          <w:szCs w:val="18"/>
          <w:color w:val="auto"/>
        </w:rPr>
        <w:t>Company’s estmates of projected sales of Crysvita in the European and North American markets.</w:t>
      </w:r>
    </w:p>
    <w:p>
      <w:pPr>
        <w:jc w:val="center"/>
        <w:ind w:right="-19"/>
        <w:spacing w:after="0" w:line="237" w:lineRule="auto"/>
        <w:rPr>
          <w:sz w:val="20"/>
          <w:szCs w:val="20"/>
          <w:color w:val="auto"/>
        </w:rPr>
      </w:pPr>
      <w:r>
        <w:rPr>
          <w:rFonts w:ascii="Calibri" w:cs="Calibri" w:eastAsia="Calibri" w:hAnsi="Calibri"/>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6" w:right="359" w:bottom="1440" w:gutter="0" w:footer="0" w:header="0"/>
        </w:sectPr>
      </w:pPr>
    </w:p>
    <w:bookmarkStart w:id="96" w:name="page97"/>
    <w:bookmarkEnd w:id="96"/>
    <w:p>
      <w:pPr>
        <w:ind w:left="20"/>
        <w:spacing w:after="0"/>
        <w:rPr>
          <w:sz w:val="20"/>
          <w:szCs w:val="20"/>
          <w:color w:val="auto"/>
        </w:rPr>
      </w:pPr>
      <w:r>
        <w:rPr>
          <w:rFonts w:ascii="Calibri" w:cs="Calibri" w:eastAsia="Calibri" w:hAnsi="Calibri"/>
          <w:sz w:val="18"/>
          <w:szCs w:val="18"/>
          <w:i w:val="1"/>
          <w:iCs w:val="1"/>
          <w:color w:val="auto"/>
        </w:rPr>
        <w:t>in Our Audit</w:t>
      </w:r>
    </w:p>
    <w:p>
      <w:pPr>
        <w:spacing w:after="0" w:line="1" w:lineRule="exact"/>
        <w:rPr>
          <w:sz w:val="20"/>
          <w:szCs w:val="20"/>
          <w:color w:val="auto"/>
        </w:rPr>
      </w:pPr>
    </w:p>
    <w:p>
      <w:pPr>
        <w:ind w:left="1000" w:right="1179"/>
        <w:spacing w:after="0" w:line="235" w:lineRule="auto"/>
        <w:rPr>
          <w:sz w:val="20"/>
          <w:szCs w:val="20"/>
          <w:color w:val="auto"/>
        </w:rPr>
      </w:pPr>
      <w:r>
        <w:rPr>
          <w:rFonts w:ascii="Calibri" w:cs="Calibri" w:eastAsia="Calibri" w:hAnsi="Calibri"/>
          <w:sz w:val="18"/>
          <w:szCs w:val="18"/>
          <w:color w:val="auto"/>
        </w:rPr>
        <w:t>To test management’s estmates of the future royaltes and the amount of imputed efectve interest rates, we performed audit procedures that included, among others, evaluatng the reasonableness of management’s assumptons related to the forecasted revenue growth rates, including treatable patent populatons, estmated pricing and reimbursement, and the rate of adopton. We compared the signifcant assumptons with historical trends of actual sales, analyst expectatons and performed sensitvity analyses of estmated future royaltes to evaluate the changes in the future royaltes on the implied efectve interest rates.</w:t>
      </w:r>
    </w:p>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We have served as the Company’s auditor since 2012.</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San Mateo, California</w:t>
      </w:r>
    </w:p>
    <w:p>
      <w:pPr>
        <w:spacing w:after="0" w:line="235" w:lineRule="auto"/>
        <w:rPr>
          <w:sz w:val="20"/>
          <w:szCs w:val="20"/>
          <w:color w:val="auto"/>
        </w:rPr>
      </w:pPr>
      <w:r>
        <w:rPr>
          <w:rFonts w:ascii="Calibri" w:cs="Calibri" w:eastAsia="Calibri" w:hAnsi="Calibri"/>
          <w:sz w:val="18"/>
          <w:szCs w:val="18"/>
          <w:color w:val="auto"/>
        </w:rPr>
        <w:t>February 19, 2025</w:t>
      </w:r>
    </w:p>
    <w:p>
      <w:pPr>
        <w:ind w:left="5520"/>
        <w:spacing w:after="0" w:line="236" w:lineRule="auto"/>
        <w:rPr>
          <w:sz w:val="20"/>
          <w:szCs w:val="20"/>
          <w:color w:val="auto"/>
        </w:rPr>
      </w:pPr>
      <w:r>
        <w:rPr>
          <w:rFonts w:ascii="Calibri" w:cs="Calibri" w:eastAsia="Calibri" w:hAnsi="Calibri"/>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76" w:right="1440"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20"/>
        </w:trPr>
        <w:tc>
          <w:tcPr>
            <w:tcW w:w="8180" w:type="dxa"/>
            <w:vAlign w:val="bottom"/>
          </w:tcPr>
          <w:p>
            <w:pPr>
              <w:jc w:val="center"/>
              <w:ind w:left="2950"/>
              <w:spacing w:after="0"/>
              <w:rPr>
                <w:sz w:val="20"/>
                <w:szCs w:val="20"/>
                <w:color w:val="auto"/>
              </w:rPr>
            </w:pPr>
            <w:r>
              <w:rPr>
                <w:rFonts w:ascii="Calibri" w:cs="Calibri" w:eastAsia="Calibri" w:hAnsi="Calibri"/>
                <w:sz w:val="18"/>
                <w:szCs w:val="18"/>
                <w:b w:val="1"/>
                <w:bCs w:val="1"/>
                <w:color w:val="auto"/>
                <w:w w:val="97"/>
              </w:rPr>
              <w:t>ULTRAGENYX PHARMACEUTICAL INC.</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7"/>
        </w:trPr>
        <w:tc>
          <w:tcPr>
            <w:tcW w:w="8180" w:type="dxa"/>
            <w:vAlign w:val="bottom"/>
          </w:tcPr>
          <w:p>
            <w:pPr>
              <w:jc w:val="center"/>
              <w:ind w:left="2930"/>
              <w:spacing w:after="0"/>
              <w:rPr>
                <w:sz w:val="20"/>
                <w:szCs w:val="20"/>
                <w:color w:val="auto"/>
              </w:rPr>
            </w:pPr>
            <w:r>
              <w:rPr>
                <w:rFonts w:ascii="Calibri" w:cs="Calibri" w:eastAsia="Calibri" w:hAnsi="Calibri"/>
                <w:sz w:val="18"/>
                <w:szCs w:val="18"/>
                <w:b w:val="1"/>
                <w:bCs w:val="1"/>
                <w:color w:val="auto"/>
                <w:w w:val="97"/>
              </w:rPr>
              <w:t>CONSOLIDATED BALANCE SHEETS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180" w:type="dxa"/>
            <w:vAlign w:val="bottom"/>
          </w:tcPr>
          <w:p>
            <w:pPr>
              <w:jc w:val="center"/>
              <w:ind w:left="2990"/>
              <w:spacing w:after="0" w:line="216" w:lineRule="exact"/>
              <w:rPr>
                <w:sz w:val="20"/>
                <w:szCs w:val="20"/>
                <w:color w:val="auto"/>
              </w:rPr>
            </w:pPr>
            <w:r>
              <w:rPr>
                <w:rFonts w:ascii="Calibri" w:cs="Calibri" w:eastAsia="Calibri" w:hAnsi="Calibri"/>
                <w:sz w:val="18"/>
                <w:szCs w:val="18"/>
                <w:b w:val="1"/>
                <w:bCs w:val="1"/>
                <w:color w:val="auto"/>
                <w:w w:val="97"/>
              </w:rPr>
              <w:t>(In thousands, except share and per share amounts)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24"/>
        </w:trPr>
        <w:tc>
          <w:tcPr>
            <w:tcW w:w="8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Calibri" w:cs="Calibri" w:eastAsia="Calibri" w:hAnsi="Calibri"/>
                <w:sz w:val="18"/>
                <w:szCs w:val="18"/>
                <w:b w:val="1"/>
                <w:bCs w:val="1"/>
                <w:color w:val="auto"/>
              </w:rPr>
              <w:t>December 31,</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
        </w:trPr>
        <w:tc>
          <w:tcPr>
            <w:tcW w:w="8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8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line="209" w:lineRule="exact"/>
              <w:rPr>
                <w:sz w:val="20"/>
                <w:szCs w:val="20"/>
                <w:color w:val="auto"/>
              </w:rPr>
            </w:pPr>
            <w:r>
              <w:rPr>
                <w:rFonts w:ascii="Calibri" w:cs="Calibri" w:eastAsia="Calibri" w:hAnsi="Calibri"/>
                <w:sz w:val="18"/>
                <w:szCs w:val="18"/>
                <w:b w:val="1"/>
                <w:bCs w:val="1"/>
                <w:color w:val="auto"/>
              </w:rPr>
              <w:t>2024</w:t>
            </w: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0"/>
              <w:spacing w:after="0" w:line="209"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8180" w:type="dxa"/>
            <w:vAlign w:val="bottom"/>
            <w:shd w:val="clear" w:color="auto" w:fill="CCECFF"/>
          </w:tcPr>
          <w:p>
            <w:pPr>
              <w:ind w:left="5300"/>
              <w:spacing w:after="0" w:line="210" w:lineRule="exact"/>
              <w:rPr>
                <w:sz w:val="20"/>
                <w:szCs w:val="20"/>
                <w:color w:val="auto"/>
              </w:rPr>
            </w:pPr>
            <w:r>
              <w:rPr>
                <w:rFonts w:ascii="Calibri" w:cs="Calibri" w:eastAsia="Calibri" w:hAnsi="Calibri"/>
                <w:sz w:val="18"/>
                <w:szCs w:val="18"/>
                <w:b w:val="1"/>
                <w:bCs w:val="1"/>
                <w:color w:val="auto"/>
              </w:rPr>
              <w:t>ASSETS</w:t>
            </w:r>
          </w:p>
        </w:tc>
        <w:tc>
          <w:tcPr>
            <w:tcW w:w="300" w:type="dxa"/>
            <w:vAlign w:val="bottom"/>
            <w:shd w:val="clear" w:color="auto" w:fill="CCECFF"/>
          </w:tcPr>
          <w:p>
            <w:pPr>
              <w:spacing w:after="0"/>
              <w:rPr>
                <w:sz w:val="18"/>
                <w:szCs w:val="18"/>
                <w:color w:val="auto"/>
              </w:rPr>
            </w:pPr>
          </w:p>
        </w:tc>
        <w:tc>
          <w:tcPr>
            <w:tcW w:w="104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42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169"/>
        </w:trPr>
        <w:tc>
          <w:tcPr>
            <w:tcW w:w="8180" w:type="dxa"/>
            <w:vAlign w:val="bottom"/>
          </w:tcPr>
          <w:p>
            <w:pPr>
              <w:ind w:left="20"/>
              <w:spacing w:after="0" w:line="169" w:lineRule="exact"/>
              <w:rPr>
                <w:sz w:val="20"/>
                <w:szCs w:val="20"/>
                <w:color w:val="auto"/>
              </w:rPr>
            </w:pPr>
            <w:r>
              <w:rPr>
                <w:rFonts w:ascii="Calibri" w:cs="Calibri" w:eastAsia="Calibri" w:hAnsi="Calibri"/>
                <w:sz w:val="18"/>
                <w:szCs w:val="18"/>
                <w:color w:val="auto"/>
              </w:rPr>
              <w:t>Current assets:</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63"/>
        </w:trPr>
        <w:tc>
          <w:tcPr>
            <w:tcW w:w="8180" w:type="dxa"/>
            <w:vAlign w:val="bottom"/>
          </w:tcPr>
          <w:p>
            <w:pPr>
              <w:ind w:left="200"/>
              <w:spacing w:after="0" w:line="263" w:lineRule="exact"/>
              <w:rPr>
                <w:sz w:val="20"/>
                <w:szCs w:val="20"/>
                <w:color w:val="auto"/>
              </w:rPr>
            </w:pPr>
            <w:r>
              <w:rPr>
                <w:rFonts w:ascii="Calibri" w:cs="Calibri" w:eastAsia="Calibri" w:hAnsi="Calibri"/>
                <w:sz w:val="18"/>
                <w:szCs w:val="18"/>
                <w:color w:val="auto"/>
              </w:rPr>
              <w:t>Cash and cash equivalents</w:t>
            </w:r>
            <w:r>
              <w:rPr>
                <w:rFonts w:ascii="Calibri" w:cs="Calibri" w:eastAsia="Calibri" w:hAnsi="Calibri"/>
                <w:sz w:val="24"/>
                <w:szCs w:val="24"/>
                <w:color w:val="auto"/>
                <w:vertAlign w:val="superscript"/>
              </w:rPr>
              <w:t>(1)</w:t>
            </w:r>
          </w:p>
        </w:tc>
        <w:tc>
          <w:tcPr>
            <w:tcW w:w="300" w:type="dxa"/>
            <w:vAlign w:val="bottom"/>
          </w:tcPr>
          <w:p>
            <w:pPr>
              <w:jc w:val="right"/>
              <w:ind w:right="90"/>
              <w:spacing w:after="0"/>
              <w:rPr>
                <w:sz w:val="20"/>
                <w:szCs w:val="20"/>
                <w:color w:val="auto"/>
              </w:rPr>
            </w:pPr>
            <w:r>
              <w:rPr>
                <w:rFonts w:ascii="Calibri" w:cs="Calibri" w:eastAsia="Calibri" w:hAnsi="Calibri"/>
                <w:sz w:val="18"/>
                <w:szCs w:val="18"/>
                <w:color w:val="auto"/>
              </w:rPr>
              <w:t>$</w:t>
            </w:r>
          </w:p>
        </w:tc>
        <w:tc>
          <w:tcPr>
            <w:tcW w:w="1040" w:type="dxa"/>
            <w:vAlign w:val="bottom"/>
          </w:tcPr>
          <w:p>
            <w:pPr>
              <w:jc w:val="right"/>
              <w:spacing w:after="0"/>
              <w:rPr>
                <w:sz w:val="20"/>
                <w:szCs w:val="20"/>
                <w:color w:val="auto"/>
              </w:rPr>
            </w:pPr>
            <w:r>
              <w:rPr>
                <w:rFonts w:ascii="Calibri" w:cs="Calibri" w:eastAsia="Calibri" w:hAnsi="Calibri"/>
                <w:sz w:val="18"/>
                <w:szCs w:val="18"/>
                <w:color w:val="auto"/>
              </w:rPr>
              <w:t>173,729</w:t>
            </w:r>
          </w:p>
        </w:tc>
        <w:tc>
          <w:tcPr>
            <w:tcW w:w="28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rPr>
                <w:sz w:val="20"/>
                <w:szCs w:val="20"/>
                <w:color w:val="auto"/>
              </w:rPr>
            </w:pPr>
            <w:r>
              <w:rPr>
                <w:rFonts w:ascii="Calibri" w:cs="Calibri" w:eastAsia="Calibri" w:hAnsi="Calibri"/>
                <w:sz w:val="18"/>
                <w:szCs w:val="18"/>
                <w:color w:val="auto"/>
              </w:rPr>
              <w:t>213,584</w:t>
            </w:r>
          </w:p>
        </w:tc>
        <w:tc>
          <w:tcPr>
            <w:tcW w:w="100" w:type="dxa"/>
            <w:vAlign w:val="bottom"/>
          </w:tcPr>
          <w:p>
            <w:pPr>
              <w:spacing w:after="0"/>
              <w:rPr>
                <w:sz w:val="22"/>
                <w:szCs w:val="22"/>
                <w:color w:val="auto"/>
              </w:rPr>
            </w:pPr>
          </w:p>
        </w:tc>
      </w:tr>
      <w:tr>
        <w:trPr>
          <w:trHeight w:val="215"/>
        </w:trPr>
        <w:tc>
          <w:tcPr>
            <w:tcW w:w="8180" w:type="dxa"/>
            <w:vAlign w:val="bottom"/>
          </w:tcPr>
          <w:p>
            <w:pPr>
              <w:ind w:left="200"/>
              <w:spacing w:after="0" w:line="215" w:lineRule="exact"/>
              <w:rPr>
                <w:sz w:val="20"/>
                <w:szCs w:val="20"/>
                <w:color w:val="auto"/>
              </w:rPr>
            </w:pPr>
            <w:r>
              <w:rPr>
                <w:rFonts w:ascii="Calibri" w:cs="Calibri" w:eastAsia="Calibri" w:hAnsi="Calibri"/>
                <w:sz w:val="18"/>
                <w:szCs w:val="18"/>
                <w:color w:val="auto"/>
              </w:rPr>
              <w:t>Marketable debt securites</w:t>
            </w:r>
          </w:p>
        </w:tc>
        <w:tc>
          <w:tcPr>
            <w:tcW w:w="30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436,296</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363,625</w:t>
            </w:r>
          </w:p>
        </w:tc>
        <w:tc>
          <w:tcPr>
            <w:tcW w:w="100" w:type="dxa"/>
            <w:vAlign w:val="bottom"/>
          </w:tcPr>
          <w:p>
            <w:pPr>
              <w:spacing w:after="0"/>
              <w:rPr>
                <w:sz w:val="18"/>
                <w:szCs w:val="18"/>
                <w:color w:val="auto"/>
              </w:rPr>
            </w:pPr>
          </w:p>
        </w:tc>
      </w:tr>
      <w:tr>
        <w:trPr>
          <w:trHeight w:val="217"/>
        </w:trPr>
        <w:tc>
          <w:tcPr>
            <w:tcW w:w="8180" w:type="dxa"/>
            <w:vAlign w:val="bottom"/>
            <w:shd w:val="clear" w:color="auto" w:fill="CCEEFF"/>
          </w:tcPr>
          <w:p>
            <w:pPr>
              <w:ind w:left="200"/>
              <w:spacing w:after="0" w:line="216" w:lineRule="exact"/>
              <w:rPr>
                <w:sz w:val="20"/>
                <w:szCs w:val="20"/>
                <w:color w:val="auto"/>
              </w:rPr>
            </w:pPr>
            <w:r>
              <w:rPr>
                <w:rFonts w:ascii="Calibri" w:cs="Calibri" w:eastAsia="Calibri" w:hAnsi="Calibri"/>
                <w:sz w:val="18"/>
                <w:szCs w:val="18"/>
                <w:color w:val="auto"/>
              </w:rPr>
              <w:t>Accounts receivable, net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121,801</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73,390</w:t>
            </w:r>
          </w:p>
        </w:tc>
        <w:tc>
          <w:tcPr>
            <w:tcW w:w="100" w:type="dxa"/>
            <w:vAlign w:val="bottom"/>
            <w:shd w:val="clear" w:color="auto" w:fill="CCEEFF"/>
          </w:tcPr>
          <w:p>
            <w:pPr>
              <w:spacing w:after="0"/>
              <w:rPr>
                <w:sz w:val="18"/>
                <w:szCs w:val="18"/>
                <w:color w:val="auto"/>
              </w:rPr>
            </w:pPr>
          </w:p>
        </w:tc>
      </w:tr>
      <w:tr>
        <w:trPr>
          <w:trHeight w:val="215"/>
        </w:trPr>
        <w:tc>
          <w:tcPr>
            <w:tcW w:w="8180" w:type="dxa"/>
            <w:vAlign w:val="bottom"/>
          </w:tcPr>
          <w:p>
            <w:pPr>
              <w:ind w:left="200"/>
              <w:spacing w:after="0" w:line="215" w:lineRule="exact"/>
              <w:rPr>
                <w:sz w:val="20"/>
                <w:szCs w:val="20"/>
                <w:color w:val="auto"/>
              </w:rPr>
            </w:pPr>
            <w:r>
              <w:rPr>
                <w:rFonts w:ascii="Calibri" w:cs="Calibri" w:eastAsia="Calibri" w:hAnsi="Calibri"/>
                <w:sz w:val="18"/>
                <w:szCs w:val="18"/>
                <w:color w:val="auto"/>
              </w:rPr>
              <w:t>Inventory</w:t>
            </w:r>
          </w:p>
        </w:tc>
        <w:tc>
          <w:tcPr>
            <w:tcW w:w="30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45,007</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33,969</w:t>
            </w:r>
          </w:p>
        </w:tc>
        <w:tc>
          <w:tcPr>
            <w:tcW w:w="100" w:type="dxa"/>
            <w:vAlign w:val="bottom"/>
          </w:tcPr>
          <w:p>
            <w:pPr>
              <w:spacing w:after="0"/>
              <w:rPr>
                <w:sz w:val="18"/>
                <w:szCs w:val="18"/>
                <w:color w:val="auto"/>
              </w:rPr>
            </w:pPr>
          </w:p>
        </w:tc>
      </w:tr>
      <w:tr>
        <w:trPr>
          <w:trHeight w:val="216"/>
        </w:trPr>
        <w:tc>
          <w:tcPr>
            <w:tcW w:w="8180" w:type="dxa"/>
            <w:vAlign w:val="bottom"/>
            <w:tcBorders>
              <w:bottom w:val="single" w:sz="8" w:color="CCEEFF"/>
            </w:tcBorders>
            <w:shd w:val="clear" w:color="auto" w:fill="CCEEFF"/>
          </w:tcPr>
          <w:p>
            <w:pPr>
              <w:ind w:left="200"/>
              <w:spacing w:after="0" w:line="216" w:lineRule="exact"/>
              <w:rPr>
                <w:sz w:val="20"/>
                <w:szCs w:val="20"/>
                <w:color w:val="auto"/>
              </w:rPr>
            </w:pPr>
            <w:r>
              <w:rPr>
                <w:rFonts w:ascii="Calibri" w:cs="Calibri" w:eastAsia="Calibri" w:hAnsi="Calibri"/>
                <w:sz w:val="18"/>
                <w:szCs w:val="18"/>
                <w:color w:val="auto"/>
              </w:rPr>
              <w:t>Prepaid expenses and other assets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40,290</w:t>
            </w:r>
          </w:p>
        </w:tc>
        <w:tc>
          <w:tcPr>
            <w:tcW w:w="2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47,616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180" w:type="dxa"/>
            <w:vAlign w:val="bottom"/>
          </w:tcPr>
          <w:p>
            <w:pPr>
              <w:ind w:left="380"/>
              <w:spacing w:after="0" w:line="209" w:lineRule="exact"/>
              <w:rPr>
                <w:sz w:val="20"/>
                <w:szCs w:val="20"/>
                <w:color w:val="auto"/>
              </w:rPr>
            </w:pPr>
            <w:r>
              <w:rPr>
                <w:rFonts w:ascii="Calibri" w:cs="Calibri" w:eastAsia="Calibri" w:hAnsi="Calibri"/>
                <w:sz w:val="18"/>
                <w:szCs w:val="18"/>
                <w:color w:val="auto"/>
              </w:rPr>
              <w:t>Total current assets</w:t>
            </w:r>
          </w:p>
        </w:tc>
        <w:tc>
          <w:tcPr>
            <w:tcW w:w="300" w:type="dxa"/>
            <w:vAlign w:val="bottom"/>
          </w:tcPr>
          <w:p>
            <w:pPr>
              <w:spacing w:after="0"/>
              <w:rPr>
                <w:sz w:val="18"/>
                <w:szCs w:val="18"/>
                <w:color w:val="auto"/>
              </w:rPr>
            </w:pPr>
          </w:p>
        </w:tc>
        <w:tc>
          <w:tcPr>
            <w:tcW w:w="1040" w:type="dxa"/>
            <w:vAlign w:val="bottom"/>
          </w:tcPr>
          <w:p>
            <w:pPr>
              <w:jc w:val="right"/>
              <w:spacing w:after="0" w:line="209" w:lineRule="exact"/>
              <w:rPr>
                <w:sz w:val="20"/>
                <w:szCs w:val="20"/>
                <w:color w:val="auto"/>
              </w:rPr>
            </w:pPr>
            <w:r>
              <w:rPr>
                <w:rFonts w:ascii="Calibri" w:cs="Calibri" w:eastAsia="Calibri" w:hAnsi="Calibri"/>
                <w:sz w:val="18"/>
                <w:szCs w:val="18"/>
                <w:color w:val="auto"/>
              </w:rPr>
              <w:t>817,123</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line="209" w:lineRule="exact"/>
              <w:rPr>
                <w:sz w:val="20"/>
                <w:szCs w:val="20"/>
                <w:color w:val="auto"/>
              </w:rPr>
            </w:pPr>
            <w:r>
              <w:rPr>
                <w:rFonts w:ascii="Calibri" w:cs="Calibri" w:eastAsia="Calibri" w:hAnsi="Calibri"/>
                <w:sz w:val="18"/>
                <w:szCs w:val="18"/>
                <w:color w:val="auto"/>
              </w:rPr>
              <w:t>732,184</w:t>
            </w:r>
          </w:p>
        </w:tc>
        <w:tc>
          <w:tcPr>
            <w:tcW w:w="100" w:type="dxa"/>
            <w:vAlign w:val="bottom"/>
          </w:tcPr>
          <w:p>
            <w:pPr>
              <w:spacing w:after="0"/>
              <w:rPr>
                <w:sz w:val="18"/>
                <w:szCs w:val="18"/>
                <w:color w:val="auto"/>
              </w:rPr>
            </w:pPr>
          </w:p>
        </w:tc>
      </w:tr>
      <w:tr>
        <w:trPr>
          <w:trHeight w:val="217"/>
        </w:trPr>
        <w:tc>
          <w:tcPr>
            <w:tcW w:w="8180" w:type="dxa"/>
            <w:vAlign w:val="bottom"/>
            <w:shd w:val="clear" w:color="auto" w:fill="CCEEFF"/>
          </w:tcPr>
          <w:p>
            <w:pPr>
              <w:ind w:left="20"/>
              <w:spacing w:after="0" w:line="216" w:lineRule="exact"/>
              <w:rPr>
                <w:sz w:val="20"/>
                <w:szCs w:val="20"/>
                <w:color w:val="auto"/>
              </w:rPr>
            </w:pPr>
            <w:r>
              <w:rPr>
                <w:rFonts w:ascii="Calibri" w:cs="Calibri" w:eastAsia="Calibri" w:hAnsi="Calibri"/>
                <w:sz w:val="18"/>
                <w:szCs w:val="18"/>
                <w:color w:val="auto"/>
              </w:rPr>
              <w:t>Property, plant, and equipment, net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265,929</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290,566</w:t>
            </w:r>
          </w:p>
        </w:tc>
        <w:tc>
          <w:tcPr>
            <w:tcW w:w="100" w:type="dxa"/>
            <w:vAlign w:val="bottom"/>
            <w:shd w:val="clear" w:color="auto" w:fill="CCEEFF"/>
          </w:tcPr>
          <w:p>
            <w:pPr>
              <w:spacing w:after="0"/>
              <w:rPr>
                <w:sz w:val="18"/>
                <w:szCs w:val="18"/>
                <w:color w:val="auto"/>
              </w:rPr>
            </w:pPr>
          </w:p>
        </w:tc>
      </w:tr>
      <w:tr>
        <w:trPr>
          <w:trHeight w:val="215"/>
        </w:trPr>
        <w:tc>
          <w:tcPr>
            <w:tcW w:w="8180" w:type="dxa"/>
            <w:vAlign w:val="bottom"/>
          </w:tcPr>
          <w:p>
            <w:pPr>
              <w:ind w:left="20"/>
              <w:spacing w:after="0" w:line="215" w:lineRule="exact"/>
              <w:rPr>
                <w:sz w:val="20"/>
                <w:szCs w:val="20"/>
                <w:color w:val="auto"/>
              </w:rPr>
            </w:pPr>
            <w:r>
              <w:rPr>
                <w:rFonts w:ascii="Calibri" w:cs="Calibri" w:eastAsia="Calibri" w:hAnsi="Calibri"/>
                <w:sz w:val="18"/>
                <w:szCs w:val="18"/>
                <w:color w:val="auto"/>
              </w:rPr>
              <w:t>Marketable debt securites</w:t>
            </w:r>
          </w:p>
        </w:tc>
        <w:tc>
          <w:tcPr>
            <w:tcW w:w="30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135,004</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199,901</w:t>
            </w:r>
          </w:p>
        </w:tc>
        <w:tc>
          <w:tcPr>
            <w:tcW w:w="100" w:type="dxa"/>
            <w:vAlign w:val="bottom"/>
          </w:tcPr>
          <w:p>
            <w:pPr>
              <w:spacing w:after="0"/>
              <w:rPr>
                <w:sz w:val="18"/>
                <w:szCs w:val="18"/>
                <w:color w:val="auto"/>
              </w:rPr>
            </w:pPr>
          </w:p>
        </w:tc>
      </w:tr>
      <w:tr>
        <w:trPr>
          <w:trHeight w:val="217"/>
        </w:trPr>
        <w:tc>
          <w:tcPr>
            <w:tcW w:w="8180" w:type="dxa"/>
            <w:vAlign w:val="bottom"/>
            <w:shd w:val="clear" w:color="auto" w:fill="CCEEFF"/>
          </w:tcPr>
          <w:p>
            <w:pPr>
              <w:ind w:left="20"/>
              <w:spacing w:after="0" w:line="216" w:lineRule="exact"/>
              <w:rPr>
                <w:sz w:val="20"/>
                <w:szCs w:val="20"/>
                <w:color w:val="auto"/>
              </w:rPr>
            </w:pPr>
            <w:r>
              <w:rPr>
                <w:rFonts w:ascii="Calibri" w:cs="Calibri" w:eastAsia="Calibri" w:hAnsi="Calibri"/>
                <w:sz w:val="18"/>
                <w:szCs w:val="18"/>
                <w:color w:val="auto"/>
              </w:rPr>
              <w:t>Intangible assets, net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178,314</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166,271</w:t>
            </w:r>
          </w:p>
        </w:tc>
        <w:tc>
          <w:tcPr>
            <w:tcW w:w="100" w:type="dxa"/>
            <w:vAlign w:val="bottom"/>
            <w:shd w:val="clear" w:color="auto" w:fill="CCEEFF"/>
          </w:tcPr>
          <w:p>
            <w:pPr>
              <w:spacing w:after="0"/>
              <w:rPr>
                <w:sz w:val="18"/>
                <w:szCs w:val="18"/>
                <w:color w:val="auto"/>
              </w:rPr>
            </w:pPr>
          </w:p>
        </w:tc>
      </w:tr>
      <w:tr>
        <w:trPr>
          <w:trHeight w:val="215"/>
        </w:trPr>
        <w:tc>
          <w:tcPr>
            <w:tcW w:w="8180" w:type="dxa"/>
            <w:vAlign w:val="bottom"/>
          </w:tcPr>
          <w:p>
            <w:pPr>
              <w:ind w:left="20"/>
              <w:spacing w:after="0" w:line="215" w:lineRule="exact"/>
              <w:rPr>
                <w:sz w:val="20"/>
                <w:szCs w:val="20"/>
                <w:color w:val="auto"/>
              </w:rPr>
            </w:pPr>
            <w:r>
              <w:rPr>
                <w:rFonts w:ascii="Calibri" w:cs="Calibri" w:eastAsia="Calibri" w:hAnsi="Calibri"/>
                <w:sz w:val="18"/>
                <w:szCs w:val="18"/>
                <w:color w:val="auto"/>
              </w:rPr>
              <w:t>Goodwill</w:t>
            </w:r>
          </w:p>
        </w:tc>
        <w:tc>
          <w:tcPr>
            <w:tcW w:w="30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44,406</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44,406</w:t>
            </w:r>
          </w:p>
        </w:tc>
        <w:tc>
          <w:tcPr>
            <w:tcW w:w="100" w:type="dxa"/>
            <w:vAlign w:val="bottom"/>
          </w:tcPr>
          <w:p>
            <w:pPr>
              <w:spacing w:after="0"/>
              <w:rPr>
                <w:sz w:val="18"/>
                <w:szCs w:val="18"/>
                <w:color w:val="auto"/>
              </w:rPr>
            </w:pPr>
          </w:p>
        </w:tc>
      </w:tr>
      <w:tr>
        <w:trPr>
          <w:trHeight w:val="216"/>
        </w:trPr>
        <w:tc>
          <w:tcPr>
            <w:tcW w:w="8180" w:type="dxa"/>
            <w:vAlign w:val="bottom"/>
            <w:tcBorders>
              <w:bottom w:val="single" w:sz="8" w:color="CCECFF"/>
            </w:tcBorders>
            <w:shd w:val="clear" w:color="auto" w:fill="CCECFF"/>
          </w:tcPr>
          <w:p>
            <w:pPr>
              <w:ind w:left="20"/>
              <w:spacing w:after="0" w:line="216" w:lineRule="exact"/>
              <w:rPr>
                <w:sz w:val="20"/>
                <w:szCs w:val="20"/>
                <w:color w:val="auto"/>
              </w:rPr>
            </w:pPr>
            <w:r>
              <w:rPr>
                <w:rFonts w:ascii="Calibri" w:cs="Calibri" w:eastAsia="Calibri" w:hAnsi="Calibri"/>
                <w:sz w:val="18"/>
                <w:szCs w:val="18"/>
                <w:color w:val="auto"/>
              </w:rPr>
              <w:t>Other assets</w:t>
            </w:r>
          </w:p>
        </w:tc>
        <w:tc>
          <w:tcPr>
            <w:tcW w:w="300" w:type="dxa"/>
            <w:vAlign w:val="bottom"/>
            <w:tcBorders>
              <w:bottom w:val="single" w:sz="8" w:color="auto"/>
            </w:tcBorders>
            <w:shd w:val="clear" w:color="auto" w:fill="CCECFF"/>
          </w:tcPr>
          <w:p>
            <w:pPr>
              <w:spacing w:after="0"/>
              <w:rPr>
                <w:sz w:val="18"/>
                <w:szCs w:val="18"/>
                <w:color w:val="auto"/>
              </w:rPr>
            </w:pPr>
          </w:p>
        </w:tc>
        <w:tc>
          <w:tcPr>
            <w:tcW w:w="1040" w:type="dxa"/>
            <w:vAlign w:val="bottom"/>
            <w:tcBorders>
              <w:bottom w:val="single" w:sz="8" w:color="auto"/>
            </w:tcBorders>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62,680</w:t>
            </w:r>
          </w:p>
        </w:tc>
        <w:tc>
          <w:tcPr>
            <w:tcW w:w="280" w:type="dxa"/>
            <w:vAlign w:val="bottom"/>
            <w:tcBorders>
              <w:bottom w:val="single" w:sz="8" w:color="CCECFF"/>
            </w:tcBorders>
            <w:shd w:val="clear" w:color="auto" w:fill="CCECFF"/>
          </w:tcPr>
          <w:p>
            <w:pPr>
              <w:spacing w:after="0"/>
              <w:rPr>
                <w:sz w:val="18"/>
                <w:szCs w:val="18"/>
                <w:color w:val="auto"/>
              </w:rPr>
            </w:pPr>
          </w:p>
        </w:tc>
        <w:tc>
          <w:tcPr>
            <w:tcW w:w="420" w:type="dxa"/>
            <w:vAlign w:val="bottom"/>
            <w:tcBorders>
              <w:bottom w:val="single" w:sz="8" w:color="auto"/>
            </w:tcBorders>
            <w:shd w:val="clear" w:color="auto" w:fill="CCECFF"/>
          </w:tcPr>
          <w:p>
            <w:pPr>
              <w:spacing w:after="0"/>
              <w:rPr>
                <w:sz w:val="18"/>
                <w:szCs w:val="18"/>
                <w:color w:val="auto"/>
              </w:rPr>
            </w:pPr>
          </w:p>
        </w:tc>
        <w:tc>
          <w:tcPr>
            <w:tcW w:w="920" w:type="dxa"/>
            <w:vAlign w:val="bottom"/>
            <w:tcBorders>
              <w:bottom w:val="single" w:sz="8" w:color="auto"/>
            </w:tcBorders>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57,685</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209"/>
        </w:trPr>
        <w:tc>
          <w:tcPr>
            <w:tcW w:w="8180" w:type="dxa"/>
            <w:vAlign w:val="bottom"/>
          </w:tcPr>
          <w:p>
            <w:pPr>
              <w:ind w:left="20"/>
              <w:spacing w:after="0" w:line="209" w:lineRule="exact"/>
              <w:rPr>
                <w:sz w:val="20"/>
                <w:szCs w:val="20"/>
                <w:color w:val="auto"/>
              </w:rPr>
            </w:pPr>
            <w:r>
              <w:rPr>
                <w:rFonts w:ascii="Calibri" w:cs="Calibri" w:eastAsia="Calibri" w:hAnsi="Calibri"/>
                <w:sz w:val="18"/>
                <w:szCs w:val="18"/>
                <w:color w:val="auto"/>
              </w:rPr>
              <w:t>Total assets</w:t>
            </w:r>
          </w:p>
        </w:tc>
        <w:tc>
          <w:tcPr>
            <w:tcW w:w="300" w:type="dxa"/>
            <w:vAlign w:val="bottom"/>
            <w:tcBorders>
              <w:bottom w:val="single" w:sz="8" w:color="auto"/>
            </w:tcBorders>
          </w:tcPr>
          <w:p>
            <w:pPr>
              <w:jc w:val="right"/>
              <w:ind w:right="90"/>
              <w:spacing w:after="0" w:line="209" w:lineRule="exact"/>
              <w:rPr>
                <w:sz w:val="20"/>
                <w:szCs w:val="20"/>
                <w:color w:val="auto"/>
              </w:rPr>
            </w:pPr>
            <w:r>
              <w:rPr>
                <w:rFonts w:ascii="Calibri" w:cs="Calibri" w:eastAsia="Calibri" w:hAnsi="Calibri"/>
                <w:sz w:val="18"/>
                <w:szCs w:val="18"/>
                <w:color w:val="auto"/>
              </w:rPr>
              <w:t>$</w:t>
            </w:r>
          </w:p>
        </w:tc>
        <w:tc>
          <w:tcPr>
            <w:tcW w:w="10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1,503,456</w:t>
            </w:r>
          </w:p>
        </w:tc>
        <w:tc>
          <w:tcPr>
            <w:tcW w:w="280" w:type="dxa"/>
            <w:vAlign w:val="bottom"/>
          </w:tcPr>
          <w:p>
            <w:pPr>
              <w:spacing w:after="0"/>
              <w:rPr>
                <w:sz w:val="18"/>
                <w:szCs w:val="18"/>
                <w:color w:val="auto"/>
              </w:rPr>
            </w:pPr>
          </w:p>
        </w:tc>
        <w:tc>
          <w:tcPr>
            <w:tcW w:w="420" w:type="dxa"/>
            <w:vAlign w:val="bottom"/>
            <w:tcBorders>
              <w:bottom w:val="single" w:sz="8" w:color="auto"/>
            </w:tcBorders>
          </w:tcPr>
          <w:p>
            <w:pPr>
              <w:jc w:val="right"/>
              <w:ind w:right="210"/>
              <w:spacing w:after="0" w:line="209" w:lineRule="exact"/>
              <w:rPr>
                <w:sz w:val="20"/>
                <w:szCs w:val="20"/>
                <w:color w:val="auto"/>
              </w:rPr>
            </w:pPr>
            <w:r>
              <w:rPr>
                <w:rFonts w:ascii="Calibri" w:cs="Calibri" w:eastAsia="Calibri" w:hAnsi="Calibri"/>
                <w:sz w:val="18"/>
                <w:szCs w:val="18"/>
                <w:color w:val="auto"/>
              </w:rPr>
              <w:t>$</w:t>
            </w:r>
          </w:p>
        </w:tc>
        <w:tc>
          <w:tcPr>
            <w:tcW w:w="9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1,491,013</w:t>
            </w:r>
          </w:p>
        </w:tc>
        <w:tc>
          <w:tcPr>
            <w:tcW w:w="100" w:type="dxa"/>
            <w:vAlign w:val="bottom"/>
          </w:tcPr>
          <w:p>
            <w:pPr>
              <w:spacing w:after="0"/>
              <w:rPr>
                <w:sz w:val="18"/>
                <w:szCs w:val="18"/>
                <w:color w:val="auto"/>
              </w:rPr>
            </w:pPr>
          </w:p>
        </w:tc>
      </w:tr>
      <w:tr>
        <w:trPr>
          <w:trHeight w:val="20"/>
        </w:trPr>
        <w:tc>
          <w:tcPr>
            <w:tcW w:w="8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180" w:type="dxa"/>
            <w:vAlign w:val="bottom"/>
            <w:shd w:val="clear" w:color="auto" w:fill="CCECFF"/>
          </w:tcPr>
          <w:p>
            <w:pPr>
              <w:ind w:left="4060"/>
              <w:spacing w:after="0" w:line="197" w:lineRule="exact"/>
              <w:rPr>
                <w:sz w:val="20"/>
                <w:szCs w:val="20"/>
                <w:color w:val="auto"/>
              </w:rPr>
            </w:pPr>
            <w:r>
              <w:rPr>
                <w:rFonts w:ascii="Calibri" w:cs="Calibri" w:eastAsia="Calibri" w:hAnsi="Calibri"/>
                <w:sz w:val="18"/>
                <w:szCs w:val="18"/>
                <w:b w:val="1"/>
                <w:bCs w:val="1"/>
                <w:color w:val="auto"/>
              </w:rPr>
              <w:t>LIABILITIES AND STOCKHOLDERS' EQUITY</w:t>
            </w:r>
          </w:p>
        </w:tc>
        <w:tc>
          <w:tcPr>
            <w:tcW w:w="300" w:type="dxa"/>
            <w:vAlign w:val="bottom"/>
            <w:shd w:val="clear" w:color="auto" w:fill="CCECFF"/>
          </w:tcPr>
          <w:p>
            <w:pPr>
              <w:spacing w:after="0"/>
              <w:rPr>
                <w:sz w:val="17"/>
                <w:szCs w:val="17"/>
                <w:color w:val="auto"/>
              </w:rPr>
            </w:pPr>
          </w:p>
        </w:tc>
        <w:tc>
          <w:tcPr>
            <w:tcW w:w="104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420" w:type="dxa"/>
            <w:vAlign w:val="bottom"/>
            <w:shd w:val="clear" w:color="auto" w:fill="CCECFF"/>
          </w:tcPr>
          <w:p>
            <w:pPr>
              <w:spacing w:after="0"/>
              <w:rPr>
                <w:sz w:val="17"/>
                <w:szCs w:val="17"/>
                <w:color w:val="auto"/>
              </w:rPr>
            </w:pPr>
          </w:p>
        </w:tc>
        <w:tc>
          <w:tcPr>
            <w:tcW w:w="92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r>
      <w:tr>
        <w:trPr>
          <w:trHeight w:val="215"/>
        </w:trPr>
        <w:tc>
          <w:tcPr>
            <w:tcW w:w="8180" w:type="dxa"/>
            <w:vAlign w:val="bottom"/>
          </w:tcPr>
          <w:p>
            <w:pPr>
              <w:ind w:left="20"/>
              <w:spacing w:after="0" w:line="215" w:lineRule="exact"/>
              <w:rPr>
                <w:sz w:val="20"/>
                <w:szCs w:val="20"/>
                <w:color w:val="auto"/>
              </w:rPr>
            </w:pPr>
            <w:r>
              <w:rPr>
                <w:rFonts w:ascii="Calibri" w:cs="Calibri" w:eastAsia="Calibri" w:hAnsi="Calibri"/>
                <w:sz w:val="18"/>
                <w:szCs w:val="18"/>
                <w:color w:val="auto"/>
              </w:rPr>
              <w:t>Current liabilites: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8180" w:type="dxa"/>
            <w:vAlign w:val="bottom"/>
            <w:shd w:val="clear" w:color="auto" w:fill="CCECFF"/>
          </w:tcPr>
          <w:p>
            <w:pPr>
              <w:ind w:left="200"/>
              <w:spacing w:after="0" w:line="216" w:lineRule="exact"/>
              <w:rPr>
                <w:sz w:val="20"/>
                <w:szCs w:val="20"/>
                <w:color w:val="auto"/>
              </w:rPr>
            </w:pPr>
            <w:r>
              <w:rPr>
                <w:rFonts w:ascii="Calibri" w:cs="Calibri" w:eastAsia="Calibri" w:hAnsi="Calibri"/>
                <w:sz w:val="18"/>
                <w:szCs w:val="18"/>
                <w:color w:val="auto"/>
              </w:rPr>
              <w:t>Accounts payable</w:t>
            </w:r>
          </w:p>
        </w:tc>
        <w:tc>
          <w:tcPr>
            <w:tcW w:w="300" w:type="dxa"/>
            <w:vAlign w:val="bottom"/>
            <w:shd w:val="clear" w:color="auto" w:fill="CCECFF"/>
          </w:tcPr>
          <w:p>
            <w:pPr>
              <w:jc w:val="right"/>
              <w:ind w:right="90"/>
              <w:spacing w:after="0" w:line="216" w:lineRule="exact"/>
              <w:rPr>
                <w:sz w:val="20"/>
                <w:szCs w:val="20"/>
                <w:color w:val="auto"/>
              </w:rPr>
            </w:pPr>
            <w:r>
              <w:rPr>
                <w:rFonts w:ascii="Calibri" w:cs="Calibri" w:eastAsia="Calibri" w:hAnsi="Calibri"/>
                <w:sz w:val="18"/>
                <w:szCs w:val="18"/>
                <w:color w:val="auto"/>
              </w:rPr>
              <w:t>$</w:t>
            </w:r>
          </w:p>
        </w:tc>
        <w:tc>
          <w:tcPr>
            <w:tcW w:w="104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38,756</w:t>
            </w:r>
          </w:p>
        </w:tc>
        <w:tc>
          <w:tcPr>
            <w:tcW w:w="280" w:type="dxa"/>
            <w:vAlign w:val="bottom"/>
            <w:shd w:val="clear" w:color="auto" w:fill="CCECFF"/>
          </w:tcPr>
          <w:p>
            <w:pPr>
              <w:spacing w:after="0"/>
              <w:rPr>
                <w:sz w:val="18"/>
                <w:szCs w:val="18"/>
                <w:color w:val="auto"/>
              </w:rPr>
            </w:pPr>
          </w:p>
        </w:tc>
        <w:tc>
          <w:tcPr>
            <w:tcW w:w="420" w:type="dxa"/>
            <w:vAlign w:val="bottom"/>
            <w:shd w:val="clear" w:color="auto" w:fill="CCECFF"/>
          </w:tcPr>
          <w:p>
            <w:pPr>
              <w:jc w:val="right"/>
              <w:ind w:right="210"/>
              <w:spacing w:after="0" w:line="216"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42,114</w:t>
            </w:r>
          </w:p>
        </w:tc>
        <w:tc>
          <w:tcPr>
            <w:tcW w:w="100" w:type="dxa"/>
            <w:vAlign w:val="bottom"/>
            <w:shd w:val="clear" w:color="auto" w:fill="CCECFF"/>
          </w:tcPr>
          <w:p>
            <w:pPr>
              <w:spacing w:after="0"/>
              <w:rPr>
                <w:sz w:val="18"/>
                <w:szCs w:val="18"/>
                <w:color w:val="auto"/>
              </w:rPr>
            </w:pPr>
          </w:p>
        </w:tc>
      </w:tr>
      <w:tr>
        <w:trPr>
          <w:trHeight w:val="215"/>
        </w:trPr>
        <w:tc>
          <w:tcPr>
            <w:tcW w:w="8180" w:type="dxa"/>
            <w:vAlign w:val="bottom"/>
          </w:tcPr>
          <w:p>
            <w:pPr>
              <w:ind w:left="200"/>
              <w:spacing w:after="0" w:line="215" w:lineRule="exact"/>
              <w:rPr>
                <w:sz w:val="20"/>
                <w:szCs w:val="20"/>
                <w:color w:val="auto"/>
              </w:rPr>
            </w:pPr>
            <w:r>
              <w:rPr>
                <w:rFonts w:ascii="Calibri" w:cs="Calibri" w:eastAsia="Calibri" w:hAnsi="Calibri"/>
                <w:sz w:val="18"/>
                <w:szCs w:val="18"/>
                <w:color w:val="auto"/>
              </w:rPr>
              <w:t>Accrued liabilites</w:t>
            </w:r>
          </w:p>
        </w:tc>
        <w:tc>
          <w:tcPr>
            <w:tcW w:w="30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240,973</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196,486</w:t>
            </w:r>
          </w:p>
        </w:tc>
        <w:tc>
          <w:tcPr>
            <w:tcW w:w="100" w:type="dxa"/>
            <w:vAlign w:val="bottom"/>
          </w:tcPr>
          <w:p>
            <w:pPr>
              <w:spacing w:after="0"/>
              <w:rPr>
                <w:sz w:val="18"/>
                <w:szCs w:val="18"/>
                <w:color w:val="auto"/>
              </w:rPr>
            </w:pPr>
          </w:p>
        </w:tc>
      </w:tr>
      <w:tr>
        <w:trPr>
          <w:trHeight w:val="217"/>
        </w:trPr>
        <w:tc>
          <w:tcPr>
            <w:tcW w:w="8180" w:type="dxa"/>
            <w:vAlign w:val="bottom"/>
            <w:shd w:val="clear" w:color="auto" w:fill="CCEEFF"/>
          </w:tcPr>
          <w:p>
            <w:pPr>
              <w:ind w:left="200"/>
              <w:spacing w:after="0" w:line="216" w:lineRule="exact"/>
              <w:rPr>
                <w:sz w:val="20"/>
                <w:szCs w:val="20"/>
                <w:color w:val="auto"/>
              </w:rPr>
            </w:pPr>
            <w:r>
              <w:rPr>
                <w:rFonts w:ascii="Calibri" w:cs="Calibri" w:eastAsia="Calibri" w:hAnsi="Calibri"/>
                <w:sz w:val="18"/>
                <w:szCs w:val="18"/>
                <w:color w:val="auto"/>
              </w:rPr>
              <w:t>Lease liabilites</w:t>
            </w:r>
          </w:p>
        </w:tc>
        <w:tc>
          <w:tcPr>
            <w:tcW w:w="300" w:type="dxa"/>
            <w:vAlign w:val="bottom"/>
            <w:shd w:val="clear" w:color="auto" w:fill="CCECFF"/>
          </w:tcPr>
          <w:p>
            <w:pPr>
              <w:spacing w:after="0"/>
              <w:rPr>
                <w:sz w:val="18"/>
                <w:szCs w:val="18"/>
                <w:color w:val="auto"/>
              </w:rPr>
            </w:pPr>
          </w:p>
        </w:tc>
        <w:tc>
          <w:tcPr>
            <w:tcW w:w="104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10,297</w:t>
            </w:r>
          </w:p>
        </w:tc>
        <w:tc>
          <w:tcPr>
            <w:tcW w:w="280" w:type="dxa"/>
            <w:vAlign w:val="bottom"/>
            <w:shd w:val="clear" w:color="auto" w:fill="CCEC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12,595</w:t>
            </w:r>
          </w:p>
        </w:tc>
        <w:tc>
          <w:tcPr>
            <w:tcW w:w="100" w:type="dxa"/>
            <w:vAlign w:val="bottom"/>
            <w:shd w:val="clear" w:color="auto" w:fill="CCEEFF"/>
          </w:tcPr>
          <w:p>
            <w:pPr>
              <w:spacing w:after="0"/>
              <w:rPr>
                <w:sz w:val="18"/>
                <w:szCs w:val="18"/>
                <w:color w:val="auto"/>
              </w:rPr>
            </w:pPr>
          </w:p>
        </w:tc>
      </w:tr>
      <w:tr>
        <w:trPr>
          <w:trHeight w:val="215"/>
        </w:trPr>
        <w:tc>
          <w:tcPr>
            <w:tcW w:w="8180" w:type="dxa"/>
            <w:vAlign w:val="bottom"/>
          </w:tcPr>
          <w:p>
            <w:pPr>
              <w:ind w:left="200"/>
              <w:spacing w:after="0" w:line="215" w:lineRule="exact"/>
              <w:rPr>
                <w:sz w:val="20"/>
                <w:szCs w:val="20"/>
                <w:color w:val="auto"/>
              </w:rPr>
            </w:pPr>
            <w:r>
              <w:rPr>
                <w:rFonts w:ascii="Calibri" w:cs="Calibri" w:eastAsia="Calibri" w:hAnsi="Calibri"/>
                <w:sz w:val="18"/>
                <w:szCs w:val="18"/>
                <w:color w:val="auto"/>
              </w:rPr>
              <w:t>Liabilites for sales of future royaltes</w:t>
            </w:r>
          </w:p>
        </w:tc>
        <w:tc>
          <w:tcPr>
            <w:tcW w:w="30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49,847</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29,242</w:t>
            </w:r>
          </w:p>
        </w:tc>
        <w:tc>
          <w:tcPr>
            <w:tcW w:w="100" w:type="dxa"/>
            <w:vAlign w:val="bottom"/>
          </w:tcPr>
          <w:p>
            <w:pPr>
              <w:spacing w:after="0"/>
              <w:rPr>
                <w:sz w:val="18"/>
                <w:szCs w:val="18"/>
                <w:color w:val="auto"/>
              </w:rPr>
            </w:pPr>
          </w:p>
        </w:tc>
      </w:tr>
      <w:tr>
        <w:trPr>
          <w:trHeight w:val="216"/>
        </w:trPr>
        <w:tc>
          <w:tcPr>
            <w:tcW w:w="8180" w:type="dxa"/>
            <w:vAlign w:val="bottom"/>
            <w:shd w:val="clear" w:color="auto" w:fill="CCECFF"/>
          </w:tcPr>
          <w:p>
            <w:pPr>
              <w:ind w:left="200"/>
              <w:spacing w:after="0" w:line="216" w:lineRule="exact"/>
              <w:rPr>
                <w:sz w:val="20"/>
                <w:szCs w:val="20"/>
                <w:color w:val="auto"/>
              </w:rPr>
            </w:pPr>
            <w:r>
              <w:rPr>
                <w:rFonts w:ascii="Calibri" w:cs="Calibri" w:eastAsia="Calibri" w:hAnsi="Calibri"/>
                <w:sz w:val="18"/>
                <w:szCs w:val="18"/>
                <w:color w:val="auto"/>
              </w:rPr>
              <w:t>Other liabilites</w:t>
            </w:r>
          </w:p>
        </w:tc>
        <w:tc>
          <w:tcPr>
            <w:tcW w:w="300" w:type="dxa"/>
            <w:vAlign w:val="bottom"/>
            <w:shd w:val="clear" w:color="auto" w:fill="CCECFF"/>
          </w:tcPr>
          <w:p>
            <w:pPr>
              <w:spacing w:after="0"/>
              <w:rPr>
                <w:sz w:val="18"/>
                <w:szCs w:val="18"/>
                <w:color w:val="auto"/>
              </w:rPr>
            </w:pPr>
          </w:p>
        </w:tc>
        <w:tc>
          <w:tcPr>
            <w:tcW w:w="104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4,280</w:t>
            </w:r>
          </w:p>
        </w:tc>
        <w:tc>
          <w:tcPr>
            <w:tcW w:w="280" w:type="dxa"/>
            <w:vAlign w:val="bottom"/>
            <w:shd w:val="clear" w:color="auto" w:fill="CCEC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line="216" w:lineRule="exact"/>
              <w:rPr>
                <w:sz w:val="20"/>
                <w:szCs w:val="20"/>
                <w:color w:val="auto"/>
              </w:rPr>
            </w:pPr>
            <w:r>
              <w:rPr>
                <w:rFonts w:ascii="Calibri" w:cs="Calibri" w:eastAsia="Calibri" w:hAnsi="Calibri"/>
                <w:sz w:val="18"/>
                <w:szCs w:val="18"/>
                <w:color w:val="auto"/>
              </w:rPr>
              <w:t>—</w:t>
            </w:r>
          </w:p>
        </w:tc>
      </w:tr>
      <w:tr>
        <w:trPr>
          <w:trHeight w:val="210"/>
        </w:trPr>
        <w:tc>
          <w:tcPr>
            <w:tcW w:w="8180" w:type="dxa"/>
            <w:vAlign w:val="bottom"/>
            <w:tcBorders>
              <w:top w:val="single" w:sz="8" w:color="CCECFF"/>
            </w:tcBorders>
          </w:tcPr>
          <w:p>
            <w:pPr>
              <w:ind w:left="380"/>
              <w:spacing w:after="0" w:line="209" w:lineRule="exact"/>
              <w:rPr>
                <w:sz w:val="20"/>
                <w:szCs w:val="20"/>
                <w:color w:val="auto"/>
              </w:rPr>
            </w:pPr>
            <w:r>
              <w:rPr>
                <w:rFonts w:ascii="Calibri" w:cs="Calibri" w:eastAsia="Calibri" w:hAnsi="Calibri"/>
                <w:sz w:val="18"/>
                <w:szCs w:val="18"/>
                <w:color w:val="auto"/>
              </w:rPr>
              <w:t>Total current liabilites</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344,153</w:t>
            </w:r>
          </w:p>
        </w:tc>
        <w:tc>
          <w:tcPr>
            <w:tcW w:w="280" w:type="dxa"/>
            <w:vAlign w:val="bottom"/>
            <w:tcBorders>
              <w:top w:val="single" w:sz="8" w:color="CCEC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280,437</w:t>
            </w:r>
          </w:p>
        </w:tc>
        <w:tc>
          <w:tcPr>
            <w:tcW w:w="100" w:type="dxa"/>
            <w:vAlign w:val="bottom"/>
            <w:tcBorders>
              <w:top w:val="single" w:sz="8" w:color="CCEEFF"/>
            </w:tcBorders>
          </w:tcPr>
          <w:p>
            <w:pPr>
              <w:spacing w:after="0"/>
              <w:rPr>
                <w:sz w:val="18"/>
                <w:szCs w:val="18"/>
                <w:color w:val="auto"/>
              </w:rPr>
            </w:pPr>
          </w:p>
        </w:tc>
      </w:tr>
      <w:tr>
        <w:trPr>
          <w:trHeight w:val="217"/>
        </w:trPr>
        <w:tc>
          <w:tcPr>
            <w:tcW w:w="8180" w:type="dxa"/>
            <w:vAlign w:val="bottom"/>
            <w:shd w:val="clear" w:color="auto" w:fill="CCECFF"/>
          </w:tcPr>
          <w:p>
            <w:pPr>
              <w:ind w:left="20"/>
              <w:spacing w:after="0" w:line="216" w:lineRule="exact"/>
              <w:rPr>
                <w:sz w:val="20"/>
                <w:szCs w:val="20"/>
                <w:color w:val="auto"/>
              </w:rPr>
            </w:pPr>
            <w:r>
              <w:rPr>
                <w:rFonts w:ascii="Calibri" w:cs="Calibri" w:eastAsia="Calibri" w:hAnsi="Calibri"/>
                <w:sz w:val="18"/>
                <w:szCs w:val="18"/>
                <w:color w:val="auto"/>
              </w:rPr>
              <w:t>Lease liabilites</w:t>
            </w:r>
          </w:p>
        </w:tc>
        <w:tc>
          <w:tcPr>
            <w:tcW w:w="300" w:type="dxa"/>
            <w:vAlign w:val="bottom"/>
            <w:shd w:val="clear" w:color="auto" w:fill="CCECFF"/>
          </w:tcPr>
          <w:p>
            <w:pPr>
              <w:spacing w:after="0"/>
              <w:rPr>
                <w:sz w:val="18"/>
                <w:szCs w:val="18"/>
                <w:color w:val="auto"/>
              </w:rPr>
            </w:pPr>
          </w:p>
        </w:tc>
        <w:tc>
          <w:tcPr>
            <w:tcW w:w="104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30,042</w:t>
            </w:r>
          </w:p>
        </w:tc>
        <w:tc>
          <w:tcPr>
            <w:tcW w:w="280" w:type="dxa"/>
            <w:vAlign w:val="bottom"/>
            <w:shd w:val="clear" w:color="auto" w:fill="CCECFF"/>
          </w:tcPr>
          <w:p>
            <w:pPr>
              <w:spacing w:after="0"/>
              <w:rPr>
                <w:sz w:val="18"/>
                <w:szCs w:val="18"/>
                <w:color w:val="auto"/>
              </w:rPr>
            </w:pPr>
          </w:p>
        </w:tc>
        <w:tc>
          <w:tcPr>
            <w:tcW w:w="42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30,574</w:t>
            </w:r>
          </w:p>
        </w:tc>
        <w:tc>
          <w:tcPr>
            <w:tcW w:w="100" w:type="dxa"/>
            <w:vAlign w:val="bottom"/>
            <w:shd w:val="clear" w:color="auto" w:fill="CCECFF"/>
          </w:tcPr>
          <w:p>
            <w:pPr>
              <w:spacing w:after="0"/>
              <w:rPr>
                <w:sz w:val="18"/>
                <w:szCs w:val="18"/>
                <w:color w:val="auto"/>
              </w:rPr>
            </w:pPr>
          </w:p>
        </w:tc>
      </w:tr>
      <w:tr>
        <w:trPr>
          <w:trHeight w:val="215"/>
        </w:trPr>
        <w:tc>
          <w:tcPr>
            <w:tcW w:w="8180" w:type="dxa"/>
            <w:vAlign w:val="bottom"/>
          </w:tcPr>
          <w:p>
            <w:pPr>
              <w:ind w:left="20"/>
              <w:spacing w:after="0" w:line="215" w:lineRule="exact"/>
              <w:rPr>
                <w:sz w:val="20"/>
                <w:szCs w:val="20"/>
                <w:color w:val="auto"/>
              </w:rPr>
            </w:pPr>
            <w:r>
              <w:rPr>
                <w:rFonts w:ascii="Calibri" w:cs="Calibri" w:eastAsia="Calibri" w:hAnsi="Calibri"/>
                <w:sz w:val="18"/>
                <w:szCs w:val="18"/>
                <w:color w:val="auto"/>
              </w:rPr>
              <w:t>Deferred tax liabilites</w:t>
            </w:r>
          </w:p>
        </w:tc>
        <w:tc>
          <w:tcPr>
            <w:tcW w:w="30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30,058</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30,058</w:t>
            </w:r>
          </w:p>
        </w:tc>
        <w:tc>
          <w:tcPr>
            <w:tcW w:w="100" w:type="dxa"/>
            <w:vAlign w:val="bottom"/>
          </w:tcPr>
          <w:p>
            <w:pPr>
              <w:spacing w:after="0"/>
              <w:rPr>
                <w:sz w:val="18"/>
                <w:szCs w:val="18"/>
                <w:color w:val="auto"/>
              </w:rPr>
            </w:pPr>
          </w:p>
        </w:tc>
      </w:tr>
      <w:tr>
        <w:trPr>
          <w:trHeight w:val="217"/>
        </w:trPr>
        <w:tc>
          <w:tcPr>
            <w:tcW w:w="8180" w:type="dxa"/>
            <w:vAlign w:val="bottom"/>
            <w:shd w:val="clear" w:color="auto" w:fill="CCECFF"/>
          </w:tcPr>
          <w:p>
            <w:pPr>
              <w:ind w:left="20"/>
              <w:spacing w:after="0" w:line="216" w:lineRule="exact"/>
              <w:rPr>
                <w:sz w:val="20"/>
                <w:szCs w:val="20"/>
                <w:color w:val="auto"/>
              </w:rPr>
            </w:pPr>
            <w:r>
              <w:rPr>
                <w:rFonts w:ascii="Calibri" w:cs="Calibri" w:eastAsia="Calibri" w:hAnsi="Calibri"/>
                <w:sz w:val="18"/>
                <w:szCs w:val="18"/>
                <w:color w:val="auto"/>
              </w:rPr>
              <w:t>Liabilites for sales of future royaltes</w:t>
            </w:r>
          </w:p>
        </w:tc>
        <w:tc>
          <w:tcPr>
            <w:tcW w:w="300" w:type="dxa"/>
            <w:vAlign w:val="bottom"/>
            <w:shd w:val="clear" w:color="auto" w:fill="CCECFF"/>
          </w:tcPr>
          <w:p>
            <w:pPr>
              <w:spacing w:after="0"/>
              <w:rPr>
                <w:sz w:val="18"/>
                <w:szCs w:val="18"/>
                <w:color w:val="auto"/>
              </w:rPr>
            </w:pPr>
          </w:p>
        </w:tc>
        <w:tc>
          <w:tcPr>
            <w:tcW w:w="104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819,824</w:t>
            </w:r>
          </w:p>
        </w:tc>
        <w:tc>
          <w:tcPr>
            <w:tcW w:w="280" w:type="dxa"/>
            <w:vAlign w:val="bottom"/>
            <w:shd w:val="clear" w:color="auto" w:fill="CCECFF"/>
          </w:tcPr>
          <w:p>
            <w:pPr>
              <w:spacing w:after="0"/>
              <w:rPr>
                <w:sz w:val="18"/>
                <w:szCs w:val="18"/>
                <w:color w:val="auto"/>
              </w:rPr>
            </w:pPr>
          </w:p>
        </w:tc>
        <w:tc>
          <w:tcPr>
            <w:tcW w:w="42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862,325</w:t>
            </w:r>
          </w:p>
        </w:tc>
        <w:tc>
          <w:tcPr>
            <w:tcW w:w="100" w:type="dxa"/>
            <w:vAlign w:val="bottom"/>
            <w:shd w:val="clear" w:color="auto" w:fill="CCECFF"/>
          </w:tcPr>
          <w:p>
            <w:pPr>
              <w:spacing w:after="0"/>
              <w:rPr>
                <w:sz w:val="18"/>
                <w:szCs w:val="18"/>
                <w:color w:val="auto"/>
              </w:rPr>
            </w:pPr>
          </w:p>
        </w:tc>
      </w:tr>
      <w:tr>
        <w:trPr>
          <w:trHeight w:val="215"/>
        </w:trPr>
        <w:tc>
          <w:tcPr>
            <w:tcW w:w="8180" w:type="dxa"/>
            <w:vAlign w:val="bottom"/>
          </w:tcPr>
          <w:p>
            <w:pPr>
              <w:ind w:left="20"/>
              <w:spacing w:after="0" w:line="215" w:lineRule="exact"/>
              <w:rPr>
                <w:sz w:val="20"/>
                <w:szCs w:val="20"/>
                <w:color w:val="auto"/>
              </w:rPr>
            </w:pPr>
            <w:r>
              <w:rPr>
                <w:rFonts w:ascii="Calibri" w:cs="Calibri" w:eastAsia="Calibri" w:hAnsi="Calibri"/>
                <w:sz w:val="18"/>
                <w:szCs w:val="18"/>
                <w:color w:val="auto"/>
              </w:rPr>
              <w:t>Other liabilites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17,082</w:t>
            </w: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12,205</w:t>
            </w:r>
          </w:p>
        </w:tc>
        <w:tc>
          <w:tcPr>
            <w:tcW w:w="100" w:type="dxa"/>
            <w:vAlign w:val="bottom"/>
          </w:tcPr>
          <w:p>
            <w:pPr>
              <w:spacing w:after="0"/>
              <w:rPr>
                <w:sz w:val="18"/>
                <w:szCs w:val="18"/>
                <w:color w:val="auto"/>
              </w:rPr>
            </w:pPr>
          </w:p>
        </w:tc>
      </w:tr>
      <w:tr>
        <w:trPr>
          <w:trHeight w:val="209"/>
        </w:trPr>
        <w:tc>
          <w:tcPr>
            <w:tcW w:w="8180" w:type="dxa"/>
            <w:vAlign w:val="bottom"/>
            <w:tcBorders>
              <w:bottom w:val="single" w:sz="8" w:color="CCEEFF"/>
            </w:tcBorders>
            <w:shd w:val="clear" w:color="auto" w:fill="CCEEFF"/>
          </w:tcPr>
          <w:p>
            <w:pPr>
              <w:ind w:left="20"/>
              <w:spacing w:after="0" w:line="209" w:lineRule="exact"/>
              <w:rPr>
                <w:sz w:val="20"/>
                <w:szCs w:val="20"/>
                <w:color w:val="auto"/>
              </w:rPr>
            </w:pPr>
            <w:r>
              <w:rPr>
                <w:rFonts w:ascii="Calibri" w:cs="Calibri" w:eastAsia="Calibri" w:hAnsi="Calibri"/>
                <w:sz w:val="18"/>
                <w:szCs w:val="18"/>
                <w:color w:val="auto"/>
              </w:rPr>
              <w:t>Total liabilites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line="209" w:lineRule="exact"/>
              <w:rPr>
                <w:sz w:val="20"/>
                <w:szCs w:val="20"/>
                <w:color w:val="auto"/>
              </w:rPr>
            </w:pPr>
            <w:r>
              <w:rPr>
                <w:rFonts w:ascii="Calibri" w:cs="Calibri" w:eastAsia="Calibri" w:hAnsi="Calibri"/>
                <w:sz w:val="18"/>
                <w:szCs w:val="18"/>
                <w:color w:val="auto"/>
              </w:rPr>
              <w:t>1,241,159</w:t>
            </w:r>
          </w:p>
        </w:tc>
        <w:tc>
          <w:tcPr>
            <w:tcW w:w="2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line="209" w:lineRule="exact"/>
              <w:rPr>
                <w:sz w:val="20"/>
                <w:szCs w:val="20"/>
                <w:color w:val="auto"/>
              </w:rPr>
            </w:pPr>
            <w:r>
              <w:rPr>
                <w:rFonts w:ascii="Calibri" w:cs="Calibri" w:eastAsia="Calibri" w:hAnsi="Calibri"/>
                <w:sz w:val="18"/>
                <w:szCs w:val="18"/>
                <w:color w:val="auto"/>
              </w:rPr>
              <w:t>1,215,599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180" w:type="dxa"/>
            <w:vAlign w:val="bottom"/>
          </w:tcPr>
          <w:p>
            <w:pPr>
              <w:ind w:left="20"/>
              <w:spacing w:after="0" w:line="209" w:lineRule="exact"/>
              <w:rPr>
                <w:sz w:val="20"/>
                <w:szCs w:val="20"/>
                <w:color w:val="auto"/>
              </w:rPr>
            </w:pPr>
            <w:r>
              <w:rPr>
                <w:rFonts w:ascii="Calibri" w:cs="Calibri" w:eastAsia="Calibri" w:hAnsi="Calibri"/>
                <w:sz w:val="18"/>
                <w:szCs w:val="18"/>
                <w:color w:val="auto"/>
              </w:rPr>
              <w:t>Commitments and contngencies (Note 16)</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8180" w:type="dxa"/>
            <w:vAlign w:val="bottom"/>
            <w:shd w:val="clear" w:color="auto" w:fill="CCEEFF"/>
          </w:tcPr>
          <w:p>
            <w:pPr>
              <w:ind w:left="20"/>
              <w:spacing w:after="0" w:line="216" w:lineRule="exact"/>
              <w:rPr>
                <w:sz w:val="20"/>
                <w:szCs w:val="20"/>
                <w:color w:val="auto"/>
              </w:rPr>
            </w:pPr>
            <w:r>
              <w:rPr>
                <w:rFonts w:ascii="Calibri" w:cs="Calibri" w:eastAsia="Calibri" w:hAnsi="Calibri"/>
                <w:sz w:val="18"/>
                <w:szCs w:val="18"/>
                <w:color w:val="auto"/>
              </w:rPr>
              <w:t>Noncontrolling interest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7,000</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line="216" w:lineRule="exact"/>
              <w:rPr>
                <w:sz w:val="20"/>
                <w:szCs w:val="20"/>
                <w:color w:val="auto"/>
              </w:rPr>
            </w:pPr>
            <w:r>
              <w:rPr>
                <w:rFonts w:ascii="Calibri" w:cs="Calibri" w:eastAsia="Calibri" w:hAnsi="Calibri"/>
                <w:sz w:val="18"/>
                <w:szCs w:val="18"/>
                <w:color w:val="auto"/>
              </w:rPr>
              <w:t>—</w:t>
            </w:r>
          </w:p>
        </w:tc>
      </w:tr>
      <w:tr>
        <w:trPr>
          <w:trHeight w:val="215"/>
        </w:trPr>
        <w:tc>
          <w:tcPr>
            <w:tcW w:w="8180" w:type="dxa"/>
            <w:vAlign w:val="bottom"/>
          </w:tcPr>
          <w:p>
            <w:pPr>
              <w:ind w:left="20"/>
              <w:spacing w:after="0" w:line="215" w:lineRule="exact"/>
              <w:rPr>
                <w:sz w:val="20"/>
                <w:szCs w:val="20"/>
                <w:color w:val="auto"/>
              </w:rPr>
            </w:pPr>
            <w:r>
              <w:rPr>
                <w:rFonts w:ascii="Calibri" w:cs="Calibri" w:eastAsia="Calibri" w:hAnsi="Calibri"/>
                <w:sz w:val="18"/>
                <w:szCs w:val="18"/>
                <w:color w:val="auto"/>
              </w:rPr>
              <w:t>Stockholders’ equity:</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8180" w:type="dxa"/>
            <w:vAlign w:val="bottom"/>
            <w:shd w:val="clear" w:color="auto" w:fill="CCEEFF"/>
          </w:tcPr>
          <w:p>
            <w:pPr>
              <w:ind w:left="380"/>
              <w:spacing w:after="0" w:line="194" w:lineRule="exact"/>
              <w:rPr>
                <w:sz w:val="20"/>
                <w:szCs w:val="20"/>
                <w:color w:val="auto"/>
              </w:rPr>
            </w:pPr>
            <w:r>
              <w:rPr>
                <w:rFonts w:ascii="Calibri" w:cs="Calibri" w:eastAsia="Calibri" w:hAnsi="Calibri"/>
                <w:sz w:val="18"/>
                <w:szCs w:val="18"/>
                <w:color w:val="auto"/>
              </w:rPr>
              <w:t>Preferred stock, par value of $0.001 per share—25,000,000 shares authorized; nil</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8180" w:type="dxa"/>
            <w:vAlign w:val="bottom"/>
            <w:tcBorders>
              <w:bottom w:val="single" w:sz="8" w:color="CCEEFF"/>
            </w:tcBorders>
            <w:shd w:val="clear" w:color="auto" w:fill="CCEEFF"/>
          </w:tcPr>
          <w:p>
            <w:pPr>
              <w:ind w:left="500"/>
              <w:spacing w:after="0" w:line="215" w:lineRule="exact"/>
              <w:rPr>
                <w:sz w:val="20"/>
                <w:szCs w:val="20"/>
                <w:color w:val="auto"/>
              </w:rPr>
            </w:pPr>
            <w:r>
              <w:rPr>
                <w:rFonts w:ascii="Calibri" w:cs="Calibri" w:eastAsia="Calibri" w:hAnsi="Calibri"/>
                <w:sz w:val="18"/>
                <w:szCs w:val="18"/>
                <w:color w:val="auto"/>
              </w:rPr>
              <w:t>outstanding in 2024 and in 2023</w:t>
            </w:r>
          </w:p>
        </w:tc>
        <w:tc>
          <w:tcPr>
            <w:tcW w:w="3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300"/>
              <w:spacing w:after="0" w:line="215" w:lineRule="exact"/>
              <w:rPr>
                <w:sz w:val="20"/>
                <w:szCs w:val="20"/>
                <w:color w:val="auto"/>
              </w:rPr>
            </w:pPr>
            <w:r>
              <w:rPr>
                <w:rFonts w:ascii="Calibri" w:cs="Calibri" w:eastAsia="Calibri" w:hAnsi="Calibri"/>
                <w:sz w:val="18"/>
                <w:szCs w:val="18"/>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194"/>
        </w:trPr>
        <w:tc>
          <w:tcPr>
            <w:tcW w:w="8180" w:type="dxa"/>
            <w:vAlign w:val="bottom"/>
          </w:tcPr>
          <w:p>
            <w:pPr>
              <w:ind w:left="380"/>
              <w:spacing w:after="0" w:line="194" w:lineRule="exact"/>
              <w:rPr>
                <w:sz w:val="20"/>
                <w:szCs w:val="20"/>
                <w:color w:val="auto"/>
              </w:rPr>
            </w:pPr>
            <w:r>
              <w:rPr>
                <w:rFonts w:ascii="Calibri" w:cs="Calibri" w:eastAsia="Calibri" w:hAnsi="Calibri"/>
                <w:sz w:val="18"/>
                <w:szCs w:val="18"/>
                <w:color w:val="auto"/>
              </w:rPr>
              <w:t>Common stock, par value of $0.001 per share—250,000,000 shares authorized;</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8180" w:type="dxa"/>
            <w:vAlign w:val="bottom"/>
          </w:tcPr>
          <w:p>
            <w:pPr>
              <w:ind w:left="460"/>
              <w:spacing w:after="0" w:line="215" w:lineRule="exact"/>
              <w:rPr>
                <w:sz w:val="20"/>
                <w:szCs w:val="20"/>
                <w:color w:val="auto"/>
              </w:rPr>
            </w:pPr>
            <w:r>
              <w:rPr>
                <w:rFonts w:ascii="Calibri" w:cs="Calibri" w:eastAsia="Calibri" w:hAnsi="Calibri"/>
                <w:sz w:val="18"/>
                <w:szCs w:val="18"/>
                <w:color w:val="auto"/>
              </w:rPr>
              <w:t>outstanding—92,484,330 in 2024 and 82,315,590 in 2023</w:t>
            </w:r>
          </w:p>
        </w:tc>
        <w:tc>
          <w:tcPr>
            <w:tcW w:w="30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92</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82</w:t>
            </w:r>
          </w:p>
        </w:tc>
        <w:tc>
          <w:tcPr>
            <w:tcW w:w="100" w:type="dxa"/>
            <w:vAlign w:val="bottom"/>
          </w:tcPr>
          <w:p>
            <w:pPr>
              <w:spacing w:after="0"/>
              <w:rPr>
                <w:sz w:val="18"/>
                <w:szCs w:val="18"/>
                <w:color w:val="auto"/>
              </w:rPr>
            </w:pPr>
          </w:p>
        </w:tc>
      </w:tr>
      <w:tr>
        <w:trPr>
          <w:trHeight w:val="23"/>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180" w:type="dxa"/>
            <w:vAlign w:val="bottom"/>
            <w:shd w:val="clear" w:color="auto" w:fill="CCEEFF"/>
          </w:tcPr>
          <w:p>
            <w:pPr>
              <w:ind w:left="380"/>
              <w:spacing w:after="0" w:line="215" w:lineRule="exact"/>
              <w:rPr>
                <w:sz w:val="20"/>
                <w:szCs w:val="20"/>
                <w:color w:val="auto"/>
              </w:rPr>
            </w:pPr>
            <w:r>
              <w:rPr>
                <w:rFonts w:ascii="Calibri" w:cs="Calibri" w:eastAsia="Calibri" w:hAnsi="Calibri"/>
                <w:sz w:val="18"/>
                <w:szCs w:val="18"/>
                <w:color w:val="auto"/>
              </w:rPr>
              <w:t>Treasury stock, at cost, 69,757 in 2024 and 9,559 in 2023</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line="215" w:lineRule="exact"/>
              <w:rPr>
                <w:sz w:val="20"/>
                <w:szCs w:val="20"/>
                <w:color w:val="auto"/>
              </w:rPr>
            </w:pPr>
            <w:r>
              <w:rPr>
                <w:rFonts w:ascii="Calibri" w:cs="Calibri" w:eastAsia="Calibri" w:hAnsi="Calibri"/>
                <w:sz w:val="18"/>
                <w:szCs w:val="18"/>
                <w:color w:val="auto"/>
              </w:rPr>
              <w:t>(3,593 )</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5" w:lineRule="exact"/>
              <w:rPr>
                <w:sz w:val="20"/>
                <w:szCs w:val="20"/>
                <w:color w:val="auto"/>
              </w:rPr>
            </w:pPr>
            <w:r>
              <w:rPr>
                <w:rFonts w:ascii="Calibri" w:cs="Calibri" w:eastAsia="Calibri" w:hAnsi="Calibri"/>
                <w:sz w:val="18"/>
                <w:szCs w:val="18"/>
                <w:color w:val="auto"/>
              </w:rPr>
              <w:t>(432 )</w:t>
            </w:r>
          </w:p>
        </w:tc>
      </w:tr>
      <w:tr>
        <w:trPr>
          <w:trHeight w:val="215"/>
        </w:trPr>
        <w:tc>
          <w:tcPr>
            <w:tcW w:w="8180" w:type="dxa"/>
            <w:vAlign w:val="bottom"/>
          </w:tcPr>
          <w:p>
            <w:pPr>
              <w:ind w:left="380"/>
              <w:spacing w:after="0" w:line="215" w:lineRule="exact"/>
              <w:rPr>
                <w:sz w:val="20"/>
                <w:szCs w:val="20"/>
                <w:color w:val="auto"/>
              </w:rPr>
            </w:pPr>
            <w:r>
              <w:rPr>
                <w:rFonts w:ascii="Calibri" w:cs="Calibri" w:eastAsia="Calibri" w:hAnsi="Calibri"/>
                <w:sz w:val="18"/>
                <w:szCs w:val="18"/>
                <w:color w:val="auto"/>
              </w:rPr>
              <w:t>Deferred compensaton obligaton</w:t>
            </w:r>
          </w:p>
        </w:tc>
        <w:tc>
          <w:tcPr>
            <w:tcW w:w="300" w:type="dxa"/>
            <w:vAlign w:val="bottom"/>
          </w:tcPr>
          <w:p>
            <w:pPr>
              <w:spacing w:after="0"/>
              <w:rPr>
                <w:sz w:val="18"/>
                <w:szCs w:val="18"/>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3,593</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432</w:t>
            </w:r>
          </w:p>
        </w:tc>
        <w:tc>
          <w:tcPr>
            <w:tcW w:w="100" w:type="dxa"/>
            <w:vAlign w:val="bottom"/>
          </w:tcPr>
          <w:p>
            <w:pPr>
              <w:spacing w:after="0"/>
              <w:rPr>
                <w:sz w:val="18"/>
                <w:szCs w:val="18"/>
                <w:color w:val="auto"/>
              </w:rPr>
            </w:pPr>
          </w:p>
        </w:tc>
      </w:tr>
      <w:tr>
        <w:trPr>
          <w:trHeight w:val="217"/>
        </w:trPr>
        <w:tc>
          <w:tcPr>
            <w:tcW w:w="8180" w:type="dxa"/>
            <w:vAlign w:val="bottom"/>
            <w:shd w:val="clear" w:color="auto" w:fill="CCEEFF"/>
          </w:tcPr>
          <w:p>
            <w:pPr>
              <w:ind w:left="380"/>
              <w:spacing w:after="0" w:line="216" w:lineRule="exact"/>
              <w:rPr>
                <w:sz w:val="20"/>
                <w:szCs w:val="20"/>
                <w:color w:val="auto"/>
              </w:rPr>
            </w:pPr>
            <w:r>
              <w:rPr>
                <w:rFonts w:ascii="Calibri" w:cs="Calibri" w:eastAsia="Calibri" w:hAnsi="Calibri"/>
                <w:sz w:val="18"/>
                <w:szCs w:val="18"/>
                <w:color w:val="auto"/>
              </w:rPr>
              <w:t>Additonal paid-in capital</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4,212,692</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3,662,346</w:t>
            </w:r>
          </w:p>
        </w:tc>
        <w:tc>
          <w:tcPr>
            <w:tcW w:w="100" w:type="dxa"/>
            <w:vAlign w:val="bottom"/>
            <w:shd w:val="clear" w:color="auto" w:fill="CCEEFF"/>
          </w:tcPr>
          <w:p>
            <w:pPr>
              <w:spacing w:after="0"/>
              <w:rPr>
                <w:sz w:val="18"/>
                <w:szCs w:val="18"/>
                <w:color w:val="auto"/>
              </w:rPr>
            </w:pPr>
          </w:p>
        </w:tc>
      </w:tr>
      <w:tr>
        <w:trPr>
          <w:trHeight w:val="215"/>
        </w:trPr>
        <w:tc>
          <w:tcPr>
            <w:tcW w:w="8180" w:type="dxa"/>
            <w:vAlign w:val="bottom"/>
          </w:tcPr>
          <w:p>
            <w:pPr>
              <w:ind w:left="380"/>
              <w:spacing w:after="0" w:line="215" w:lineRule="exact"/>
              <w:rPr>
                <w:sz w:val="20"/>
                <w:szCs w:val="20"/>
                <w:color w:val="auto"/>
              </w:rPr>
            </w:pPr>
            <w:r>
              <w:rPr>
                <w:rFonts w:ascii="Calibri" w:cs="Calibri" w:eastAsia="Calibri" w:hAnsi="Calibri"/>
                <w:sz w:val="18"/>
                <w:szCs w:val="18"/>
                <w:color w:val="auto"/>
              </w:rPr>
              <w:t>Accumulated other comprehensive (loss) income</w:t>
            </w:r>
          </w:p>
        </w:tc>
        <w:tc>
          <w:tcPr>
            <w:tcW w:w="300" w:type="dxa"/>
            <w:vAlign w:val="bottom"/>
          </w:tcPr>
          <w:p>
            <w:pPr>
              <w:spacing w:after="0"/>
              <w:rPr>
                <w:sz w:val="18"/>
                <w:szCs w:val="18"/>
                <w:color w:val="auto"/>
              </w:rPr>
            </w:pPr>
          </w:p>
        </w:tc>
        <w:tc>
          <w:tcPr>
            <w:tcW w:w="132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(643 )</w:t>
            </w:r>
          </w:p>
        </w:tc>
        <w:tc>
          <w:tcPr>
            <w:tcW w:w="42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647</w:t>
            </w:r>
          </w:p>
        </w:tc>
        <w:tc>
          <w:tcPr>
            <w:tcW w:w="100" w:type="dxa"/>
            <w:vAlign w:val="bottom"/>
          </w:tcPr>
          <w:p>
            <w:pPr>
              <w:spacing w:after="0"/>
              <w:rPr>
                <w:sz w:val="18"/>
                <w:szCs w:val="18"/>
                <w:color w:val="auto"/>
              </w:rPr>
            </w:pPr>
          </w:p>
        </w:tc>
      </w:tr>
      <w:tr>
        <w:trPr>
          <w:trHeight w:val="216"/>
        </w:trPr>
        <w:tc>
          <w:tcPr>
            <w:tcW w:w="8180" w:type="dxa"/>
            <w:vAlign w:val="bottom"/>
            <w:shd w:val="clear" w:color="auto" w:fill="CCEEFF"/>
          </w:tcPr>
          <w:p>
            <w:pPr>
              <w:ind w:left="380"/>
              <w:spacing w:after="0" w:line="216" w:lineRule="exact"/>
              <w:rPr>
                <w:sz w:val="20"/>
                <w:szCs w:val="20"/>
                <w:color w:val="auto"/>
              </w:rPr>
            </w:pPr>
            <w:r>
              <w:rPr>
                <w:rFonts w:ascii="Calibri" w:cs="Calibri" w:eastAsia="Calibri" w:hAnsi="Calibri"/>
                <w:sz w:val="18"/>
                <w:szCs w:val="18"/>
                <w:color w:val="auto"/>
              </w:rPr>
              <w:t>Accumulated defcit</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line="216" w:lineRule="exact"/>
              <w:rPr>
                <w:sz w:val="20"/>
                <w:szCs w:val="20"/>
                <w:color w:val="auto"/>
              </w:rPr>
            </w:pPr>
            <w:r>
              <w:rPr>
                <w:rFonts w:ascii="Calibri" w:cs="Calibri" w:eastAsia="Calibri" w:hAnsi="Calibri"/>
                <w:sz w:val="18"/>
                <w:szCs w:val="18"/>
                <w:color w:val="auto"/>
              </w:rPr>
              <w:t>(3,956,844 )</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6" w:lineRule="exact"/>
              <w:rPr>
                <w:sz w:val="20"/>
                <w:szCs w:val="20"/>
                <w:color w:val="auto"/>
              </w:rPr>
            </w:pPr>
            <w:r>
              <w:rPr>
                <w:rFonts w:ascii="Calibri" w:cs="Calibri" w:eastAsia="Calibri" w:hAnsi="Calibri"/>
                <w:sz w:val="18"/>
                <w:szCs w:val="18"/>
                <w:color w:val="auto"/>
              </w:rPr>
              <w:t>(3,387,661 )</w:t>
            </w:r>
          </w:p>
        </w:tc>
      </w:tr>
      <w:tr>
        <w:trPr>
          <w:trHeight w:val="210"/>
        </w:trPr>
        <w:tc>
          <w:tcPr>
            <w:tcW w:w="8180" w:type="dxa"/>
            <w:vAlign w:val="bottom"/>
            <w:tcBorders>
              <w:top w:val="single" w:sz="8" w:color="CCEEFF"/>
            </w:tcBorders>
          </w:tcPr>
          <w:p>
            <w:pPr>
              <w:ind w:left="20"/>
              <w:spacing w:after="0" w:line="209" w:lineRule="exact"/>
              <w:rPr>
                <w:sz w:val="20"/>
                <w:szCs w:val="20"/>
                <w:color w:val="auto"/>
              </w:rPr>
            </w:pPr>
            <w:r>
              <w:rPr>
                <w:rFonts w:ascii="Calibri" w:cs="Calibri" w:eastAsia="Calibri" w:hAnsi="Calibri"/>
                <w:sz w:val="18"/>
                <w:szCs w:val="18"/>
                <w:color w:val="auto"/>
              </w:rPr>
              <w:t>Total stockholders’ equity</w:t>
            </w: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255,297</w:t>
            </w: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275,414</w:t>
            </w:r>
          </w:p>
        </w:tc>
        <w:tc>
          <w:tcPr>
            <w:tcW w:w="100" w:type="dxa"/>
            <w:vAlign w:val="bottom"/>
            <w:tcBorders>
              <w:top w:val="single" w:sz="8" w:color="CCEEFF"/>
            </w:tcBorders>
          </w:tcPr>
          <w:p>
            <w:pPr>
              <w:spacing w:after="0"/>
              <w:rPr>
                <w:sz w:val="18"/>
                <w:szCs w:val="18"/>
                <w:color w:val="auto"/>
              </w:rPr>
            </w:pPr>
          </w:p>
        </w:tc>
      </w:tr>
      <w:tr>
        <w:trPr>
          <w:trHeight w:val="250"/>
        </w:trPr>
        <w:tc>
          <w:tcPr>
            <w:tcW w:w="8180" w:type="dxa"/>
            <w:vAlign w:val="bottom"/>
            <w:tcBorders>
              <w:bottom w:val="single" w:sz="8" w:color="CCEEFF"/>
            </w:tcBorders>
            <w:shd w:val="clear" w:color="auto" w:fill="CCEEFF"/>
          </w:tcPr>
          <w:p>
            <w:pPr>
              <w:ind w:left="20"/>
              <w:spacing w:after="0" w:line="209" w:lineRule="exact"/>
              <w:rPr>
                <w:sz w:val="20"/>
                <w:szCs w:val="20"/>
                <w:color w:val="auto"/>
              </w:rPr>
            </w:pPr>
            <w:r>
              <w:rPr>
                <w:rFonts w:ascii="Calibri" w:cs="Calibri" w:eastAsia="Calibri" w:hAnsi="Calibri"/>
                <w:sz w:val="18"/>
                <w:szCs w:val="18"/>
                <w:color w:val="auto"/>
              </w:rPr>
              <w:t>Total liabilites, noncontrolling interest and stockholders’ equity</w:t>
            </w:r>
          </w:p>
        </w:tc>
        <w:tc>
          <w:tcPr>
            <w:tcW w:w="300" w:type="dxa"/>
            <w:vAlign w:val="bottom"/>
            <w:tcBorders>
              <w:bottom w:val="single" w:sz="8" w:color="auto"/>
            </w:tcBorders>
            <w:shd w:val="clear" w:color="auto" w:fill="CCEEFF"/>
          </w:tcPr>
          <w:p>
            <w:pPr>
              <w:jc w:val="right"/>
              <w:ind w:right="90"/>
              <w:spacing w:after="0" w:line="209" w:lineRule="exact"/>
              <w:rPr>
                <w:sz w:val="20"/>
                <w:szCs w:val="20"/>
                <w:color w:val="auto"/>
              </w:rPr>
            </w:pPr>
            <w:r>
              <w:rPr>
                <w:rFonts w:ascii="Calibri" w:cs="Calibri" w:eastAsia="Calibri" w:hAnsi="Calibri"/>
                <w:sz w:val="18"/>
                <w:szCs w:val="18"/>
                <w:color w:val="auto"/>
              </w:rPr>
              <w:t>$</w:t>
            </w:r>
          </w:p>
        </w:tc>
        <w:tc>
          <w:tcPr>
            <w:tcW w:w="1040" w:type="dxa"/>
            <w:vAlign w:val="bottom"/>
            <w:tcBorders>
              <w:bottom w:val="single" w:sz="8" w:color="auto"/>
            </w:tcBorders>
            <w:shd w:val="clear" w:color="auto" w:fill="CCEEFF"/>
          </w:tcPr>
          <w:p>
            <w:pPr>
              <w:jc w:val="right"/>
              <w:spacing w:after="0" w:line="209" w:lineRule="exact"/>
              <w:rPr>
                <w:sz w:val="20"/>
                <w:szCs w:val="20"/>
                <w:color w:val="auto"/>
              </w:rPr>
            </w:pPr>
            <w:r>
              <w:rPr>
                <w:rFonts w:ascii="Calibri" w:cs="Calibri" w:eastAsia="Calibri" w:hAnsi="Calibri"/>
                <w:sz w:val="18"/>
                <w:szCs w:val="18"/>
                <w:color w:val="auto"/>
              </w:rPr>
              <w:t>1,503,456</w:t>
            </w:r>
          </w:p>
        </w:tc>
        <w:tc>
          <w:tcPr>
            <w:tcW w:w="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line="209" w:lineRule="exact"/>
              <w:rPr>
                <w:sz w:val="20"/>
                <w:szCs w:val="20"/>
                <w:color w:val="auto"/>
              </w:rPr>
            </w:pPr>
            <w:r>
              <w:rPr>
                <w:rFonts w:ascii="Calibri" w:cs="Calibri" w:eastAsia="Calibri" w:hAnsi="Calibri"/>
                <w:sz w:val="18"/>
                <w:szCs w:val="18"/>
                <w:color w:val="auto"/>
              </w:rPr>
              <w:t>$</w:t>
            </w:r>
          </w:p>
        </w:tc>
        <w:tc>
          <w:tcPr>
            <w:tcW w:w="920" w:type="dxa"/>
            <w:vAlign w:val="bottom"/>
            <w:tcBorders>
              <w:bottom w:val="single" w:sz="8" w:color="auto"/>
            </w:tcBorders>
            <w:shd w:val="clear" w:color="auto" w:fill="CCEEFF"/>
          </w:tcPr>
          <w:p>
            <w:pPr>
              <w:jc w:val="right"/>
              <w:spacing w:after="0" w:line="209" w:lineRule="exact"/>
              <w:rPr>
                <w:sz w:val="20"/>
                <w:szCs w:val="20"/>
                <w:color w:val="auto"/>
              </w:rPr>
            </w:pPr>
            <w:r>
              <w:rPr>
                <w:rFonts w:ascii="Calibri" w:cs="Calibri" w:eastAsia="Calibri" w:hAnsi="Calibri"/>
                <w:sz w:val="18"/>
                <w:szCs w:val="18"/>
                <w:color w:val="auto"/>
              </w:rPr>
              <w:t>1,491,013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-5459730</wp:posOffset>
            </wp:positionV>
            <wp:extent cx="7132320"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-4773930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-4773930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-3942715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-3942715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-2811145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-2811145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-1971040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-1971040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-316865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See accompanying notes.</w:t>
      </w:r>
    </w:p>
    <w:p>
      <w:pPr>
        <w:spacing w:after="0" w:line="108" w:lineRule="exact"/>
        <w:rPr>
          <w:sz w:val="20"/>
          <w:szCs w:val="20"/>
          <w:color w:val="auto"/>
        </w:rPr>
      </w:pPr>
    </w:p>
    <w:p>
      <w:pPr>
        <w:ind w:left="1020" w:right="120" w:hanging="503"/>
        <w:spacing w:after="0" w:line="247" w:lineRule="auto"/>
        <w:tabs>
          <w:tab w:leader="none" w:pos="1020" w:val="left"/>
        </w:tabs>
        <w:numPr>
          <w:ilvl w:val="0"/>
          <w:numId w:val="39"/>
        </w:numPr>
        <w:rPr>
          <w:rFonts w:ascii="Calibri" w:cs="Calibri" w:eastAsia="Calibri" w:hAnsi="Calibri"/>
          <w:sz w:val="15"/>
          <w:szCs w:val="15"/>
          <w:color w:val="auto"/>
        </w:rPr>
      </w:pPr>
      <w:r>
        <w:rPr>
          <w:rFonts w:ascii="Calibri" w:cs="Calibri" w:eastAsia="Calibri" w:hAnsi="Calibri"/>
          <w:sz w:val="15"/>
          <w:szCs w:val="15"/>
          <w:color w:val="auto"/>
        </w:rPr>
        <w:t>The Company's Consolidated Balance Sheet as of December 31, 2024 includes $13.5 million in cash and cash equivalents that can be used only to setle obligatons of the consolidated variable interest entty. See "Note 7. Investment in Amlogenyx Inc."</w:t>
      </w:r>
    </w:p>
    <w:p>
      <w:pPr>
        <w:spacing w:after="0" w:line="21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20"/>
        </w:trPr>
        <w:tc>
          <w:tcPr>
            <w:tcW w:w="3340" w:type="dxa"/>
            <w:vAlign w:val="bottom"/>
          </w:tcPr>
          <w:p>
            <w:pPr>
              <w:spacing w:after="0"/>
              <w:rPr>
                <w:sz w:val="19"/>
                <w:szCs w:val="19"/>
                <w:color w:val="auto"/>
              </w:rPr>
            </w:pPr>
          </w:p>
        </w:tc>
        <w:tc>
          <w:tcPr>
            <w:tcW w:w="4060" w:type="dxa"/>
            <w:vAlign w:val="bottom"/>
            <w:gridSpan w:val="3"/>
          </w:tcPr>
          <w:p>
            <w:pPr>
              <w:jc w:val="center"/>
              <w:ind w:left="430"/>
              <w:spacing w:after="0"/>
              <w:rPr>
                <w:sz w:val="20"/>
                <w:szCs w:val="20"/>
                <w:color w:val="auto"/>
              </w:rPr>
            </w:pPr>
            <w:r>
              <w:rPr>
                <w:rFonts w:ascii="Calibri" w:cs="Calibri" w:eastAsia="Calibri" w:hAnsi="Calibri"/>
                <w:sz w:val="18"/>
                <w:szCs w:val="18"/>
                <w:b w:val="1"/>
                <w:bCs w:val="1"/>
                <w:color w:val="auto"/>
                <w:w w:val="97"/>
              </w:rPr>
              <w:t>ULTRAGENYX PHARMACEUTICAL INC.</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7"/>
        </w:trPr>
        <w:tc>
          <w:tcPr>
            <w:tcW w:w="3340" w:type="dxa"/>
            <w:vAlign w:val="bottom"/>
          </w:tcPr>
          <w:p>
            <w:pPr>
              <w:spacing w:after="0"/>
              <w:rPr>
                <w:sz w:val="24"/>
                <w:szCs w:val="24"/>
                <w:color w:val="auto"/>
              </w:rPr>
            </w:pPr>
          </w:p>
        </w:tc>
        <w:tc>
          <w:tcPr>
            <w:tcW w:w="4060" w:type="dxa"/>
            <w:vAlign w:val="bottom"/>
            <w:gridSpan w:val="3"/>
          </w:tcPr>
          <w:p>
            <w:pPr>
              <w:jc w:val="center"/>
              <w:ind w:left="370"/>
              <w:spacing w:after="0"/>
              <w:rPr>
                <w:sz w:val="20"/>
                <w:szCs w:val="20"/>
                <w:color w:val="auto"/>
              </w:rPr>
            </w:pPr>
            <w:r>
              <w:rPr>
                <w:rFonts w:ascii="Calibri" w:cs="Calibri" w:eastAsia="Calibri" w:hAnsi="Calibri"/>
                <w:sz w:val="18"/>
                <w:szCs w:val="18"/>
                <w:b w:val="1"/>
                <w:bCs w:val="1"/>
                <w:color w:val="auto"/>
                <w:w w:val="97"/>
              </w:rPr>
              <w:t>CONSOLIDATED STATEMENTS OF OPERATIONS</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340" w:type="dxa"/>
            <w:vAlign w:val="bottom"/>
          </w:tcPr>
          <w:p>
            <w:pPr>
              <w:spacing w:after="0"/>
              <w:rPr>
                <w:sz w:val="18"/>
                <w:szCs w:val="18"/>
                <w:color w:val="auto"/>
              </w:rPr>
            </w:pPr>
          </w:p>
        </w:tc>
        <w:tc>
          <w:tcPr>
            <w:tcW w:w="5260" w:type="dxa"/>
            <w:vAlign w:val="bottom"/>
            <w:gridSpan w:val="5"/>
          </w:tcPr>
          <w:p>
            <w:pPr>
              <w:jc w:val="center"/>
              <w:ind w:right="680"/>
              <w:spacing w:after="0" w:line="216" w:lineRule="exact"/>
              <w:rPr>
                <w:sz w:val="20"/>
                <w:szCs w:val="20"/>
                <w:color w:val="auto"/>
              </w:rPr>
            </w:pPr>
            <w:r>
              <w:rPr>
                <w:rFonts w:ascii="Calibri" w:cs="Calibri" w:eastAsia="Calibri" w:hAnsi="Calibri"/>
                <w:sz w:val="18"/>
                <w:szCs w:val="18"/>
                <w:b w:val="1"/>
                <w:bCs w:val="1"/>
                <w:color w:val="auto"/>
                <w:w w:val="97"/>
              </w:rPr>
              <w:t>(In thousands, except share and per share amounts)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24"/>
        </w:trPr>
        <w:tc>
          <w:tcPr>
            <w:tcW w:w="33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0" w:type="dxa"/>
            <w:vAlign w:val="bottom"/>
            <w:gridSpan w:val="7"/>
          </w:tcPr>
          <w:p>
            <w:pPr>
              <w:jc w:val="right"/>
              <w:ind w:right="37"/>
              <w:spacing w:after="0"/>
              <w:rPr>
                <w:sz w:val="20"/>
                <w:szCs w:val="20"/>
                <w:color w:val="auto"/>
              </w:rPr>
            </w:pPr>
            <w:r>
              <w:rPr>
                <w:rFonts w:ascii="Calibri" w:cs="Calibri" w:eastAsia="Calibri" w:hAnsi="Calibri"/>
                <w:sz w:val="18"/>
                <w:szCs w:val="18"/>
                <w:b w:val="1"/>
                <w:bCs w:val="1"/>
                <w:color w:val="auto"/>
              </w:rPr>
              <w:t>Year Ended December 31,</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
        </w:trPr>
        <w:tc>
          <w:tcPr>
            <w:tcW w:w="33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1"/>
              <w:spacing w:after="0" w:line="209" w:lineRule="exact"/>
              <w:rPr>
                <w:sz w:val="20"/>
                <w:szCs w:val="20"/>
                <w:color w:val="auto"/>
              </w:rPr>
            </w:pPr>
            <w:r>
              <w:rPr>
                <w:rFonts w:ascii="Calibri" w:cs="Calibri" w:eastAsia="Calibri" w:hAnsi="Calibri"/>
                <w:sz w:val="18"/>
                <w:szCs w:val="18"/>
                <w:b w:val="1"/>
                <w:bCs w:val="1"/>
                <w:color w:val="auto"/>
              </w:rPr>
              <w:t>2024</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line="209"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line="209" w:lineRule="exact"/>
              <w:rPr>
                <w:sz w:val="20"/>
                <w:szCs w:val="20"/>
                <w:color w:val="auto"/>
              </w:rPr>
            </w:pPr>
            <w:r>
              <w:rPr>
                <w:rFonts w:ascii="Calibri" w:cs="Calibri" w:eastAsia="Calibri" w:hAnsi="Calibri"/>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3340" w:type="dxa"/>
            <w:vAlign w:val="bottom"/>
            <w:shd w:val="clear" w:color="auto" w:fill="CCECFF"/>
          </w:tcPr>
          <w:p>
            <w:pPr>
              <w:ind w:left="20"/>
              <w:spacing w:after="0" w:line="210" w:lineRule="exact"/>
              <w:rPr>
                <w:sz w:val="20"/>
                <w:szCs w:val="20"/>
                <w:color w:val="auto"/>
              </w:rPr>
            </w:pPr>
            <w:r>
              <w:rPr>
                <w:rFonts w:ascii="Calibri" w:cs="Calibri" w:eastAsia="Calibri" w:hAnsi="Calibri"/>
                <w:sz w:val="18"/>
                <w:szCs w:val="18"/>
                <w:color w:val="auto"/>
              </w:rPr>
              <w:t>Revenues:</w:t>
            </w:r>
          </w:p>
        </w:tc>
        <w:tc>
          <w:tcPr>
            <w:tcW w:w="380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940" w:type="dxa"/>
            <w:vAlign w:val="bottom"/>
            <w:tcBorders>
              <w:right w:val="single" w:sz="8" w:color="CCECFF"/>
            </w:tcBorders>
            <w:shd w:val="clear" w:color="auto" w:fill="CCECFF"/>
          </w:tcPr>
          <w:p>
            <w:pPr>
              <w:spacing w:after="0"/>
              <w:rPr>
                <w:sz w:val="18"/>
                <w:szCs w:val="18"/>
                <w:color w:val="auto"/>
              </w:rPr>
            </w:pPr>
          </w:p>
        </w:tc>
        <w:tc>
          <w:tcPr>
            <w:tcW w:w="260" w:type="dxa"/>
            <w:vAlign w:val="bottom"/>
            <w:tcBorders>
              <w:left w:val="single" w:sz="8" w:color="CCECFF"/>
              <w:right w:val="single" w:sz="8" w:color="CCECFF"/>
            </w:tcBorders>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80" w:type="dxa"/>
            <w:vAlign w:val="bottom"/>
            <w:tcBorders>
              <w:right w:val="single" w:sz="8" w:color="CCECFF"/>
            </w:tcBorders>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9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5"/>
        </w:trPr>
        <w:tc>
          <w:tcPr>
            <w:tcW w:w="3340" w:type="dxa"/>
            <w:vAlign w:val="bottom"/>
          </w:tcPr>
          <w:p>
            <w:pPr>
              <w:ind w:left="200"/>
              <w:spacing w:after="0" w:line="215" w:lineRule="exact"/>
              <w:rPr>
                <w:sz w:val="20"/>
                <w:szCs w:val="20"/>
                <w:color w:val="auto"/>
              </w:rPr>
            </w:pPr>
            <w:r>
              <w:rPr>
                <w:rFonts w:ascii="Calibri" w:cs="Calibri" w:eastAsia="Calibri" w:hAnsi="Calibri"/>
                <w:sz w:val="18"/>
                <w:szCs w:val="18"/>
                <w:color w:val="auto"/>
              </w:rPr>
              <w:t>Product sales</w:t>
            </w:r>
          </w:p>
        </w:tc>
        <w:tc>
          <w:tcPr>
            <w:tcW w:w="4060" w:type="dxa"/>
            <w:vAlign w:val="bottom"/>
            <w:gridSpan w:val="3"/>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285,415</w:t>
            </w:r>
          </w:p>
        </w:tc>
        <w:tc>
          <w:tcPr>
            <w:tcW w:w="260" w:type="dxa"/>
            <w:vAlign w:val="bottom"/>
          </w:tcPr>
          <w:p>
            <w:pPr>
              <w:spacing w:after="0"/>
              <w:rPr>
                <w:sz w:val="18"/>
                <w:szCs w:val="18"/>
                <w:color w:val="auto"/>
              </w:rPr>
            </w:pPr>
          </w:p>
        </w:tc>
        <w:tc>
          <w:tcPr>
            <w:tcW w:w="200" w:type="dxa"/>
            <w:vAlign w:val="bottom"/>
          </w:tcPr>
          <w:p>
            <w:pPr>
              <w:jc w:val="right"/>
              <w:ind w:right="37"/>
              <w:spacing w:after="0"/>
              <w:rPr>
                <w:sz w:val="20"/>
                <w:szCs w:val="20"/>
                <w:color w:val="auto"/>
              </w:rPr>
            </w:pPr>
            <w:r>
              <w:rPr>
                <w:rFonts w:ascii="Calibri" w:cs="Calibri" w:eastAsia="Calibri" w:hAnsi="Calibri"/>
                <w:sz w:val="16"/>
                <w:szCs w:val="16"/>
                <w:color w:val="auto"/>
                <w:w w:val="73"/>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180,413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jc w:val="right"/>
              <w:ind w:right="37"/>
              <w:spacing w:after="0"/>
              <w:rPr>
                <w:sz w:val="20"/>
                <w:szCs w:val="20"/>
                <w:color w:val="auto"/>
              </w:rPr>
            </w:pPr>
            <w:r>
              <w:rPr>
                <w:rFonts w:ascii="Calibri" w:cs="Calibri" w:eastAsia="Calibri" w:hAnsi="Calibri"/>
                <w:sz w:val="16"/>
                <w:szCs w:val="16"/>
                <w:color w:val="auto"/>
                <w:w w:val="73"/>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118,927</w:t>
            </w:r>
          </w:p>
        </w:tc>
        <w:tc>
          <w:tcPr>
            <w:tcW w:w="100" w:type="dxa"/>
            <w:vAlign w:val="bottom"/>
          </w:tcPr>
          <w:p>
            <w:pPr>
              <w:spacing w:after="0"/>
              <w:rPr>
                <w:sz w:val="18"/>
                <w:szCs w:val="18"/>
                <w:color w:val="auto"/>
              </w:rPr>
            </w:pPr>
          </w:p>
        </w:tc>
      </w:tr>
      <w:tr>
        <w:trPr>
          <w:trHeight w:val="217"/>
        </w:trPr>
        <w:tc>
          <w:tcPr>
            <w:tcW w:w="3340" w:type="dxa"/>
            <w:vAlign w:val="bottom"/>
            <w:shd w:val="clear" w:color="auto" w:fill="CCECFF"/>
          </w:tcPr>
          <w:p>
            <w:pPr>
              <w:ind w:left="200"/>
              <w:spacing w:after="0" w:line="216" w:lineRule="exact"/>
              <w:rPr>
                <w:sz w:val="20"/>
                <w:szCs w:val="20"/>
                <w:color w:val="auto"/>
              </w:rPr>
            </w:pPr>
            <w:r>
              <w:rPr>
                <w:rFonts w:ascii="Calibri" w:cs="Calibri" w:eastAsia="Calibri" w:hAnsi="Calibri"/>
                <w:sz w:val="18"/>
                <w:szCs w:val="18"/>
                <w:color w:val="auto"/>
              </w:rPr>
              <w:t>Royalty revenue</w:t>
            </w:r>
          </w:p>
        </w:tc>
        <w:tc>
          <w:tcPr>
            <w:tcW w:w="3800" w:type="dxa"/>
            <w:vAlign w:val="bottom"/>
            <w:shd w:val="clear" w:color="auto" w:fill="CCEC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274,815</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182,652</w:t>
            </w:r>
          </w:p>
        </w:tc>
        <w:tc>
          <w:tcPr>
            <w:tcW w:w="1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21,692</w:t>
            </w:r>
          </w:p>
        </w:tc>
        <w:tc>
          <w:tcPr>
            <w:tcW w:w="100" w:type="dxa"/>
            <w:vAlign w:val="bottom"/>
            <w:shd w:val="clear" w:color="auto" w:fill="CCEEFF"/>
          </w:tcPr>
          <w:p>
            <w:pPr>
              <w:spacing w:after="0"/>
              <w:rPr>
                <w:sz w:val="18"/>
                <w:szCs w:val="18"/>
                <w:color w:val="auto"/>
              </w:rPr>
            </w:pPr>
          </w:p>
        </w:tc>
      </w:tr>
      <w:tr>
        <w:trPr>
          <w:trHeight w:val="215"/>
        </w:trPr>
        <w:tc>
          <w:tcPr>
            <w:tcW w:w="3340" w:type="dxa"/>
            <w:vAlign w:val="bottom"/>
          </w:tcPr>
          <w:p>
            <w:pPr>
              <w:ind w:left="200"/>
              <w:spacing w:after="0" w:line="215" w:lineRule="exact"/>
              <w:rPr>
                <w:sz w:val="20"/>
                <w:szCs w:val="20"/>
                <w:color w:val="auto"/>
              </w:rPr>
            </w:pPr>
            <w:r>
              <w:rPr>
                <w:rFonts w:ascii="Calibri" w:cs="Calibri" w:eastAsia="Calibri" w:hAnsi="Calibri"/>
                <w:sz w:val="18"/>
                <w:szCs w:val="18"/>
                <w:color w:val="auto"/>
              </w:rPr>
              <w:t>Collaboraton and license</w:t>
            </w:r>
          </w:p>
        </w:tc>
        <w:tc>
          <w:tcPr>
            <w:tcW w:w="3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Calibri" w:cs="Calibri" w:eastAsia="Calibri" w:hAnsi="Calibri"/>
                <w:sz w:val="14"/>
                <w:szCs w:val="14"/>
                <w:color w:val="auto"/>
              </w:rPr>
              <w:t>—</w:t>
            </w:r>
          </w:p>
        </w:tc>
        <w:tc>
          <w:tcPr>
            <w:tcW w:w="20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71,184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222,710</w:t>
            </w:r>
          </w:p>
        </w:tc>
        <w:tc>
          <w:tcPr>
            <w:tcW w:w="100" w:type="dxa"/>
            <w:vAlign w:val="bottom"/>
          </w:tcPr>
          <w:p>
            <w:pPr>
              <w:spacing w:after="0"/>
              <w:rPr>
                <w:sz w:val="18"/>
                <w:szCs w:val="18"/>
                <w:color w:val="auto"/>
              </w:rPr>
            </w:pPr>
          </w:p>
        </w:tc>
      </w:tr>
      <w:tr>
        <w:trPr>
          <w:trHeight w:val="210"/>
        </w:trPr>
        <w:tc>
          <w:tcPr>
            <w:tcW w:w="3340" w:type="dxa"/>
            <w:vAlign w:val="bottom"/>
            <w:shd w:val="clear" w:color="auto" w:fill="CCEEFF"/>
          </w:tcPr>
          <w:p>
            <w:pPr>
              <w:ind w:left="380"/>
              <w:spacing w:after="0" w:line="210" w:lineRule="exact"/>
              <w:rPr>
                <w:sz w:val="20"/>
                <w:szCs w:val="20"/>
                <w:color w:val="auto"/>
              </w:rPr>
            </w:pPr>
            <w:r>
              <w:rPr>
                <w:rFonts w:ascii="Calibri" w:cs="Calibri" w:eastAsia="Calibri" w:hAnsi="Calibri"/>
                <w:sz w:val="18"/>
                <w:szCs w:val="18"/>
                <w:color w:val="auto"/>
              </w:rPr>
              <w:t>Total revenues</w:t>
            </w:r>
          </w:p>
        </w:tc>
        <w:tc>
          <w:tcPr>
            <w:tcW w:w="38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560,230</w:t>
            </w:r>
          </w:p>
        </w:tc>
        <w:tc>
          <w:tcPr>
            <w:tcW w:w="260" w:type="dxa"/>
            <w:vAlign w:val="bottom"/>
            <w:tcBorders>
              <w:top w:val="single" w:sz="8" w:color="auto"/>
              <w:left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434,249</w:t>
            </w: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363,329</w:t>
            </w:r>
          </w:p>
        </w:tc>
        <w:tc>
          <w:tcPr>
            <w:tcW w:w="100" w:type="dxa"/>
            <w:vAlign w:val="bottom"/>
            <w:shd w:val="clear" w:color="auto" w:fill="CCEEFF"/>
          </w:tcPr>
          <w:p>
            <w:pPr>
              <w:spacing w:after="0"/>
              <w:rPr>
                <w:sz w:val="18"/>
                <w:szCs w:val="18"/>
                <w:color w:val="auto"/>
              </w:rPr>
            </w:pPr>
          </w:p>
        </w:tc>
      </w:tr>
      <w:tr>
        <w:trPr>
          <w:trHeight w:val="215"/>
        </w:trPr>
        <w:tc>
          <w:tcPr>
            <w:tcW w:w="3340" w:type="dxa"/>
            <w:vAlign w:val="bottom"/>
          </w:tcPr>
          <w:p>
            <w:pPr>
              <w:ind w:left="20"/>
              <w:spacing w:after="0" w:line="215" w:lineRule="exact"/>
              <w:rPr>
                <w:sz w:val="20"/>
                <w:szCs w:val="20"/>
                <w:color w:val="auto"/>
              </w:rPr>
            </w:pPr>
            <w:r>
              <w:rPr>
                <w:rFonts w:ascii="Calibri" w:cs="Calibri" w:eastAsia="Calibri" w:hAnsi="Calibri"/>
                <w:sz w:val="18"/>
                <w:szCs w:val="18"/>
                <w:color w:val="auto"/>
              </w:rPr>
              <w:t>Operatng expenses:</w:t>
            </w:r>
          </w:p>
        </w:tc>
        <w:tc>
          <w:tcPr>
            <w:tcW w:w="3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3340" w:type="dxa"/>
            <w:vAlign w:val="bottom"/>
            <w:shd w:val="clear" w:color="auto" w:fill="CCEEFF"/>
          </w:tcPr>
          <w:p>
            <w:pPr>
              <w:ind w:left="200"/>
              <w:spacing w:after="0" w:line="216" w:lineRule="exact"/>
              <w:rPr>
                <w:sz w:val="20"/>
                <w:szCs w:val="20"/>
                <w:color w:val="auto"/>
              </w:rPr>
            </w:pPr>
            <w:r>
              <w:rPr>
                <w:rFonts w:ascii="Calibri" w:cs="Calibri" w:eastAsia="Calibri" w:hAnsi="Calibri"/>
                <w:sz w:val="18"/>
                <w:szCs w:val="18"/>
                <w:color w:val="auto"/>
              </w:rPr>
              <w:t>Cost of sales</w:t>
            </w:r>
          </w:p>
        </w:tc>
        <w:tc>
          <w:tcPr>
            <w:tcW w:w="3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76,728</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45,209</w:t>
            </w:r>
          </w:p>
        </w:tc>
        <w:tc>
          <w:tcPr>
            <w:tcW w:w="1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28,320</w:t>
            </w:r>
          </w:p>
        </w:tc>
        <w:tc>
          <w:tcPr>
            <w:tcW w:w="100" w:type="dxa"/>
            <w:vAlign w:val="bottom"/>
            <w:shd w:val="clear" w:color="auto" w:fill="CCEEFF"/>
          </w:tcPr>
          <w:p>
            <w:pPr>
              <w:spacing w:after="0"/>
              <w:rPr>
                <w:sz w:val="18"/>
                <w:szCs w:val="18"/>
                <w:color w:val="auto"/>
              </w:rPr>
            </w:pPr>
          </w:p>
        </w:tc>
      </w:tr>
      <w:tr>
        <w:trPr>
          <w:trHeight w:val="215"/>
        </w:trPr>
        <w:tc>
          <w:tcPr>
            <w:tcW w:w="3340" w:type="dxa"/>
            <w:vAlign w:val="bottom"/>
          </w:tcPr>
          <w:p>
            <w:pPr>
              <w:ind w:left="200"/>
              <w:spacing w:after="0" w:line="215" w:lineRule="exact"/>
              <w:rPr>
                <w:sz w:val="20"/>
                <w:szCs w:val="20"/>
                <w:color w:val="auto"/>
              </w:rPr>
            </w:pPr>
            <w:r>
              <w:rPr>
                <w:rFonts w:ascii="Calibri" w:cs="Calibri" w:eastAsia="Calibri" w:hAnsi="Calibri"/>
                <w:sz w:val="18"/>
                <w:szCs w:val="18"/>
                <w:color w:val="auto"/>
              </w:rPr>
              <w:t>Research and development</w:t>
            </w:r>
          </w:p>
        </w:tc>
        <w:tc>
          <w:tcPr>
            <w:tcW w:w="3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697,865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648,449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705,789</w:t>
            </w:r>
          </w:p>
        </w:tc>
        <w:tc>
          <w:tcPr>
            <w:tcW w:w="100" w:type="dxa"/>
            <w:vAlign w:val="bottom"/>
          </w:tcPr>
          <w:p>
            <w:pPr>
              <w:spacing w:after="0"/>
              <w:rPr>
                <w:sz w:val="18"/>
                <w:szCs w:val="18"/>
                <w:color w:val="auto"/>
              </w:rPr>
            </w:pPr>
          </w:p>
        </w:tc>
      </w:tr>
      <w:tr>
        <w:trPr>
          <w:trHeight w:val="216"/>
        </w:trPr>
        <w:tc>
          <w:tcPr>
            <w:tcW w:w="3340" w:type="dxa"/>
            <w:vAlign w:val="bottom"/>
            <w:tcBorders>
              <w:bottom w:val="single" w:sz="8" w:color="CCEEFF"/>
            </w:tcBorders>
            <w:shd w:val="clear" w:color="auto" w:fill="CCEEFF"/>
          </w:tcPr>
          <w:p>
            <w:pPr>
              <w:ind w:left="200"/>
              <w:spacing w:after="0" w:line="216" w:lineRule="exact"/>
              <w:rPr>
                <w:sz w:val="20"/>
                <w:szCs w:val="20"/>
                <w:color w:val="auto"/>
              </w:rPr>
            </w:pPr>
            <w:r>
              <w:rPr>
                <w:rFonts w:ascii="Calibri" w:cs="Calibri" w:eastAsia="Calibri" w:hAnsi="Calibri"/>
                <w:sz w:val="18"/>
                <w:szCs w:val="18"/>
                <w:color w:val="auto"/>
              </w:rPr>
              <w:t>Selling, general and administratve</w:t>
            </w:r>
          </w:p>
        </w:tc>
        <w:tc>
          <w:tcPr>
            <w:tcW w:w="3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CCEEFF"/>
            </w:tcBorders>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321,610</w:t>
            </w:r>
          </w:p>
        </w:tc>
        <w:tc>
          <w:tcPr>
            <w:tcW w:w="260" w:type="dxa"/>
            <w:vAlign w:val="bottom"/>
            <w:tcBorders>
              <w:left w:val="single" w:sz="8" w:color="CCEEFF"/>
              <w:bottom w:val="single" w:sz="8" w:color="CCEEFF"/>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309,799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278,139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3340" w:type="dxa"/>
            <w:vAlign w:val="bottom"/>
          </w:tcPr>
          <w:p>
            <w:pPr>
              <w:ind w:left="380"/>
              <w:spacing w:after="0" w:line="209" w:lineRule="exact"/>
              <w:rPr>
                <w:sz w:val="20"/>
                <w:szCs w:val="20"/>
                <w:color w:val="auto"/>
              </w:rPr>
            </w:pPr>
            <w:r>
              <w:rPr>
                <w:rFonts w:ascii="Calibri" w:cs="Calibri" w:eastAsia="Calibri" w:hAnsi="Calibri"/>
                <w:sz w:val="18"/>
                <w:szCs w:val="18"/>
                <w:color w:val="auto"/>
              </w:rPr>
              <w:t>Total operatng expenses</w:t>
            </w:r>
          </w:p>
        </w:tc>
        <w:tc>
          <w:tcPr>
            <w:tcW w:w="38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1,096,203</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1,003,457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1,012,248</w:t>
            </w:r>
          </w:p>
        </w:tc>
        <w:tc>
          <w:tcPr>
            <w:tcW w:w="100" w:type="dxa"/>
            <w:vAlign w:val="bottom"/>
          </w:tcPr>
          <w:p>
            <w:pPr>
              <w:spacing w:after="0"/>
              <w:rPr>
                <w:sz w:val="18"/>
                <w:szCs w:val="18"/>
                <w:color w:val="auto"/>
              </w:rPr>
            </w:pPr>
          </w:p>
        </w:tc>
      </w:tr>
      <w:tr>
        <w:trPr>
          <w:trHeight w:val="210"/>
        </w:trPr>
        <w:tc>
          <w:tcPr>
            <w:tcW w:w="334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color w:val="auto"/>
              </w:rPr>
              <w:t>Loss from operatons</w:t>
            </w:r>
          </w:p>
        </w:tc>
        <w:tc>
          <w:tcPr>
            <w:tcW w:w="3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(535,973 )</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0" w:lineRule="exact"/>
              <w:rPr>
                <w:sz w:val="20"/>
                <w:szCs w:val="20"/>
                <w:color w:val="auto"/>
              </w:rPr>
            </w:pPr>
            <w:r>
              <w:rPr>
                <w:rFonts w:ascii="Calibri" w:cs="Calibri" w:eastAsia="Calibri" w:hAnsi="Calibri"/>
                <w:sz w:val="18"/>
                <w:szCs w:val="18"/>
                <w:color w:val="auto"/>
              </w:rPr>
              <w:t>(569,208 )</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line="210" w:lineRule="exact"/>
              <w:rPr>
                <w:sz w:val="20"/>
                <w:szCs w:val="20"/>
                <w:color w:val="auto"/>
              </w:rPr>
            </w:pPr>
            <w:r>
              <w:rPr>
                <w:rFonts w:ascii="Calibri" w:cs="Calibri" w:eastAsia="Calibri" w:hAnsi="Calibri"/>
                <w:sz w:val="18"/>
                <w:szCs w:val="18"/>
                <w:color w:val="auto"/>
              </w:rPr>
              <w:t>(648,919 )</w:t>
            </w:r>
          </w:p>
        </w:tc>
      </w:tr>
      <w:tr>
        <w:trPr>
          <w:trHeight w:val="215"/>
        </w:trPr>
        <w:tc>
          <w:tcPr>
            <w:tcW w:w="3340" w:type="dxa"/>
            <w:vAlign w:val="bottom"/>
          </w:tcPr>
          <w:p>
            <w:pPr>
              <w:ind w:left="20"/>
              <w:spacing w:after="0" w:line="215" w:lineRule="exact"/>
              <w:rPr>
                <w:sz w:val="20"/>
                <w:szCs w:val="20"/>
                <w:color w:val="auto"/>
              </w:rPr>
            </w:pPr>
            <w:r>
              <w:rPr>
                <w:rFonts w:ascii="Calibri" w:cs="Calibri" w:eastAsia="Calibri" w:hAnsi="Calibri"/>
                <w:sz w:val="18"/>
                <w:szCs w:val="18"/>
                <w:color w:val="auto"/>
              </w:rPr>
              <w:t>Interest income</w:t>
            </w:r>
          </w:p>
        </w:tc>
        <w:tc>
          <w:tcPr>
            <w:tcW w:w="3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36,506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26,688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11,074</w:t>
            </w:r>
          </w:p>
        </w:tc>
        <w:tc>
          <w:tcPr>
            <w:tcW w:w="100" w:type="dxa"/>
            <w:vAlign w:val="bottom"/>
          </w:tcPr>
          <w:p>
            <w:pPr>
              <w:spacing w:after="0"/>
              <w:rPr>
                <w:sz w:val="18"/>
                <w:szCs w:val="18"/>
                <w:color w:val="auto"/>
              </w:rPr>
            </w:pPr>
          </w:p>
        </w:tc>
      </w:tr>
      <w:tr>
        <w:trPr>
          <w:trHeight w:val="217"/>
        </w:trPr>
        <w:tc>
          <w:tcPr>
            <w:tcW w:w="3340" w:type="dxa"/>
            <w:vAlign w:val="bottom"/>
            <w:shd w:val="clear" w:color="auto" w:fill="CCEEFF"/>
          </w:tcPr>
          <w:p>
            <w:pPr>
              <w:ind w:left="20"/>
              <w:spacing w:after="0" w:line="216" w:lineRule="exact"/>
              <w:rPr>
                <w:sz w:val="20"/>
                <w:szCs w:val="20"/>
                <w:color w:val="auto"/>
              </w:rPr>
            </w:pPr>
            <w:r>
              <w:rPr>
                <w:rFonts w:ascii="Calibri" w:cs="Calibri" w:eastAsia="Calibri" w:hAnsi="Calibri"/>
                <w:sz w:val="18"/>
                <w:szCs w:val="18"/>
                <w:color w:val="auto"/>
              </w:rPr>
              <w:t>Change in fair value of equity investments</w:t>
            </w:r>
          </w:p>
        </w:tc>
        <w:tc>
          <w:tcPr>
            <w:tcW w:w="3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(1,115 )</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397</w:t>
            </w:r>
          </w:p>
        </w:tc>
        <w:tc>
          <w:tcPr>
            <w:tcW w:w="1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line="216" w:lineRule="exact"/>
              <w:rPr>
                <w:sz w:val="20"/>
                <w:szCs w:val="20"/>
                <w:color w:val="auto"/>
              </w:rPr>
            </w:pPr>
            <w:r>
              <w:rPr>
                <w:rFonts w:ascii="Calibri" w:cs="Calibri" w:eastAsia="Calibri" w:hAnsi="Calibri"/>
                <w:sz w:val="18"/>
                <w:szCs w:val="18"/>
                <w:color w:val="auto"/>
              </w:rPr>
              <w:t>(19,299 )</w:t>
            </w:r>
          </w:p>
        </w:tc>
      </w:tr>
      <w:tr>
        <w:trPr>
          <w:trHeight w:val="215"/>
        </w:trPr>
        <w:tc>
          <w:tcPr>
            <w:tcW w:w="7400" w:type="dxa"/>
            <w:vAlign w:val="bottom"/>
            <w:gridSpan w:val="4"/>
          </w:tcPr>
          <w:p>
            <w:pPr>
              <w:ind w:left="20"/>
              <w:spacing w:after="0" w:line="215" w:lineRule="exact"/>
              <w:rPr>
                <w:sz w:val="20"/>
                <w:szCs w:val="20"/>
                <w:color w:val="auto"/>
              </w:rPr>
            </w:pPr>
            <w:r>
              <w:rPr>
                <w:rFonts w:ascii="Calibri" w:cs="Calibri" w:eastAsia="Calibri" w:hAnsi="Calibri"/>
                <w:sz w:val="18"/>
                <w:szCs w:val="18"/>
                <w:color w:val="auto"/>
              </w:rPr>
              <w:t>Non-cash interest expense on liabilites for sales of future royaltes</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(63,041 )</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(66,004 )</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(43,015 )</w:t>
            </w:r>
          </w:p>
        </w:tc>
      </w:tr>
      <w:tr>
        <w:trPr>
          <w:trHeight w:val="216"/>
        </w:trPr>
        <w:tc>
          <w:tcPr>
            <w:tcW w:w="3340" w:type="dxa"/>
            <w:vAlign w:val="bottom"/>
            <w:shd w:val="clear" w:color="auto" w:fill="CCEEFF"/>
          </w:tcPr>
          <w:p>
            <w:pPr>
              <w:ind w:left="20"/>
              <w:spacing w:after="0" w:line="216" w:lineRule="exact"/>
              <w:rPr>
                <w:sz w:val="20"/>
                <w:szCs w:val="20"/>
                <w:color w:val="auto"/>
              </w:rPr>
            </w:pPr>
            <w:r>
              <w:rPr>
                <w:rFonts w:ascii="Calibri" w:cs="Calibri" w:eastAsia="Calibri" w:hAnsi="Calibri"/>
                <w:sz w:val="18"/>
                <w:szCs w:val="18"/>
                <w:color w:val="auto"/>
              </w:rPr>
              <w:t>Other expense</w:t>
            </w:r>
          </w:p>
        </w:tc>
        <w:tc>
          <w:tcPr>
            <w:tcW w:w="3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(3,963 )</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line="216" w:lineRule="exact"/>
              <w:rPr>
                <w:sz w:val="20"/>
                <w:szCs w:val="20"/>
                <w:color w:val="auto"/>
              </w:rPr>
            </w:pPr>
            <w:r>
              <w:rPr>
                <w:rFonts w:ascii="Calibri" w:cs="Calibri" w:eastAsia="Calibri" w:hAnsi="Calibri"/>
                <w:sz w:val="18"/>
                <w:szCs w:val="18"/>
                <w:color w:val="auto"/>
              </w:rPr>
              <w:t>(337 )</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line="216" w:lineRule="exact"/>
              <w:rPr>
                <w:sz w:val="20"/>
                <w:szCs w:val="20"/>
                <w:color w:val="auto"/>
              </w:rPr>
            </w:pPr>
            <w:r>
              <w:rPr>
                <w:rFonts w:ascii="Calibri" w:cs="Calibri" w:eastAsia="Calibri" w:hAnsi="Calibri"/>
                <w:sz w:val="18"/>
                <w:szCs w:val="18"/>
                <w:color w:val="auto"/>
              </w:rPr>
              <w:t>(1,566 )</w:t>
            </w:r>
          </w:p>
        </w:tc>
      </w:tr>
      <w:tr>
        <w:trPr>
          <w:trHeight w:val="20"/>
        </w:trPr>
        <w:tc>
          <w:tcPr>
            <w:tcW w:w="3340" w:type="dxa"/>
            <w:vAlign w:val="bottom"/>
            <w:shd w:val="clear" w:color="auto" w:fill="CCEEFF"/>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340" w:type="dxa"/>
            <w:vAlign w:val="bottom"/>
          </w:tcPr>
          <w:p>
            <w:pPr>
              <w:ind w:left="20"/>
              <w:spacing w:after="0" w:line="209" w:lineRule="exact"/>
              <w:rPr>
                <w:sz w:val="20"/>
                <w:szCs w:val="20"/>
                <w:color w:val="auto"/>
              </w:rPr>
            </w:pPr>
            <w:r>
              <w:rPr>
                <w:rFonts w:ascii="Calibri" w:cs="Calibri" w:eastAsia="Calibri" w:hAnsi="Calibri"/>
                <w:sz w:val="18"/>
                <w:szCs w:val="18"/>
                <w:color w:val="auto"/>
              </w:rPr>
              <w:t>Loss before income taxes</w:t>
            </w:r>
          </w:p>
        </w:tc>
        <w:tc>
          <w:tcPr>
            <w:tcW w:w="3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line="209" w:lineRule="exact"/>
              <w:rPr>
                <w:sz w:val="20"/>
                <w:szCs w:val="20"/>
                <w:color w:val="auto"/>
              </w:rPr>
            </w:pPr>
            <w:r>
              <w:rPr>
                <w:rFonts w:ascii="Calibri" w:cs="Calibri" w:eastAsia="Calibri" w:hAnsi="Calibri"/>
                <w:sz w:val="18"/>
                <w:szCs w:val="18"/>
                <w:color w:val="auto"/>
              </w:rPr>
              <w:t>(567,586 )</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line="209" w:lineRule="exact"/>
              <w:rPr>
                <w:sz w:val="20"/>
                <w:szCs w:val="20"/>
                <w:color w:val="auto"/>
              </w:rPr>
            </w:pPr>
            <w:r>
              <w:rPr>
                <w:rFonts w:ascii="Calibri" w:cs="Calibri" w:eastAsia="Calibri" w:hAnsi="Calibri"/>
                <w:sz w:val="18"/>
                <w:szCs w:val="18"/>
                <w:color w:val="auto"/>
              </w:rPr>
              <w:t>(608,464 )</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line="209" w:lineRule="exact"/>
              <w:rPr>
                <w:sz w:val="20"/>
                <w:szCs w:val="20"/>
                <w:color w:val="auto"/>
              </w:rPr>
            </w:pPr>
            <w:r>
              <w:rPr>
                <w:rFonts w:ascii="Calibri" w:cs="Calibri" w:eastAsia="Calibri" w:hAnsi="Calibri"/>
                <w:sz w:val="18"/>
                <w:szCs w:val="18"/>
                <w:color w:val="auto"/>
              </w:rPr>
              <w:t>(701,725 )</w:t>
            </w:r>
          </w:p>
        </w:tc>
      </w:tr>
      <w:tr>
        <w:trPr>
          <w:trHeight w:val="216"/>
        </w:trPr>
        <w:tc>
          <w:tcPr>
            <w:tcW w:w="3340" w:type="dxa"/>
            <w:vAlign w:val="bottom"/>
            <w:shd w:val="clear" w:color="auto" w:fill="CCEEFF"/>
          </w:tcPr>
          <w:p>
            <w:pPr>
              <w:ind w:left="20"/>
              <w:spacing w:after="0" w:line="216" w:lineRule="exact"/>
              <w:rPr>
                <w:sz w:val="20"/>
                <w:szCs w:val="20"/>
                <w:color w:val="auto"/>
              </w:rPr>
            </w:pPr>
            <w:r>
              <w:rPr>
                <w:rFonts w:ascii="Calibri" w:cs="Calibri" w:eastAsia="Calibri" w:hAnsi="Calibri"/>
                <w:sz w:val="18"/>
                <w:szCs w:val="18"/>
                <w:color w:val="auto"/>
              </w:rPr>
              <w:t>(Provision for) beneft from income taxes</w:t>
            </w:r>
          </w:p>
        </w:tc>
        <w:tc>
          <w:tcPr>
            <w:tcW w:w="3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(1,597 )</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1,825</w:t>
            </w:r>
          </w:p>
        </w:tc>
        <w:tc>
          <w:tcPr>
            <w:tcW w:w="1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line="216" w:lineRule="exact"/>
              <w:rPr>
                <w:sz w:val="20"/>
                <w:szCs w:val="20"/>
                <w:color w:val="auto"/>
              </w:rPr>
            </w:pPr>
            <w:r>
              <w:rPr>
                <w:rFonts w:ascii="Calibri" w:cs="Calibri" w:eastAsia="Calibri" w:hAnsi="Calibri"/>
                <w:sz w:val="18"/>
                <w:szCs w:val="18"/>
                <w:color w:val="auto"/>
              </w:rPr>
              <w:t>(5,696 )</w:t>
            </w:r>
          </w:p>
        </w:tc>
      </w:tr>
      <w:tr>
        <w:trPr>
          <w:trHeight w:val="20"/>
        </w:trPr>
        <w:tc>
          <w:tcPr>
            <w:tcW w:w="3340" w:type="dxa"/>
            <w:vAlign w:val="bottom"/>
            <w:shd w:val="clear" w:color="auto" w:fill="CCEEFF"/>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340" w:type="dxa"/>
            <w:vAlign w:val="bottom"/>
          </w:tcPr>
          <w:p>
            <w:pPr>
              <w:ind w:left="20"/>
              <w:spacing w:after="0" w:line="210" w:lineRule="exact"/>
              <w:rPr>
                <w:sz w:val="20"/>
                <w:szCs w:val="20"/>
                <w:color w:val="auto"/>
              </w:rPr>
            </w:pPr>
            <w:r>
              <w:rPr>
                <w:rFonts w:ascii="Calibri" w:cs="Calibri" w:eastAsia="Calibri" w:hAnsi="Calibri"/>
                <w:sz w:val="18"/>
                <w:szCs w:val="18"/>
                <w:color w:val="auto"/>
              </w:rPr>
              <w:t>Net loss</w:t>
            </w:r>
          </w:p>
        </w:tc>
        <w:tc>
          <w:tcPr>
            <w:tcW w:w="3800" w:type="dxa"/>
            <w:vAlign w:val="bottom"/>
          </w:tcPr>
          <w:p>
            <w:pPr>
              <w:spacing w:after="0"/>
              <w:rPr>
                <w:sz w:val="18"/>
                <w:szCs w:val="18"/>
                <w:color w:val="auto"/>
              </w:rPr>
            </w:pPr>
          </w:p>
        </w:tc>
        <w:tc>
          <w:tcPr>
            <w:tcW w:w="260" w:type="dxa"/>
            <w:vAlign w:val="bottom"/>
            <w:gridSpan w:val="2"/>
          </w:tcPr>
          <w:p>
            <w:pPr>
              <w:jc w:val="right"/>
              <w:ind w:right="50"/>
              <w:spacing w:after="0" w:line="210" w:lineRule="exact"/>
              <w:rPr>
                <w:sz w:val="20"/>
                <w:szCs w:val="20"/>
                <w:color w:val="auto"/>
              </w:rPr>
            </w:pPr>
            <w:r>
              <w:rPr>
                <w:rFonts w:ascii="Calibri" w:cs="Calibri" w:eastAsia="Calibri" w:hAnsi="Calibri"/>
                <w:sz w:val="18"/>
                <w:szCs w:val="18"/>
                <w:color w:val="auto"/>
              </w:rPr>
              <w:t>$</w:t>
            </w:r>
          </w:p>
        </w:tc>
        <w:tc>
          <w:tcPr>
            <w:tcW w:w="940" w:type="dxa"/>
            <w:vAlign w:val="bottom"/>
          </w:tcPr>
          <w:p>
            <w:pPr>
              <w:jc w:val="right"/>
              <w:spacing w:after="0" w:line="210" w:lineRule="exact"/>
              <w:rPr>
                <w:sz w:val="20"/>
                <w:szCs w:val="20"/>
                <w:color w:val="auto"/>
              </w:rPr>
            </w:pPr>
            <w:r>
              <w:rPr>
                <w:rFonts w:ascii="Calibri" w:cs="Calibri" w:eastAsia="Calibri" w:hAnsi="Calibri"/>
                <w:sz w:val="18"/>
                <w:szCs w:val="18"/>
                <w:color w:val="auto"/>
              </w:rPr>
              <w:t>(569,183 )</w:t>
            </w:r>
          </w:p>
        </w:tc>
        <w:tc>
          <w:tcPr>
            <w:tcW w:w="260" w:type="dxa"/>
            <w:vAlign w:val="bottom"/>
          </w:tcPr>
          <w:p>
            <w:pPr>
              <w:spacing w:after="0"/>
              <w:rPr>
                <w:sz w:val="18"/>
                <w:szCs w:val="18"/>
                <w:color w:val="auto"/>
              </w:rPr>
            </w:pPr>
          </w:p>
        </w:tc>
        <w:tc>
          <w:tcPr>
            <w:tcW w:w="200" w:type="dxa"/>
            <w:vAlign w:val="bottom"/>
          </w:tcPr>
          <w:p>
            <w:pPr>
              <w:jc w:val="right"/>
              <w:ind w:right="37"/>
              <w:spacing w:after="0"/>
              <w:rPr>
                <w:sz w:val="20"/>
                <w:szCs w:val="20"/>
                <w:color w:val="auto"/>
              </w:rPr>
            </w:pPr>
            <w:r>
              <w:rPr>
                <w:rFonts w:ascii="Calibri" w:cs="Calibri" w:eastAsia="Calibri" w:hAnsi="Calibri"/>
                <w:sz w:val="16"/>
                <w:szCs w:val="16"/>
                <w:color w:val="auto"/>
                <w:w w:val="73"/>
              </w:rPr>
              <w:t>$</w:t>
            </w:r>
          </w:p>
        </w:tc>
        <w:tc>
          <w:tcPr>
            <w:tcW w:w="1020" w:type="dxa"/>
            <w:vAlign w:val="bottom"/>
            <w:gridSpan w:val="2"/>
          </w:tcPr>
          <w:p>
            <w:pPr>
              <w:jc w:val="right"/>
              <w:ind w:right="40"/>
              <w:spacing w:after="0" w:line="210" w:lineRule="exact"/>
              <w:rPr>
                <w:sz w:val="20"/>
                <w:szCs w:val="20"/>
                <w:color w:val="auto"/>
              </w:rPr>
            </w:pPr>
            <w:r>
              <w:rPr>
                <w:rFonts w:ascii="Calibri" w:cs="Calibri" w:eastAsia="Calibri" w:hAnsi="Calibri"/>
                <w:sz w:val="18"/>
                <w:szCs w:val="18"/>
                <w:color w:val="auto"/>
              </w:rPr>
              <w:t>(606,639 )</w:t>
            </w:r>
          </w:p>
        </w:tc>
        <w:tc>
          <w:tcPr>
            <w:tcW w:w="180" w:type="dxa"/>
            <w:vAlign w:val="bottom"/>
          </w:tcPr>
          <w:p>
            <w:pPr>
              <w:spacing w:after="0"/>
              <w:rPr>
                <w:sz w:val="18"/>
                <w:szCs w:val="18"/>
                <w:color w:val="auto"/>
              </w:rPr>
            </w:pPr>
          </w:p>
        </w:tc>
        <w:tc>
          <w:tcPr>
            <w:tcW w:w="200" w:type="dxa"/>
            <w:vAlign w:val="bottom"/>
          </w:tcPr>
          <w:p>
            <w:pPr>
              <w:jc w:val="right"/>
              <w:ind w:right="37"/>
              <w:spacing w:after="0"/>
              <w:rPr>
                <w:sz w:val="20"/>
                <w:szCs w:val="20"/>
                <w:color w:val="auto"/>
              </w:rPr>
            </w:pPr>
            <w:r>
              <w:rPr>
                <w:rFonts w:ascii="Calibri" w:cs="Calibri" w:eastAsia="Calibri" w:hAnsi="Calibri"/>
                <w:sz w:val="16"/>
                <w:szCs w:val="16"/>
                <w:color w:val="auto"/>
                <w:w w:val="73"/>
              </w:rPr>
              <w:t>$</w:t>
            </w:r>
          </w:p>
        </w:tc>
        <w:tc>
          <w:tcPr>
            <w:tcW w:w="1040" w:type="dxa"/>
            <w:vAlign w:val="bottom"/>
            <w:gridSpan w:val="2"/>
          </w:tcPr>
          <w:p>
            <w:pPr>
              <w:jc w:val="right"/>
              <w:ind w:right="40"/>
              <w:spacing w:after="0" w:line="210" w:lineRule="exact"/>
              <w:rPr>
                <w:sz w:val="20"/>
                <w:szCs w:val="20"/>
                <w:color w:val="auto"/>
              </w:rPr>
            </w:pPr>
            <w:r>
              <w:rPr>
                <w:rFonts w:ascii="Calibri" w:cs="Calibri" w:eastAsia="Calibri" w:hAnsi="Calibri"/>
                <w:sz w:val="18"/>
                <w:szCs w:val="18"/>
                <w:color w:val="auto"/>
              </w:rPr>
              <w:t>(707,421 )</w:t>
            </w:r>
          </w:p>
        </w:tc>
      </w:tr>
      <w:tr>
        <w:trPr>
          <w:trHeight w:val="20"/>
        </w:trPr>
        <w:tc>
          <w:tcPr>
            <w:tcW w:w="33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3340" w:type="dxa"/>
            <w:vAlign w:val="bottom"/>
            <w:shd w:val="clear" w:color="auto" w:fill="CCEEFF"/>
          </w:tcPr>
          <w:p>
            <w:pPr>
              <w:ind w:left="20"/>
              <w:spacing w:after="0" w:line="196" w:lineRule="exact"/>
              <w:rPr>
                <w:sz w:val="20"/>
                <w:szCs w:val="20"/>
                <w:color w:val="auto"/>
              </w:rPr>
            </w:pPr>
            <w:r>
              <w:rPr>
                <w:rFonts w:ascii="Calibri" w:cs="Calibri" w:eastAsia="Calibri" w:hAnsi="Calibri"/>
                <w:sz w:val="18"/>
                <w:szCs w:val="18"/>
                <w:color w:val="auto"/>
              </w:rPr>
              <w:t>Net loss per share, basic and diluted</w:t>
            </w:r>
          </w:p>
        </w:tc>
        <w:tc>
          <w:tcPr>
            <w:tcW w:w="38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50"/>
              <w:spacing w:after="0" w:line="196" w:lineRule="exact"/>
              <w:rPr>
                <w:sz w:val="20"/>
                <w:szCs w:val="20"/>
                <w:color w:val="auto"/>
              </w:rPr>
            </w:pPr>
            <w:r>
              <w:rPr>
                <w:rFonts w:ascii="Calibri" w:cs="Calibri" w:eastAsia="Calibri" w:hAnsi="Calibri"/>
                <w:sz w:val="18"/>
                <w:szCs w:val="18"/>
                <w:color w:val="auto"/>
              </w:rPr>
              <w:t>$</w:t>
            </w:r>
          </w:p>
        </w:tc>
        <w:tc>
          <w:tcPr>
            <w:tcW w:w="940" w:type="dxa"/>
            <w:vAlign w:val="bottom"/>
            <w:tcBorders>
              <w:right w:val="single" w:sz="8" w:color="CCEEFF"/>
            </w:tcBorders>
            <w:shd w:val="clear" w:color="auto" w:fill="CCEEFF"/>
          </w:tcPr>
          <w:p>
            <w:pPr>
              <w:jc w:val="right"/>
              <w:spacing w:after="0" w:line="196" w:lineRule="exact"/>
              <w:rPr>
                <w:sz w:val="20"/>
                <w:szCs w:val="20"/>
                <w:color w:val="auto"/>
              </w:rPr>
            </w:pPr>
            <w:r>
              <w:rPr>
                <w:rFonts w:ascii="Calibri" w:cs="Calibri" w:eastAsia="Calibri" w:hAnsi="Calibri"/>
                <w:sz w:val="18"/>
                <w:szCs w:val="18"/>
                <w:color w:val="auto"/>
              </w:rPr>
              <w:t>(6.29 )</w:t>
            </w:r>
          </w:p>
        </w:tc>
        <w:tc>
          <w:tcPr>
            <w:tcW w:w="260" w:type="dxa"/>
            <w:vAlign w:val="bottom"/>
            <w:tcBorders>
              <w:left w:val="single" w:sz="8" w:color="CCEEFF"/>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jc w:val="right"/>
              <w:ind w:right="37"/>
              <w:spacing w:after="0"/>
              <w:rPr>
                <w:sz w:val="20"/>
                <w:szCs w:val="20"/>
                <w:color w:val="auto"/>
              </w:rPr>
            </w:pPr>
            <w:r>
              <w:rPr>
                <w:rFonts w:ascii="Calibri" w:cs="Calibri" w:eastAsia="Calibri" w:hAnsi="Calibri"/>
                <w:sz w:val="16"/>
                <w:szCs w:val="16"/>
                <w:color w:val="auto"/>
                <w:w w:val="73"/>
              </w:rPr>
              <w:t>$</w:t>
            </w:r>
          </w:p>
        </w:tc>
        <w:tc>
          <w:tcPr>
            <w:tcW w:w="1020" w:type="dxa"/>
            <w:vAlign w:val="bottom"/>
            <w:gridSpan w:val="2"/>
            <w:shd w:val="clear" w:color="auto" w:fill="CCEEFF"/>
          </w:tcPr>
          <w:p>
            <w:pPr>
              <w:jc w:val="right"/>
              <w:ind w:right="40"/>
              <w:spacing w:after="0" w:line="196" w:lineRule="exact"/>
              <w:rPr>
                <w:sz w:val="20"/>
                <w:szCs w:val="20"/>
                <w:color w:val="auto"/>
              </w:rPr>
            </w:pPr>
            <w:r>
              <w:rPr>
                <w:rFonts w:ascii="Calibri" w:cs="Calibri" w:eastAsia="Calibri" w:hAnsi="Calibri"/>
                <w:sz w:val="18"/>
                <w:szCs w:val="18"/>
                <w:color w:val="auto"/>
              </w:rPr>
              <w:t>(8.25 )</w:t>
            </w:r>
          </w:p>
        </w:tc>
        <w:tc>
          <w:tcPr>
            <w:tcW w:w="18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jc w:val="right"/>
              <w:ind w:right="37"/>
              <w:spacing w:after="0"/>
              <w:rPr>
                <w:sz w:val="20"/>
                <w:szCs w:val="20"/>
                <w:color w:val="auto"/>
              </w:rPr>
            </w:pPr>
            <w:r>
              <w:rPr>
                <w:rFonts w:ascii="Calibri" w:cs="Calibri" w:eastAsia="Calibri" w:hAnsi="Calibri"/>
                <w:sz w:val="16"/>
                <w:szCs w:val="16"/>
                <w:color w:val="auto"/>
                <w:w w:val="73"/>
              </w:rPr>
              <w:t>$</w:t>
            </w:r>
          </w:p>
        </w:tc>
        <w:tc>
          <w:tcPr>
            <w:tcW w:w="1040" w:type="dxa"/>
            <w:vAlign w:val="bottom"/>
            <w:gridSpan w:val="2"/>
            <w:shd w:val="clear" w:color="auto" w:fill="CCEEFF"/>
          </w:tcPr>
          <w:p>
            <w:pPr>
              <w:jc w:val="right"/>
              <w:ind w:right="40"/>
              <w:spacing w:after="0" w:line="196" w:lineRule="exact"/>
              <w:rPr>
                <w:sz w:val="20"/>
                <w:szCs w:val="20"/>
                <w:color w:val="auto"/>
              </w:rPr>
            </w:pPr>
            <w:r>
              <w:rPr>
                <w:rFonts w:ascii="Calibri" w:cs="Calibri" w:eastAsia="Calibri" w:hAnsi="Calibri"/>
                <w:sz w:val="18"/>
                <w:szCs w:val="18"/>
                <w:color w:val="auto"/>
              </w:rPr>
              <w:t>(10.12 )</w:t>
            </w:r>
          </w:p>
        </w:tc>
      </w:tr>
      <w:tr>
        <w:trPr>
          <w:trHeight w:val="197"/>
        </w:trPr>
        <w:tc>
          <w:tcPr>
            <w:tcW w:w="7140" w:type="dxa"/>
            <w:vAlign w:val="bottom"/>
            <w:tcBorders>
              <w:top w:val="single" w:sz="8" w:color="CCEEFF"/>
            </w:tcBorders>
            <w:gridSpan w:val="2"/>
          </w:tcPr>
          <w:p>
            <w:pPr>
              <w:ind w:left="20"/>
              <w:spacing w:after="0" w:line="196" w:lineRule="exact"/>
              <w:rPr>
                <w:sz w:val="20"/>
                <w:szCs w:val="20"/>
                <w:color w:val="auto"/>
              </w:rPr>
            </w:pPr>
            <w:r>
              <w:rPr>
                <w:rFonts w:ascii="Calibri" w:cs="Calibri" w:eastAsia="Calibri" w:hAnsi="Calibri"/>
                <w:sz w:val="18"/>
                <w:szCs w:val="18"/>
                <w:color w:val="auto"/>
              </w:rPr>
              <w:t>Shares used in computng net loss per share, basic and diluted</w:t>
            </w:r>
          </w:p>
        </w:tc>
        <w:tc>
          <w:tcPr>
            <w:tcW w:w="260" w:type="dxa"/>
            <w:vAlign w:val="bottom"/>
            <w:tcBorders>
              <w:top w:val="single" w:sz="8" w:color="auto"/>
              <w:bottom w:val="single" w:sz="8" w:color="auto"/>
            </w:tcBorders>
            <w:gridSpan w:val="2"/>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Calibri" w:cs="Calibri" w:eastAsia="Calibri" w:hAnsi="Calibri"/>
                <w:sz w:val="18"/>
                <w:szCs w:val="18"/>
                <w:color w:val="auto"/>
              </w:rPr>
              <w:t>90,538,118</w:t>
            </w: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Calibri" w:cs="Calibri" w:eastAsia="Calibri" w:hAnsi="Calibri"/>
                <w:sz w:val="18"/>
                <w:szCs w:val="18"/>
                <w:color w:val="auto"/>
              </w:rPr>
              <w:t>73,543,862</w:t>
            </w: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Calibri" w:cs="Calibri" w:eastAsia="Calibri" w:hAnsi="Calibri"/>
                <w:sz w:val="18"/>
                <w:szCs w:val="18"/>
                <w:color w:val="auto"/>
              </w:rPr>
              <w:t>69,914,225</w:t>
            </w:r>
          </w:p>
        </w:tc>
        <w:tc>
          <w:tcPr>
            <w:tcW w:w="100" w:type="dxa"/>
            <w:vAlign w:val="bottom"/>
            <w:tcBorders>
              <w:top w:val="single" w:sz="8" w:color="CCEEFF"/>
            </w:tcBorders>
          </w:tcPr>
          <w:p>
            <w:pPr>
              <w:spacing w:after="0"/>
              <w:rPr>
                <w:sz w:val="17"/>
                <w:szCs w:val="17"/>
                <w:color w:val="auto"/>
              </w:rPr>
            </w:pPr>
          </w:p>
        </w:tc>
      </w:tr>
      <w:tr>
        <w:trPr>
          <w:trHeight w:val="20"/>
        </w:trPr>
        <w:tc>
          <w:tcPr>
            <w:tcW w:w="33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5"/>
        </w:trPr>
        <w:tc>
          <w:tcPr>
            <w:tcW w:w="3340" w:type="dxa"/>
            <w:vAlign w:val="bottom"/>
          </w:tcPr>
          <w:p>
            <w:pPr>
              <w:spacing w:after="0"/>
              <w:rPr>
                <w:sz w:val="22"/>
                <w:szCs w:val="22"/>
                <w:color w:val="auto"/>
              </w:rPr>
            </w:pPr>
          </w:p>
        </w:tc>
        <w:tc>
          <w:tcPr>
            <w:tcW w:w="4060" w:type="dxa"/>
            <w:vAlign w:val="bottom"/>
            <w:gridSpan w:val="3"/>
          </w:tcPr>
          <w:p>
            <w:pPr>
              <w:jc w:val="center"/>
              <w:ind w:left="410"/>
              <w:spacing w:after="0"/>
              <w:rPr>
                <w:sz w:val="20"/>
                <w:szCs w:val="20"/>
                <w:color w:val="auto"/>
              </w:rPr>
            </w:pPr>
            <w:r>
              <w:rPr>
                <w:rFonts w:ascii="Calibri" w:cs="Calibri" w:eastAsia="Calibri" w:hAnsi="Calibri"/>
                <w:sz w:val="18"/>
                <w:szCs w:val="18"/>
                <w:color w:val="auto"/>
                <w:w w:val="97"/>
              </w:rPr>
              <w:t>See accompanying notes.</w:t>
            </w: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040"/>
        </w:trPr>
        <w:tc>
          <w:tcPr>
            <w:tcW w:w="3340" w:type="dxa"/>
            <w:vAlign w:val="bottom"/>
          </w:tcPr>
          <w:p>
            <w:pPr>
              <w:spacing w:after="0"/>
              <w:rPr>
                <w:sz w:val="24"/>
                <w:szCs w:val="24"/>
                <w:color w:val="auto"/>
              </w:rPr>
            </w:pPr>
          </w:p>
        </w:tc>
        <w:tc>
          <w:tcPr>
            <w:tcW w:w="4060" w:type="dxa"/>
            <w:vAlign w:val="bottom"/>
            <w:gridSpan w:val="3"/>
          </w:tcPr>
          <w:p>
            <w:pPr>
              <w:jc w:val="center"/>
              <w:ind w:left="390"/>
              <w:spacing w:after="0"/>
              <w:rPr>
                <w:sz w:val="20"/>
                <w:szCs w:val="20"/>
                <w:color w:val="auto"/>
              </w:rPr>
            </w:pPr>
            <w:r>
              <w:rPr>
                <w:rFonts w:ascii="Calibri" w:cs="Calibri" w:eastAsia="Calibri" w:hAnsi="Calibri"/>
                <w:sz w:val="18"/>
                <w:szCs w:val="18"/>
                <w:b w:val="1"/>
                <w:bCs w:val="1"/>
                <w:color w:val="auto"/>
                <w:w w:val="97"/>
              </w:rPr>
              <w:t>ULTRAGENYX PHARMACEUTICAL INC.</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3340" w:type="dxa"/>
            <w:vAlign w:val="bottom"/>
          </w:tcPr>
          <w:p>
            <w:pPr>
              <w:spacing w:after="0"/>
              <w:rPr>
                <w:sz w:val="24"/>
                <w:szCs w:val="24"/>
                <w:color w:val="auto"/>
              </w:rPr>
            </w:pPr>
          </w:p>
        </w:tc>
        <w:tc>
          <w:tcPr>
            <w:tcW w:w="5260" w:type="dxa"/>
            <w:vAlign w:val="bottom"/>
            <w:gridSpan w:val="5"/>
          </w:tcPr>
          <w:p>
            <w:pPr>
              <w:jc w:val="center"/>
              <w:ind w:right="740"/>
              <w:spacing w:after="0"/>
              <w:rPr>
                <w:sz w:val="20"/>
                <w:szCs w:val="20"/>
                <w:color w:val="auto"/>
              </w:rPr>
            </w:pPr>
            <w:r>
              <w:rPr>
                <w:rFonts w:ascii="Calibri" w:cs="Calibri" w:eastAsia="Calibri" w:hAnsi="Calibri"/>
                <w:sz w:val="18"/>
                <w:szCs w:val="18"/>
                <w:b w:val="1"/>
                <w:bCs w:val="1"/>
                <w:color w:val="auto"/>
                <w:w w:val="97"/>
              </w:rPr>
              <w:t>CONSOLIDATED STATEMENTS OF COMPREHENSIVE LOSS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340" w:type="dxa"/>
            <w:vAlign w:val="bottom"/>
          </w:tcPr>
          <w:p>
            <w:pPr>
              <w:spacing w:after="0"/>
              <w:rPr>
                <w:sz w:val="18"/>
                <w:szCs w:val="18"/>
                <w:color w:val="auto"/>
              </w:rPr>
            </w:pPr>
          </w:p>
        </w:tc>
        <w:tc>
          <w:tcPr>
            <w:tcW w:w="4060" w:type="dxa"/>
            <w:vAlign w:val="bottom"/>
            <w:gridSpan w:val="3"/>
          </w:tcPr>
          <w:p>
            <w:pPr>
              <w:jc w:val="center"/>
              <w:ind w:left="410"/>
              <w:spacing w:after="0" w:line="216" w:lineRule="exact"/>
              <w:rPr>
                <w:sz w:val="20"/>
                <w:szCs w:val="20"/>
                <w:color w:val="auto"/>
              </w:rPr>
            </w:pPr>
            <w:r>
              <w:rPr>
                <w:rFonts w:ascii="Calibri" w:cs="Calibri" w:eastAsia="Calibri" w:hAnsi="Calibri"/>
                <w:sz w:val="18"/>
                <w:szCs w:val="18"/>
                <w:b w:val="1"/>
                <w:bCs w:val="1"/>
                <w:color w:val="auto"/>
                <w:w w:val="96"/>
              </w:rPr>
              <w:t>(In thousands)</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24"/>
        </w:trPr>
        <w:tc>
          <w:tcPr>
            <w:tcW w:w="33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0" w:type="dxa"/>
            <w:vAlign w:val="bottom"/>
            <w:gridSpan w:val="7"/>
          </w:tcPr>
          <w:p>
            <w:pPr>
              <w:jc w:val="right"/>
              <w:ind w:right="17"/>
              <w:spacing w:after="0"/>
              <w:rPr>
                <w:sz w:val="20"/>
                <w:szCs w:val="20"/>
                <w:color w:val="auto"/>
              </w:rPr>
            </w:pPr>
            <w:r>
              <w:rPr>
                <w:rFonts w:ascii="Calibri" w:cs="Calibri" w:eastAsia="Calibri" w:hAnsi="Calibri"/>
                <w:sz w:val="18"/>
                <w:szCs w:val="18"/>
                <w:b w:val="1"/>
                <w:bCs w:val="1"/>
                <w:color w:val="auto"/>
              </w:rPr>
              <w:t>Year Ended December 31,</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
        </w:trPr>
        <w:tc>
          <w:tcPr>
            <w:tcW w:w="33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1"/>
              <w:spacing w:after="0" w:line="209" w:lineRule="exact"/>
              <w:rPr>
                <w:sz w:val="20"/>
                <w:szCs w:val="20"/>
                <w:color w:val="auto"/>
              </w:rPr>
            </w:pPr>
            <w:r>
              <w:rPr>
                <w:rFonts w:ascii="Calibri" w:cs="Calibri" w:eastAsia="Calibri" w:hAnsi="Calibri"/>
                <w:sz w:val="18"/>
                <w:szCs w:val="18"/>
                <w:b w:val="1"/>
                <w:bCs w:val="1"/>
                <w:color w:val="auto"/>
              </w:rPr>
              <w:t>2024</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line="209"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line="209" w:lineRule="exact"/>
              <w:rPr>
                <w:sz w:val="20"/>
                <w:szCs w:val="20"/>
                <w:color w:val="auto"/>
              </w:rPr>
            </w:pPr>
            <w:r>
              <w:rPr>
                <w:rFonts w:ascii="Calibri" w:cs="Calibri" w:eastAsia="Calibri" w:hAnsi="Calibri"/>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3340" w:type="dxa"/>
            <w:vAlign w:val="bottom"/>
            <w:shd w:val="clear" w:color="auto" w:fill="CCECFF"/>
          </w:tcPr>
          <w:p>
            <w:pPr>
              <w:ind w:left="20"/>
              <w:spacing w:after="0" w:line="210" w:lineRule="exact"/>
              <w:rPr>
                <w:sz w:val="20"/>
                <w:szCs w:val="20"/>
                <w:color w:val="auto"/>
              </w:rPr>
            </w:pPr>
            <w:r>
              <w:rPr>
                <w:rFonts w:ascii="Calibri" w:cs="Calibri" w:eastAsia="Calibri" w:hAnsi="Calibri"/>
                <w:sz w:val="18"/>
                <w:szCs w:val="18"/>
                <w:color w:val="auto"/>
              </w:rPr>
              <w:t>Net loss</w:t>
            </w:r>
          </w:p>
        </w:tc>
        <w:tc>
          <w:tcPr>
            <w:tcW w:w="4060" w:type="dxa"/>
            <w:vAlign w:val="bottom"/>
            <w:gridSpan w:val="3"/>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w:t>
            </w:r>
          </w:p>
        </w:tc>
        <w:tc>
          <w:tcPr>
            <w:tcW w:w="1200" w:type="dxa"/>
            <w:vAlign w:val="bottom"/>
            <w:tcBorders>
              <w:right w:val="single" w:sz="8" w:color="CCECFF"/>
            </w:tcBorders>
            <w:gridSpan w:val="2"/>
            <w:shd w:val="clear" w:color="auto" w:fill="CCECFF"/>
          </w:tcPr>
          <w:p>
            <w:pPr>
              <w:jc w:val="right"/>
              <w:ind w:right="200"/>
              <w:spacing w:after="0" w:line="210" w:lineRule="exact"/>
              <w:rPr>
                <w:sz w:val="20"/>
                <w:szCs w:val="20"/>
                <w:color w:val="auto"/>
              </w:rPr>
            </w:pPr>
            <w:r>
              <w:rPr>
                <w:rFonts w:ascii="Calibri" w:cs="Calibri" w:eastAsia="Calibri" w:hAnsi="Calibri"/>
                <w:sz w:val="18"/>
                <w:szCs w:val="18"/>
                <w:color w:val="auto"/>
              </w:rPr>
              <w:t>(569,183 )</w:t>
            </w:r>
          </w:p>
        </w:tc>
        <w:tc>
          <w:tcPr>
            <w:tcW w:w="20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w:t>
            </w:r>
          </w:p>
        </w:tc>
        <w:tc>
          <w:tcPr>
            <w:tcW w:w="1020" w:type="dxa"/>
            <w:vAlign w:val="bottom"/>
            <w:gridSpan w:val="2"/>
            <w:shd w:val="clear" w:color="auto" w:fill="CCECFF"/>
          </w:tcPr>
          <w:p>
            <w:pPr>
              <w:jc w:val="right"/>
              <w:ind w:right="20"/>
              <w:spacing w:after="0" w:line="210" w:lineRule="exact"/>
              <w:rPr>
                <w:sz w:val="20"/>
                <w:szCs w:val="20"/>
                <w:color w:val="auto"/>
              </w:rPr>
            </w:pPr>
            <w:r>
              <w:rPr>
                <w:rFonts w:ascii="Calibri" w:cs="Calibri" w:eastAsia="Calibri" w:hAnsi="Calibri"/>
                <w:sz w:val="18"/>
                <w:szCs w:val="18"/>
                <w:color w:val="auto"/>
              </w:rPr>
              <w:t>(606,639 )</w:t>
            </w:r>
          </w:p>
        </w:tc>
        <w:tc>
          <w:tcPr>
            <w:tcW w:w="180" w:type="dxa"/>
            <w:vAlign w:val="bottom"/>
            <w:tcBorders>
              <w:right w:val="single" w:sz="8" w:color="CCECFF"/>
            </w:tcBorders>
            <w:shd w:val="clear" w:color="auto" w:fill="CCECFF"/>
          </w:tcPr>
          <w:p>
            <w:pPr>
              <w:spacing w:after="0"/>
              <w:rPr>
                <w:sz w:val="18"/>
                <w:szCs w:val="18"/>
                <w:color w:val="auto"/>
              </w:rPr>
            </w:pPr>
          </w:p>
        </w:tc>
        <w:tc>
          <w:tcPr>
            <w:tcW w:w="200" w:type="dxa"/>
            <w:vAlign w:val="bottom"/>
            <w:shd w:val="clear" w:color="auto" w:fill="CCECFF"/>
          </w:tcPr>
          <w:p>
            <w:pPr>
              <w:jc w:val="right"/>
              <w:ind w:right="17"/>
              <w:spacing w:after="0" w:line="210" w:lineRule="exact"/>
              <w:rPr>
                <w:sz w:val="20"/>
                <w:szCs w:val="20"/>
                <w:color w:val="auto"/>
              </w:rPr>
            </w:pPr>
            <w:r>
              <w:rPr>
                <w:rFonts w:ascii="Calibri" w:cs="Calibri" w:eastAsia="Calibri" w:hAnsi="Calibri"/>
                <w:sz w:val="18"/>
                <w:szCs w:val="18"/>
                <w:color w:val="auto"/>
                <w:w w:val="87"/>
              </w:rPr>
              <w:t>$</w:t>
            </w:r>
          </w:p>
        </w:tc>
        <w:tc>
          <w:tcPr>
            <w:tcW w:w="1040" w:type="dxa"/>
            <w:vAlign w:val="bottom"/>
            <w:gridSpan w:val="2"/>
            <w:shd w:val="clear" w:color="auto" w:fill="CCECFF"/>
          </w:tcPr>
          <w:p>
            <w:pPr>
              <w:jc w:val="right"/>
              <w:ind w:right="40"/>
              <w:spacing w:after="0" w:line="210" w:lineRule="exact"/>
              <w:rPr>
                <w:sz w:val="20"/>
                <w:szCs w:val="20"/>
                <w:color w:val="auto"/>
              </w:rPr>
            </w:pPr>
            <w:r>
              <w:rPr>
                <w:rFonts w:ascii="Calibri" w:cs="Calibri" w:eastAsia="Calibri" w:hAnsi="Calibri"/>
                <w:sz w:val="18"/>
                <w:szCs w:val="18"/>
                <w:color w:val="auto"/>
              </w:rPr>
              <w:t>(707,421 )</w:t>
            </w:r>
          </w:p>
        </w:tc>
      </w:tr>
      <w:tr>
        <w:trPr>
          <w:trHeight w:val="215"/>
        </w:trPr>
        <w:tc>
          <w:tcPr>
            <w:tcW w:w="3340" w:type="dxa"/>
            <w:vAlign w:val="bottom"/>
          </w:tcPr>
          <w:p>
            <w:pPr>
              <w:ind w:left="20"/>
              <w:spacing w:after="0" w:line="215" w:lineRule="exact"/>
              <w:rPr>
                <w:sz w:val="20"/>
                <w:szCs w:val="20"/>
                <w:color w:val="auto"/>
              </w:rPr>
            </w:pPr>
            <w:r>
              <w:rPr>
                <w:rFonts w:ascii="Calibri" w:cs="Calibri" w:eastAsia="Calibri" w:hAnsi="Calibri"/>
                <w:sz w:val="18"/>
                <w:szCs w:val="18"/>
                <w:color w:val="auto"/>
              </w:rPr>
              <w:t>Other comprehensive income (loss):</w:t>
            </w:r>
          </w:p>
        </w:tc>
        <w:tc>
          <w:tcPr>
            <w:tcW w:w="3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3340" w:type="dxa"/>
            <w:vAlign w:val="bottom"/>
            <w:shd w:val="clear" w:color="auto" w:fill="CCECFF"/>
          </w:tcPr>
          <w:p>
            <w:pPr>
              <w:ind w:left="200"/>
              <w:spacing w:after="0" w:line="216" w:lineRule="exact"/>
              <w:rPr>
                <w:sz w:val="20"/>
                <w:szCs w:val="20"/>
                <w:color w:val="auto"/>
              </w:rPr>
            </w:pPr>
            <w:r>
              <w:rPr>
                <w:rFonts w:ascii="Calibri" w:cs="Calibri" w:eastAsia="Calibri" w:hAnsi="Calibri"/>
                <w:sz w:val="18"/>
                <w:szCs w:val="18"/>
                <w:color w:val="auto"/>
              </w:rPr>
              <w:t>Foreign currency translaton adjustments</w:t>
            </w:r>
          </w:p>
        </w:tc>
        <w:tc>
          <w:tcPr>
            <w:tcW w:w="380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200" w:type="dxa"/>
            <w:vAlign w:val="bottom"/>
            <w:tcBorders>
              <w:right w:val="single" w:sz="8" w:color="CCECFF"/>
            </w:tcBorders>
            <w:gridSpan w:val="2"/>
            <w:shd w:val="clear" w:color="auto" w:fill="CCECFF"/>
          </w:tcPr>
          <w:p>
            <w:pPr>
              <w:jc w:val="right"/>
              <w:ind w:right="200"/>
              <w:spacing w:after="0" w:line="216" w:lineRule="exact"/>
              <w:rPr>
                <w:sz w:val="20"/>
                <w:szCs w:val="20"/>
                <w:color w:val="auto"/>
              </w:rPr>
            </w:pPr>
            <w:r>
              <w:rPr>
                <w:rFonts w:ascii="Calibri" w:cs="Calibri" w:eastAsia="Calibri" w:hAnsi="Calibri"/>
                <w:sz w:val="18"/>
                <w:szCs w:val="18"/>
                <w:color w:val="auto"/>
              </w:rPr>
              <w:t>(1,044 )</w:t>
            </w:r>
          </w:p>
        </w:tc>
        <w:tc>
          <w:tcPr>
            <w:tcW w:w="20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239</w:t>
            </w:r>
          </w:p>
        </w:tc>
        <w:tc>
          <w:tcPr>
            <w:tcW w:w="100" w:type="dxa"/>
            <w:vAlign w:val="bottom"/>
            <w:shd w:val="clear" w:color="auto" w:fill="CCECFF"/>
          </w:tcPr>
          <w:p>
            <w:pPr>
              <w:spacing w:after="0"/>
              <w:rPr>
                <w:sz w:val="18"/>
                <w:szCs w:val="18"/>
                <w:color w:val="auto"/>
              </w:rPr>
            </w:pPr>
          </w:p>
        </w:tc>
        <w:tc>
          <w:tcPr>
            <w:tcW w:w="180" w:type="dxa"/>
            <w:vAlign w:val="bottom"/>
            <w:tcBorders>
              <w:right w:val="single" w:sz="8" w:color="CCECFF"/>
            </w:tcBorders>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040" w:type="dxa"/>
            <w:vAlign w:val="bottom"/>
            <w:gridSpan w:val="2"/>
            <w:shd w:val="clear" w:color="auto" w:fill="CCECFF"/>
          </w:tcPr>
          <w:p>
            <w:pPr>
              <w:jc w:val="right"/>
              <w:ind w:right="40"/>
              <w:spacing w:after="0" w:line="216" w:lineRule="exact"/>
              <w:rPr>
                <w:sz w:val="20"/>
                <w:szCs w:val="20"/>
                <w:color w:val="auto"/>
              </w:rPr>
            </w:pPr>
            <w:r>
              <w:rPr>
                <w:rFonts w:ascii="Calibri" w:cs="Calibri" w:eastAsia="Calibri" w:hAnsi="Calibri"/>
                <w:sz w:val="18"/>
                <w:szCs w:val="18"/>
                <w:color w:val="auto"/>
              </w:rPr>
              <w:t>(724 )</w:t>
            </w:r>
          </w:p>
        </w:tc>
      </w:tr>
      <w:tr>
        <w:trPr>
          <w:trHeight w:val="215"/>
        </w:trPr>
        <w:tc>
          <w:tcPr>
            <w:tcW w:w="7220" w:type="dxa"/>
            <w:vAlign w:val="bottom"/>
            <w:gridSpan w:val="3"/>
          </w:tcPr>
          <w:p>
            <w:pPr>
              <w:ind w:left="200"/>
              <w:spacing w:after="0" w:line="215" w:lineRule="exact"/>
              <w:rPr>
                <w:sz w:val="20"/>
                <w:szCs w:val="20"/>
                <w:color w:val="auto"/>
              </w:rPr>
            </w:pPr>
            <w:r>
              <w:rPr>
                <w:rFonts w:ascii="Calibri" w:cs="Calibri" w:eastAsia="Calibri" w:hAnsi="Calibri"/>
                <w:sz w:val="18"/>
                <w:szCs w:val="18"/>
                <w:color w:val="auto"/>
              </w:rPr>
              <w:t>Changes in unrealized gain (loss) on available-for-sale securites</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(246 )</w:t>
            </w:r>
          </w:p>
        </w:tc>
        <w:tc>
          <w:tcPr>
            <w:tcW w:w="20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6,981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(4,445 )</w:t>
            </w:r>
          </w:p>
        </w:tc>
      </w:tr>
      <w:tr>
        <w:trPr>
          <w:trHeight w:val="20"/>
        </w:trPr>
        <w:tc>
          <w:tcPr>
            <w:tcW w:w="33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340" w:type="dxa"/>
            <w:vAlign w:val="bottom"/>
            <w:shd w:val="clear" w:color="auto" w:fill="CCEEFF"/>
          </w:tcPr>
          <w:p>
            <w:pPr>
              <w:ind w:left="380"/>
              <w:spacing w:after="0" w:line="209" w:lineRule="exact"/>
              <w:rPr>
                <w:sz w:val="20"/>
                <w:szCs w:val="20"/>
                <w:color w:val="auto"/>
              </w:rPr>
            </w:pPr>
            <w:r>
              <w:rPr>
                <w:rFonts w:ascii="Calibri" w:cs="Calibri" w:eastAsia="Calibri" w:hAnsi="Calibri"/>
                <w:sz w:val="18"/>
                <w:szCs w:val="18"/>
                <w:color w:val="auto"/>
              </w:rPr>
              <w:t>Other comprehensive income (loss):</w:t>
            </w:r>
          </w:p>
        </w:tc>
        <w:tc>
          <w:tcPr>
            <w:tcW w:w="3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00"/>
              <w:spacing w:after="0" w:line="209" w:lineRule="exact"/>
              <w:rPr>
                <w:sz w:val="20"/>
                <w:szCs w:val="20"/>
                <w:color w:val="auto"/>
              </w:rPr>
            </w:pPr>
            <w:r>
              <w:rPr>
                <w:rFonts w:ascii="Calibri" w:cs="Calibri" w:eastAsia="Calibri" w:hAnsi="Calibri"/>
                <w:sz w:val="18"/>
                <w:szCs w:val="18"/>
                <w:color w:val="auto"/>
              </w:rPr>
              <w:t>(1,290 )</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209" w:lineRule="exact"/>
              <w:rPr>
                <w:sz w:val="20"/>
                <w:szCs w:val="20"/>
                <w:color w:val="auto"/>
              </w:rPr>
            </w:pPr>
            <w:r>
              <w:rPr>
                <w:rFonts w:ascii="Calibri" w:cs="Calibri" w:eastAsia="Calibri" w:hAnsi="Calibri"/>
                <w:sz w:val="18"/>
                <w:szCs w:val="18"/>
                <w:color w:val="auto"/>
              </w:rPr>
              <w:t>7,220</w:t>
            </w:r>
          </w:p>
        </w:tc>
        <w:tc>
          <w:tcPr>
            <w:tcW w:w="1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line="209" w:lineRule="exact"/>
              <w:rPr>
                <w:sz w:val="20"/>
                <w:szCs w:val="20"/>
                <w:color w:val="auto"/>
              </w:rPr>
            </w:pPr>
            <w:r>
              <w:rPr>
                <w:rFonts w:ascii="Calibri" w:cs="Calibri" w:eastAsia="Calibri" w:hAnsi="Calibri"/>
                <w:sz w:val="18"/>
                <w:szCs w:val="18"/>
                <w:color w:val="auto"/>
              </w:rPr>
              <w:t>(5,169 )</w:t>
            </w:r>
          </w:p>
        </w:tc>
      </w:tr>
      <w:tr>
        <w:trPr>
          <w:trHeight w:val="20"/>
        </w:trPr>
        <w:tc>
          <w:tcPr>
            <w:tcW w:w="3340" w:type="dxa"/>
            <w:vAlign w:val="bottom"/>
            <w:shd w:val="clear" w:color="auto" w:fill="CCEEFF"/>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340" w:type="dxa"/>
            <w:vAlign w:val="bottom"/>
          </w:tcPr>
          <w:p>
            <w:pPr>
              <w:ind w:left="560"/>
              <w:spacing w:after="0" w:line="209" w:lineRule="exact"/>
              <w:rPr>
                <w:sz w:val="20"/>
                <w:szCs w:val="20"/>
                <w:color w:val="auto"/>
              </w:rPr>
            </w:pPr>
            <w:r>
              <w:rPr>
                <w:rFonts w:ascii="Calibri" w:cs="Calibri" w:eastAsia="Calibri" w:hAnsi="Calibri"/>
                <w:sz w:val="18"/>
                <w:szCs w:val="18"/>
                <w:color w:val="auto"/>
              </w:rPr>
              <w:t>Total comprehensive loss</w:t>
            </w:r>
          </w:p>
        </w:tc>
        <w:tc>
          <w:tcPr>
            <w:tcW w:w="3880" w:type="dxa"/>
            <w:vAlign w:val="bottom"/>
            <w:gridSpan w:val="2"/>
          </w:tcPr>
          <w:p>
            <w:pPr>
              <w:spacing w:after="0"/>
              <w:rPr>
                <w:sz w:val="18"/>
                <w:szCs w:val="18"/>
                <w:color w:val="auto"/>
              </w:rPr>
            </w:pPr>
          </w:p>
        </w:tc>
        <w:tc>
          <w:tcPr>
            <w:tcW w:w="180" w:type="dxa"/>
            <w:vAlign w:val="bottom"/>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200" w:type="dxa"/>
            <w:vAlign w:val="bottom"/>
            <w:gridSpan w:val="2"/>
          </w:tcPr>
          <w:p>
            <w:pPr>
              <w:jc w:val="right"/>
              <w:ind w:right="200"/>
              <w:spacing w:after="0" w:line="209" w:lineRule="exact"/>
              <w:rPr>
                <w:sz w:val="20"/>
                <w:szCs w:val="20"/>
                <w:color w:val="auto"/>
              </w:rPr>
            </w:pPr>
            <w:r>
              <w:rPr>
                <w:rFonts w:ascii="Calibri" w:cs="Calibri" w:eastAsia="Calibri" w:hAnsi="Calibri"/>
                <w:sz w:val="18"/>
                <w:szCs w:val="18"/>
                <w:color w:val="auto"/>
              </w:rPr>
              <w:t>(570,473 )</w:t>
            </w:r>
          </w:p>
        </w:tc>
        <w:tc>
          <w:tcPr>
            <w:tcW w:w="200" w:type="dxa"/>
            <w:vAlign w:val="bottom"/>
          </w:tcPr>
          <w:p>
            <w:pPr>
              <w:jc w:val="right"/>
              <w:spacing w:after="0" w:line="209" w:lineRule="exact"/>
              <w:rPr>
                <w:sz w:val="20"/>
                <w:szCs w:val="20"/>
                <w:color w:val="auto"/>
              </w:rPr>
            </w:pPr>
            <w:r>
              <w:rPr>
                <w:rFonts w:ascii="Calibri" w:cs="Calibri" w:eastAsia="Calibri" w:hAnsi="Calibri"/>
                <w:sz w:val="18"/>
                <w:szCs w:val="18"/>
                <w:color w:val="auto"/>
              </w:rPr>
              <w:t>$</w:t>
            </w:r>
          </w:p>
        </w:tc>
        <w:tc>
          <w:tcPr>
            <w:tcW w:w="1020" w:type="dxa"/>
            <w:vAlign w:val="bottom"/>
            <w:gridSpan w:val="2"/>
          </w:tcPr>
          <w:p>
            <w:pPr>
              <w:jc w:val="right"/>
              <w:ind w:right="20"/>
              <w:spacing w:after="0" w:line="209" w:lineRule="exact"/>
              <w:rPr>
                <w:sz w:val="20"/>
                <w:szCs w:val="20"/>
                <w:color w:val="auto"/>
              </w:rPr>
            </w:pPr>
            <w:r>
              <w:rPr>
                <w:rFonts w:ascii="Calibri" w:cs="Calibri" w:eastAsia="Calibri" w:hAnsi="Calibri"/>
                <w:sz w:val="18"/>
                <w:szCs w:val="18"/>
                <w:color w:val="auto"/>
              </w:rPr>
              <w:t>(599,419 )</w:t>
            </w:r>
          </w:p>
        </w:tc>
        <w:tc>
          <w:tcPr>
            <w:tcW w:w="180" w:type="dxa"/>
            <w:vAlign w:val="bottom"/>
          </w:tcPr>
          <w:p>
            <w:pPr>
              <w:spacing w:after="0"/>
              <w:rPr>
                <w:sz w:val="18"/>
                <w:szCs w:val="18"/>
                <w:color w:val="auto"/>
              </w:rPr>
            </w:pPr>
          </w:p>
        </w:tc>
        <w:tc>
          <w:tcPr>
            <w:tcW w:w="200" w:type="dxa"/>
            <w:vAlign w:val="bottom"/>
          </w:tcPr>
          <w:p>
            <w:pPr>
              <w:jc w:val="right"/>
              <w:ind w:right="17"/>
              <w:spacing w:after="0" w:line="209" w:lineRule="exact"/>
              <w:rPr>
                <w:sz w:val="20"/>
                <w:szCs w:val="20"/>
                <w:color w:val="auto"/>
              </w:rPr>
            </w:pPr>
            <w:r>
              <w:rPr>
                <w:rFonts w:ascii="Calibri" w:cs="Calibri" w:eastAsia="Calibri" w:hAnsi="Calibri"/>
                <w:sz w:val="18"/>
                <w:szCs w:val="18"/>
                <w:color w:val="auto"/>
                <w:w w:val="87"/>
              </w:rPr>
              <w:t>$</w:t>
            </w:r>
          </w:p>
        </w:tc>
        <w:tc>
          <w:tcPr>
            <w:tcW w:w="1040" w:type="dxa"/>
            <w:vAlign w:val="bottom"/>
            <w:gridSpan w:val="2"/>
          </w:tcPr>
          <w:p>
            <w:pPr>
              <w:jc w:val="right"/>
              <w:ind w:right="40"/>
              <w:spacing w:after="0" w:line="209" w:lineRule="exact"/>
              <w:rPr>
                <w:sz w:val="20"/>
                <w:szCs w:val="20"/>
                <w:color w:val="auto"/>
              </w:rPr>
            </w:pPr>
            <w:r>
              <w:rPr>
                <w:rFonts w:ascii="Calibri" w:cs="Calibri" w:eastAsia="Calibri" w:hAnsi="Calibri"/>
                <w:sz w:val="18"/>
                <w:szCs w:val="18"/>
                <w:color w:val="auto"/>
              </w:rPr>
              <w:t>(712,590 )</w:t>
            </w:r>
          </w:p>
        </w:tc>
      </w:tr>
      <w:tr>
        <w:trPr>
          <w:trHeight w:val="20"/>
        </w:trPr>
        <w:tc>
          <w:tcPr>
            <w:tcW w:w="33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-4019550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-4019550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-4019550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-3179445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-3179445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-3179445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-2896870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-2896870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-2896870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-2588260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-2571115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-2588260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-2571115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-2588260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-2571115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 w:lineRule="exact"/>
        <w:rPr>
          <w:sz w:val="20"/>
          <w:szCs w:val="20"/>
          <w:color w:val="auto"/>
        </w:rPr>
      </w:pPr>
    </w:p>
    <w:p>
      <w:pPr>
        <w:jc w:val="center"/>
        <w:ind w:right="40"/>
        <w:spacing w:after="0"/>
        <w:rPr>
          <w:sz w:val="20"/>
          <w:szCs w:val="20"/>
          <w:color w:val="auto"/>
        </w:rPr>
      </w:pPr>
      <w:r>
        <w:rPr>
          <w:rFonts w:ascii="Calibri" w:cs="Calibri" w:eastAsia="Calibri" w:hAnsi="Calibri"/>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99" w:name="page100"/>
    <w:bookmarkEnd w:id="99"/>
    <w:p>
      <w:pPr>
        <w:jc w:val="center"/>
        <w:ind w:right="40"/>
        <w:spacing w:after="0"/>
        <w:rPr>
          <w:sz w:val="20"/>
          <w:szCs w:val="20"/>
          <w:color w:val="auto"/>
        </w:rPr>
      </w:pPr>
      <w:r>
        <w:rPr>
          <w:rFonts w:ascii="Calibri" w:cs="Calibri" w:eastAsia="Calibri" w:hAnsi="Calibri"/>
          <w:sz w:val="18"/>
          <w:szCs w:val="18"/>
          <w:b w:val="1"/>
          <w:bCs w:val="1"/>
          <w:color w:val="auto"/>
        </w:rPr>
        <w:t>ULTRAGENYX PHARMACEUTICAL INC.</w:t>
      </w:r>
    </w:p>
    <w:p>
      <w:pPr>
        <w:spacing w:after="0" w:line="77"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auto"/>
        </w:rPr>
        <w:t>CONSOLIDATED STATEMENTS OF STOCKHOLDERS’ EQUITY</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3"/>
          </w:tcPr>
          <w:p>
            <w:pPr>
              <w:jc w:val="center"/>
              <w:ind w:right="240"/>
              <w:spacing w:after="0"/>
              <w:rPr>
                <w:sz w:val="20"/>
                <w:szCs w:val="20"/>
                <w:color w:val="auto"/>
              </w:rPr>
            </w:pPr>
            <w:r>
              <w:rPr>
                <w:rFonts w:ascii="Calibri" w:cs="Calibri" w:eastAsia="Calibri" w:hAnsi="Calibri"/>
                <w:sz w:val="14"/>
                <w:szCs w:val="14"/>
                <w:b w:val="1"/>
                <w:bCs w:val="1"/>
                <w:color w:val="auto"/>
              </w:rPr>
              <w:t>Accumulate</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360"/>
              <w:spacing w:after="0"/>
              <w:rPr>
                <w:sz w:val="20"/>
                <w:szCs w:val="20"/>
                <w:color w:val="auto"/>
              </w:rPr>
            </w:pPr>
            <w:r>
              <w:rPr>
                <w:rFonts w:ascii="Calibri" w:cs="Calibri" w:eastAsia="Calibri" w:hAnsi="Calibri"/>
                <w:sz w:val="14"/>
                <w:szCs w:val="14"/>
                <w:b w:val="1"/>
                <w:bCs w:val="1"/>
                <w:color w:val="auto"/>
              </w:rPr>
              <w:t>d</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40" w:type="dxa"/>
            <w:vAlign w:val="bottom"/>
          </w:tcPr>
          <w:p>
            <w:pPr>
              <w:ind w:left="280"/>
              <w:spacing w:after="0"/>
              <w:rPr>
                <w:sz w:val="20"/>
                <w:szCs w:val="20"/>
                <w:color w:val="auto"/>
              </w:rPr>
            </w:pPr>
            <w:r>
              <w:rPr>
                <w:rFonts w:ascii="Calibri" w:cs="Calibri" w:eastAsia="Calibri" w:hAnsi="Calibri"/>
                <w:sz w:val="14"/>
                <w:szCs w:val="14"/>
                <w:b w:val="1"/>
                <w:bCs w:val="1"/>
                <w:color w:val="auto"/>
              </w:rPr>
              <w:t>(In thousands, except share amounts)</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360"/>
              <w:spacing w:after="0"/>
              <w:rPr>
                <w:sz w:val="20"/>
                <w:szCs w:val="20"/>
                <w:color w:val="auto"/>
              </w:rPr>
            </w:pPr>
            <w:r>
              <w:rPr>
                <w:rFonts w:ascii="Calibri" w:cs="Calibri" w:eastAsia="Calibri" w:hAnsi="Calibri"/>
                <w:sz w:val="14"/>
                <w:szCs w:val="14"/>
                <w:b w:val="1"/>
                <w:bCs w:val="1"/>
                <w:color w:val="auto"/>
              </w:rPr>
              <w:t>Other</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68"/>
              <w:spacing w:after="0"/>
              <w:rPr>
                <w:sz w:val="20"/>
                <w:szCs w:val="20"/>
                <w:color w:val="auto"/>
              </w:rPr>
            </w:pPr>
            <w:r>
              <w:rPr>
                <w:rFonts w:ascii="Calibri" w:cs="Calibri" w:eastAsia="Calibri" w:hAnsi="Calibri"/>
                <w:sz w:val="14"/>
                <w:szCs w:val="14"/>
                <w:b w:val="1"/>
                <w:bCs w:val="1"/>
                <w:color w:val="auto"/>
              </w:rPr>
              <w:t>Deferred</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center"/>
              <w:ind w:right="280"/>
              <w:spacing w:after="0"/>
              <w:rPr>
                <w:sz w:val="20"/>
                <w:szCs w:val="20"/>
                <w:color w:val="auto"/>
              </w:rPr>
            </w:pPr>
            <w:r>
              <w:rPr>
                <w:rFonts w:ascii="Calibri" w:cs="Calibri" w:eastAsia="Calibri" w:hAnsi="Calibri"/>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040" w:type="dxa"/>
            <w:vAlign w:val="bottom"/>
          </w:tcPr>
          <w:p>
            <w:pPr>
              <w:spacing w:after="0"/>
              <w:rPr>
                <w:sz w:val="15"/>
                <w:szCs w:val="15"/>
                <w:color w:val="auto"/>
              </w:rPr>
            </w:pPr>
          </w:p>
        </w:tc>
        <w:tc>
          <w:tcPr>
            <w:tcW w:w="1900" w:type="dxa"/>
            <w:vAlign w:val="bottom"/>
            <w:gridSpan w:val="4"/>
            <w:vMerge w:val="restart"/>
          </w:tcPr>
          <w:p>
            <w:pPr>
              <w:jc w:val="right"/>
              <w:ind w:right="428"/>
              <w:spacing w:after="0"/>
              <w:rPr>
                <w:sz w:val="20"/>
                <w:szCs w:val="20"/>
                <w:color w:val="auto"/>
              </w:rPr>
            </w:pPr>
            <w:r>
              <w:rPr>
                <w:rFonts w:ascii="Calibri" w:cs="Calibri" w:eastAsia="Calibri" w:hAnsi="Calibri"/>
                <w:sz w:val="14"/>
                <w:szCs w:val="14"/>
                <w:b w:val="1"/>
                <w:bCs w:val="1"/>
                <w:color w:val="auto"/>
              </w:rPr>
              <w:t>Common Stock</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28"/>
              <w:spacing w:after="0"/>
              <w:rPr>
                <w:sz w:val="20"/>
                <w:szCs w:val="20"/>
                <w:color w:val="auto"/>
              </w:rPr>
            </w:pPr>
            <w:r>
              <w:rPr>
                <w:rFonts w:ascii="Calibri" w:cs="Calibri" w:eastAsia="Calibri" w:hAnsi="Calibri"/>
                <w:sz w:val="14"/>
                <w:szCs w:val="14"/>
                <w:b w:val="1"/>
                <w:bCs w:val="1"/>
                <w:color w:val="auto"/>
              </w:rPr>
              <w:t>Additonal</w:t>
            </w:r>
          </w:p>
        </w:tc>
        <w:tc>
          <w:tcPr>
            <w:tcW w:w="220" w:type="dxa"/>
            <w:vAlign w:val="bottom"/>
          </w:tcPr>
          <w:p>
            <w:pPr>
              <w:spacing w:after="0"/>
              <w:rPr>
                <w:sz w:val="15"/>
                <w:szCs w:val="15"/>
                <w:color w:val="auto"/>
              </w:rPr>
            </w:pPr>
          </w:p>
        </w:tc>
        <w:tc>
          <w:tcPr>
            <w:tcW w:w="1040" w:type="dxa"/>
            <w:vAlign w:val="bottom"/>
            <w:gridSpan w:val="3"/>
          </w:tcPr>
          <w:p>
            <w:pPr>
              <w:jc w:val="center"/>
              <w:ind w:right="240"/>
              <w:spacing w:after="0"/>
              <w:rPr>
                <w:sz w:val="20"/>
                <w:szCs w:val="20"/>
                <w:color w:val="auto"/>
              </w:rPr>
            </w:pPr>
            <w:r>
              <w:rPr>
                <w:rFonts w:ascii="Calibri" w:cs="Calibri" w:eastAsia="Calibri" w:hAnsi="Calibri"/>
                <w:sz w:val="14"/>
                <w:szCs w:val="14"/>
                <w:b w:val="1"/>
                <w:bCs w:val="1"/>
                <w:color w:val="auto"/>
              </w:rPr>
              <w:t>Comprehens</w:t>
            </w:r>
          </w:p>
        </w:tc>
        <w:tc>
          <w:tcPr>
            <w:tcW w:w="102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Accumulate</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center"/>
              <w:spacing w:after="0"/>
              <w:rPr>
                <w:sz w:val="20"/>
                <w:szCs w:val="20"/>
                <w:color w:val="auto"/>
              </w:rPr>
            </w:pPr>
            <w:r>
              <w:rPr>
                <w:rFonts w:ascii="Calibri" w:cs="Calibri" w:eastAsia="Calibri" w:hAnsi="Calibri"/>
                <w:sz w:val="14"/>
                <w:szCs w:val="14"/>
                <w:b w:val="1"/>
                <w:bCs w:val="1"/>
                <w:color w:val="auto"/>
              </w:rPr>
              <w:t>Compensat</w:t>
            </w:r>
          </w:p>
        </w:tc>
        <w:tc>
          <w:tcPr>
            <w:tcW w:w="220" w:type="dxa"/>
            <w:vAlign w:val="bottom"/>
          </w:tcPr>
          <w:p>
            <w:pPr>
              <w:spacing w:after="0"/>
              <w:rPr>
                <w:sz w:val="15"/>
                <w:szCs w:val="15"/>
                <w:color w:val="auto"/>
              </w:rPr>
            </w:pPr>
          </w:p>
        </w:tc>
        <w:tc>
          <w:tcPr>
            <w:tcW w:w="940" w:type="dxa"/>
            <w:vAlign w:val="bottom"/>
            <w:gridSpan w:val="3"/>
          </w:tcPr>
          <w:p>
            <w:pPr>
              <w:ind w:left="20"/>
              <w:spacing w:after="0"/>
              <w:rPr>
                <w:sz w:val="20"/>
                <w:szCs w:val="20"/>
                <w:color w:val="auto"/>
              </w:rPr>
            </w:pPr>
            <w:r>
              <w:rPr>
                <w:rFonts w:ascii="Calibri" w:cs="Calibri" w:eastAsia="Calibri" w:hAnsi="Calibri"/>
                <w:sz w:val="14"/>
                <w:szCs w:val="14"/>
                <w:b w:val="1"/>
                <w:bCs w:val="1"/>
                <w:color w:val="auto"/>
              </w:rPr>
              <w:t>Stockholders</w:t>
            </w:r>
          </w:p>
        </w:tc>
        <w:tc>
          <w:tcPr>
            <w:tcW w:w="0" w:type="dxa"/>
            <w:vAlign w:val="bottom"/>
          </w:tcPr>
          <w:p>
            <w:pPr>
              <w:spacing w:after="0"/>
              <w:rPr>
                <w:sz w:val="1"/>
                <w:szCs w:val="1"/>
                <w:color w:val="auto"/>
              </w:rPr>
            </w:pPr>
          </w:p>
        </w:tc>
      </w:tr>
      <w:tr>
        <w:trPr>
          <w:trHeight w:val="180"/>
        </w:trPr>
        <w:tc>
          <w:tcPr>
            <w:tcW w:w="3040" w:type="dxa"/>
            <w:vAlign w:val="bottom"/>
          </w:tcPr>
          <w:p>
            <w:pPr>
              <w:spacing w:after="0"/>
              <w:rPr>
                <w:sz w:val="15"/>
                <w:szCs w:val="15"/>
                <w:color w:val="auto"/>
              </w:rPr>
            </w:pPr>
          </w:p>
        </w:tc>
        <w:tc>
          <w:tcPr>
            <w:tcW w:w="1900" w:type="dxa"/>
            <w:vAlign w:val="bottom"/>
            <w:tcBorders>
              <w:bottom w:val="single" w:sz="8" w:color="auto"/>
            </w:tcBorders>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28"/>
              <w:spacing w:after="0"/>
              <w:rPr>
                <w:sz w:val="20"/>
                <w:szCs w:val="20"/>
                <w:color w:val="auto"/>
              </w:rPr>
            </w:pPr>
            <w:r>
              <w:rPr>
                <w:rFonts w:ascii="Calibri" w:cs="Calibri" w:eastAsia="Calibri" w:hAnsi="Calibri"/>
                <w:sz w:val="14"/>
                <w:szCs w:val="14"/>
                <w:b w:val="1"/>
                <w:bCs w:val="1"/>
                <w:color w:val="auto"/>
              </w:rPr>
              <w:t>Paid-In</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380"/>
              <w:spacing w:after="0"/>
              <w:rPr>
                <w:sz w:val="20"/>
                <w:szCs w:val="20"/>
                <w:color w:val="auto"/>
              </w:rPr>
            </w:pPr>
            <w:r>
              <w:rPr>
                <w:rFonts w:ascii="Calibri" w:cs="Calibri" w:eastAsia="Calibri" w:hAnsi="Calibri"/>
                <w:sz w:val="14"/>
                <w:szCs w:val="14"/>
                <w:b w:val="1"/>
                <w:bCs w:val="1"/>
                <w:color w:val="auto"/>
              </w:rPr>
              <w:t>ive</w:t>
            </w:r>
          </w:p>
        </w:tc>
        <w:tc>
          <w:tcPr>
            <w:tcW w:w="102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w w:val="79"/>
              </w:rPr>
              <w:t>d</w:t>
            </w:r>
          </w:p>
        </w:tc>
        <w:tc>
          <w:tcPr>
            <w:tcW w:w="12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Calibri" w:cs="Calibri" w:eastAsia="Calibri" w:hAnsi="Calibri"/>
                <w:sz w:val="14"/>
                <w:szCs w:val="14"/>
                <w:b w:val="1"/>
                <w:bCs w:val="1"/>
                <w:color w:val="auto"/>
              </w:rPr>
              <w:t>Treasury</w:t>
            </w:r>
          </w:p>
        </w:tc>
        <w:tc>
          <w:tcPr>
            <w:tcW w:w="100" w:type="dxa"/>
            <w:vAlign w:val="bottom"/>
          </w:tcPr>
          <w:p>
            <w:pPr>
              <w:spacing w:after="0"/>
              <w:rPr>
                <w:sz w:val="15"/>
                <w:szCs w:val="15"/>
                <w:color w:val="auto"/>
              </w:rPr>
            </w:pPr>
          </w:p>
        </w:tc>
        <w:tc>
          <w:tcPr>
            <w:tcW w:w="720" w:type="dxa"/>
            <w:vAlign w:val="bottom"/>
          </w:tcPr>
          <w:p>
            <w:pPr>
              <w:jc w:val="center"/>
              <w:ind w:right="28"/>
              <w:spacing w:after="0"/>
              <w:rPr>
                <w:sz w:val="20"/>
                <w:szCs w:val="20"/>
                <w:color w:val="auto"/>
              </w:rPr>
            </w:pPr>
            <w:r>
              <w:rPr>
                <w:rFonts w:ascii="Calibri" w:cs="Calibri" w:eastAsia="Calibri" w:hAnsi="Calibri"/>
                <w:sz w:val="14"/>
                <w:szCs w:val="14"/>
                <w:b w:val="1"/>
                <w:bCs w:val="1"/>
                <w:color w:val="auto"/>
                <w:w w:val="92"/>
              </w:rPr>
              <w:t>on</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center"/>
              <w:ind w:right="109"/>
              <w:spacing w:after="0"/>
              <w:rPr>
                <w:sz w:val="20"/>
                <w:szCs w:val="20"/>
                <w:color w:val="auto"/>
              </w:rPr>
            </w:pPr>
            <w:r>
              <w:rPr>
                <w:rFonts w:ascii="Calibri" w:cs="Calibri" w:eastAsia="Calibri" w:hAnsi="Calibri"/>
                <w:sz w:val="11"/>
                <w:szCs w:val="11"/>
                <w:b w:val="1"/>
                <w:bCs w:val="1"/>
                <w:color w:val="auto"/>
                <w:w w:val="76"/>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040" w:type="dxa"/>
            <w:vAlign w:val="bottom"/>
          </w:tcPr>
          <w:p>
            <w:pPr>
              <w:spacing w:after="0"/>
              <w:rPr>
                <w:sz w:val="13"/>
                <w:szCs w:val="13"/>
                <w:color w:val="auto"/>
              </w:rPr>
            </w:pPr>
          </w:p>
        </w:tc>
        <w:tc>
          <w:tcPr>
            <w:tcW w:w="860" w:type="dxa"/>
            <w:vAlign w:val="bottom"/>
            <w:vMerge w:val="restart"/>
          </w:tcPr>
          <w:p>
            <w:pPr>
              <w:jc w:val="right"/>
              <w:ind w:right="148"/>
              <w:spacing w:after="0"/>
              <w:rPr>
                <w:sz w:val="20"/>
                <w:szCs w:val="20"/>
                <w:color w:val="auto"/>
              </w:rPr>
            </w:pPr>
            <w:r>
              <w:rPr>
                <w:rFonts w:ascii="Calibri" w:cs="Calibri" w:eastAsia="Calibri" w:hAnsi="Calibri"/>
                <w:sz w:val="14"/>
                <w:szCs w:val="14"/>
                <w:b w:val="1"/>
                <w:bCs w:val="1"/>
                <w:color w:val="auto"/>
              </w:rPr>
              <w:t>Shares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ind w:right="108"/>
              <w:spacing w:after="0"/>
              <w:rPr>
                <w:sz w:val="20"/>
                <w:szCs w:val="20"/>
                <w:color w:val="auto"/>
              </w:rPr>
            </w:pPr>
            <w:r>
              <w:rPr>
                <w:rFonts w:ascii="Calibri" w:cs="Calibri" w:eastAsia="Calibri" w:hAnsi="Calibri"/>
                <w:sz w:val="14"/>
                <w:szCs w:val="14"/>
                <w:b w:val="1"/>
                <w:bCs w:val="1"/>
                <w:color w:val="auto"/>
              </w:rPr>
              <w:t>Amount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vMerge w:val="restart"/>
          </w:tcPr>
          <w:p>
            <w:pPr>
              <w:jc w:val="right"/>
              <w:ind w:right="128"/>
              <w:spacing w:after="0"/>
              <w:rPr>
                <w:sz w:val="20"/>
                <w:szCs w:val="20"/>
                <w:color w:val="auto"/>
              </w:rPr>
            </w:pPr>
            <w:r>
              <w:rPr>
                <w:rFonts w:ascii="Calibri" w:cs="Calibri" w:eastAsia="Calibri" w:hAnsi="Calibri"/>
                <w:sz w:val="14"/>
                <w:szCs w:val="14"/>
                <w:b w:val="1"/>
                <w:bCs w:val="1"/>
                <w:color w:val="auto"/>
              </w:rPr>
              <w:t>Capital</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400"/>
              <w:spacing w:after="0" w:line="156" w:lineRule="exact"/>
              <w:rPr>
                <w:sz w:val="20"/>
                <w:szCs w:val="20"/>
                <w:color w:val="auto"/>
              </w:rPr>
            </w:pPr>
            <w:r>
              <w:rPr>
                <w:rFonts w:ascii="Calibri" w:cs="Calibri" w:eastAsia="Calibri" w:hAnsi="Calibri"/>
                <w:sz w:val="14"/>
                <w:szCs w:val="14"/>
                <w:b w:val="1"/>
                <w:bCs w:val="1"/>
                <w:color w:val="auto"/>
              </w:rPr>
              <w:t>Income</w:t>
            </w:r>
          </w:p>
        </w:tc>
        <w:tc>
          <w:tcPr>
            <w:tcW w:w="1020" w:type="dxa"/>
            <w:vAlign w:val="bottom"/>
            <w:gridSpan w:val="2"/>
            <w:vMerge w:val="restart"/>
          </w:tcPr>
          <w:p>
            <w:pPr>
              <w:jc w:val="center"/>
              <w:ind w:right="240"/>
              <w:spacing w:after="0"/>
              <w:rPr>
                <w:sz w:val="20"/>
                <w:szCs w:val="20"/>
                <w:color w:val="auto"/>
              </w:rPr>
            </w:pPr>
            <w:r>
              <w:rPr>
                <w:rFonts w:ascii="Calibri" w:cs="Calibri" w:eastAsia="Calibri" w:hAnsi="Calibri"/>
                <w:sz w:val="14"/>
                <w:szCs w:val="14"/>
                <w:b w:val="1"/>
                <w:bCs w:val="1"/>
                <w:color w:val="auto"/>
              </w:rPr>
              <w:t>Defcit</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vMerge w:val="restart"/>
          </w:tcPr>
          <w:p>
            <w:pPr>
              <w:jc w:val="center"/>
              <w:ind w:right="280"/>
              <w:spacing w:after="0"/>
              <w:rPr>
                <w:sz w:val="20"/>
                <w:szCs w:val="20"/>
                <w:color w:val="auto"/>
              </w:rPr>
            </w:pPr>
            <w:r>
              <w:rPr>
                <w:rFonts w:ascii="Calibri" w:cs="Calibri" w:eastAsia="Calibri" w:hAnsi="Calibri"/>
                <w:sz w:val="14"/>
                <w:szCs w:val="14"/>
                <w:b w:val="1"/>
                <w:bCs w:val="1"/>
                <w:color w:val="auto"/>
              </w:rPr>
              <w:t>Equity</w:t>
            </w:r>
          </w:p>
        </w:tc>
        <w:tc>
          <w:tcPr>
            <w:tcW w:w="0" w:type="dxa"/>
            <w:vAlign w:val="bottom"/>
          </w:tcPr>
          <w:p>
            <w:pPr>
              <w:spacing w:after="0"/>
              <w:rPr>
                <w:sz w:val="1"/>
                <w:szCs w:val="1"/>
                <w:color w:val="auto"/>
              </w:rPr>
            </w:pPr>
          </w:p>
        </w:tc>
      </w:tr>
      <w:tr>
        <w:trPr>
          <w:trHeight w:val="81"/>
        </w:trPr>
        <w:tc>
          <w:tcPr>
            <w:tcW w:w="304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restart"/>
          </w:tcPr>
          <w:p>
            <w:pPr>
              <w:jc w:val="center"/>
              <w:ind w:right="68"/>
              <w:spacing w:after="0"/>
              <w:rPr>
                <w:sz w:val="20"/>
                <w:szCs w:val="20"/>
                <w:color w:val="auto"/>
              </w:rPr>
            </w:pPr>
            <w:r>
              <w:rPr>
                <w:rFonts w:ascii="Calibri" w:cs="Calibri" w:eastAsia="Calibri" w:hAnsi="Calibri"/>
                <w:sz w:val="14"/>
                <w:szCs w:val="14"/>
                <w:b w:val="1"/>
                <w:bCs w:val="1"/>
                <w:color w:val="auto"/>
              </w:rPr>
              <w:t>(Loss)</w:t>
            </w:r>
          </w:p>
        </w:tc>
        <w:tc>
          <w:tcPr>
            <w:tcW w:w="240" w:type="dxa"/>
            <w:vAlign w:val="bottom"/>
            <w:vMerge w:val="restart"/>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restart"/>
          </w:tcPr>
          <w:p>
            <w:pPr>
              <w:jc w:val="right"/>
              <w:ind w:right="168"/>
              <w:spacing w:after="0"/>
              <w:rPr>
                <w:sz w:val="20"/>
                <w:szCs w:val="20"/>
                <w:color w:val="auto"/>
              </w:rPr>
            </w:pPr>
            <w:r>
              <w:rPr>
                <w:rFonts w:ascii="Calibri" w:cs="Calibri" w:eastAsia="Calibri" w:hAnsi="Calibri"/>
                <w:sz w:val="14"/>
                <w:szCs w:val="14"/>
                <w:b w:val="1"/>
                <w:bCs w:val="1"/>
                <w:color w:val="auto"/>
              </w:rPr>
              <w:t>Stock</w:t>
            </w:r>
          </w:p>
        </w:tc>
        <w:tc>
          <w:tcPr>
            <w:tcW w:w="22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restart"/>
          </w:tcPr>
          <w:p>
            <w:pPr>
              <w:jc w:val="center"/>
              <w:ind w:right="28"/>
              <w:spacing w:after="0"/>
              <w:rPr>
                <w:sz w:val="20"/>
                <w:szCs w:val="20"/>
                <w:color w:val="auto"/>
              </w:rPr>
            </w:pPr>
            <w:r>
              <w:rPr>
                <w:rFonts w:ascii="Calibri" w:cs="Calibri" w:eastAsia="Calibri" w:hAnsi="Calibri"/>
                <w:sz w:val="14"/>
                <w:szCs w:val="14"/>
                <w:b w:val="1"/>
                <w:bCs w:val="1"/>
                <w:color w:val="auto"/>
              </w:rPr>
              <w:t>Obligaton</w:t>
            </w: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04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3040" w:type="dxa"/>
            <w:vAlign w:val="bottom"/>
            <w:shd w:val="clear" w:color="auto" w:fill="CCEEFF"/>
          </w:tcPr>
          <w:p>
            <w:pPr>
              <w:ind w:left="20"/>
              <w:spacing w:after="0"/>
              <w:rPr>
                <w:sz w:val="20"/>
                <w:szCs w:val="20"/>
                <w:color w:val="auto"/>
              </w:rPr>
            </w:pPr>
            <w:r>
              <w:rPr>
                <w:rFonts w:ascii="Calibri" w:cs="Calibri" w:eastAsia="Calibri" w:hAnsi="Calibri"/>
                <w:sz w:val="14"/>
                <w:szCs w:val="14"/>
                <w:color w:val="auto"/>
              </w:rPr>
              <w:t>Balance as of December 31, 2021</w:t>
            </w:r>
          </w:p>
        </w:tc>
        <w:tc>
          <w:tcPr>
            <w:tcW w:w="8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69,344,998</w:t>
            </w:r>
          </w:p>
        </w:tc>
        <w:tc>
          <w:tcPr>
            <w:tcW w:w="340" w:type="dxa"/>
            <w:vAlign w:val="bottom"/>
            <w:gridSpan w:val="2"/>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7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69</w:t>
            </w:r>
          </w:p>
        </w:tc>
        <w:tc>
          <w:tcPr>
            <w:tcW w:w="300" w:type="dxa"/>
            <w:vAlign w:val="bottom"/>
            <w:gridSpan w:val="2"/>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7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2,997,497</w:t>
            </w:r>
          </w:p>
        </w:tc>
        <w:tc>
          <w:tcPr>
            <w:tcW w:w="340" w:type="dxa"/>
            <w:vAlign w:val="bottom"/>
            <w:gridSpan w:val="2"/>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920" w:type="dxa"/>
            <w:vAlign w:val="bottom"/>
            <w:gridSpan w:val="2"/>
            <w:shd w:val="clear" w:color="auto" w:fill="CCEEFF"/>
          </w:tcPr>
          <w:p>
            <w:pPr>
              <w:jc w:val="right"/>
              <w:ind w:right="180"/>
              <w:spacing w:after="0"/>
              <w:rPr>
                <w:sz w:val="20"/>
                <w:szCs w:val="20"/>
                <w:color w:val="auto"/>
              </w:rPr>
            </w:pPr>
            <w:r>
              <w:rPr>
                <w:rFonts w:ascii="Calibri" w:cs="Calibri" w:eastAsia="Calibri" w:hAnsi="Calibri"/>
                <w:sz w:val="14"/>
                <w:szCs w:val="14"/>
                <w:color w:val="auto"/>
              </w:rPr>
              <w:t>(1,404 )</w:t>
            </w:r>
          </w:p>
        </w:tc>
        <w:tc>
          <w:tcPr>
            <w:tcW w:w="102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4"/>
                <w:szCs w:val="14"/>
                <w:color w:val="auto"/>
              </w:rPr>
              <w:t>$ (2,073,601 )</w:t>
            </w:r>
          </w:p>
        </w:tc>
        <w:tc>
          <w:tcPr>
            <w:tcW w:w="1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w w:val="83"/>
              </w:rPr>
              <w:t>$</w:t>
            </w:r>
          </w:p>
        </w:tc>
        <w:tc>
          <w:tcPr>
            <w:tcW w:w="900" w:type="dxa"/>
            <w:vAlign w:val="bottom"/>
            <w:gridSpan w:val="2"/>
            <w:shd w:val="clear" w:color="auto" w:fill="CCEEFF"/>
          </w:tcPr>
          <w:p>
            <w:pPr>
              <w:jc w:val="right"/>
              <w:ind w:right="240"/>
              <w:spacing w:after="0"/>
              <w:rPr>
                <w:sz w:val="20"/>
                <w:szCs w:val="20"/>
                <w:color w:val="auto"/>
              </w:rPr>
            </w:pPr>
            <w:r>
              <w:rPr>
                <w:rFonts w:ascii="Calibri" w:cs="Calibri" w:eastAsia="Calibri" w:hAnsi="Calibri"/>
                <w:sz w:val="14"/>
                <w:szCs w:val="14"/>
                <w:color w:val="auto"/>
              </w:rPr>
              <w:t>—</w:t>
            </w:r>
          </w:p>
        </w:tc>
        <w:tc>
          <w:tcPr>
            <w:tcW w:w="1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7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380" w:type="dxa"/>
            <w:vAlign w:val="bottom"/>
            <w:gridSpan w:val="2"/>
            <w:shd w:val="clear" w:color="auto" w:fill="CCEEFF"/>
          </w:tcPr>
          <w:p>
            <w:pPr>
              <w:ind w:left="220"/>
              <w:spacing w:after="0"/>
              <w:rPr>
                <w:sz w:val="20"/>
                <w:szCs w:val="20"/>
                <w:color w:val="auto"/>
              </w:rPr>
            </w:pPr>
            <w:r>
              <w:rPr>
                <w:rFonts w:ascii="Calibri" w:cs="Calibri" w:eastAsia="Calibri" w:hAnsi="Calibri"/>
                <w:sz w:val="14"/>
                <w:szCs w:val="14"/>
                <w:color w:val="auto"/>
              </w:rPr>
              <w:t>$</w:t>
            </w:r>
          </w:p>
        </w:tc>
        <w:tc>
          <w:tcPr>
            <w:tcW w:w="68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922,561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040" w:type="dxa"/>
            <w:vAlign w:val="bottom"/>
          </w:tcPr>
          <w:p>
            <w:pPr>
              <w:ind w:left="160"/>
              <w:spacing w:after="0"/>
              <w:rPr>
                <w:sz w:val="20"/>
                <w:szCs w:val="20"/>
                <w:color w:val="auto"/>
              </w:rPr>
            </w:pPr>
            <w:r>
              <w:rPr>
                <w:rFonts w:ascii="Calibri" w:cs="Calibri" w:eastAsia="Calibri" w:hAnsi="Calibri"/>
                <w:sz w:val="14"/>
                <w:szCs w:val="14"/>
                <w:color w:val="auto"/>
              </w:rPr>
              <w:t>Stock-based compensaton</w:t>
            </w:r>
          </w:p>
        </w:tc>
        <w:tc>
          <w:tcPr>
            <w:tcW w:w="8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alibri" w:cs="Calibri" w:eastAsia="Calibri" w:hAnsi="Calibri"/>
                <w:sz w:val="14"/>
                <w:szCs w:val="14"/>
                <w:color w:val="auto"/>
              </w:rPr>
              <w:t>131,710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Calibri" w:cs="Calibri" w:eastAsia="Calibri" w:hAnsi="Calibri"/>
                <w:sz w:val="14"/>
                <w:szCs w:val="14"/>
                <w:color w:val="auto"/>
              </w:rPr>
              <w:t>—</w:t>
            </w:r>
          </w:p>
        </w:tc>
        <w:tc>
          <w:tcPr>
            <w:tcW w:w="1020" w:type="dxa"/>
            <w:vAlign w:val="bottom"/>
            <w:gridSpan w:val="2"/>
          </w:tcPr>
          <w:p>
            <w:pPr>
              <w:jc w:val="right"/>
              <w:ind w:right="26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131,710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3040" w:type="dxa"/>
            <w:vAlign w:val="bottom"/>
            <w:shd w:val="clear" w:color="auto" w:fill="CCEEFF"/>
          </w:tcPr>
          <w:p>
            <w:pPr>
              <w:ind w:left="160"/>
              <w:spacing w:after="0" w:line="164" w:lineRule="exact"/>
              <w:rPr>
                <w:sz w:val="20"/>
                <w:szCs w:val="20"/>
                <w:color w:val="auto"/>
              </w:rPr>
            </w:pPr>
            <w:r>
              <w:rPr>
                <w:rFonts w:ascii="Calibri" w:cs="Calibri" w:eastAsia="Calibri" w:hAnsi="Calibri"/>
                <w:sz w:val="14"/>
                <w:szCs w:val="14"/>
                <w:color w:val="auto"/>
              </w:rPr>
              <w:t>Issuance of common stock under</w:t>
            </w: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40" w:type="dxa"/>
            <w:vAlign w:val="bottom"/>
            <w:tcBorders>
              <w:bottom w:val="single" w:sz="8" w:color="CCEEFF"/>
            </w:tcBorders>
            <w:shd w:val="clear" w:color="auto" w:fill="CCEEFF"/>
          </w:tcPr>
          <w:p>
            <w:pPr>
              <w:ind w:left="260"/>
              <w:spacing w:after="0"/>
              <w:rPr>
                <w:sz w:val="20"/>
                <w:szCs w:val="20"/>
                <w:color w:val="auto"/>
              </w:rPr>
            </w:pPr>
            <w:r>
              <w:rPr>
                <w:rFonts w:ascii="Calibri" w:cs="Calibri" w:eastAsia="Calibri" w:hAnsi="Calibri"/>
                <w:sz w:val="14"/>
                <w:szCs w:val="14"/>
                <w:color w:val="auto"/>
              </w:rPr>
              <w:t>equity plan awards, net of tax</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852,299</w:t>
            </w:r>
          </w:p>
        </w:tc>
        <w:tc>
          <w:tcPr>
            <w:tcW w:w="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w:t>
            </w: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10,812</w:t>
            </w:r>
          </w:p>
        </w:tc>
        <w:tc>
          <w:tcPr>
            <w:tcW w:w="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Calibri" w:cs="Calibri" w:eastAsia="Calibri" w:hAnsi="Calibri"/>
                <w:sz w:val="14"/>
                <w:szCs w:val="14"/>
                <w:color w:val="auto"/>
              </w:rPr>
              <w:t>—</w:t>
            </w: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Calibri" w:cs="Calibri" w:eastAsia="Calibri" w:hAnsi="Calibri"/>
                <w:sz w:val="14"/>
                <w:szCs w:val="14"/>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10,813</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040" w:type="dxa"/>
            <w:vAlign w:val="bottom"/>
          </w:tcPr>
          <w:p>
            <w:pPr>
              <w:ind w:left="160"/>
              <w:spacing w:after="0"/>
              <w:rPr>
                <w:sz w:val="20"/>
                <w:szCs w:val="20"/>
                <w:color w:val="auto"/>
              </w:rPr>
            </w:pPr>
            <w:r>
              <w:rPr>
                <w:rFonts w:ascii="Calibri" w:cs="Calibri" w:eastAsia="Calibri" w:hAnsi="Calibri"/>
                <w:sz w:val="14"/>
                <w:szCs w:val="14"/>
                <w:color w:val="auto"/>
              </w:rPr>
              <w:t>Other comprehensive loss</w:t>
            </w:r>
          </w:p>
        </w:tc>
        <w:tc>
          <w:tcPr>
            <w:tcW w:w="8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Calibri" w:cs="Calibri" w:eastAsia="Calibri" w:hAnsi="Calibri"/>
                <w:sz w:val="14"/>
                <w:szCs w:val="14"/>
                <w:color w:val="auto"/>
              </w:rPr>
              <w:t>(5,169 )</w:t>
            </w:r>
          </w:p>
        </w:tc>
        <w:tc>
          <w:tcPr>
            <w:tcW w:w="1020" w:type="dxa"/>
            <w:vAlign w:val="bottom"/>
            <w:gridSpan w:val="2"/>
          </w:tcPr>
          <w:p>
            <w:pPr>
              <w:jc w:val="right"/>
              <w:ind w:right="26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Calibri" w:cs="Calibri" w:eastAsia="Calibri" w:hAnsi="Calibri"/>
                <w:sz w:val="14"/>
                <w:szCs w:val="14"/>
                <w:color w:val="auto"/>
              </w:rPr>
              <w:t>(5,169 )</w:t>
            </w:r>
          </w:p>
        </w:tc>
        <w:tc>
          <w:tcPr>
            <w:tcW w:w="0" w:type="dxa"/>
            <w:vAlign w:val="bottom"/>
          </w:tcPr>
          <w:p>
            <w:pPr>
              <w:spacing w:after="0"/>
              <w:rPr>
                <w:sz w:val="1"/>
                <w:szCs w:val="1"/>
                <w:color w:val="auto"/>
              </w:rPr>
            </w:pPr>
          </w:p>
        </w:tc>
      </w:tr>
      <w:tr>
        <w:trPr>
          <w:trHeight w:val="175"/>
        </w:trPr>
        <w:tc>
          <w:tcPr>
            <w:tcW w:w="3040" w:type="dxa"/>
            <w:vAlign w:val="bottom"/>
            <w:shd w:val="clear" w:color="auto" w:fill="CCEEFF"/>
          </w:tcPr>
          <w:p>
            <w:pPr>
              <w:ind w:left="160"/>
              <w:spacing w:after="0"/>
              <w:rPr>
                <w:sz w:val="20"/>
                <w:szCs w:val="20"/>
                <w:color w:val="auto"/>
              </w:rPr>
            </w:pPr>
            <w:r>
              <w:rPr>
                <w:rFonts w:ascii="Calibri" w:cs="Calibri" w:eastAsia="Calibri" w:hAnsi="Calibri"/>
                <w:sz w:val="14"/>
                <w:szCs w:val="14"/>
                <w:color w:val="auto"/>
              </w:rPr>
              <w:t>Net loss</w:t>
            </w:r>
          </w:p>
        </w:tc>
        <w:tc>
          <w:tcPr>
            <w:tcW w:w="8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4"/>
                <w:szCs w:val="14"/>
                <w:color w:val="auto"/>
              </w:rPr>
              <w:t>(707,421 )</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Calibri" w:cs="Calibri" w:eastAsia="Calibri" w:hAnsi="Calibri"/>
                <w:sz w:val="14"/>
                <w:szCs w:val="14"/>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rPr>
                <w:sz w:val="20"/>
                <w:szCs w:val="20"/>
                <w:color w:val="auto"/>
              </w:rPr>
            </w:pPr>
            <w:r>
              <w:rPr>
                <w:rFonts w:ascii="Calibri" w:cs="Calibri" w:eastAsia="Calibri" w:hAnsi="Calibri"/>
                <w:sz w:val="14"/>
                <w:szCs w:val="14"/>
                <w:color w:val="auto"/>
              </w:rPr>
              <w:t>(707,421 )</w:t>
            </w:r>
          </w:p>
        </w:tc>
        <w:tc>
          <w:tcPr>
            <w:tcW w:w="0" w:type="dxa"/>
            <w:vAlign w:val="bottom"/>
          </w:tcPr>
          <w:p>
            <w:pPr>
              <w:spacing w:after="0"/>
              <w:rPr>
                <w:sz w:val="1"/>
                <w:szCs w:val="1"/>
                <w:color w:val="auto"/>
              </w:rPr>
            </w:pPr>
          </w:p>
        </w:tc>
      </w:tr>
      <w:tr>
        <w:trPr>
          <w:trHeight w:val="20"/>
        </w:trPr>
        <w:tc>
          <w:tcPr>
            <w:tcW w:w="30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040" w:type="dxa"/>
            <w:vAlign w:val="bottom"/>
          </w:tcPr>
          <w:p>
            <w:pPr>
              <w:ind w:left="20"/>
              <w:spacing w:after="0" w:line="169" w:lineRule="exact"/>
              <w:rPr>
                <w:sz w:val="20"/>
                <w:szCs w:val="20"/>
                <w:color w:val="auto"/>
              </w:rPr>
            </w:pPr>
            <w:r>
              <w:rPr>
                <w:rFonts w:ascii="Calibri" w:cs="Calibri" w:eastAsia="Calibri" w:hAnsi="Calibri"/>
                <w:sz w:val="14"/>
                <w:szCs w:val="14"/>
                <w:color w:val="auto"/>
              </w:rPr>
              <w:t>Balance as of December 31, 2022</w:t>
            </w:r>
          </w:p>
        </w:tc>
        <w:tc>
          <w:tcPr>
            <w:tcW w:w="860" w:type="dxa"/>
            <w:vAlign w:val="bottom"/>
          </w:tcPr>
          <w:p>
            <w:pPr>
              <w:jc w:val="right"/>
              <w:spacing w:after="0" w:line="169" w:lineRule="exact"/>
              <w:rPr>
                <w:sz w:val="20"/>
                <w:szCs w:val="20"/>
                <w:color w:val="auto"/>
              </w:rPr>
            </w:pPr>
            <w:r>
              <w:rPr>
                <w:rFonts w:ascii="Calibri" w:cs="Calibri" w:eastAsia="Calibri" w:hAnsi="Calibri"/>
                <w:sz w:val="14"/>
                <w:szCs w:val="14"/>
                <w:color w:val="auto"/>
              </w:rPr>
              <w:t>70,197,297</w:t>
            </w:r>
          </w:p>
        </w:tc>
        <w:tc>
          <w:tcPr>
            <w:tcW w:w="22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700" w:type="dxa"/>
            <w:vAlign w:val="bottom"/>
          </w:tcPr>
          <w:p>
            <w:pPr>
              <w:jc w:val="right"/>
              <w:spacing w:after="0" w:line="169" w:lineRule="exact"/>
              <w:rPr>
                <w:sz w:val="20"/>
                <w:szCs w:val="20"/>
                <w:color w:val="auto"/>
              </w:rPr>
            </w:pPr>
            <w:r>
              <w:rPr>
                <w:rFonts w:ascii="Calibri" w:cs="Calibri" w:eastAsia="Calibri" w:hAnsi="Calibri"/>
                <w:sz w:val="14"/>
                <w:szCs w:val="14"/>
                <w:color w:val="auto"/>
              </w:rPr>
              <w:t>70</w:t>
            </w:r>
          </w:p>
        </w:tc>
        <w:tc>
          <w:tcPr>
            <w:tcW w:w="220" w:type="dxa"/>
            <w:vAlign w:val="bottom"/>
          </w:tcPr>
          <w:p>
            <w:pPr>
              <w:spacing w:after="0"/>
              <w:rPr>
                <w:sz w:val="14"/>
                <w:szCs w:val="14"/>
                <w:color w:val="auto"/>
              </w:rPr>
            </w:pPr>
          </w:p>
        </w:tc>
        <w:tc>
          <w:tcPr>
            <w:tcW w:w="80" w:type="dxa"/>
            <w:vAlign w:val="bottom"/>
          </w:tcPr>
          <w:p>
            <w:pPr>
              <w:jc w:val="right"/>
              <w:spacing w:after="0" w:line="169" w:lineRule="exact"/>
              <w:rPr>
                <w:sz w:val="20"/>
                <w:szCs w:val="20"/>
                <w:color w:val="auto"/>
              </w:rPr>
            </w:pPr>
            <w:r>
              <w:rPr>
                <w:rFonts w:ascii="Calibri" w:cs="Calibri" w:eastAsia="Calibri" w:hAnsi="Calibri"/>
                <w:sz w:val="14"/>
                <w:szCs w:val="14"/>
                <w:color w:val="auto"/>
                <w:w w:val="83"/>
              </w:rPr>
              <w:t>$</w:t>
            </w:r>
          </w:p>
        </w:tc>
        <w:tc>
          <w:tcPr>
            <w:tcW w:w="720" w:type="dxa"/>
            <w:vAlign w:val="bottom"/>
          </w:tcPr>
          <w:p>
            <w:pPr>
              <w:jc w:val="right"/>
              <w:spacing w:after="0" w:line="169" w:lineRule="exact"/>
              <w:rPr>
                <w:sz w:val="20"/>
                <w:szCs w:val="20"/>
                <w:color w:val="auto"/>
              </w:rPr>
            </w:pPr>
            <w:r>
              <w:rPr>
                <w:rFonts w:ascii="Calibri" w:cs="Calibri" w:eastAsia="Calibri" w:hAnsi="Calibri"/>
                <w:sz w:val="14"/>
                <w:szCs w:val="14"/>
                <w:color w:val="auto"/>
              </w:rPr>
              <w:t>3,140,019</w:t>
            </w:r>
          </w:p>
        </w:tc>
        <w:tc>
          <w:tcPr>
            <w:tcW w:w="22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Calibri" w:cs="Calibri" w:eastAsia="Calibri" w:hAnsi="Calibri"/>
                <w:sz w:val="14"/>
                <w:szCs w:val="14"/>
                <w:color w:val="auto"/>
                <w:w w:val="83"/>
              </w:rPr>
              <w:t>$</w:t>
            </w:r>
          </w:p>
        </w:tc>
        <w:tc>
          <w:tcPr>
            <w:tcW w:w="920" w:type="dxa"/>
            <w:vAlign w:val="bottom"/>
            <w:gridSpan w:val="2"/>
          </w:tcPr>
          <w:p>
            <w:pPr>
              <w:jc w:val="right"/>
              <w:ind w:right="180"/>
              <w:spacing w:after="0" w:line="169" w:lineRule="exact"/>
              <w:rPr>
                <w:sz w:val="20"/>
                <w:szCs w:val="20"/>
                <w:color w:val="auto"/>
              </w:rPr>
            </w:pPr>
            <w:r>
              <w:rPr>
                <w:rFonts w:ascii="Calibri" w:cs="Calibri" w:eastAsia="Calibri" w:hAnsi="Calibri"/>
                <w:sz w:val="14"/>
                <w:szCs w:val="14"/>
                <w:color w:val="auto"/>
              </w:rPr>
              <w:t>(6,573 )</w:t>
            </w:r>
          </w:p>
        </w:tc>
        <w:tc>
          <w:tcPr>
            <w:tcW w:w="1020" w:type="dxa"/>
            <w:vAlign w:val="bottom"/>
            <w:gridSpan w:val="2"/>
          </w:tcPr>
          <w:p>
            <w:pPr>
              <w:jc w:val="right"/>
              <w:ind w:right="160"/>
              <w:spacing w:after="0" w:line="169" w:lineRule="exact"/>
              <w:rPr>
                <w:sz w:val="20"/>
                <w:szCs w:val="20"/>
                <w:color w:val="auto"/>
              </w:rPr>
            </w:pPr>
            <w:r>
              <w:rPr>
                <w:rFonts w:ascii="Calibri" w:cs="Calibri" w:eastAsia="Calibri" w:hAnsi="Calibri"/>
                <w:sz w:val="14"/>
                <w:szCs w:val="14"/>
                <w:color w:val="auto"/>
              </w:rPr>
              <w:t>$ (2,781,022 )</w:t>
            </w:r>
          </w:p>
        </w:tc>
        <w:tc>
          <w:tcPr>
            <w:tcW w:w="120" w:type="dxa"/>
            <w:vAlign w:val="bottom"/>
          </w:tcPr>
          <w:p>
            <w:pPr>
              <w:jc w:val="right"/>
              <w:spacing w:after="0" w:line="169" w:lineRule="exact"/>
              <w:rPr>
                <w:sz w:val="20"/>
                <w:szCs w:val="20"/>
                <w:color w:val="auto"/>
              </w:rPr>
            </w:pPr>
            <w:r>
              <w:rPr>
                <w:rFonts w:ascii="Calibri" w:cs="Calibri" w:eastAsia="Calibri" w:hAnsi="Calibri"/>
                <w:sz w:val="14"/>
                <w:szCs w:val="14"/>
                <w:color w:val="auto"/>
                <w:w w:val="83"/>
              </w:rPr>
              <w:t>$</w:t>
            </w:r>
          </w:p>
        </w:tc>
        <w:tc>
          <w:tcPr>
            <w:tcW w:w="900" w:type="dxa"/>
            <w:vAlign w:val="bottom"/>
            <w:gridSpan w:val="2"/>
          </w:tcPr>
          <w:p>
            <w:pPr>
              <w:jc w:val="right"/>
              <w:ind w:right="240"/>
              <w:spacing w:after="0" w:line="169" w:lineRule="exact"/>
              <w:rPr>
                <w:sz w:val="20"/>
                <w:szCs w:val="20"/>
                <w:color w:val="auto"/>
              </w:rPr>
            </w:pPr>
            <w:r>
              <w:rPr>
                <w:rFonts w:ascii="Calibri" w:cs="Calibri" w:eastAsia="Calibri" w:hAnsi="Calibri"/>
                <w:sz w:val="14"/>
                <w:szCs w:val="14"/>
                <w:color w:val="auto"/>
              </w:rPr>
              <w:t>—</w:t>
            </w:r>
          </w:p>
        </w:tc>
        <w:tc>
          <w:tcPr>
            <w:tcW w:w="10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72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380" w:type="dxa"/>
            <w:vAlign w:val="bottom"/>
            <w:gridSpan w:val="2"/>
          </w:tcPr>
          <w:p>
            <w:pPr>
              <w:ind w:left="220"/>
              <w:spacing w:after="0" w:line="169" w:lineRule="exact"/>
              <w:rPr>
                <w:sz w:val="20"/>
                <w:szCs w:val="20"/>
                <w:color w:val="auto"/>
              </w:rPr>
            </w:pPr>
            <w:r>
              <w:rPr>
                <w:rFonts w:ascii="Calibri" w:cs="Calibri" w:eastAsia="Calibri" w:hAnsi="Calibri"/>
                <w:sz w:val="14"/>
                <w:szCs w:val="14"/>
                <w:color w:val="auto"/>
              </w:rPr>
              <w:t>$</w:t>
            </w:r>
          </w:p>
        </w:tc>
        <w:tc>
          <w:tcPr>
            <w:tcW w:w="680" w:type="dxa"/>
            <w:vAlign w:val="bottom"/>
          </w:tcPr>
          <w:p>
            <w:pPr>
              <w:jc w:val="right"/>
              <w:spacing w:after="0" w:line="169" w:lineRule="exact"/>
              <w:rPr>
                <w:sz w:val="20"/>
                <w:szCs w:val="20"/>
                <w:color w:val="auto"/>
              </w:rPr>
            </w:pPr>
            <w:r>
              <w:rPr>
                <w:rFonts w:ascii="Calibri" w:cs="Calibri" w:eastAsia="Calibri" w:hAnsi="Calibri"/>
                <w:sz w:val="14"/>
                <w:szCs w:val="14"/>
                <w:color w:val="auto"/>
              </w:rPr>
              <w:t>352,494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040" w:type="dxa"/>
            <w:vAlign w:val="bottom"/>
            <w:shd w:val="clear" w:color="auto" w:fill="CCEEFF"/>
          </w:tcPr>
          <w:p>
            <w:pPr>
              <w:ind w:left="160"/>
              <w:spacing w:after="0" w:line="164" w:lineRule="exact"/>
              <w:rPr>
                <w:sz w:val="20"/>
                <w:szCs w:val="20"/>
                <w:color w:val="auto"/>
              </w:rPr>
            </w:pPr>
            <w:r>
              <w:rPr>
                <w:rFonts w:ascii="Calibri" w:cs="Calibri" w:eastAsia="Calibri" w:hAnsi="Calibri"/>
                <w:sz w:val="14"/>
                <w:szCs w:val="14"/>
                <w:color w:val="auto"/>
              </w:rPr>
              <w:t>Issuance of common stock and pre-funded</w:t>
            </w: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40" w:type="dxa"/>
            <w:vAlign w:val="bottom"/>
            <w:shd w:val="clear" w:color="auto" w:fill="CCEEFF"/>
          </w:tcPr>
          <w:p>
            <w:pPr>
              <w:ind w:left="160"/>
              <w:spacing w:after="0"/>
              <w:rPr>
                <w:sz w:val="20"/>
                <w:szCs w:val="20"/>
                <w:color w:val="auto"/>
              </w:rPr>
            </w:pPr>
            <w:r>
              <w:rPr>
                <w:rFonts w:ascii="Calibri" w:cs="Calibri" w:eastAsia="Calibri" w:hAnsi="Calibri"/>
                <w:sz w:val="14"/>
                <w:szCs w:val="14"/>
                <w:color w:val="auto"/>
              </w:rPr>
              <w:t>warrants in connecton with underwriten</w:t>
            </w: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040" w:type="dxa"/>
            <w:vAlign w:val="bottom"/>
            <w:shd w:val="clear" w:color="auto" w:fill="CCEEFF"/>
          </w:tcPr>
          <w:p>
            <w:pPr>
              <w:ind w:left="260"/>
              <w:spacing w:after="0"/>
              <w:rPr>
                <w:sz w:val="20"/>
                <w:szCs w:val="20"/>
                <w:color w:val="auto"/>
              </w:rPr>
            </w:pPr>
            <w:r>
              <w:rPr>
                <w:rFonts w:ascii="Calibri" w:cs="Calibri" w:eastAsia="Calibri" w:hAnsi="Calibri"/>
                <w:sz w:val="14"/>
                <w:szCs w:val="14"/>
                <w:color w:val="auto"/>
              </w:rPr>
              <w:t>public ofering, net of issuance costs</w:t>
            </w:r>
          </w:p>
        </w:tc>
        <w:tc>
          <w:tcPr>
            <w:tcW w:w="8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9,833,334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10</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326,446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Calibri" w:cs="Calibri" w:eastAsia="Calibri" w:hAnsi="Calibri"/>
                <w:sz w:val="14"/>
                <w:szCs w:val="14"/>
                <w:color w:val="auto"/>
              </w:rPr>
              <w:t>—</w:t>
            </w:r>
          </w:p>
        </w:tc>
        <w:tc>
          <w:tcPr>
            <w:tcW w:w="1020" w:type="dxa"/>
            <w:vAlign w:val="bottom"/>
            <w:gridSpan w:val="2"/>
            <w:shd w:val="clear" w:color="auto" w:fill="CCEEFF"/>
          </w:tcPr>
          <w:p>
            <w:pPr>
              <w:jc w:val="right"/>
              <w:ind w:right="260"/>
              <w:spacing w:after="0"/>
              <w:rPr>
                <w:sz w:val="20"/>
                <w:szCs w:val="20"/>
                <w:color w:val="auto"/>
              </w:rPr>
            </w:pPr>
            <w:r>
              <w:rPr>
                <w:rFonts w:ascii="Calibri" w:cs="Calibri" w:eastAsia="Calibri" w:hAnsi="Calibri"/>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Calibri" w:cs="Calibri" w:eastAsia="Calibri" w:hAnsi="Calibri"/>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326,456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040" w:type="dxa"/>
            <w:vAlign w:val="bottom"/>
          </w:tcPr>
          <w:p>
            <w:pPr>
              <w:ind w:left="160"/>
              <w:spacing w:after="0" w:line="161" w:lineRule="exact"/>
              <w:rPr>
                <w:sz w:val="20"/>
                <w:szCs w:val="20"/>
                <w:color w:val="auto"/>
              </w:rPr>
            </w:pPr>
            <w:r>
              <w:rPr>
                <w:rFonts w:ascii="Calibri" w:cs="Calibri" w:eastAsia="Calibri" w:hAnsi="Calibri"/>
                <w:sz w:val="14"/>
                <w:szCs w:val="14"/>
                <w:color w:val="auto"/>
              </w:rPr>
              <w:t>Issuance of common stock in connecton</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40" w:type="dxa"/>
            <w:vAlign w:val="bottom"/>
          </w:tcPr>
          <w:p>
            <w:pPr>
              <w:ind w:left="160"/>
              <w:spacing w:after="0"/>
              <w:rPr>
                <w:sz w:val="20"/>
                <w:szCs w:val="20"/>
                <w:color w:val="auto"/>
              </w:rPr>
            </w:pPr>
            <w:r>
              <w:rPr>
                <w:rFonts w:ascii="Calibri" w:cs="Calibri" w:eastAsia="Calibri" w:hAnsi="Calibri"/>
                <w:sz w:val="14"/>
                <w:szCs w:val="14"/>
                <w:color w:val="auto"/>
              </w:rPr>
              <w:t>with</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240"/>
              <w:spacing w:after="0"/>
              <w:rPr>
                <w:sz w:val="20"/>
                <w:szCs w:val="20"/>
                <w:color w:val="auto"/>
              </w:rPr>
            </w:pPr>
            <w:r>
              <w:rPr>
                <w:rFonts w:ascii="Calibri" w:cs="Calibri" w:eastAsia="Calibri" w:hAnsi="Calibri"/>
                <w:sz w:val="14"/>
                <w:szCs w:val="14"/>
                <w:color w:val="auto"/>
              </w:rPr>
              <w:t>at-the-market ofering, net of issuance</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40" w:type="dxa"/>
            <w:vAlign w:val="bottom"/>
          </w:tcPr>
          <w:p>
            <w:pPr>
              <w:ind w:left="160"/>
              <w:spacing w:after="0"/>
              <w:rPr>
                <w:sz w:val="20"/>
                <w:szCs w:val="20"/>
                <w:color w:val="auto"/>
              </w:rPr>
            </w:pPr>
            <w:r>
              <w:rPr>
                <w:rFonts w:ascii="Calibri" w:cs="Calibri" w:eastAsia="Calibri" w:hAnsi="Calibri"/>
                <w:sz w:val="14"/>
                <w:szCs w:val="14"/>
                <w:color w:val="auto"/>
              </w:rPr>
              <w:t>costs</w:t>
            </w:r>
          </w:p>
        </w:tc>
        <w:tc>
          <w:tcPr>
            <w:tcW w:w="860" w:type="dxa"/>
            <w:vAlign w:val="bottom"/>
          </w:tcPr>
          <w:p>
            <w:pPr>
              <w:jc w:val="right"/>
              <w:spacing w:after="0"/>
              <w:rPr>
                <w:sz w:val="20"/>
                <w:szCs w:val="20"/>
                <w:color w:val="auto"/>
              </w:rPr>
            </w:pPr>
            <w:r>
              <w:rPr>
                <w:rFonts w:ascii="Calibri" w:cs="Calibri" w:eastAsia="Calibri" w:hAnsi="Calibri"/>
                <w:sz w:val="14"/>
                <w:szCs w:val="14"/>
                <w:color w:val="auto"/>
              </w:rPr>
              <w:t>1,175,584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alibri" w:cs="Calibri" w:eastAsia="Calibri" w:hAnsi="Calibri"/>
                <w:sz w:val="14"/>
                <w:szCs w:val="14"/>
                <w:color w:val="auto"/>
              </w:rPr>
              <w:t>53,298</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Calibri" w:cs="Calibri" w:eastAsia="Calibri" w:hAnsi="Calibri"/>
                <w:sz w:val="14"/>
                <w:szCs w:val="14"/>
                <w:color w:val="auto"/>
              </w:rPr>
              <w:t>—</w:t>
            </w:r>
          </w:p>
        </w:tc>
        <w:tc>
          <w:tcPr>
            <w:tcW w:w="1020" w:type="dxa"/>
            <w:vAlign w:val="bottom"/>
            <w:gridSpan w:val="2"/>
          </w:tcPr>
          <w:p>
            <w:pPr>
              <w:jc w:val="right"/>
              <w:ind w:right="26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53,299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040" w:type="dxa"/>
            <w:vAlign w:val="bottom"/>
            <w:shd w:val="clear" w:color="auto" w:fill="CCEEFF"/>
          </w:tcPr>
          <w:p>
            <w:pPr>
              <w:ind w:left="160"/>
              <w:spacing w:after="0"/>
              <w:rPr>
                <w:sz w:val="20"/>
                <w:szCs w:val="20"/>
                <w:color w:val="auto"/>
              </w:rPr>
            </w:pPr>
            <w:r>
              <w:rPr>
                <w:rFonts w:ascii="Calibri" w:cs="Calibri" w:eastAsia="Calibri" w:hAnsi="Calibri"/>
                <w:sz w:val="14"/>
                <w:szCs w:val="14"/>
                <w:color w:val="auto"/>
              </w:rPr>
              <w:t>Stock-based compensaton</w:t>
            </w:r>
          </w:p>
        </w:tc>
        <w:tc>
          <w:tcPr>
            <w:tcW w:w="8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134,169</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60"/>
              <w:spacing w:after="0"/>
              <w:rPr>
                <w:sz w:val="20"/>
                <w:szCs w:val="20"/>
                <w:color w:val="auto"/>
              </w:rPr>
            </w:pPr>
            <w:r>
              <w:rPr>
                <w:rFonts w:ascii="Calibri" w:cs="Calibri" w:eastAsia="Calibri" w:hAnsi="Calibri"/>
                <w:sz w:val="14"/>
                <w:szCs w:val="14"/>
                <w:color w:val="auto"/>
              </w:rPr>
              <w:t>—</w:t>
            </w:r>
          </w:p>
        </w:tc>
        <w:tc>
          <w:tcPr>
            <w:tcW w:w="1020" w:type="dxa"/>
            <w:vAlign w:val="bottom"/>
            <w:gridSpan w:val="2"/>
            <w:shd w:val="clear" w:color="auto" w:fill="CCEEFF"/>
          </w:tcPr>
          <w:p>
            <w:pPr>
              <w:jc w:val="right"/>
              <w:ind w:right="260"/>
              <w:spacing w:after="0"/>
              <w:rPr>
                <w:sz w:val="20"/>
                <w:szCs w:val="20"/>
                <w:color w:val="auto"/>
              </w:rPr>
            </w:pPr>
            <w:r>
              <w:rPr>
                <w:rFonts w:ascii="Calibri" w:cs="Calibri" w:eastAsia="Calibri" w:hAnsi="Calibri"/>
                <w:sz w:val="14"/>
                <w:szCs w:val="14"/>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Calibri" w:cs="Calibri" w:eastAsia="Calibri" w:hAnsi="Calibri"/>
                <w:sz w:val="14"/>
                <w:szCs w:val="14"/>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134,169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040" w:type="dxa"/>
            <w:vAlign w:val="bottom"/>
          </w:tcPr>
          <w:p>
            <w:pPr>
              <w:ind w:left="160"/>
              <w:spacing w:after="0" w:line="161" w:lineRule="exact"/>
              <w:rPr>
                <w:sz w:val="20"/>
                <w:szCs w:val="20"/>
                <w:color w:val="auto"/>
              </w:rPr>
            </w:pPr>
            <w:r>
              <w:rPr>
                <w:rFonts w:ascii="Calibri" w:cs="Calibri" w:eastAsia="Calibri" w:hAnsi="Calibri"/>
                <w:sz w:val="14"/>
                <w:szCs w:val="14"/>
                <w:color w:val="auto"/>
              </w:rPr>
              <w:t>Issuance of common stock under</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040" w:type="dxa"/>
            <w:vAlign w:val="bottom"/>
          </w:tcPr>
          <w:p>
            <w:pPr>
              <w:ind w:left="260"/>
              <w:spacing w:after="0"/>
              <w:rPr>
                <w:sz w:val="20"/>
                <w:szCs w:val="20"/>
                <w:color w:val="auto"/>
              </w:rPr>
            </w:pPr>
            <w:r>
              <w:rPr>
                <w:rFonts w:ascii="Calibri" w:cs="Calibri" w:eastAsia="Calibri" w:hAnsi="Calibri"/>
                <w:sz w:val="14"/>
                <w:szCs w:val="14"/>
                <w:color w:val="auto"/>
              </w:rPr>
              <w:t>equity plan awards, net of tax</w:t>
            </w:r>
          </w:p>
        </w:tc>
        <w:tc>
          <w:tcPr>
            <w:tcW w:w="860" w:type="dxa"/>
            <w:vAlign w:val="bottom"/>
          </w:tcPr>
          <w:p>
            <w:pPr>
              <w:jc w:val="right"/>
              <w:spacing w:after="0"/>
              <w:rPr>
                <w:sz w:val="20"/>
                <w:szCs w:val="20"/>
                <w:color w:val="auto"/>
              </w:rPr>
            </w:pPr>
            <w:r>
              <w:rPr>
                <w:rFonts w:ascii="Calibri" w:cs="Calibri" w:eastAsia="Calibri" w:hAnsi="Calibri"/>
                <w:sz w:val="14"/>
                <w:szCs w:val="14"/>
                <w:color w:val="auto"/>
              </w:rPr>
              <w:t>1,109,375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alibri" w:cs="Calibri" w:eastAsia="Calibri" w:hAnsi="Calibri"/>
                <w:sz w:val="14"/>
                <w:szCs w:val="14"/>
                <w:color w:val="auto"/>
              </w:rPr>
              <w:t>8,414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Calibri" w:cs="Calibri" w:eastAsia="Calibri" w:hAnsi="Calibri"/>
                <w:sz w:val="14"/>
                <w:szCs w:val="14"/>
                <w:color w:val="auto"/>
              </w:rPr>
              <w:t>—</w:t>
            </w:r>
          </w:p>
        </w:tc>
        <w:tc>
          <w:tcPr>
            <w:tcW w:w="1020" w:type="dxa"/>
            <w:vAlign w:val="bottom"/>
            <w:gridSpan w:val="2"/>
          </w:tcPr>
          <w:p>
            <w:pPr>
              <w:jc w:val="right"/>
              <w:ind w:right="26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8,415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040" w:type="dxa"/>
            <w:vAlign w:val="bottom"/>
            <w:shd w:val="clear" w:color="auto" w:fill="CCEEFF"/>
          </w:tcPr>
          <w:p>
            <w:pPr>
              <w:ind w:left="160"/>
              <w:spacing w:after="0"/>
              <w:rPr>
                <w:sz w:val="20"/>
                <w:szCs w:val="20"/>
                <w:color w:val="auto"/>
              </w:rPr>
            </w:pPr>
            <w:r>
              <w:rPr>
                <w:rFonts w:ascii="Calibri" w:cs="Calibri" w:eastAsia="Calibri" w:hAnsi="Calibri"/>
                <w:sz w:val="14"/>
                <w:szCs w:val="14"/>
                <w:color w:val="auto"/>
              </w:rPr>
              <w:t>Deferred compensaton</w:t>
            </w:r>
          </w:p>
        </w:tc>
        <w:tc>
          <w:tcPr>
            <w:tcW w:w="8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rPr>
                <w:sz w:val="20"/>
                <w:szCs w:val="20"/>
                <w:color w:val="auto"/>
              </w:rPr>
            </w:pPr>
            <w:r>
              <w:rPr>
                <w:rFonts w:ascii="Calibri" w:cs="Calibri" w:eastAsia="Calibri" w:hAnsi="Calibri"/>
                <w:sz w:val="14"/>
                <w:szCs w:val="14"/>
                <w:color w:val="auto"/>
              </w:rPr>
              <w:t>—</w:t>
            </w:r>
          </w:p>
        </w:tc>
        <w:tc>
          <w:tcPr>
            <w:tcW w:w="1020" w:type="dxa"/>
            <w:vAlign w:val="bottom"/>
            <w:gridSpan w:val="2"/>
            <w:shd w:val="clear" w:color="auto" w:fill="CCEEFF"/>
          </w:tcPr>
          <w:p>
            <w:pPr>
              <w:jc w:val="right"/>
              <w:ind w:right="260"/>
              <w:spacing w:after="0"/>
              <w:rPr>
                <w:sz w:val="20"/>
                <w:szCs w:val="20"/>
                <w:color w:val="auto"/>
              </w:rPr>
            </w:pPr>
            <w:r>
              <w:rPr>
                <w:rFonts w:ascii="Calibri" w:cs="Calibri" w:eastAsia="Calibri" w:hAnsi="Calibri"/>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4"/>
                <w:szCs w:val="14"/>
                <w:color w:val="auto"/>
              </w:rPr>
              <w:t>(432 )</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432</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73"/>
        </w:trPr>
        <w:tc>
          <w:tcPr>
            <w:tcW w:w="3040" w:type="dxa"/>
            <w:vAlign w:val="bottom"/>
          </w:tcPr>
          <w:p>
            <w:pPr>
              <w:ind w:left="160"/>
              <w:spacing w:after="0"/>
              <w:rPr>
                <w:sz w:val="20"/>
                <w:szCs w:val="20"/>
                <w:color w:val="auto"/>
              </w:rPr>
            </w:pPr>
            <w:r>
              <w:rPr>
                <w:rFonts w:ascii="Calibri" w:cs="Calibri" w:eastAsia="Calibri" w:hAnsi="Calibri"/>
                <w:sz w:val="14"/>
                <w:szCs w:val="14"/>
                <w:color w:val="auto"/>
              </w:rPr>
              <w:t>Other comprehensive income</w:t>
            </w:r>
          </w:p>
        </w:tc>
        <w:tc>
          <w:tcPr>
            <w:tcW w:w="8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7,220</w:t>
            </w:r>
          </w:p>
        </w:tc>
        <w:tc>
          <w:tcPr>
            <w:tcW w:w="24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7,220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40" w:type="dxa"/>
            <w:vAlign w:val="bottom"/>
            <w:shd w:val="clear" w:color="auto" w:fill="CCEEFF"/>
          </w:tcPr>
          <w:p>
            <w:pPr>
              <w:ind w:left="160"/>
              <w:spacing w:after="0"/>
              <w:rPr>
                <w:sz w:val="20"/>
                <w:szCs w:val="20"/>
                <w:color w:val="auto"/>
              </w:rPr>
            </w:pPr>
            <w:r>
              <w:rPr>
                <w:rFonts w:ascii="Calibri" w:cs="Calibri" w:eastAsia="Calibri" w:hAnsi="Calibri"/>
                <w:sz w:val="14"/>
                <w:szCs w:val="14"/>
                <w:color w:val="auto"/>
              </w:rPr>
              <w:t>Net loss</w:t>
            </w:r>
          </w:p>
        </w:tc>
        <w:tc>
          <w:tcPr>
            <w:tcW w:w="8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Calibri" w:cs="Calibri" w:eastAsia="Calibri" w:hAnsi="Calibri"/>
                <w:sz w:val="14"/>
                <w:szCs w:val="14"/>
                <w:color w:val="auto"/>
              </w:rPr>
              <w:t>(606,639 )</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Calibri" w:cs="Calibri" w:eastAsia="Calibri" w:hAnsi="Calibri"/>
                <w:sz w:val="14"/>
                <w:szCs w:val="14"/>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rPr>
                <w:sz w:val="20"/>
                <w:szCs w:val="20"/>
                <w:color w:val="auto"/>
              </w:rPr>
            </w:pPr>
            <w:r>
              <w:rPr>
                <w:rFonts w:ascii="Calibri" w:cs="Calibri" w:eastAsia="Calibri" w:hAnsi="Calibri"/>
                <w:sz w:val="14"/>
                <w:szCs w:val="14"/>
                <w:color w:val="auto"/>
              </w:rPr>
              <w:t>(606,639 )</w:t>
            </w:r>
          </w:p>
        </w:tc>
        <w:tc>
          <w:tcPr>
            <w:tcW w:w="0" w:type="dxa"/>
            <w:vAlign w:val="bottom"/>
          </w:tcPr>
          <w:p>
            <w:pPr>
              <w:spacing w:after="0"/>
              <w:rPr>
                <w:sz w:val="1"/>
                <w:szCs w:val="1"/>
                <w:color w:val="auto"/>
              </w:rPr>
            </w:pPr>
          </w:p>
        </w:tc>
      </w:tr>
      <w:tr>
        <w:trPr>
          <w:trHeight w:val="20"/>
        </w:trPr>
        <w:tc>
          <w:tcPr>
            <w:tcW w:w="30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040" w:type="dxa"/>
            <w:vAlign w:val="bottom"/>
          </w:tcPr>
          <w:p>
            <w:pPr>
              <w:ind w:left="20"/>
              <w:spacing w:after="0" w:line="169" w:lineRule="exact"/>
              <w:rPr>
                <w:sz w:val="20"/>
                <w:szCs w:val="20"/>
                <w:color w:val="auto"/>
              </w:rPr>
            </w:pPr>
            <w:r>
              <w:rPr>
                <w:rFonts w:ascii="Calibri" w:cs="Calibri" w:eastAsia="Calibri" w:hAnsi="Calibri"/>
                <w:sz w:val="14"/>
                <w:szCs w:val="14"/>
                <w:color w:val="auto"/>
              </w:rPr>
              <w:t>Balance as of December 31, 2023</w:t>
            </w:r>
          </w:p>
        </w:tc>
        <w:tc>
          <w:tcPr>
            <w:tcW w:w="860" w:type="dxa"/>
            <w:vAlign w:val="bottom"/>
          </w:tcPr>
          <w:p>
            <w:pPr>
              <w:jc w:val="right"/>
              <w:spacing w:after="0" w:line="169" w:lineRule="exact"/>
              <w:rPr>
                <w:sz w:val="20"/>
                <w:szCs w:val="20"/>
                <w:color w:val="auto"/>
              </w:rPr>
            </w:pPr>
            <w:r>
              <w:rPr>
                <w:rFonts w:ascii="Calibri" w:cs="Calibri" w:eastAsia="Calibri" w:hAnsi="Calibri"/>
                <w:sz w:val="14"/>
                <w:szCs w:val="14"/>
                <w:color w:val="auto"/>
              </w:rPr>
              <w:t>82,315,590</w:t>
            </w:r>
          </w:p>
        </w:tc>
        <w:tc>
          <w:tcPr>
            <w:tcW w:w="22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700" w:type="dxa"/>
            <w:vAlign w:val="bottom"/>
          </w:tcPr>
          <w:p>
            <w:pPr>
              <w:jc w:val="right"/>
              <w:spacing w:after="0" w:line="169" w:lineRule="exact"/>
              <w:rPr>
                <w:sz w:val="20"/>
                <w:szCs w:val="20"/>
                <w:color w:val="auto"/>
              </w:rPr>
            </w:pPr>
            <w:r>
              <w:rPr>
                <w:rFonts w:ascii="Calibri" w:cs="Calibri" w:eastAsia="Calibri" w:hAnsi="Calibri"/>
                <w:sz w:val="14"/>
                <w:szCs w:val="14"/>
                <w:color w:val="auto"/>
              </w:rPr>
              <w:t>82</w:t>
            </w:r>
          </w:p>
        </w:tc>
        <w:tc>
          <w:tcPr>
            <w:tcW w:w="220" w:type="dxa"/>
            <w:vAlign w:val="bottom"/>
          </w:tcPr>
          <w:p>
            <w:pPr>
              <w:spacing w:after="0"/>
              <w:rPr>
                <w:sz w:val="14"/>
                <w:szCs w:val="14"/>
                <w:color w:val="auto"/>
              </w:rPr>
            </w:pPr>
          </w:p>
        </w:tc>
        <w:tc>
          <w:tcPr>
            <w:tcW w:w="80" w:type="dxa"/>
            <w:vAlign w:val="bottom"/>
          </w:tcPr>
          <w:p>
            <w:pPr>
              <w:jc w:val="right"/>
              <w:spacing w:after="0" w:line="169" w:lineRule="exact"/>
              <w:rPr>
                <w:sz w:val="20"/>
                <w:szCs w:val="20"/>
                <w:color w:val="auto"/>
              </w:rPr>
            </w:pPr>
            <w:r>
              <w:rPr>
                <w:rFonts w:ascii="Calibri" w:cs="Calibri" w:eastAsia="Calibri" w:hAnsi="Calibri"/>
                <w:sz w:val="14"/>
                <w:szCs w:val="14"/>
                <w:color w:val="auto"/>
                <w:w w:val="83"/>
              </w:rPr>
              <w:t>$</w:t>
            </w:r>
          </w:p>
        </w:tc>
        <w:tc>
          <w:tcPr>
            <w:tcW w:w="720" w:type="dxa"/>
            <w:vAlign w:val="bottom"/>
          </w:tcPr>
          <w:p>
            <w:pPr>
              <w:jc w:val="right"/>
              <w:spacing w:after="0" w:line="169" w:lineRule="exact"/>
              <w:rPr>
                <w:sz w:val="20"/>
                <w:szCs w:val="20"/>
                <w:color w:val="auto"/>
              </w:rPr>
            </w:pPr>
            <w:r>
              <w:rPr>
                <w:rFonts w:ascii="Calibri" w:cs="Calibri" w:eastAsia="Calibri" w:hAnsi="Calibri"/>
                <w:sz w:val="14"/>
                <w:szCs w:val="14"/>
                <w:color w:val="auto"/>
              </w:rPr>
              <w:t>3,662,346</w:t>
            </w:r>
          </w:p>
        </w:tc>
        <w:tc>
          <w:tcPr>
            <w:tcW w:w="22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Calibri" w:cs="Calibri" w:eastAsia="Calibri" w:hAnsi="Calibri"/>
                <w:sz w:val="14"/>
                <w:szCs w:val="14"/>
                <w:color w:val="auto"/>
                <w:w w:val="83"/>
              </w:rPr>
              <w:t>$</w:t>
            </w:r>
          </w:p>
        </w:tc>
        <w:tc>
          <w:tcPr>
            <w:tcW w:w="680" w:type="dxa"/>
            <w:vAlign w:val="bottom"/>
          </w:tcPr>
          <w:p>
            <w:pPr>
              <w:jc w:val="right"/>
              <w:spacing w:after="0" w:line="169" w:lineRule="exact"/>
              <w:rPr>
                <w:sz w:val="20"/>
                <w:szCs w:val="20"/>
                <w:color w:val="auto"/>
              </w:rPr>
            </w:pPr>
            <w:r>
              <w:rPr>
                <w:rFonts w:ascii="Calibri" w:cs="Calibri" w:eastAsia="Calibri" w:hAnsi="Calibri"/>
                <w:sz w:val="14"/>
                <w:szCs w:val="14"/>
                <w:color w:val="auto"/>
              </w:rPr>
              <w:t>647</w:t>
            </w:r>
          </w:p>
        </w:tc>
        <w:tc>
          <w:tcPr>
            <w:tcW w:w="240" w:type="dxa"/>
            <w:vAlign w:val="bottom"/>
          </w:tcPr>
          <w:p>
            <w:pPr>
              <w:spacing w:after="0"/>
              <w:rPr>
                <w:sz w:val="14"/>
                <w:szCs w:val="14"/>
                <w:color w:val="auto"/>
              </w:rPr>
            </w:pPr>
          </w:p>
        </w:tc>
        <w:tc>
          <w:tcPr>
            <w:tcW w:w="1020" w:type="dxa"/>
            <w:vAlign w:val="bottom"/>
            <w:gridSpan w:val="2"/>
          </w:tcPr>
          <w:p>
            <w:pPr>
              <w:jc w:val="right"/>
              <w:ind w:right="160"/>
              <w:spacing w:after="0" w:line="169" w:lineRule="exact"/>
              <w:rPr>
                <w:sz w:val="20"/>
                <w:szCs w:val="20"/>
                <w:color w:val="auto"/>
              </w:rPr>
            </w:pPr>
            <w:r>
              <w:rPr>
                <w:rFonts w:ascii="Calibri" w:cs="Calibri" w:eastAsia="Calibri" w:hAnsi="Calibri"/>
                <w:sz w:val="14"/>
                <w:szCs w:val="14"/>
                <w:color w:val="auto"/>
              </w:rPr>
              <w:t>$ (3,387,661 )</w:t>
            </w:r>
          </w:p>
        </w:tc>
        <w:tc>
          <w:tcPr>
            <w:tcW w:w="120" w:type="dxa"/>
            <w:vAlign w:val="bottom"/>
          </w:tcPr>
          <w:p>
            <w:pPr>
              <w:jc w:val="right"/>
              <w:spacing w:after="0" w:line="169" w:lineRule="exact"/>
              <w:rPr>
                <w:sz w:val="20"/>
                <w:szCs w:val="20"/>
                <w:color w:val="auto"/>
              </w:rPr>
            </w:pPr>
            <w:r>
              <w:rPr>
                <w:rFonts w:ascii="Calibri" w:cs="Calibri" w:eastAsia="Calibri" w:hAnsi="Calibri"/>
                <w:sz w:val="14"/>
                <w:szCs w:val="14"/>
                <w:color w:val="auto"/>
                <w:w w:val="83"/>
              </w:rPr>
              <w:t>$</w:t>
            </w:r>
          </w:p>
        </w:tc>
        <w:tc>
          <w:tcPr>
            <w:tcW w:w="900" w:type="dxa"/>
            <w:vAlign w:val="bottom"/>
            <w:gridSpan w:val="2"/>
          </w:tcPr>
          <w:p>
            <w:pPr>
              <w:jc w:val="right"/>
              <w:ind w:right="160"/>
              <w:spacing w:after="0" w:line="169" w:lineRule="exact"/>
              <w:rPr>
                <w:sz w:val="20"/>
                <w:szCs w:val="20"/>
                <w:color w:val="auto"/>
              </w:rPr>
            </w:pPr>
            <w:r>
              <w:rPr>
                <w:rFonts w:ascii="Calibri" w:cs="Calibri" w:eastAsia="Calibri" w:hAnsi="Calibri"/>
                <w:sz w:val="14"/>
                <w:szCs w:val="14"/>
                <w:color w:val="auto"/>
              </w:rPr>
              <w:t>(432 )</w:t>
            </w:r>
          </w:p>
        </w:tc>
        <w:tc>
          <w:tcPr>
            <w:tcW w:w="10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720" w:type="dxa"/>
            <w:vAlign w:val="bottom"/>
          </w:tcPr>
          <w:p>
            <w:pPr>
              <w:jc w:val="right"/>
              <w:spacing w:after="0" w:line="169" w:lineRule="exact"/>
              <w:rPr>
                <w:sz w:val="20"/>
                <w:szCs w:val="20"/>
                <w:color w:val="auto"/>
              </w:rPr>
            </w:pPr>
            <w:r>
              <w:rPr>
                <w:rFonts w:ascii="Calibri" w:cs="Calibri" w:eastAsia="Calibri" w:hAnsi="Calibri"/>
                <w:sz w:val="14"/>
                <w:szCs w:val="14"/>
                <w:color w:val="auto"/>
              </w:rPr>
              <w:t>432</w:t>
            </w:r>
          </w:p>
        </w:tc>
        <w:tc>
          <w:tcPr>
            <w:tcW w:w="380" w:type="dxa"/>
            <w:vAlign w:val="bottom"/>
            <w:gridSpan w:val="2"/>
          </w:tcPr>
          <w:p>
            <w:pPr>
              <w:ind w:left="220"/>
              <w:spacing w:after="0" w:line="169" w:lineRule="exact"/>
              <w:rPr>
                <w:sz w:val="20"/>
                <w:szCs w:val="20"/>
                <w:color w:val="auto"/>
              </w:rPr>
            </w:pPr>
            <w:r>
              <w:rPr>
                <w:rFonts w:ascii="Calibri" w:cs="Calibri" w:eastAsia="Calibri" w:hAnsi="Calibri"/>
                <w:sz w:val="14"/>
                <w:szCs w:val="14"/>
                <w:color w:val="auto"/>
              </w:rPr>
              <w:t>$</w:t>
            </w:r>
          </w:p>
        </w:tc>
        <w:tc>
          <w:tcPr>
            <w:tcW w:w="680" w:type="dxa"/>
            <w:vAlign w:val="bottom"/>
          </w:tcPr>
          <w:p>
            <w:pPr>
              <w:jc w:val="right"/>
              <w:spacing w:after="0" w:line="169" w:lineRule="exact"/>
              <w:rPr>
                <w:sz w:val="20"/>
                <w:szCs w:val="20"/>
                <w:color w:val="auto"/>
              </w:rPr>
            </w:pPr>
            <w:r>
              <w:rPr>
                <w:rFonts w:ascii="Calibri" w:cs="Calibri" w:eastAsia="Calibri" w:hAnsi="Calibri"/>
                <w:sz w:val="14"/>
                <w:szCs w:val="14"/>
                <w:color w:val="auto"/>
              </w:rPr>
              <w:t>275,414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040" w:type="dxa"/>
            <w:vAlign w:val="bottom"/>
            <w:shd w:val="clear" w:color="auto" w:fill="CCEEFF"/>
          </w:tcPr>
          <w:p>
            <w:pPr>
              <w:ind w:left="160"/>
              <w:spacing w:after="0" w:line="164" w:lineRule="exact"/>
              <w:rPr>
                <w:sz w:val="20"/>
                <w:szCs w:val="20"/>
                <w:color w:val="auto"/>
              </w:rPr>
            </w:pPr>
            <w:r>
              <w:rPr>
                <w:rFonts w:ascii="Calibri" w:cs="Calibri" w:eastAsia="Calibri" w:hAnsi="Calibri"/>
                <w:sz w:val="14"/>
                <w:szCs w:val="14"/>
                <w:color w:val="auto"/>
              </w:rPr>
              <w:t>Issuance of common stock and pre-funded</w:t>
            </w: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40" w:type="dxa"/>
            <w:vAlign w:val="bottom"/>
            <w:shd w:val="clear" w:color="auto" w:fill="CCEEFF"/>
          </w:tcPr>
          <w:p>
            <w:pPr>
              <w:ind w:left="160"/>
              <w:spacing w:after="0"/>
              <w:rPr>
                <w:sz w:val="20"/>
                <w:szCs w:val="20"/>
                <w:color w:val="auto"/>
              </w:rPr>
            </w:pPr>
            <w:r>
              <w:rPr>
                <w:rFonts w:ascii="Calibri" w:cs="Calibri" w:eastAsia="Calibri" w:hAnsi="Calibri"/>
                <w:sz w:val="14"/>
                <w:szCs w:val="14"/>
                <w:color w:val="auto"/>
              </w:rPr>
              <w:t>warrants in connecton with underwriten</w:t>
            </w: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040" w:type="dxa"/>
            <w:vAlign w:val="bottom"/>
            <w:shd w:val="clear" w:color="auto" w:fill="CCEEFF"/>
          </w:tcPr>
          <w:p>
            <w:pPr>
              <w:ind w:left="260"/>
              <w:spacing w:after="0"/>
              <w:rPr>
                <w:sz w:val="20"/>
                <w:szCs w:val="20"/>
                <w:color w:val="auto"/>
              </w:rPr>
            </w:pPr>
            <w:r>
              <w:rPr>
                <w:rFonts w:ascii="Calibri" w:cs="Calibri" w:eastAsia="Calibri" w:hAnsi="Calibri"/>
                <w:sz w:val="14"/>
                <w:szCs w:val="14"/>
                <w:color w:val="auto"/>
              </w:rPr>
              <w:t>public ofering, net of issuance costs</w:t>
            </w:r>
          </w:p>
        </w:tc>
        <w:tc>
          <w:tcPr>
            <w:tcW w:w="8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8,782,051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380,974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Calibri" w:cs="Calibri" w:eastAsia="Calibri" w:hAnsi="Calibri"/>
                <w:sz w:val="14"/>
                <w:szCs w:val="14"/>
                <w:color w:val="auto"/>
              </w:rPr>
              <w:t>—</w:t>
            </w:r>
          </w:p>
        </w:tc>
        <w:tc>
          <w:tcPr>
            <w:tcW w:w="1020" w:type="dxa"/>
            <w:vAlign w:val="bottom"/>
            <w:gridSpan w:val="2"/>
            <w:shd w:val="clear" w:color="auto" w:fill="CCEEFF"/>
          </w:tcPr>
          <w:p>
            <w:pPr>
              <w:jc w:val="right"/>
              <w:ind w:right="260"/>
              <w:spacing w:after="0"/>
              <w:rPr>
                <w:sz w:val="20"/>
                <w:szCs w:val="20"/>
                <w:color w:val="auto"/>
              </w:rPr>
            </w:pPr>
            <w:r>
              <w:rPr>
                <w:rFonts w:ascii="Calibri" w:cs="Calibri" w:eastAsia="Calibri" w:hAnsi="Calibri"/>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Calibri" w:cs="Calibri" w:eastAsia="Calibri" w:hAnsi="Calibri"/>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380,983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3040" w:type="dxa"/>
            <w:vAlign w:val="bottom"/>
          </w:tcPr>
          <w:p>
            <w:pPr>
              <w:ind w:left="160"/>
              <w:spacing w:after="0"/>
              <w:rPr>
                <w:sz w:val="20"/>
                <w:szCs w:val="20"/>
                <w:color w:val="auto"/>
              </w:rPr>
            </w:pPr>
            <w:r>
              <w:rPr>
                <w:rFonts w:ascii="Calibri" w:cs="Calibri" w:eastAsia="Calibri" w:hAnsi="Calibri"/>
                <w:sz w:val="14"/>
                <w:szCs w:val="14"/>
                <w:color w:val="auto"/>
              </w:rPr>
              <w:t>Stock-based compensaton</w:t>
            </w:r>
          </w:p>
        </w:tc>
        <w:tc>
          <w:tcPr>
            <w:tcW w:w="8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alibri" w:cs="Calibri" w:eastAsia="Calibri" w:hAnsi="Calibri"/>
                <w:sz w:val="14"/>
                <w:szCs w:val="14"/>
                <w:color w:val="auto"/>
              </w:rPr>
              <w:t>158,115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Calibri" w:cs="Calibri" w:eastAsia="Calibri" w:hAnsi="Calibri"/>
                <w:sz w:val="14"/>
                <w:szCs w:val="14"/>
                <w:color w:val="auto"/>
              </w:rPr>
              <w:t>—</w:t>
            </w:r>
          </w:p>
        </w:tc>
        <w:tc>
          <w:tcPr>
            <w:tcW w:w="1020" w:type="dxa"/>
            <w:vAlign w:val="bottom"/>
            <w:gridSpan w:val="2"/>
          </w:tcPr>
          <w:p>
            <w:pPr>
              <w:jc w:val="right"/>
              <w:ind w:right="26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158,115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3040" w:type="dxa"/>
            <w:vAlign w:val="bottom"/>
            <w:shd w:val="clear" w:color="auto" w:fill="CCEEFF"/>
          </w:tcPr>
          <w:p>
            <w:pPr>
              <w:ind w:left="160"/>
              <w:spacing w:after="0" w:line="164" w:lineRule="exact"/>
              <w:rPr>
                <w:sz w:val="20"/>
                <w:szCs w:val="20"/>
                <w:color w:val="auto"/>
              </w:rPr>
            </w:pPr>
            <w:r>
              <w:rPr>
                <w:rFonts w:ascii="Calibri" w:cs="Calibri" w:eastAsia="Calibri" w:hAnsi="Calibri"/>
                <w:sz w:val="14"/>
                <w:szCs w:val="14"/>
                <w:color w:val="auto"/>
              </w:rPr>
              <w:t>Issuance of common stock under</w:t>
            </w: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40" w:type="dxa"/>
            <w:vAlign w:val="bottom"/>
            <w:tcBorders>
              <w:bottom w:val="single" w:sz="8" w:color="CCEEFF"/>
            </w:tcBorders>
            <w:shd w:val="clear" w:color="auto" w:fill="CCEEFF"/>
          </w:tcPr>
          <w:p>
            <w:pPr>
              <w:ind w:left="260"/>
              <w:spacing w:after="0"/>
              <w:rPr>
                <w:sz w:val="20"/>
                <w:szCs w:val="20"/>
                <w:color w:val="auto"/>
              </w:rPr>
            </w:pPr>
            <w:r>
              <w:rPr>
                <w:rFonts w:ascii="Calibri" w:cs="Calibri" w:eastAsia="Calibri" w:hAnsi="Calibri"/>
                <w:sz w:val="14"/>
                <w:szCs w:val="14"/>
                <w:color w:val="auto"/>
              </w:rPr>
              <w:t>equity plan awards, net of tax</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1,386,689</w:t>
            </w:r>
          </w:p>
        </w:tc>
        <w:tc>
          <w:tcPr>
            <w:tcW w:w="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w:t>
            </w: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11,257</w:t>
            </w:r>
          </w:p>
        </w:tc>
        <w:tc>
          <w:tcPr>
            <w:tcW w:w="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Calibri" w:cs="Calibri" w:eastAsia="Calibri" w:hAnsi="Calibri"/>
                <w:sz w:val="14"/>
                <w:szCs w:val="14"/>
                <w:color w:val="auto"/>
              </w:rPr>
              <w:t>—</w:t>
            </w: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Calibri" w:cs="Calibri" w:eastAsia="Calibri" w:hAnsi="Calibri"/>
                <w:sz w:val="14"/>
                <w:szCs w:val="14"/>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Calibri" w:cs="Calibri" w:eastAsia="Calibri" w:hAnsi="Calibri"/>
                <w:sz w:val="14"/>
                <w:szCs w:val="14"/>
                <w:color w:val="auto"/>
              </w:rPr>
              <w:t>11,258</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040" w:type="dxa"/>
            <w:vAlign w:val="bottom"/>
          </w:tcPr>
          <w:p>
            <w:pPr>
              <w:ind w:left="160"/>
              <w:spacing w:after="0"/>
              <w:rPr>
                <w:sz w:val="20"/>
                <w:szCs w:val="20"/>
                <w:color w:val="auto"/>
              </w:rPr>
            </w:pPr>
            <w:r>
              <w:rPr>
                <w:rFonts w:ascii="Calibri" w:cs="Calibri" w:eastAsia="Calibri" w:hAnsi="Calibri"/>
                <w:sz w:val="14"/>
                <w:szCs w:val="14"/>
                <w:color w:val="auto"/>
              </w:rPr>
              <w:t>Deferred compensaton</w:t>
            </w:r>
          </w:p>
        </w:tc>
        <w:tc>
          <w:tcPr>
            <w:tcW w:w="8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Calibri" w:cs="Calibri" w:eastAsia="Calibri" w:hAnsi="Calibri"/>
                <w:sz w:val="14"/>
                <w:szCs w:val="14"/>
                <w:color w:val="auto"/>
              </w:rPr>
              <w:t>—</w:t>
            </w:r>
          </w:p>
        </w:tc>
        <w:tc>
          <w:tcPr>
            <w:tcW w:w="1020" w:type="dxa"/>
            <w:vAlign w:val="bottom"/>
            <w:gridSpan w:val="2"/>
          </w:tcPr>
          <w:p>
            <w:pPr>
              <w:jc w:val="right"/>
              <w:ind w:right="26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(3,161 )</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alibri" w:cs="Calibri" w:eastAsia="Calibri" w:hAnsi="Calibri"/>
                <w:sz w:val="14"/>
                <w:szCs w:val="14"/>
                <w:color w:val="auto"/>
              </w:rPr>
              <w:t>3,161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78"/>
        </w:trPr>
        <w:tc>
          <w:tcPr>
            <w:tcW w:w="3040" w:type="dxa"/>
            <w:vAlign w:val="bottom"/>
            <w:shd w:val="clear" w:color="auto" w:fill="CCEEFF"/>
          </w:tcPr>
          <w:p>
            <w:pPr>
              <w:ind w:left="160"/>
              <w:spacing w:after="0"/>
              <w:rPr>
                <w:sz w:val="20"/>
                <w:szCs w:val="20"/>
                <w:color w:val="auto"/>
              </w:rPr>
            </w:pPr>
            <w:r>
              <w:rPr>
                <w:rFonts w:ascii="Calibri" w:cs="Calibri" w:eastAsia="Calibri" w:hAnsi="Calibri"/>
                <w:sz w:val="14"/>
                <w:szCs w:val="14"/>
                <w:color w:val="auto"/>
              </w:rPr>
              <w:t>Other comprehensive loss</w:t>
            </w:r>
          </w:p>
        </w:tc>
        <w:tc>
          <w:tcPr>
            <w:tcW w:w="86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80"/>
              <w:spacing w:after="0"/>
              <w:rPr>
                <w:sz w:val="20"/>
                <w:szCs w:val="20"/>
                <w:color w:val="auto"/>
              </w:rPr>
            </w:pPr>
            <w:r>
              <w:rPr>
                <w:rFonts w:ascii="Calibri" w:cs="Calibri" w:eastAsia="Calibri" w:hAnsi="Calibri"/>
                <w:sz w:val="14"/>
                <w:szCs w:val="14"/>
                <w:color w:val="auto"/>
              </w:rPr>
              <w:t>(1,290 )</w:t>
            </w:r>
          </w:p>
        </w:tc>
        <w:tc>
          <w:tcPr>
            <w:tcW w:w="1020" w:type="dxa"/>
            <w:vAlign w:val="bottom"/>
            <w:gridSpan w:val="2"/>
            <w:shd w:val="clear" w:color="auto" w:fill="CCEEFF"/>
          </w:tcPr>
          <w:p>
            <w:pPr>
              <w:jc w:val="right"/>
              <w:ind w:right="260"/>
              <w:spacing w:after="0"/>
              <w:rPr>
                <w:sz w:val="20"/>
                <w:szCs w:val="20"/>
                <w:color w:val="auto"/>
              </w:rPr>
            </w:pPr>
            <w:r>
              <w:rPr>
                <w:rFonts w:ascii="Calibri" w:cs="Calibri" w:eastAsia="Calibri" w:hAnsi="Calibri"/>
                <w:sz w:val="14"/>
                <w:szCs w:val="14"/>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Calibri" w:cs="Calibri" w:eastAsia="Calibri" w:hAnsi="Calibri"/>
                <w:sz w:val="14"/>
                <w:szCs w:val="14"/>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rPr>
                <w:sz w:val="20"/>
                <w:szCs w:val="20"/>
                <w:color w:val="auto"/>
              </w:rPr>
            </w:pPr>
            <w:r>
              <w:rPr>
                <w:rFonts w:ascii="Calibri" w:cs="Calibri" w:eastAsia="Calibri" w:hAnsi="Calibri"/>
                <w:sz w:val="14"/>
                <w:szCs w:val="14"/>
                <w:color w:val="auto"/>
              </w:rPr>
              <w:t>(1,290 )</w:t>
            </w:r>
          </w:p>
        </w:tc>
        <w:tc>
          <w:tcPr>
            <w:tcW w:w="0" w:type="dxa"/>
            <w:vAlign w:val="bottom"/>
          </w:tcPr>
          <w:p>
            <w:pPr>
              <w:spacing w:after="0"/>
              <w:rPr>
                <w:sz w:val="1"/>
                <w:szCs w:val="1"/>
                <w:color w:val="auto"/>
              </w:rPr>
            </w:pPr>
          </w:p>
        </w:tc>
      </w:tr>
      <w:tr>
        <w:trPr>
          <w:trHeight w:val="173"/>
        </w:trPr>
        <w:tc>
          <w:tcPr>
            <w:tcW w:w="3040" w:type="dxa"/>
            <w:vAlign w:val="bottom"/>
          </w:tcPr>
          <w:p>
            <w:pPr>
              <w:ind w:left="160"/>
              <w:spacing w:after="0"/>
              <w:rPr>
                <w:sz w:val="20"/>
                <w:szCs w:val="20"/>
                <w:color w:val="auto"/>
              </w:rPr>
            </w:pPr>
            <w:r>
              <w:rPr>
                <w:rFonts w:ascii="Calibri" w:cs="Calibri" w:eastAsia="Calibri" w:hAnsi="Calibri"/>
                <w:sz w:val="14"/>
                <w:szCs w:val="14"/>
                <w:color w:val="auto"/>
              </w:rPr>
              <w:t>Net loss</w:t>
            </w:r>
          </w:p>
        </w:tc>
        <w:tc>
          <w:tcPr>
            <w:tcW w:w="86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(569,183 )</w:t>
            </w:r>
          </w:p>
        </w:tc>
        <w:tc>
          <w:tcPr>
            <w:tcW w:w="12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Calibri" w:cs="Calibri" w:eastAsia="Calibri" w:hAnsi="Calibri"/>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Calibri" w:cs="Calibri" w:eastAsia="Calibri" w:hAnsi="Calibri"/>
                <w:sz w:val="14"/>
                <w:szCs w:val="14"/>
                <w:color w:val="auto"/>
              </w:rPr>
              <w:t>(569,183 )</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040" w:type="dxa"/>
            <w:vAlign w:val="bottom"/>
            <w:shd w:val="clear" w:color="auto" w:fill="CCEEFF"/>
          </w:tcPr>
          <w:p>
            <w:pPr>
              <w:ind w:left="20"/>
              <w:spacing w:after="0" w:line="169" w:lineRule="exact"/>
              <w:rPr>
                <w:sz w:val="20"/>
                <w:szCs w:val="20"/>
                <w:color w:val="auto"/>
              </w:rPr>
            </w:pPr>
            <w:r>
              <w:rPr>
                <w:rFonts w:ascii="Calibri" w:cs="Calibri" w:eastAsia="Calibri" w:hAnsi="Calibri"/>
                <w:sz w:val="14"/>
                <w:szCs w:val="14"/>
                <w:color w:val="auto"/>
              </w:rPr>
              <w:t>Balance as of December 31, 2024</w:t>
            </w:r>
          </w:p>
        </w:tc>
        <w:tc>
          <w:tcPr>
            <w:tcW w:w="86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92,484,330</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w:t>
            </w:r>
          </w:p>
        </w:tc>
        <w:tc>
          <w:tcPr>
            <w:tcW w:w="70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92</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w w:val="83"/>
              </w:rPr>
              <w:t>$</w:t>
            </w:r>
          </w:p>
        </w:tc>
        <w:tc>
          <w:tcPr>
            <w:tcW w:w="72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4,212,692</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w w:val="83"/>
              </w:rPr>
              <w:t>$</w:t>
            </w:r>
          </w:p>
        </w:tc>
        <w:tc>
          <w:tcPr>
            <w:tcW w:w="920" w:type="dxa"/>
            <w:vAlign w:val="bottom"/>
            <w:gridSpan w:val="2"/>
            <w:shd w:val="clear" w:color="auto" w:fill="CCEEFF"/>
          </w:tcPr>
          <w:p>
            <w:pPr>
              <w:jc w:val="right"/>
              <w:ind w:right="180"/>
              <w:spacing w:after="0" w:line="169" w:lineRule="exact"/>
              <w:rPr>
                <w:sz w:val="20"/>
                <w:szCs w:val="20"/>
                <w:color w:val="auto"/>
              </w:rPr>
            </w:pPr>
            <w:r>
              <w:rPr>
                <w:rFonts w:ascii="Calibri" w:cs="Calibri" w:eastAsia="Calibri" w:hAnsi="Calibri"/>
                <w:sz w:val="14"/>
                <w:szCs w:val="14"/>
                <w:color w:val="auto"/>
              </w:rPr>
              <w:t>(643 )</w:t>
            </w:r>
          </w:p>
        </w:tc>
        <w:tc>
          <w:tcPr>
            <w:tcW w:w="1020" w:type="dxa"/>
            <w:vAlign w:val="bottom"/>
            <w:gridSpan w:val="2"/>
            <w:shd w:val="clear" w:color="auto" w:fill="CCEEFF"/>
          </w:tcPr>
          <w:p>
            <w:pPr>
              <w:jc w:val="right"/>
              <w:ind w:right="160"/>
              <w:spacing w:after="0" w:line="169" w:lineRule="exact"/>
              <w:rPr>
                <w:sz w:val="20"/>
                <w:szCs w:val="20"/>
                <w:color w:val="auto"/>
              </w:rPr>
            </w:pPr>
            <w:r>
              <w:rPr>
                <w:rFonts w:ascii="Calibri" w:cs="Calibri" w:eastAsia="Calibri" w:hAnsi="Calibri"/>
                <w:sz w:val="14"/>
                <w:szCs w:val="14"/>
                <w:color w:val="auto"/>
              </w:rPr>
              <w:t>$ (3,956,844 )</w:t>
            </w:r>
          </w:p>
        </w:tc>
        <w:tc>
          <w:tcPr>
            <w:tcW w:w="12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w w:val="83"/>
              </w:rPr>
              <w:t>$</w:t>
            </w:r>
          </w:p>
        </w:tc>
        <w:tc>
          <w:tcPr>
            <w:tcW w:w="900" w:type="dxa"/>
            <w:vAlign w:val="bottom"/>
            <w:gridSpan w:val="2"/>
            <w:shd w:val="clear" w:color="auto" w:fill="CCEEFF"/>
          </w:tcPr>
          <w:p>
            <w:pPr>
              <w:jc w:val="right"/>
              <w:ind w:right="160"/>
              <w:spacing w:after="0" w:line="169" w:lineRule="exact"/>
              <w:rPr>
                <w:sz w:val="20"/>
                <w:szCs w:val="20"/>
                <w:color w:val="auto"/>
              </w:rPr>
            </w:pPr>
            <w:r>
              <w:rPr>
                <w:rFonts w:ascii="Calibri" w:cs="Calibri" w:eastAsia="Calibri" w:hAnsi="Calibri"/>
                <w:sz w:val="14"/>
                <w:szCs w:val="14"/>
                <w:color w:val="auto"/>
              </w:rPr>
              <w:t>(3,593 )</w:t>
            </w:r>
          </w:p>
        </w:tc>
        <w:tc>
          <w:tcPr>
            <w:tcW w:w="10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w:t>
            </w:r>
          </w:p>
        </w:tc>
        <w:tc>
          <w:tcPr>
            <w:tcW w:w="72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3,593</w:t>
            </w:r>
          </w:p>
        </w:tc>
        <w:tc>
          <w:tcPr>
            <w:tcW w:w="380" w:type="dxa"/>
            <w:vAlign w:val="bottom"/>
            <w:gridSpan w:val="2"/>
            <w:shd w:val="clear" w:color="auto" w:fill="CCEEFF"/>
          </w:tcPr>
          <w:p>
            <w:pPr>
              <w:ind w:left="220"/>
              <w:spacing w:after="0" w:line="169" w:lineRule="exact"/>
              <w:rPr>
                <w:sz w:val="20"/>
                <w:szCs w:val="20"/>
                <w:color w:val="auto"/>
              </w:rPr>
            </w:pPr>
            <w:r>
              <w:rPr>
                <w:rFonts w:ascii="Calibri" w:cs="Calibri" w:eastAsia="Calibri" w:hAnsi="Calibri"/>
                <w:sz w:val="14"/>
                <w:szCs w:val="14"/>
                <w:color w:val="auto"/>
              </w:rPr>
              <w:t>$</w:t>
            </w:r>
          </w:p>
        </w:tc>
        <w:tc>
          <w:tcPr>
            <w:tcW w:w="680" w:type="dxa"/>
            <w:vAlign w:val="bottom"/>
            <w:shd w:val="clear" w:color="auto" w:fill="CCEEFF"/>
          </w:tcPr>
          <w:p>
            <w:pPr>
              <w:jc w:val="right"/>
              <w:spacing w:after="0" w:line="169" w:lineRule="exact"/>
              <w:rPr>
                <w:sz w:val="20"/>
                <w:szCs w:val="20"/>
                <w:color w:val="auto"/>
              </w:rPr>
            </w:pPr>
            <w:r>
              <w:rPr>
                <w:rFonts w:ascii="Calibri" w:cs="Calibri" w:eastAsia="Calibri" w:hAnsi="Calibri"/>
                <w:sz w:val="14"/>
                <w:szCs w:val="14"/>
                <w:color w:val="auto"/>
              </w:rPr>
              <w:t>255,297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-2836545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-2836545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-2836545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-2836545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-2836545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-2836545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-2836545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-2836545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-1268095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-1268095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-1268095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-1268095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-1268095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-1268095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-1268095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-24765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-7620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-24765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-7620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-24765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-7620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-24765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20"/>
        </w:trPr>
        <w:tc>
          <w:tcPr>
            <w:tcW w:w="7340" w:type="dxa"/>
            <w:vAlign w:val="bottom"/>
          </w:tcPr>
          <w:p>
            <w:pPr>
              <w:jc w:val="center"/>
              <w:ind w:left="3790"/>
              <w:spacing w:after="0"/>
              <w:rPr>
                <w:sz w:val="20"/>
                <w:szCs w:val="20"/>
                <w:color w:val="auto"/>
              </w:rPr>
            </w:pPr>
            <w:r>
              <w:rPr>
                <w:rFonts w:ascii="Calibri" w:cs="Calibri" w:eastAsia="Calibri" w:hAnsi="Calibri"/>
                <w:sz w:val="18"/>
                <w:szCs w:val="18"/>
                <w:b w:val="1"/>
                <w:bCs w:val="1"/>
                <w:color w:val="auto"/>
                <w:w w:val="97"/>
              </w:rPr>
              <w:t>ULTRAGENYX PHARMACEUTICAL INC.</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7"/>
        </w:trPr>
        <w:tc>
          <w:tcPr>
            <w:tcW w:w="7340" w:type="dxa"/>
            <w:vAlign w:val="bottom"/>
          </w:tcPr>
          <w:p>
            <w:pPr>
              <w:jc w:val="center"/>
              <w:ind w:left="3770"/>
              <w:spacing w:after="0"/>
              <w:rPr>
                <w:sz w:val="20"/>
                <w:szCs w:val="20"/>
                <w:color w:val="auto"/>
              </w:rPr>
            </w:pPr>
            <w:r>
              <w:rPr>
                <w:rFonts w:ascii="Calibri" w:cs="Calibri" w:eastAsia="Calibri" w:hAnsi="Calibri"/>
                <w:sz w:val="18"/>
                <w:szCs w:val="18"/>
                <w:b w:val="1"/>
                <w:bCs w:val="1"/>
                <w:color w:val="auto"/>
                <w:w w:val="97"/>
              </w:rPr>
              <w:t>CONSOLIDATED STATEMENTS OF CASH FLOWS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40" w:type="dxa"/>
            <w:vAlign w:val="bottom"/>
          </w:tcPr>
          <w:p>
            <w:pPr>
              <w:jc w:val="center"/>
              <w:ind w:left="3810"/>
              <w:spacing w:after="0" w:line="216" w:lineRule="exact"/>
              <w:rPr>
                <w:sz w:val="20"/>
                <w:szCs w:val="20"/>
                <w:color w:val="auto"/>
              </w:rPr>
            </w:pPr>
            <w:r>
              <w:rPr>
                <w:rFonts w:ascii="Calibri" w:cs="Calibri" w:eastAsia="Calibri" w:hAnsi="Calibri"/>
                <w:sz w:val="18"/>
                <w:szCs w:val="18"/>
                <w:b w:val="1"/>
                <w:bCs w:val="1"/>
                <w:color w:val="auto"/>
                <w:w w:val="96"/>
              </w:rPr>
              <w:t>(In thousands)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97"/>
        </w:trPr>
        <w:tc>
          <w:tcPr>
            <w:tcW w:w="7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00" w:type="dxa"/>
            <w:vAlign w:val="bottom"/>
            <w:gridSpan w:val="6"/>
          </w:tcPr>
          <w:p>
            <w:pPr>
              <w:jc w:val="right"/>
              <w:ind w:right="30"/>
              <w:spacing w:after="0"/>
              <w:rPr>
                <w:sz w:val="20"/>
                <w:szCs w:val="20"/>
                <w:color w:val="auto"/>
              </w:rPr>
            </w:pPr>
            <w:r>
              <w:rPr>
                <w:rFonts w:ascii="Calibri" w:cs="Calibri" w:eastAsia="Calibri" w:hAnsi="Calibri"/>
                <w:sz w:val="18"/>
                <w:szCs w:val="18"/>
                <w:b w:val="1"/>
                <w:bCs w:val="1"/>
                <w:color w:val="auto"/>
              </w:rPr>
              <w:t>Year Ended December 31,</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
        </w:trPr>
        <w:tc>
          <w:tcPr>
            <w:tcW w:w="7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7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line="209" w:lineRule="exact"/>
              <w:rPr>
                <w:sz w:val="20"/>
                <w:szCs w:val="20"/>
                <w:color w:val="auto"/>
              </w:rPr>
            </w:pPr>
            <w:r>
              <w:rPr>
                <w:rFonts w:ascii="Calibri" w:cs="Calibri" w:eastAsia="Calibri" w:hAnsi="Calibri"/>
                <w:sz w:val="18"/>
                <w:szCs w:val="18"/>
                <w:b w:val="1"/>
                <w:bCs w:val="1"/>
                <w:color w:val="auto"/>
              </w:rPr>
              <w:t>2024</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line="209" w:lineRule="exact"/>
              <w:rPr>
                <w:sz w:val="20"/>
                <w:szCs w:val="20"/>
                <w:color w:val="auto"/>
              </w:rPr>
            </w:pPr>
            <w:r>
              <w:rPr>
                <w:rFonts w:ascii="Calibri" w:cs="Calibri" w:eastAsia="Calibri" w:hAnsi="Calibri"/>
                <w:sz w:val="18"/>
                <w:szCs w:val="18"/>
                <w:b w:val="1"/>
                <w:bCs w:val="1"/>
                <w:color w:val="auto"/>
              </w:rPr>
              <w:t>2023</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line="209" w:lineRule="exact"/>
              <w:rPr>
                <w:sz w:val="20"/>
                <w:szCs w:val="20"/>
                <w:color w:val="auto"/>
              </w:rPr>
            </w:pPr>
            <w:r>
              <w:rPr>
                <w:rFonts w:ascii="Calibri" w:cs="Calibri" w:eastAsia="Calibri" w:hAnsi="Calibri"/>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7340" w:type="dxa"/>
            <w:vAlign w:val="bottom"/>
            <w:shd w:val="clear" w:color="auto" w:fill="CCECFF"/>
          </w:tcPr>
          <w:p>
            <w:pPr>
              <w:ind w:left="20"/>
              <w:spacing w:after="0" w:line="210" w:lineRule="exact"/>
              <w:rPr>
                <w:sz w:val="20"/>
                <w:szCs w:val="20"/>
                <w:color w:val="auto"/>
              </w:rPr>
            </w:pPr>
            <w:r>
              <w:rPr>
                <w:rFonts w:ascii="Calibri" w:cs="Calibri" w:eastAsia="Calibri" w:hAnsi="Calibri"/>
                <w:sz w:val="18"/>
                <w:szCs w:val="18"/>
                <w:b w:val="1"/>
                <w:bCs w:val="1"/>
                <w:color w:val="auto"/>
              </w:rPr>
              <w:t>Operatng actvites:</w:t>
            </w:r>
          </w:p>
        </w:tc>
        <w:tc>
          <w:tcPr>
            <w:tcW w:w="24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5"/>
        </w:trPr>
        <w:tc>
          <w:tcPr>
            <w:tcW w:w="7340" w:type="dxa"/>
            <w:vAlign w:val="bottom"/>
          </w:tcPr>
          <w:p>
            <w:pPr>
              <w:ind w:left="20"/>
              <w:spacing w:after="0" w:line="215" w:lineRule="exact"/>
              <w:rPr>
                <w:sz w:val="20"/>
                <w:szCs w:val="20"/>
                <w:color w:val="auto"/>
              </w:rPr>
            </w:pPr>
            <w:r>
              <w:rPr>
                <w:rFonts w:ascii="Calibri" w:cs="Calibri" w:eastAsia="Calibri" w:hAnsi="Calibri"/>
                <w:sz w:val="18"/>
                <w:szCs w:val="18"/>
                <w:color w:val="auto"/>
              </w:rPr>
              <w:t>Net loss</w:t>
            </w: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10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(569,183 )</w:t>
            </w:r>
          </w:p>
        </w:tc>
        <w:tc>
          <w:tcPr>
            <w:tcW w:w="2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(606,639 )</w:t>
            </w: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(707,421 )</w:t>
            </w:r>
          </w:p>
        </w:tc>
      </w:tr>
      <w:tr>
        <w:trPr>
          <w:trHeight w:val="217"/>
        </w:trPr>
        <w:tc>
          <w:tcPr>
            <w:tcW w:w="7340" w:type="dxa"/>
            <w:vAlign w:val="bottom"/>
            <w:shd w:val="clear" w:color="auto" w:fill="CCECFF"/>
          </w:tcPr>
          <w:p>
            <w:pPr>
              <w:ind w:left="20"/>
              <w:spacing w:after="0" w:line="216" w:lineRule="exact"/>
              <w:rPr>
                <w:sz w:val="20"/>
                <w:szCs w:val="20"/>
                <w:color w:val="auto"/>
              </w:rPr>
            </w:pPr>
            <w:r>
              <w:rPr>
                <w:rFonts w:ascii="Calibri" w:cs="Calibri" w:eastAsia="Calibri" w:hAnsi="Calibri"/>
                <w:sz w:val="18"/>
                <w:szCs w:val="18"/>
                <w:color w:val="auto"/>
              </w:rPr>
              <w:t>Adjustments to reconcile net loss to net cash used in operatng actvites:</w:t>
            </w:r>
          </w:p>
        </w:tc>
        <w:tc>
          <w:tcPr>
            <w:tcW w:w="24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5"/>
        </w:trPr>
        <w:tc>
          <w:tcPr>
            <w:tcW w:w="7340" w:type="dxa"/>
            <w:vAlign w:val="bottom"/>
          </w:tcPr>
          <w:p>
            <w:pPr>
              <w:ind w:left="200"/>
              <w:spacing w:after="0" w:line="215" w:lineRule="exact"/>
              <w:rPr>
                <w:sz w:val="20"/>
                <w:szCs w:val="20"/>
                <w:color w:val="auto"/>
              </w:rPr>
            </w:pPr>
            <w:r>
              <w:rPr>
                <w:rFonts w:ascii="Calibri" w:cs="Calibri" w:eastAsia="Calibri" w:hAnsi="Calibri"/>
                <w:sz w:val="18"/>
                <w:szCs w:val="18"/>
                <w:color w:val="auto"/>
              </w:rPr>
              <w:t>Stock-based compensaton</w:t>
            </w:r>
          </w:p>
        </w:tc>
        <w:tc>
          <w:tcPr>
            <w:tcW w:w="24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158,030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135,227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130,377</w:t>
            </w:r>
          </w:p>
        </w:tc>
        <w:tc>
          <w:tcPr>
            <w:tcW w:w="100" w:type="dxa"/>
            <w:vAlign w:val="bottom"/>
          </w:tcPr>
          <w:p>
            <w:pPr>
              <w:spacing w:after="0"/>
              <w:rPr>
                <w:sz w:val="18"/>
                <w:szCs w:val="18"/>
                <w:color w:val="auto"/>
              </w:rPr>
            </w:pPr>
          </w:p>
        </w:tc>
      </w:tr>
      <w:tr>
        <w:trPr>
          <w:trHeight w:val="217"/>
        </w:trPr>
        <w:tc>
          <w:tcPr>
            <w:tcW w:w="7340" w:type="dxa"/>
            <w:vAlign w:val="bottom"/>
            <w:shd w:val="clear" w:color="auto" w:fill="CCECFF"/>
          </w:tcPr>
          <w:p>
            <w:pPr>
              <w:ind w:left="200"/>
              <w:spacing w:after="0" w:line="216" w:lineRule="exact"/>
              <w:rPr>
                <w:sz w:val="20"/>
                <w:szCs w:val="20"/>
                <w:color w:val="auto"/>
              </w:rPr>
            </w:pPr>
            <w:r>
              <w:rPr>
                <w:rFonts w:ascii="Calibri" w:cs="Calibri" w:eastAsia="Calibri" w:hAnsi="Calibri"/>
                <w:sz w:val="18"/>
                <w:szCs w:val="18"/>
                <w:color w:val="auto"/>
              </w:rPr>
              <w:t>Acquired in-process research and development</w:t>
            </w:r>
          </w:p>
        </w:tc>
        <w:tc>
          <w:tcPr>
            <w:tcW w:w="240" w:type="dxa"/>
            <w:vAlign w:val="bottom"/>
            <w:shd w:val="clear" w:color="auto" w:fill="CCECFF"/>
          </w:tcPr>
          <w:p>
            <w:pPr>
              <w:spacing w:after="0"/>
              <w:rPr>
                <w:sz w:val="18"/>
                <w:szCs w:val="18"/>
                <w:color w:val="auto"/>
              </w:rPr>
            </w:pPr>
          </w:p>
        </w:tc>
        <w:tc>
          <w:tcPr>
            <w:tcW w:w="1100" w:type="dxa"/>
            <w:vAlign w:val="bottom"/>
            <w:gridSpan w:val="2"/>
            <w:shd w:val="clear" w:color="auto" w:fill="CCECFF"/>
          </w:tcPr>
          <w:p>
            <w:pPr>
              <w:jc w:val="right"/>
              <w:ind w:right="260"/>
              <w:spacing w:after="0" w:line="216"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CECFF"/>
          </w:tcPr>
          <w:p>
            <w:pPr>
              <w:spacing w:after="0"/>
              <w:rPr>
                <w:sz w:val="18"/>
                <w:szCs w:val="18"/>
                <w:color w:val="auto"/>
              </w:rPr>
            </w:pPr>
          </w:p>
        </w:tc>
        <w:tc>
          <w:tcPr>
            <w:tcW w:w="1120" w:type="dxa"/>
            <w:vAlign w:val="bottom"/>
            <w:gridSpan w:val="2"/>
            <w:shd w:val="clear" w:color="auto" w:fill="CCECFF"/>
          </w:tcPr>
          <w:p>
            <w:pPr>
              <w:jc w:val="right"/>
              <w:ind w:right="280"/>
              <w:spacing w:after="0" w:line="216"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75,033</w:t>
            </w:r>
          </w:p>
        </w:tc>
        <w:tc>
          <w:tcPr>
            <w:tcW w:w="100" w:type="dxa"/>
            <w:vAlign w:val="bottom"/>
            <w:shd w:val="clear" w:color="auto" w:fill="CCECFF"/>
          </w:tcPr>
          <w:p>
            <w:pPr>
              <w:spacing w:after="0"/>
              <w:rPr>
                <w:sz w:val="18"/>
                <w:szCs w:val="18"/>
                <w:color w:val="auto"/>
              </w:rPr>
            </w:pPr>
          </w:p>
        </w:tc>
      </w:tr>
      <w:tr>
        <w:trPr>
          <w:trHeight w:val="215"/>
        </w:trPr>
        <w:tc>
          <w:tcPr>
            <w:tcW w:w="7340" w:type="dxa"/>
            <w:vAlign w:val="bottom"/>
          </w:tcPr>
          <w:p>
            <w:pPr>
              <w:ind w:left="200"/>
              <w:spacing w:after="0" w:line="215" w:lineRule="exact"/>
              <w:rPr>
                <w:sz w:val="20"/>
                <w:szCs w:val="20"/>
                <w:color w:val="auto"/>
              </w:rPr>
            </w:pPr>
            <w:r>
              <w:rPr>
                <w:rFonts w:ascii="Calibri" w:cs="Calibri" w:eastAsia="Calibri" w:hAnsi="Calibri"/>
                <w:sz w:val="18"/>
                <w:szCs w:val="18"/>
                <w:color w:val="auto"/>
              </w:rPr>
              <w:t>Amortzaton of premium (discount) on marketable debt securites, net</w:t>
            </w:r>
          </w:p>
        </w:tc>
        <w:tc>
          <w:tcPr>
            <w:tcW w:w="240" w:type="dxa"/>
            <w:vAlign w:val="bottom"/>
          </w:tcPr>
          <w:p>
            <w:pPr>
              <w:spacing w:after="0"/>
              <w:rPr>
                <w:sz w:val="18"/>
                <w:szCs w:val="18"/>
                <w:color w:val="auto"/>
              </w:rPr>
            </w:pPr>
          </w:p>
        </w:tc>
        <w:tc>
          <w:tcPr>
            <w:tcW w:w="110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(12,624 )</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(12,842 )</w:t>
            </w:r>
          </w:p>
        </w:tc>
        <w:tc>
          <w:tcPr>
            <w:tcW w:w="24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2,699</w:t>
            </w:r>
          </w:p>
        </w:tc>
        <w:tc>
          <w:tcPr>
            <w:tcW w:w="100" w:type="dxa"/>
            <w:vAlign w:val="bottom"/>
          </w:tcPr>
          <w:p>
            <w:pPr>
              <w:spacing w:after="0"/>
              <w:rPr>
                <w:sz w:val="18"/>
                <w:szCs w:val="18"/>
                <w:color w:val="auto"/>
              </w:rPr>
            </w:pPr>
          </w:p>
        </w:tc>
      </w:tr>
      <w:tr>
        <w:trPr>
          <w:trHeight w:val="217"/>
        </w:trPr>
        <w:tc>
          <w:tcPr>
            <w:tcW w:w="7340" w:type="dxa"/>
            <w:vAlign w:val="bottom"/>
            <w:shd w:val="clear" w:color="auto" w:fill="CCECFF"/>
          </w:tcPr>
          <w:p>
            <w:pPr>
              <w:ind w:left="200"/>
              <w:spacing w:after="0" w:line="216" w:lineRule="exact"/>
              <w:rPr>
                <w:sz w:val="20"/>
                <w:szCs w:val="20"/>
                <w:color w:val="auto"/>
              </w:rPr>
            </w:pPr>
            <w:r>
              <w:rPr>
                <w:rFonts w:ascii="Calibri" w:cs="Calibri" w:eastAsia="Calibri" w:hAnsi="Calibri"/>
                <w:sz w:val="18"/>
                <w:szCs w:val="18"/>
                <w:color w:val="auto"/>
              </w:rPr>
              <w:t>Depreciaton and amortzaton</w:t>
            </w:r>
          </w:p>
        </w:tc>
        <w:tc>
          <w:tcPr>
            <w:tcW w:w="24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35,543</w:t>
            </w:r>
          </w:p>
        </w:tc>
        <w:tc>
          <w:tcPr>
            <w:tcW w:w="24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26,006</w:t>
            </w:r>
          </w:p>
        </w:tc>
        <w:tc>
          <w:tcPr>
            <w:tcW w:w="26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18,220</w:t>
            </w:r>
          </w:p>
        </w:tc>
        <w:tc>
          <w:tcPr>
            <w:tcW w:w="100" w:type="dxa"/>
            <w:vAlign w:val="bottom"/>
            <w:shd w:val="clear" w:color="auto" w:fill="CCECFF"/>
          </w:tcPr>
          <w:p>
            <w:pPr>
              <w:spacing w:after="0"/>
              <w:rPr>
                <w:sz w:val="18"/>
                <w:szCs w:val="18"/>
                <w:color w:val="auto"/>
              </w:rPr>
            </w:pPr>
          </w:p>
        </w:tc>
      </w:tr>
      <w:tr>
        <w:trPr>
          <w:trHeight w:val="219"/>
        </w:trPr>
        <w:tc>
          <w:tcPr>
            <w:tcW w:w="7340" w:type="dxa"/>
            <w:vAlign w:val="bottom"/>
          </w:tcPr>
          <w:p>
            <w:pPr>
              <w:ind w:left="200"/>
              <w:spacing w:after="0" w:line="215" w:lineRule="exact"/>
              <w:rPr>
                <w:sz w:val="20"/>
                <w:szCs w:val="20"/>
                <w:color w:val="auto"/>
              </w:rPr>
            </w:pPr>
            <w:r>
              <w:rPr>
                <w:rFonts w:ascii="Calibri" w:cs="Calibri" w:eastAsia="Calibri" w:hAnsi="Calibri"/>
                <w:sz w:val="18"/>
                <w:szCs w:val="18"/>
                <w:color w:val="auto"/>
              </w:rPr>
              <w:t>Change in fair value of equity investments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1,115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Calibri" w:cs="Calibri" w:eastAsia="Calibri" w:hAnsi="Calibri"/>
                <w:sz w:val="18"/>
                <w:szCs w:val="18"/>
                <w:color w:val="auto"/>
              </w:rPr>
              <w:t>(397 )</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19,299</w:t>
            </w:r>
          </w:p>
        </w:tc>
        <w:tc>
          <w:tcPr>
            <w:tcW w:w="100" w:type="dxa"/>
            <w:vAlign w:val="bottom"/>
          </w:tcPr>
          <w:p>
            <w:pPr>
              <w:spacing w:after="0"/>
              <w:rPr>
                <w:sz w:val="19"/>
                <w:szCs w:val="19"/>
                <w:color w:val="auto"/>
              </w:rPr>
            </w:pPr>
          </w:p>
        </w:tc>
      </w:tr>
      <w:tr>
        <w:trPr>
          <w:trHeight w:val="23"/>
        </w:trPr>
        <w:tc>
          <w:tcPr>
            <w:tcW w:w="7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340" w:type="dxa"/>
            <w:vAlign w:val="bottom"/>
            <w:tcBorders>
              <w:bottom w:val="single" w:sz="8" w:color="CCECFF"/>
            </w:tcBorders>
            <w:shd w:val="clear" w:color="auto" w:fill="CCECFF"/>
          </w:tcPr>
          <w:p>
            <w:pPr>
              <w:ind w:left="200"/>
              <w:spacing w:after="0" w:line="215" w:lineRule="exact"/>
              <w:rPr>
                <w:sz w:val="20"/>
                <w:szCs w:val="20"/>
                <w:color w:val="auto"/>
              </w:rPr>
            </w:pPr>
            <w:r>
              <w:rPr>
                <w:rFonts w:ascii="Calibri" w:cs="Calibri" w:eastAsia="Calibri" w:hAnsi="Calibri"/>
                <w:sz w:val="18"/>
                <w:szCs w:val="18"/>
                <w:color w:val="auto"/>
              </w:rPr>
              <w:t>Non-cash collaboraton royalty revenue</w:t>
            </w:r>
          </w:p>
        </w:tc>
        <w:tc>
          <w:tcPr>
            <w:tcW w:w="240" w:type="dxa"/>
            <w:vAlign w:val="bottom"/>
            <w:tcBorders>
              <w:bottom w:val="single" w:sz="8" w:color="CCECFF"/>
            </w:tcBorders>
            <w:shd w:val="clear" w:color="auto" w:fill="CCECFF"/>
          </w:tcPr>
          <w:p>
            <w:pPr>
              <w:spacing w:after="0"/>
              <w:rPr>
                <w:sz w:val="19"/>
                <w:szCs w:val="19"/>
                <w:color w:val="auto"/>
              </w:rPr>
            </w:pPr>
          </w:p>
        </w:tc>
        <w:tc>
          <w:tcPr>
            <w:tcW w:w="1100" w:type="dxa"/>
            <w:vAlign w:val="bottom"/>
            <w:tcBorders>
              <w:bottom w:val="single" w:sz="8" w:color="CCECFF"/>
            </w:tcBorders>
            <w:gridSpan w:val="2"/>
            <w:shd w:val="clear" w:color="auto" w:fill="CCECFF"/>
          </w:tcPr>
          <w:p>
            <w:pPr>
              <w:jc w:val="right"/>
              <w:ind w:right="180"/>
              <w:spacing w:after="0"/>
              <w:rPr>
                <w:sz w:val="20"/>
                <w:szCs w:val="20"/>
                <w:color w:val="auto"/>
              </w:rPr>
            </w:pPr>
            <w:r>
              <w:rPr>
                <w:rFonts w:ascii="Calibri" w:cs="Calibri" w:eastAsia="Calibri" w:hAnsi="Calibri"/>
                <w:sz w:val="18"/>
                <w:szCs w:val="18"/>
                <w:color w:val="auto"/>
              </w:rPr>
              <w:t>(100,539 )</w:t>
            </w:r>
          </w:p>
        </w:tc>
        <w:tc>
          <w:tcPr>
            <w:tcW w:w="240" w:type="dxa"/>
            <w:vAlign w:val="bottom"/>
            <w:tcBorders>
              <w:bottom w:val="single" w:sz="8" w:color="CCECFF"/>
            </w:tcBorders>
            <w:shd w:val="clear" w:color="auto" w:fill="CCECFF"/>
          </w:tcPr>
          <w:p>
            <w:pPr>
              <w:spacing w:after="0"/>
              <w:rPr>
                <w:sz w:val="19"/>
                <w:szCs w:val="19"/>
                <w:color w:val="auto"/>
              </w:rPr>
            </w:pPr>
          </w:p>
        </w:tc>
        <w:tc>
          <w:tcPr>
            <w:tcW w:w="1120" w:type="dxa"/>
            <w:vAlign w:val="bottom"/>
            <w:tcBorders>
              <w:bottom w:val="single" w:sz="8" w:color="CCECFF"/>
            </w:tcBorders>
            <w:gridSpan w:val="2"/>
            <w:shd w:val="clear" w:color="auto" w:fill="CCECFF"/>
          </w:tcPr>
          <w:p>
            <w:pPr>
              <w:jc w:val="right"/>
              <w:ind w:right="180"/>
              <w:spacing w:after="0"/>
              <w:rPr>
                <w:sz w:val="20"/>
                <w:szCs w:val="20"/>
                <w:color w:val="auto"/>
              </w:rPr>
            </w:pPr>
            <w:r>
              <w:rPr>
                <w:rFonts w:ascii="Calibri" w:cs="Calibri" w:eastAsia="Calibri" w:hAnsi="Calibri"/>
                <w:sz w:val="18"/>
                <w:szCs w:val="18"/>
                <w:color w:val="auto"/>
              </w:rPr>
              <w:t>(69,364 )</w:t>
            </w:r>
          </w:p>
        </w:tc>
        <w:tc>
          <w:tcPr>
            <w:tcW w:w="240" w:type="dxa"/>
            <w:vAlign w:val="bottom"/>
            <w:tcBorders>
              <w:bottom w:val="single" w:sz="8" w:color="CCECFF"/>
            </w:tcBorders>
            <w:shd w:val="clear" w:color="auto" w:fill="CCECFF"/>
          </w:tcPr>
          <w:p>
            <w:pPr>
              <w:spacing w:after="0"/>
              <w:rPr>
                <w:sz w:val="19"/>
                <w:szCs w:val="19"/>
                <w:color w:val="auto"/>
              </w:rPr>
            </w:pPr>
          </w:p>
        </w:tc>
        <w:tc>
          <w:tcPr>
            <w:tcW w:w="960" w:type="dxa"/>
            <w:vAlign w:val="bottom"/>
            <w:tcBorders>
              <w:bottom w:val="single" w:sz="8" w:color="CCECFF"/>
            </w:tcBorders>
            <w:gridSpan w:val="2"/>
            <w:shd w:val="clear" w:color="auto" w:fill="CCECFF"/>
          </w:tcPr>
          <w:p>
            <w:pPr>
              <w:jc w:val="right"/>
              <w:ind w:right="40"/>
              <w:spacing w:after="0"/>
              <w:rPr>
                <w:sz w:val="20"/>
                <w:szCs w:val="20"/>
                <w:color w:val="auto"/>
              </w:rPr>
            </w:pPr>
            <w:r>
              <w:rPr>
                <w:rFonts w:ascii="Calibri" w:cs="Calibri" w:eastAsia="Calibri" w:hAnsi="Calibri"/>
                <w:sz w:val="18"/>
                <w:szCs w:val="18"/>
                <w:color w:val="auto"/>
              </w:rPr>
              <w:t>(21,692 )</w:t>
            </w:r>
          </w:p>
        </w:tc>
      </w:tr>
      <w:tr>
        <w:trPr>
          <w:trHeight w:val="220"/>
        </w:trPr>
        <w:tc>
          <w:tcPr>
            <w:tcW w:w="7340" w:type="dxa"/>
            <w:vAlign w:val="bottom"/>
          </w:tcPr>
          <w:p>
            <w:pPr>
              <w:ind w:left="200"/>
              <w:spacing w:after="0" w:line="215" w:lineRule="exact"/>
              <w:rPr>
                <w:sz w:val="20"/>
                <w:szCs w:val="20"/>
                <w:color w:val="auto"/>
              </w:rPr>
            </w:pPr>
            <w:r>
              <w:rPr>
                <w:rFonts w:ascii="Calibri" w:cs="Calibri" w:eastAsia="Calibri" w:hAnsi="Calibri"/>
                <w:sz w:val="18"/>
                <w:szCs w:val="18"/>
                <w:color w:val="auto"/>
              </w:rPr>
              <w:t>Non-cash interest expense on liabilites for sales of future royaltes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63,041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66,004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Calibri" w:cs="Calibri" w:eastAsia="Calibri" w:hAnsi="Calibri"/>
                <w:sz w:val="18"/>
                <w:szCs w:val="18"/>
                <w:color w:val="auto"/>
              </w:rPr>
              <w:t>43,015</w:t>
            </w:r>
          </w:p>
        </w:tc>
        <w:tc>
          <w:tcPr>
            <w:tcW w:w="100" w:type="dxa"/>
            <w:vAlign w:val="bottom"/>
          </w:tcPr>
          <w:p>
            <w:pPr>
              <w:spacing w:after="0"/>
              <w:rPr>
                <w:sz w:val="19"/>
                <w:szCs w:val="19"/>
                <w:color w:val="auto"/>
              </w:rPr>
            </w:pPr>
          </w:p>
        </w:tc>
      </w:tr>
      <w:tr>
        <w:trPr>
          <w:trHeight w:val="23"/>
        </w:trPr>
        <w:tc>
          <w:tcPr>
            <w:tcW w:w="7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340" w:type="dxa"/>
            <w:vAlign w:val="bottom"/>
            <w:tcBorders>
              <w:bottom w:val="single" w:sz="8" w:color="CCECFF"/>
            </w:tcBorders>
            <w:shd w:val="clear" w:color="auto" w:fill="CCECFF"/>
          </w:tcPr>
          <w:p>
            <w:pPr>
              <w:ind w:left="200"/>
              <w:spacing w:after="0" w:line="215" w:lineRule="exact"/>
              <w:rPr>
                <w:sz w:val="20"/>
                <w:szCs w:val="20"/>
                <w:color w:val="auto"/>
              </w:rPr>
            </w:pPr>
            <w:r>
              <w:rPr>
                <w:rFonts w:ascii="Calibri" w:cs="Calibri" w:eastAsia="Calibri" w:hAnsi="Calibri"/>
                <w:sz w:val="18"/>
                <w:szCs w:val="18"/>
                <w:color w:val="auto"/>
              </w:rPr>
              <w:t>Other</w:t>
            </w:r>
          </w:p>
        </w:tc>
        <w:tc>
          <w:tcPr>
            <w:tcW w:w="240" w:type="dxa"/>
            <w:vAlign w:val="bottom"/>
            <w:tcBorders>
              <w:bottom w:val="single" w:sz="8" w:color="CCECFF"/>
            </w:tcBorders>
            <w:shd w:val="clear" w:color="auto" w:fill="CCECFF"/>
          </w:tcPr>
          <w:p>
            <w:pPr>
              <w:spacing w:after="0"/>
              <w:rPr>
                <w:sz w:val="19"/>
                <w:szCs w:val="19"/>
                <w:color w:val="auto"/>
              </w:rPr>
            </w:pPr>
          </w:p>
        </w:tc>
        <w:tc>
          <w:tcPr>
            <w:tcW w:w="1100" w:type="dxa"/>
            <w:vAlign w:val="bottom"/>
            <w:tcBorders>
              <w:bottom w:val="single" w:sz="8" w:color="CCECFF"/>
            </w:tcBorders>
            <w:gridSpan w:val="2"/>
            <w:shd w:val="clear" w:color="auto" w:fill="CCECFF"/>
          </w:tcPr>
          <w:p>
            <w:pPr>
              <w:jc w:val="right"/>
              <w:ind w:right="180"/>
              <w:spacing w:after="0"/>
              <w:rPr>
                <w:sz w:val="20"/>
                <w:szCs w:val="20"/>
                <w:color w:val="auto"/>
              </w:rPr>
            </w:pPr>
            <w:r>
              <w:rPr>
                <w:rFonts w:ascii="Calibri" w:cs="Calibri" w:eastAsia="Calibri" w:hAnsi="Calibri"/>
                <w:sz w:val="18"/>
                <w:szCs w:val="18"/>
                <w:color w:val="auto"/>
              </w:rPr>
              <w:t>(3,489 )</w:t>
            </w:r>
          </w:p>
        </w:tc>
        <w:tc>
          <w:tcPr>
            <w:tcW w:w="240" w:type="dxa"/>
            <w:vAlign w:val="bottom"/>
            <w:tcBorders>
              <w:bottom w:val="single" w:sz="8" w:color="CCECFF"/>
            </w:tcBorders>
            <w:shd w:val="clear" w:color="auto" w:fill="CCECFF"/>
          </w:tcPr>
          <w:p>
            <w:pPr>
              <w:spacing w:after="0"/>
              <w:rPr>
                <w:sz w:val="19"/>
                <w:szCs w:val="19"/>
                <w:color w:val="auto"/>
              </w:rPr>
            </w:pPr>
          </w:p>
        </w:tc>
        <w:tc>
          <w:tcPr>
            <w:tcW w:w="860" w:type="dxa"/>
            <w:vAlign w:val="bottom"/>
            <w:tcBorders>
              <w:bottom w:val="single" w:sz="8" w:color="CCECFF"/>
            </w:tcBorders>
            <w:shd w:val="clear" w:color="auto" w:fill="CCECFF"/>
          </w:tcPr>
          <w:p>
            <w:pPr>
              <w:jc w:val="right"/>
              <w:spacing w:after="0"/>
              <w:rPr>
                <w:sz w:val="20"/>
                <w:szCs w:val="20"/>
                <w:color w:val="auto"/>
              </w:rPr>
            </w:pPr>
            <w:r>
              <w:rPr>
                <w:rFonts w:ascii="Calibri" w:cs="Calibri" w:eastAsia="Calibri" w:hAnsi="Calibri"/>
                <w:sz w:val="18"/>
                <w:szCs w:val="18"/>
                <w:color w:val="auto"/>
              </w:rPr>
              <w:t>2,300</w:t>
            </w:r>
          </w:p>
        </w:tc>
        <w:tc>
          <w:tcPr>
            <w:tcW w:w="26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CCECFF"/>
            </w:tcBorders>
            <w:shd w:val="clear" w:color="auto" w:fill="CCECFF"/>
          </w:tcPr>
          <w:p>
            <w:pPr>
              <w:spacing w:after="0"/>
              <w:rPr>
                <w:sz w:val="19"/>
                <w:szCs w:val="19"/>
                <w:color w:val="auto"/>
              </w:rPr>
            </w:pPr>
          </w:p>
        </w:tc>
        <w:tc>
          <w:tcPr>
            <w:tcW w:w="960" w:type="dxa"/>
            <w:vAlign w:val="bottom"/>
            <w:tcBorders>
              <w:bottom w:val="single" w:sz="8" w:color="CCECFF"/>
            </w:tcBorders>
            <w:gridSpan w:val="2"/>
            <w:shd w:val="clear" w:color="auto" w:fill="CCECFF"/>
          </w:tcPr>
          <w:p>
            <w:pPr>
              <w:jc w:val="right"/>
              <w:ind w:right="40"/>
              <w:spacing w:after="0"/>
              <w:rPr>
                <w:sz w:val="20"/>
                <w:szCs w:val="20"/>
                <w:color w:val="auto"/>
              </w:rPr>
            </w:pPr>
            <w:r>
              <w:rPr>
                <w:rFonts w:ascii="Calibri" w:cs="Calibri" w:eastAsia="Calibri" w:hAnsi="Calibri"/>
                <w:sz w:val="18"/>
                <w:szCs w:val="18"/>
                <w:color w:val="auto"/>
              </w:rPr>
              <w:t>(230 )</w:t>
            </w:r>
          </w:p>
        </w:tc>
      </w:tr>
      <w:tr>
        <w:trPr>
          <w:trHeight w:val="215"/>
        </w:trPr>
        <w:tc>
          <w:tcPr>
            <w:tcW w:w="7340" w:type="dxa"/>
            <w:vAlign w:val="bottom"/>
          </w:tcPr>
          <w:p>
            <w:pPr>
              <w:ind w:left="20"/>
              <w:spacing w:after="0" w:line="215" w:lineRule="exact"/>
              <w:rPr>
                <w:sz w:val="20"/>
                <w:szCs w:val="20"/>
                <w:color w:val="auto"/>
              </w:rPr>
            </w:pPr>
            <w:r>
              <w:rPr>
                <w:rFonts w:ascii="Calibri" w:cs="Calibri" w:eastAsia="Calibri" w:hAnsi="Calibri"/>
                <w:sz w:val="18"/>
                <w:szCs w:val="18"/>
                <w:color w:val="auto"/>
              </w:rPr>
              <w:t>Changes in operatng assets and liabilites: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4"/>
        </w:trPr>
        <w:tc>
          <w:tcPr>
            <w:tcW w:w="7340" w:type="dxa"/>
            <w:vAlign w:val="bottom"/>
            <w:tcBorders>
              <w:bottom w:val="single" w:sz="8" w:color="CCECFF"/>
            </w:tcBorders>
            <w:shd w:val="clear" w:color="auto" w:fill="CCECFF"/>
          </w:tcPr>
          <w:p>
            <w:pPr>
              <w:ind w:left="200"/>
              <w:spacing w:after="0" w:line="216" w:lineRule="exact"/>
              <w:rPr>
                <w:sz w:val="20"/>
                <w:szCs w:val="20"/>
                <w:color w:val="auto"/>
              </w:rPr>
            </w:pPr>
            <w:r>
              <w:rPr>
                <w:rFonts w:ascii="Calibri" w:cs="Calibri" w:eastAsia="Calibri" w:hAnsi="Calibri"/>
                <w:sz w:val="18"/>
                <w:szCs w:val="18"/>
                <w:color w:val="auto"/>
              </w:rPr>
              <w:t>Accounts receivable</w:t>
            </w:r>
          </w:p>
        </w:tc>
        <w:tc>
          <w:tcPr>
            <w:tcW w:w="240" w:type="dxa"/>
            <w:vAlign w:val="bottom"/>
            <w:tcBorders>
              <w:bottom w:val="single" w:sz="8" w:color="CCECFF"/>
            </w:tcBorders>
            <w:shd w:val="clear" w:color="auto" w:fill="CCECFF"/>
          </w:tcPr>
          <w:p>
            <w:pPr>
              <w:spacing w:after="0"/>
              <w:rPr>
                <w:sz w:val="19"/>
                <w:szCs w:val="19"/>
                <w:color w:val="auto"/>
              </w:rPr>
            </w:pPr>
          </w:p>
        </w:tc>
        <w:tc>
          <w:tcPr>
            <w:tcW w:w="1100" w:type="dxa"/>
            <w:vAlign w:val="bottom"/>
            <w:tcBorders>
              <w:bottom w:val="single" w:sz="8" w:color="CCECFF"/>
            </w:tcBorders>
            <w:gridSpan w:val="2"/>
            <w:shd w:val="clear" w:color="auto" w:fill="CCECFF"/>
          </w:tcPr>
          <w:p>
            <w:pPr>
              <w:jc w:val="right"/>
              <w:ind w:right="180"/>
              <w:spacing w:after="0"/>
              <w:rPr>
                <w:sz w:val="20"/>
                <w:szCs w:val="20"/>
                <w:color w:val="auto"/>
              </w:rPr>
            </w:pPr>
            <w:r>
              <w:rPr>
                <w:rFonts w:ascii="Calibri" w:cs="Calibri" w:eastAsia="Calibri" w:hAnsi="Calibri"/>
                <w:sz w:val="18"/>
                <w:szCs w:val="18"/>
                <w:color w:val="auto"/>
              </w:rPr>
              <w:t>(33,598 )</w:t>
            </w:r>
          </w:p>
        </w:tc>
        <w:tc>
          <w:tcPr>
            <w:tcW w:w="240" w:type="dxa"/>
            <w:vAlign w:val="bottom"/>
            <w:tcBorders>
              <w:bottom w:val="single" w:sz="8" w:color="CCECFF"/>
            </w:tcBorders>
            <w:shd w:val="clear" w:color="auto" w:fill="CCECFF"/>
          </w:tcPr>
          <w:p>
            <w:pPr>
              <w:spacing w:after="0"/>
              <w:rPr>
                <w:sz w:val="19"/>
                <w:szCs w:val="19"/>
                <w:color w:val="auto"/>
              </w:rPr>
            </w:pPr>
          </w:p>
        </w:tc>
        <w:tc>
          <w:tcPr>
            <w:tcW w:w="1120" w:type="dxa"/>
            <w:vAlign w:val="bottom"/>
            <w:tcBorders>
              <w:bottom w:val="single" w:sz="8" w:color="CCECFF"/>
            </w:tcBorders>
            <w:gridSpan w:val="2"/>
            <w:shd w:val="clear" w:color="auto" w:fill="CCECFF"/>
          </w:tcPr>
          <w:p>
            <w:pPr>
              <w:jc w:val="right"/>
              <w:ind w:right="180"/>
              <w:spacing w:after="0"/>
              <w:rPr>
                <w:sz w:val="20"/>
                <w:szCs w:val="20"/>
                <w:color w:val="auto"/>
              </w:rPr>
            </w:pPr>
            <w:r>
              <w:rPr>
                <w:rFonts w:ascii="Calibri" w:cs="Calibri" w:eastAsia="Calibri" w:hAnsi="Calibri"/>
                <w:sz w:val="18"/>
                <w:szCs w:val="18"/>
                <w:color w:val="auto"/>
              </w:rPr>
              <w:t>(22,778 )</w:t>
            </w:r>
          </w:p>
        </w:tc>
        <w:tc>
          <w:tcPr>
            <w:tcW w:w="240" w:type="dxa"/>
            <w:vAlign w:val="bottom"/>
            <w:tcBorders>
              <w:bottom w:val="single" w:sz="8" w:color="CCECFF"/>
            </w:tcBorders>
            <w:shd w:val="clear" w:color="auto" w:fill="CCECFF"/>
          </w:tcPr>
          <w:p>
            <w:pPr>
              <w:spacing w:after="0"/>
              <w:rPr>
                <w:sz w:val="19"/>
                <w:szCs w:val="19"/>
                <w:color w:val="auto"/>
              </w:rPr>
            </w:pPr>
          </w:p>
        </w:tc>
        <w:tc>
          <w:tcPr>
            <w:tcW w:w="960" w:type="dxa"/>
            <w:vAlign w:val="bottom"/>
            <w:tcBorders>
              <w:bottom w:val="single" w:sz="8" w:color="CCECFF"/>
            </w:tcBorders>
            <w:gridSpan w:val="2"/>
            <w:shd w:val="clear" w:color="auto" w:fill="CCECFF"/>
          </w:tcPr>
          <w:p>
            <w:pPr>
              <w:jc w:val="right"/>
              <w:ind w:right="40"/>
              <w:spacing w:after="0"/>
              <w:rPr>
                <w:sz w:val="20"/>
                <w:szCs w:val="20"/>
                <w:color w:val="auto"/>
              </w:rPr>
            </w:pPr>
            <w:r>
              <w:rPr>
                <w:rFonts w:ascii="Calibri" w:cs="Calibri" w:eastAsia="Calibri" w:hAnsi="Calibri"/>
                <w:sz w:val="18"/>
                <w:szCs w:val="18"/>
                <w:color w:val="auto"/>
              </w:rPr>
              <w:t>(12,068 )</w:t>
            </w:r>
          </w:p>
        </w:tc>
      </w:tr>
      <w:tr>
        <w:trPr>
          <w:trHeight w:val="220"/>
        </w:trPr>
        <w:tc>
          <w:tcPr>
            <w:tcW w:w="7340" w:type="dxa"/>
            <w:vAlign w:val="bottom"/>
          </w:tcPr>
          <w:p>
            <w:pPr>
              <w:ind w:left="200"/>
              <w:spacing w:after="0" w:line="215" w:lineRule="exact"/>
              <w:rPr>
                <w:sz w:val="20"/>
                <w:szCs w:val="20"/>
                <w:color w:val="auto"/>
              </w:rPr>
            </w:pPr>
            <w:r>
              <w:rPr>
                <w:rFonts w:ascii="Calibri" w:cs="Calibri" w:eastAsia="Calibri" w:hAnsi="Calibri"/>
                <w:sz w:val="18"/>
                <w:szCs w:val="18"/>
                <w:color w:val="auto"/>
              </w:rPr>
              <w:t>Inventory</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Calibri" w:cs="Calibri" w:eastAsia="Calibri" w:hAnsi="Calibri"/>
                <w:sz w:val="18"/>
                <w:szCs w:val="18"/>
                <w:color w:val="auto"/>
              </w:rPr>
              <w:t>(11,207 )</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Calibri" w:cs="Calibri" w:eastAsia="Calibri" w:hAnsi="Calibri"/>
                <w:sz w:val="18"/>
                <w:szCs w:val="18"/>
                <w:color w:val="auto"/>
              </w:rPr>
              <w:t>(6,930 )</w:t>
            </w:r>
          </w:p>
        </w:tc>
        <w:tc>
          <w:tcPr>
            <w:tcW w:w="2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Calibri" w:cs="Calibri" w:eastAsia="Calibri" w:hAnsi="Calibri"/>
                <w:sz w:val="18"/>
                <w:szCs w:val="18"/>
                <w:color w:val="auto"/>
              </w:rPr>
              <w:t>(9,701 )</w:t>
            </w:r>
          </w:p>
        </w:tc>
      </w:tr>
      <w:tr>
        <w:trPr>
          <w:trHeight w:val="23"/>
        </w:trPr>
        <w:tc>
          <w:tcPr>
            <w:tcW w:w="7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40" w:type="dxa"/>
            <w:vAlign w:val="bottom"/>
            <w:shd w:val="clear" w:color="auto" w:fill="CCECFF"/>
          </w:tcPr>
          <w:p>
            <w:pPr>
              <w:ind w:left="200"/>
              <w:spacing w:after="0" w:line="215" w:lineRule="exact"/>
              <w:rPr>
                <w:sz w:val="20"/>
                <w:szCs w:val="20"/>
                <w:color w:val="auto"/>
              </w:rPr>
            </w:pPr>
            <w:r>
              <w:rPr>
                <w:rFonts w:ascii="Calibri" w:cs="Calibri" w:eastAsia="Calibri" w:hAnsi="Calibri"/>
                <w:sz w:val="18"/>
                <w:szCs w:val="18"/>
                <w:color w:val="auto"/>
              </w:rPr>
              <w:t>Prepaid expenses and other assets</w:t>
            </w:r>
          </w:p>
        </w:tc>
        <w:tc>
          <w:tcPr>
            <w:tcW w:w="24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11,731</w:t>
            </w:r>
          </w:p>
        </w:tc>
        <w:tc>
          <w:tcPr>
            <w:tcW w:w="24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15,325</w:t>
            </w:r>
          </w:p>
        </w:tc>
        <w:tc>
          <w:tcPr>
            <w:tcW w:w="26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60" w:type="dxa"/>
            <w:vAlign w:val="bottom"/>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3,798</w:t>
            </w:r>
          </w:p>
        </w:tc>
        <w:tc>
          <w:tcPr>
            <w:tcW w:w="100" w:type="dxa"/>
            <w:vAlign w:val="bottom"/>
            <w:shd w:val="clear" w:color="auto" w:fill="CCECFF"/>
          </w:tcPr>
          <w:p>
            <w:pPr>
              <w:spacing w:after="0"/>
              <w:rPr>
                <w:sz w:val="18"/>
                <w:szCs w:val="18"/>
                <w:color w:val="auto"/>
              </w:rPr>
            </w:pPr>
          </w:p>
        </w:tc>
      </w:tr>
      <w:tr>
        <w:trPr>
          <w:trHeight w:val="215"/>
        </w:trPr>
        <w:tc>
          <w:tcPr>
            <w:tcW w:w="7340" w:type="dxa"/>
            <w:vAlign w:val="bottom"/>
          </w:tcPr>
          <w:p>
            <w:pPr>
              <w:ind w:left="200"/>
              <w:spacing w:after="0" w:line="215" w:lineRule="exact"/>
              <w:rPr>
                <w:sz w:val="20"/>
                <w:szCs w:val="20"/>
                <w:color w:val="auto"/>
              </w:rPr>
            </w:pPr>
            <w:r>
              <w:rPr>
                <w:rFonts w:ascii="Calibri" w:cs="Calibri" w:eastAsia="Calibri" w:hAnsi="Calibri"/>
                <w:sz w:val="18"/>
                <w:szCs w:val="18"/>
                <w:color w:val="auto"/>
              </w:rPr>
              <w:t>Accounts payable, accrued, and other liabilites</w:t>
            </w:r>
          </w:p>
        </w:tc>
        <w:tc>
          <w:tcPr>
            <w:tcW w:w="24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46,992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901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79,845</w:t>
            </w:r>
          </w:p>
        </w:tc>
        <w:tc>
          <w:tcPr>
            <w:tcW w:w="100" w:type="dxa"/>
            <w:vAlign w:val="bottom"/>
          </w:tcPr>
          <w:p>
            <w:pPr>
              <w:spacing w:after="0"/>
              <w:rPr>
                <w:sz w:val="18"/>
                <w:szCs w:val="18"/>
                <w:color w:val="auto"/>
              </w:rPr>
            </w:pPr>
          </w:p>
        </w:tc>
      </w:tr>
      <w:tr>
        <w:trPr>
          <w:trHeight w:val="216"/>
        </w:trPr>
        <w:tc>
          <w:tcPr>
            <w:tcW w:w="7340" w:type="dxa"/>
            <w:vAlign w:val="bottom"/>
            <w:shd w:val="clear" w:color="auto" w:fill="CCEEFF"/>
          </w:tcPr>
          <w:p>
            <w:pPr>
              <w:ind w:left="200"/>
              <w:spacing w:after="0" w:line="216" w:lineRule="exact"/>
              <w:rPr>
                <w:sz w:val="20"/>
                <w:szCs w:val="20"/>
                <w:color w:val="auto"/>
              </w:rPr>
            </w:pPr>
            <w:r>
              <w:rPr>
                <w:rFonts w:ascii="Calibri" w:cs="Calibri" w:eastAsia="Calibri" w:hAnsi="Calibri"/>
                <w:sz w:val="18"/>
                <w:szCs w:val="18"/>
                <w:color w:val="auto"/>
              </w:rPr>
              <w:t>Deferred tax liabilites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line="216" w:lineRule="exact"/>
              <w:rPr>
                <w:sz w:val="20"/>
                <w:szCs w:val="20"/>
                <w:color w:val="auto"/>
              </w:rPr>
            </w:pPr>
            <w:r>
              <w:rPr>
                <w:rFonts w:ascii="Calibri" w:cs="Calibri" w:eastAsia="Calibri" w:hAnsi="Calibri"/>
                <w:sz w:val="18"/>
                <w:szCs w:val="18"/>
                <w:color w:val="auto"/>
              </w:rPr>
              <w:t>(1,619 )</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line="216" w:lineRule="exact"/>
              <w:rPr>
                <w:sz w:val="20"/>
                <w:szCs w:val="20"/>
                <w:color w:val="auto"/>
              </w:rPr>
            </w:pPr>
            <w:r>
              <w:rPr>
                <w:rFonts w:ascii="Calibri" w:cs="Calibri" w:eastAsia="Calibri" w:hAnsi="Calibri"/>
                <w:sz w:val="18"/>
                <w:szCs w:val="18"/>
                <w:color w:val="auto"/>
              </w:rPr>
              <w:t>(1,639 )</w:t>
            </w:r>
          </w:p>
        </w:tc>
      </w:tr>
      <w:tr>
        <w:trPr>
          <w:trHeight w:val="20"/>
        </w:trPr>
        <w:tc>
          <w:tcPr>
            <w:tcW w:w="73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340" w:type="dxa"/>
            <w:vAlign w:val="bottom"/>
          </w:tcPr>
          <w:p>
            <w:pPr>
              <w:ind w:left="560"/>
              <w:spacing w:after="0" w:line="209" w:lineRule="exact"/>
              <w:rPr>
                <w:sz w:val="20"/>
                <w:szCs w:val="20"/>
                <w:color w:val="auto"/>
              </w:rPr>
            </w:pPr>
            <w:r>
              <w:rPr>
                <w:rFonts w:ascii="Calibri" w:cs="Calibri" w:eastAsia="Calibri" w:hAnsi="Calibri"/>
                <w:sz w:val="18"/>
                <w:szCs w:val="18"/>
                <w:color w:val="auto"/>
              </w:rPr>
              <w:t>Net cash used in operatng actvites</w:t>
            </w:r>
          </w:p>
        </w:tc>
        <w:tc>
          <w:tcPr>
            <w:tcW w:w="240" w:type="dxa"/>
            <w:vAlign w:val="bottom"/>
          </w:tcPr>
          <w:p>
            <w:pPr>
              <w:spacing w:after="0"/>
              <w:rPr>
                <w:sz w:val="18"/>
                <w:szCs w:val="18"/>
                <w:color w:val="auto"/>
              </w:rPr>
            </w:pPr>
          </w:p>
        </w:tc>
        <w:tc>
          <w:tcPr>
            <w:tcW w:w="1100" w:type="dxa"/>
            <w:vAlign w:val="bottom"/>
            <w:gridSpan w:val="2"/>
          </w:tcPr>
          <w:p>
            <w:pPr>
              <w:jc w:val="right"/>
              <w:ind w:right="180"/>
              <w:spacing w:after="0" w:line="209" w:lineRule="exact"/>
              <w:rPr>
                <w:sz w:val="20"/>
                <w:szCs w:val="20"/>
                <w:color w:val="auto"/>
              </w:rPr>
            </w:pPr>
            <w:r>
              <w:rPr>
                <w:rFonts w:ascii="Calibri" w:cs="Calibri" w:eastAsia="Calibri" w:hAnsi="Calibri"/>
                <w:sz w:val="18"/>
                <w:szCs w:val="18"/>
                <w:color w:val="auto"/>
              </w:rPr>
              <w:t>(414,188 )</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line="209" w:lineRule="exact"/>
              <w:rPr>
                <w:sz w:val="20"/>
                <w:szCs w:val="20"/>
                <w:color w:val="auto"/>
              </w:rPr>
            </w:pPr>
            <w:r>
              <w:rPr>
                <w:rFonts w:ascii="Calibri" w:cs="Calibri" w:eastAsia="Calibri" w:hAnsi="Calibri"/>
                <w:sz w:val="18"/>
                <w:szCs w:val="18"/>
                <w:color w:val="auto"/>
              </w:rPr>
              <w:t>(474,806 )</w:t>
            </w:r>
          </w:p>
        </w:tc>
        <w:tc>
          <w:tcPr>
            <w:tcW w:w="240" w:type="dxa"/>
            <w:vAlign w:val="bottom"/>
          </w:tcPr>
          <w:p>
            <w:pPr>
              <w:spacing w:after="0"/>
              <w:rPr>
                <w:sz w:val="18"/>
                <w:szCs w:val="18"/>
                <w:color w:val="auto"/>
              </w:rPr>
            </w:pPr>
          </w:p>
        </w:tc>
        <w:tc>
          <w:tcPr>
            <w:tcW w:w="960" w:type="dxa"/>
            <w:vAlign w:val="bottom"/>
            <w:gridSpan w:val="2"/>
          </w:tcPr>
          <w:p>
            <w:pPr>
              <w:jc w:val="right"/>
              <w:ind w:right="40"/>
              <w:spacing w:after="0" w:line="209" w:lineRule="exact"/>
              <w:rPr>
                <w:sz w:val="20"/>
                <w:szCs w:val="20"/>
                <w:color w:val="auto"/>
              </w:rPr>
            </w:pPr>
            <w:r>
              <w:rPr>
                <w:rFonts w:ascii="Calibri" w:cs="Calibri" w:eastAsia="Calibri" w:hAnsi="Calibri"/>
                <w:sz w:val="18"/>
                <w:szCs w:val="18"/>
                <w:color w:val="auto"/>
              </w:rPr>
              <w:t>(380,465 )</w:t>
            </w:r>
          </w:p>
        </w:tc>
      </w:tr>
      <w:tr>
        <w:trPr>
          <w:trHeight w:val="210"/>
        </w:trPr>
        <w:tc>
          <w:tcPr>
            <w:tcW w:w="734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b w:val="1"/>
                <w:bCs w:val="1"/>
                <w:color w:val="auto"/>
              </w:rPr>
              <w:t>Investng actvites:</w:t>
            </w: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340" w:type="dxa"/>
            <w:vAlign w:val="bottom"/>
          </w:tcPr>
          <w:p>
            <w:pPr>
              <w:ind w:left="200"/>
              <w:spacing w:after="0" w:line="215" w:lineRule="exact"/>
              <w:rPr>
                <w:sz w:val="20"/>
                <w:szCs w:val="20"/>
                <w:color w:val="auto"/>
              </w:rPr>
            </w:pPr>
            <w:r>
              <w:rPr>
                <w:rFonts w:ascii="Calibri" w:cs="Calibri" w:eastAsia="Calibri" w:hAnsi="Calibri"/>
                <w:sz w:val="18"/>
                <w:szCs w:val="18"/>
                <w:color w:val="auto"/>
              </w:rPr>
              <w:t>Purchase of property, plant, and equipment</w:t>
            </w:r>
          </w:p>
        </w:tc>
        <w:tc>
          <w:tcPr>
            <w:tcW w:w="240" w:type="dxa"/>
            <w:vAlign w:val="bottom"/>
          </w:tcPr>
          <w:p>
            <w:pPr>
              <w:spacing w:after="0"/>
              <w:rPr>
                <w:sz w:val="18"/>
                <w:szCs w:val="18"/>
                <w:color w:val="auto"/>
              </w:rPr>
            </w:pPr>
          </w:p>
        </w:tc>
        <w:tc>
          <w:tcPr>
            <w:tcW w:w="110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(7,491 )</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(44,267 )</w:t>
            </w:r>
          </w:p>
        </w:tc>
        <w:tc>
          <w:tcPr>
            <w:tcW w:w="240" w:type="dxa"/>
            <w:vAlign w:val="bottom"/>
          </w:tcPr>
          <w:p>
            <w:pPr>
              <w:spacing w:after="0"/>
              <w:rPr>
                <w:sz w:val="18"/>
                <w:szCs w:val="18"/>
                <w:color w:val="auto"/>
              </w:rPr>
            </w:pPr>
          </w:p>
        </w:tc>
        <w:tc>
          <w:tcPr>
            <w:tcW w:w="9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(116,123 )</w:t>
            </w:r>
          </w:p>
        </w:tc>
      </w:tr>
      <w:tr>
        <w:trPr>
          <w:trHeight w:val="217"/>
        </w:trPr>
        <w:tc>
          <w:tcPr>
            <w:tcW w:w="7340" w:type="dxa"/>
            <w:vAlign w:val="bottom"/>
            <w:shd w:val="clear" w:color="auto" w:fill="CCEEFF"/>
          </w:tcPr>
          <w:p>
            <w:pPr>
              <w:ind w:left="200"/>
              <w:spacing w:after="0" w:line="216" w:lineRule="exact"/>
              <w:rPr>
                <w:sz w:val="20"/>
                <w:szCs w:val="20"/>
                <w:color w:val="auto"/>
              </w:rPr>
            </w:pPr>
            <w:r>
              <w:rPr>
                <w:rFonts w:ascii="Calibri" w:cs="Calibri" w:eastAsia="Calibri" w:hAnsi="Calibri"/>
                <w:sz w:val="18"/>
                <w:szCs w:val="18"/>
                <w:color w:val="auto"/>
              </w:rPr>
              <w:t>Acquisiton, net of cash acquired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line="216"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line="216"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line="216" w:lineRule="exact"/>
              <w:rPr>
                <w:sz w:val="20"/>
                <w:szCs w:val="20"/>
                <w:color w:val="auto"/>
              </w:rPr>
            </w:pPr>
            <w:r>
              <w:rPr>
                <w:rFonts w:ascii="Calibri" w:cs="Calibri" w:eastAsia="Calibri" w:hAnsi="Calibri"/>
                <w:sz w:val="18"/>
                <w:szCs w:val="18"/>
                <w:color w:val="auto"/>
              </w:rPr>
              <w:t>(75,025 )</w:t>
            </w:r>
          </w:p>
        </w:tc>
      </w:tr>
      <w:tr>
        <w:trPr>
          <w:trHeight w:val="215"/>
        </w:trPr>
        <w:tc>
          <w:tcPr>
            <w:tcW w:w="7340" w:type="dxa"/>
            <w:vAlign w:val="bottom"/>
          </w:tcPr>
          <w:p>
            <w:pPr>
              <w:ind w:left="200"/>
              <w:spacing w:after="0" w:line="215" w:lineRule="exact"/>
              <w:rPr>
                <w:sz w:val="20"/>
                <w:szCs w:val="20"/>
                <w:color w:val="auto"/>
              </w:rPr>
            </w:pPr>
            <w:r>
              <w:rPr>
                <w:rFonts w:ascii="Calibri" w:cs="Calibri" w:eastAsia="Calibri" w:hAnsi="Calibri"/>
                <w:sz w:val="18"/>
                <w:szCs w:val="18"/>
                <w:color w:val="auto"/>
              </w:rPr>
              <w:t>Purchase of marketable debt securites</w:t>
            </w:r>
          </w:p>
        </w:tc>
        <w:tc>
          <w:tcPr>
            <w:tcW w:w="240" w:type="dxa"/>
            <w:vAlign w:val="bottom"/>
          </w:tcPr>
          <w:p>
            <w:pPr>
              <w:spacing w:after="0"/>
              <w:rPr>
                <w:sz w:val="18"/>
                <w:szCs w:val="18"/>
                <w:color w:val="auto"/>
              </w:rPr>
            </w:pPr>
          </w:p>
        </w:tc>
        <w:tc>
          <w:tcPr>
            <w:tcW w:w="110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(408,613 )</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(526,382 )</w:t>
            </w:r>
          </w:p>
        </w:tc>
        <w:tc>
          <w:tcPr>
            <w:tcW w:w="240" w:type="dxa"/>
            <w:vAlign w:val="bottom"/>
          </w:tcPr>
          <w:p>
            <w:pPr>
              <w:spacing w:after="0"/>
              <w:rPr>
                <w:sz w:val="18"/>
                <w:szCs w:val="18"/>
                <w:color w:val="auto"/>
              </w:rPr>
            </w:pPr>
          </w:p>
        </w:tc>
        <w:tc>
          <w:tcPr>
            <w:tcW w:w="9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(614,735 )</w:t>
            </w:r>
          </w:p>
        </w:tc>
      </w:tr>
      <w:tr>
        <w:trPr>
          <w:trHeight w:val="217"/>
        </w:trPr>
        <w:tc>
          <w:tcPr>
            <w:tcW w:w="7340" w:type="dxa"/>
            <w:vAlign w:val="bottom"/>
            <w:shd w:val="clear" w:color="auto" w:fill="CCEEFF"/>
          </w:tcPr>
          <w:p>
            <w:pPr>
              <w:ind w:left="200"/>
              <w:spacing w:after="0" w:line="216" w:lineRule="exact"/>
              <w:rPr>
                <w:sz w:val="20"/>
                <w:szCs w:val="20"/>
                <w:color w:val="auto"/>
              </w:rPr>
            </w:pPr>
            <w:r>
              <w:rPr>
                <w:rFonts w:ascii="Calibri" w:cs="Calibri" w:eastAsia="Calibri" w:hAnsi="Calibri"/>
                <w:sz w:val="18"/>
                <w:szCs w:val="18"/>
                <w:color w:val="auto"/>
              </w:rPr>
              <w:t>Proceeds from sale of marketable debt securites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3,247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50,672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84,275</w:t>
            </w:r>
          </w:p>
        </w:tc>
        <w:tc>
          <w:tcPr>
            <w:tcW w:w="100" w:type="dxa"/>
            <w:vAlign w:val="bottom"/>
            <w:shd w:val="clear" w:color="auto" w:fill="CCEEFF"/>
          </w:tcPr>
          <w:p>
            <w:pPr>
              <w:spacing w:after="0"/>
              <w:rPr>
                <w:sz w:val="18"/>
                <w:szCs w:val="18"/>
                <w:color w:val="auto"/>
              </w:rPr>
            </w:pPr>
          </w:p>
        </w:tc>
      </w:tr>
      <w:tr>
        <w:trPr>
          <w:trHeight w:val="215"/>
        </w:trPr>
        <w:tc>
          <w:tcPr>
            <w:tcW w:w="7340" w:type="dxa"/>
            <w:vAlign w:val="bottom"/>
          </w:tcPr>
          <w:p>
            <w:pPr>
              <w:ind w:left="200"/>
              <w:spacing w:after="0" w:line="215" w:lineRule="exact"/>
              <w:rPr>
                <w:sz w:val="20"/>
                <w:szCs w:val="20"/>
                <w:color w:val="auto"/>
              </w:rPr>
            </w:pPr>
            <w:r>
              <w:rPr>
                <w:rFonts w:ascii="Calibri" w:cs="Calibri" w:eastAsia="Calibri" w:hAnsi="Calibri"/>
                <w:sz w:val="18"/>
                <w:szCs w:val="18"/>
                <w:color w:val="auto"/>
              </w:rPr>
              <w:t>Proceeds from sale of equity investments</w:t>
            </w:r>
          </w:p>
        </w:tc>
        <w:tc>
          <w:tcPr>
            <w:tcW w:w="240" w:type="dxa"/>
            <w:vAlign w:val="bottom"/>
          </w:tcPr>
          <w:p>
            <w:pPr>
              <w:spacing w:after="0"/>
              <w:rPr>
                <w:sz w:val="18"/>
                <w:szCs w:val="18"/>
                <w:color w:val="auto"/>
              </w:rPr>
            </w:pPr>
          </w:p>
        </w:tc>
        <w:tc>
          <w:tcPr>
            <w:tcW w:w="110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10,094</w:t>
            </w:r>
          </w:p>
        </w:tc>
        <w:tc>
          <w:tcPr>
            <w:tcW w:w="100" w:type="dxa"/>
            <w:vAlign w:val="bottom"/>
          </w:tcPr>
          <w:p>
            <w:pPr>
              <w:spacing w:after="0"/>
              <w:rPr>
                <w:sz w:val="18"/>
                <w:szCs w:val="18"/>
                <w:color w:val="auto"/>
              </w:rPr>
            </w:pPr>
          </w:p>
        </w:tc>
      </w:tr>
      <w:tr>
        <w:trPr>
          <w:trHeight w:val="217"/>
        </w:trPr>
        <w:tc>
          <w:tcPr>
            <w:tcW w:w="7340" w:type="dxa"/>
            <w:vAlign w:val="bottom"/>
            <w:shd w:val="clear" w:color="auto" w:fill="CCEEFF"/>
          </w:tcPr>
          <w:p>
            <w:pPr>
              <w:ind w:left="200"/>
              <w:spacing w:after="0" w:line="216" w:lineRule="exact"/>
              <w:rPr>
                <w:sz w:val="20"/>
                <w:szCs w:val="20"/>
                <w:color w:val="auto"/>
              </w:rPr>
            </w:pPr>
            <w:r>
              <w:rPr>
                <w:rFonts w:ascii="Calibri" w:cs="Calibri" w:eastAsia="Calibri" w:hAnsi="Calibri"/>
                <w:sz w:val="18"/>
                <w:szCs w:val="18"/>
                <w:color w:val="auto"/>
              </w:rPr>
              <w:t>Proceeds from maturites of marketable debt securites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410,025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695,525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450,706</w:t>
            </w:r>
          </w:p>
        </w:tc>
        <w:tc>
          <w:tcPr>
            <w:tcW w:w="100" w:type="dxa"/>
            <w:vAlign w:val="bottom"/>
            <w:shd w:val="clear" w:color="auto" w:fill="CCEEFF"/>
          </w:tcPr>
          <w:p>
            <w:pPr>
              <w:spacing w:after="0"/>
              <w:rPr>
                <w:sz w:val="18"/>
                <w:szCs w:val="18"/>
                <w:color w:val="auto"/>
              </w:rPr>
            </w:pPr>
          </w:p>
        </w:tc>
      </w:tr>
      <w:tr>
        <w:trPr>
          <w:trHeight w:val="215"/>
        </w:trPr>
        <w:tc>
          <w:tcPr>
            <w:tcW w:w="7340" w:type="dxa"/>
            <w:vAlign w:val="bottom"/>
          </w:tcPr>
          <w:p>
            <w:pPr>
              <w:ind w:left="200"/>
              <w:spacing w:after="0" w:line="215" w:lineRule="exact"/>
              <w:rPr>
                <w:sz w:val="20"/>
                <w:szCs w:val="20"/>
                <w:color w:val="auto"/>
              </w:rPr>
            </w:pPr>
            <w:r>
              <w:rPr>
                <w:rFonts w:ascii="Calibri" w:cs="Calibri" w:eastAsia="Calibri" w:hAnsi="Calibri"/>
                <w:sz w:val="18"/>
                <w:szCs w:val="18"/>
                <w:color w:val="auto"/>
              </w:rPr>
              <w:t>Payment for intangible asset</w:t>
            </w:r>
          </w:p>
        </w:tc>
        <w:tc>
          <w:tcPr>
            <w:tcW w:w="240" w:type="dxa"/>
            <w:vAlign w:val="bottom"/>
          </w:tcPr>
          <w:p>
            <w:pPr>
              <w:spacing w:after="0"/>
              <w:rPr>
                <w:sz w:val="18"/>
                <w:szCs w:val="18"/>
                <w:color w:val="auto"/>
              </w:rPr>
            </w:pPr>
          </w:p>
        </w:tc>
        <w:tc>
          <w:tcPr>
            <w:tcW w:w="110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(12,500 )</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(2,500 )</w:t>
            </w:r>
          </w:p>
        </w:tc>
        <w:tc>
          <w:tcPr>
            <w:tcW w:w="240" w:type="dxa"/>
            <w:vAlign w:val="bottom"/>
          </w:tcPr>
          <w:p>
            <w:pPr>
              <w:spacing w:after="0"/>
              <w:rPr>
                <w:sz w:val="18"/>
                <w:szCs w:val="18"/>
                <w:color w:val="auto"/>
              </w:rPr>
            </w:pPr>
          </w:p>
        </w:tc>
        <w:tc>
          <w:tcPr>
            <w:tcW w:w="9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(30,000 )</w:t>
            </w:r>
          </w:p>
        </w:tc>
      </w:tr>
      <w:tr>
        <w:trPr>
          <w:trHeight w:val="216"/>
        </w:trPr>
        <w:tc>
          <w:tcPr>
            <w:tcW w:w="7340" w:type="dxa"/>
            <w:vAlign w:val="bottom"/>
            <w:shd w:val="clear" w:color="auto" w:fill="CCEEFF"/>
          </w:tcPr>
          <w:p>
            <w:pPr>
              <w:ind w:left="200"/>
              <w:spacing w:after="0" w:line="216" w:lineRule="exact"/>
              <w:rPr>
                <w:sz w:val="20"/>
                <w:szCs w:val="20"/>
                <w:color w:val="auto"/>
              </w:rPr>
            </w:pPr>
            <w:r>
              <w:rPr>
                <w:rFonts w:ascii="Calibri" w:cs="Calibri" w:eastAsia="Calibri" w:hAnsi="Calibri"/>
                <w:sz w:val="18"/>
                <w:szCs w:val="18"/>
                <w:color w:val="auto"/>
              </w:rPr>
              <w:t>Other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line="216" w:lineRule="exact"/>
              <w:rPr>
                <w:sz w:val="20"/>
                <w:szCs w:val="20"/>
                <w:color w:val="auto"/>
              </w:rPr>
            </w:pPr>
            <w:r>
              <w:rPr>
                <w:rFonts w:ascii="Calibri" w:cs="Calibri" w:eastAsia="Calibri" w:hAnsi="Calibri"/>
                <w:sz w:val="18"/>
                <w:szCs w:val="18"/>
                <w:color w:val="auto"/>
              </w:rPr>
              <w:t>(2,436 )</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line="216" w:lineRule="exact"/>
              <w:rPr>
                <w:sz w:val="20"/>
                <w:szCs w:val="20"/>
                <w:color w:val="auto"/>
              </w:rPr>
            </w:pPr>
            <w:r>
              <w:rPr>
                <w:rFonts w:ascii="Calibri" w:cs="Calibri" w:eastAsia="Calibri" w:hAnsi="Calibri"/>
                <w:sz w:val="18"/>
                <w:szCs w:val="18"/>
                <w:color w:val="auto"/>
              </w:rPr>
              <w:t>(5,048 )</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line="216" w:lineRule="exact"/>
              <w:rPr>
                <w:sz w:val="20"/>
                <w:szCs w:val="20"/>
                <w:color w:val="auto"/>
              </w:rPr>
            </w:pPr>
            <w:r>
              <w:rPr>
                <w:rFonts w:ascii="Calibri" w:cs="Calibri" w:eastAsia="Calibri" w:hAnsi="Calibri"/>
                <w:sz w:val="18"/>
                <w:szCs w:val="18"/>
                <w:color w:val="auto"/>
              </w:rPr>
              <w:t>(844 )</w:t>
            </w:r>
          </w:p>
        </w:tc>
      </w:tr>
      <w:tr>
        <w:trPr>
          <w:trHeight w:val="20"/>
        </w:trPr>
        <w:tc>
          <w:tcPr>
            <w:tcW w:w="73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340" w:type="dxa"/>
            <w:vAlign w:val="bottom"/>
          </w:tcPr>
          <w:p>
            <w:pPr>
              <w:ind w:left="560"/>
              <w:spacing w:after="0" w:line="209" w:lineRule="exact"/>
              <w:rPr>
                <w:sz w:val="20"/>
                <w:szCs w:val="20"/>
                <w:color w:val="auto"/>
              </w:rPr>
            </w:pPr>
            <w:r>
              <w:rPr>
                <w:rFonts w:ascii="Calibri" w:cs="Calibri" w:eastAsia="Calibri" w:hAnsi="Calibri"/>
                <w:sz w:val="18"/>
                <w:szCs w:val="18"/>
                <w:color w:val="auto"/>
              </w:rPr>
              <w:t>Net cash (used in) provided by investng actvites</w:t>
            </w:r>
          </w:p>
        </w:tc>
        <w:tc>
          <w:tcPr>
            <w:tcW w:w="240" w:type="dxa"/>
            <w:vAlign w:val="bottom"/>
          </w:tcPr>
          <w:p>
            <w:pPr>
              <w:spacing w:after="0"/>
              <w:rPr>
                <w:sz w:val="18"/>
                <w:szCs w:val="18"/>
                <w:color w:val="auto"/>
              </w:rPr>
            </w:pPr>
          </w:p>
        </w:tc>
        <w:tc>
          <w:tcPr>
            <w:tcW w:w="1100" w:type="dxa"/>
            <w:vAlign w:val="bottom"/>
            <w:gridSpan w:val="2"/>
          </w:tcPr>
          <w:p>
            <w:pPr>
              <w:jc w:val="right"/>
              <w:ind w:right="180"/>
              <w:spacing w:after="0" w:line="209" w:lineRule="exact"/>
              <w:rPr>
                <w:sz w:val="20"/>
                <w:szCs w:val="20"/>
                <w:color w:val="auto"/>
              </w:rPr>
            </w:pPr>
            <w:r>
              <w:rPr>
                <w:rFonts w:ascii="Calibri" w:cs="Calibri" w:eastAsia="Calibri" w:hAnsi="Calibri"/>
                <w:sz w:val="18"/>
                <w:szCs w:val="18"/>
                <w:color w:val="auto"/>
              </w:rPr>
              <w:t>(17,768 )</w:t>
            </w:r>
          </w:p>
        </w:tc>
        <w:tc>
          <w:tcPr>
            <w:tcW w:w="240" w:type="dxa"/>
            <w:vAlign w:val="bottom"/>
          </w:tcPr>
          <w:p>
            <w:pPr>
              <w:spacing w:after="0"/>
              <w:rPr>
                <w:sz w:val="18"/>
                <w:szCs w:val="18"/>
                <w:color w:val="auto"/>
              </w:rPr>
            </w:pPr>
          </w:p>
        </w:tc>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168,000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40"/>
              <w:spacing w:after="0" w:line="209" w:lineRule="exact"/>
              <w:rPr>
                <w:sz w:val="20"/>
                <w:szCs w:val="20"/>
                <w:color w:val="auto"/>
              </w:rPr>
            </w:pPr>
            <w:r>
              <w:rPr>
                <w:rFonts w:ascii="Calibri" w:cs="Calibri" w:eastAsia="Calibri" w:hAnsi="Calibri"/>
                <w:sz w:val="18"/>
                <w:szCs w:val="18"/>
                <w:color w:val="auto"/>
              </w:rPr>
              <w:t>(291,652 )</w:t>
            </w:r>
          </w:p>
        </w:tc>
      </w:tr>
      <w:tr>
        <w:trPr>
          <w:trHeight w:val="210"/>
        </w:trPr>
        <w:tc>
          <w:tcPr>
            <w:tcW w:w="7340" w:type="dxa"/>
            <w:vAlign w:val="bottom"/>
            <w:shd w:val="clear" w:color="auto" w:fill="CCEEFF"/>
          </w:tcPr>
          <w:p>
            <w:pPr>
              <w:ind w:left="20"/>
              <w:spacing w:after="0" w:line="210" w:lineRule="exact"/>
              <w:rPr>
                <w:sz w:val="20"/>
                <w:szCs w:val="20"/>
                <w:color w:val="auto"/>
              </w:rPr>
            </w:pPr>
            <w:r>
              <w:rPr>
                <w:rFonts w:ascii="Calibri" w:cs="Calibri" w:eastAsia="Calibri" w:hAnsi="Calibri"/>
                <w:sz w:val="18"/>
                <w:szCs w:val="18"/>
                <w:b w:val="1"/>
                <w:bCs w:val="1"/>
                <w:color w:val="auto"/>
              </w:rPr>
              <w:t>Financing actvites:</w:t>
            </w: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340" w:type="dxa"/>
            <w:vAlign w:val="bottom"/>
          </w:tcPr>
          <w:p>
            <w:pPr>
              <w:ind w:left="200"/>
              <w:spacing w:after="0" w:line="215" w:lineRule="exact"/>
              <w:rPr>
                <w:sz w:val="20"/>
                <w:szCs w:val="20"/>
                <w:color w:val="auto"/>
              </w:rPr>
            </w:pPr>
            <w:r>
              <w:rPr>
                <w:rFonts w:ascii="Calibri" w:cs="Calibri" w:eastAsia="Calibri" w:hAnsi="Calibri"/>
                <w:sz w:val="18"/>
                <w:szCs w:val="18"/>
                <w:color w:val="auto"/>
              </w:rPr>
              <w:t>Proceeds from the sale of future royaltes, net</w:t>
            </w:r>
          </w:p>
        </w:tc>
        <w:tc>
          <w:tcPr>
            <w:tcW w:w="240" w:type="dxa"/>
            <w:vAlign w:val="bottom"/>
          </w:tcPr>
          <w:p>
            <w:pPr>
              <w:spacing w:after="0"/>
              <w:rPr>
                <w:sz w:val="18"/>
                <w:szCs w:val="18"/>
                <w:color w:val="auto"/>
              </w:rPr>
            </w:pPr>
          </w:p>
        </w:tc>
        <w:tc>
          <w:tcPr>
            <w:tcW w:w="110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490,950</w:t>
            </w:r>
          </w:p>
        </w:tc>
        <w:tc>
          <w:tcPr>
            <w:tcW w:w="100" w:type="dxa"/>
            <w:vAlign w:val="bottom"/>
          </w:tcPr>
          <w:p>
            <w:pPr>
              <w:spacing w:after="0"/>
              <w:rPr>
                <w:sz w:val="18"/>
                <w:szCs w:val="18"/>
                <w:color w:val="auto"/>
              </w:rPr>
            </w:pPr>
          </w:p>
        </w:tc>
      </w:tr>
      <w:tr>
        <w:trPr>
          <w:trHeight w:val="194"/>
        </w:trPr>
        <w:tc>
          <w:tcPr>
            <w:tcW w:w="7340" w:type="dxa"/>
            <w:vAlign w:val="bottom"/>
            <w:shd w:val="clear" w:color="auto" w:fill="CCEEFF"/>
          </w:tcPr>
          <w:p>
            <w:pPr>
              <w:ind w:left="200"/>
              <w:spacing w:after="0" w:line="194" w:lineRule="exact"/>
              <w:rPr>
                <w:sz w:val="20"/>
                <w:szCs w:val="20"/>
                <w:color w:val="auto"/>
              </w:rPr>
            </w:pPr>
            <w:r>
              <w:rPr>
                <w:rFonts w:ascii="Calibri" w:cs="Calibri" w:eastAsia="Calibri" w:hAnsi="Calibri"/>
                <w:sz w:val="18"/>
                <w:szCs w:val="18"/>
                <w:color w:val="auto"/>
              </w:rPr>
              <w:t>Proceeds from the issuance of common stock and pre-funded warrants in connecton with</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5"/>
        </w:trPr>
        <w:tc>
          <w:tcPr>
            <w:tcW w:w="7340" w:type="dxa"/>
            <w:vAlign w:val="bottom"/>
            <w:shd w:val="clear" w:color="auto" w:fill="CCEEFF"/>
          </w:tcPr>
          <w:p>
            <w:pPr>
              <w:ind w:left="200"/>
              <w:spacing w:after="0" w:line="215" w:lineRule="exact"/>
              <w:rPr>
                <w:sz w:val="20"/>
                <w:szCs w:val="20"/>
                <w:color w:val="auto"/>
              </w:rPr>
            </w:pPr>
            <w:r>
              <w:rPr>
                <w:rFonts w:ascii="Calibri" w:cs="Calibri" w:eastAsia="Calibri" w:hAnsi="Calibri"/>
                <w:sz w:val="18"/>
                <w:szCs w:val="18"/>
                <w:color w:val="auto"/>
              </w:rPr>
              <w:t>underwriten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9"/>
        </w:trPr>
        <w:tc>
          <w:tcPr>
            <w:tcW w:w="7340" w:type="dxa"/>
            <w:vAlign w:val="bottom"/>
            <w:tcBorders>
              <w:bottom w:val="single" w:sz="8" w:color="CCEEFF"/>
            </w:tcBorders>
            <w:shd w:val="clear" w:color="auto" w:fill="CCEEFF"/>
          </w:tcPr>
          <w:p>
            <w:pPr>
              <w:ind w:left="360"/>
              <w:spacing w:after="0" w:line="216" w:lineRule="exact"/>
              <w:rPr>
                <w:sz w:val="20"/>
                <w:szCs w:val="20"/>
                <w:color w:val="auto"/>
              </w:rPr>
            </w:pPr>
            <w:r>
              <w:rPr>
                <w:rFonts w:ascii="Calibri" w:cs="Calibri" w:eastAsia="Calibri" w:hAnsi="Calibri"/>
                <w:sz w:val="18"/>
                <w:szCs w:val="18"/>
                <w:color w:val="auto"/>
              </w:rPr>
              <w:t>public oferings, net of issuance costs</w:t>
            </w: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380,983</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326,456</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20"/>
              <w:spacing w:after="0" w:line="216" w:lineRule="exact"/>
              <w:rPr>
                <w:sz w:val="20"/>
                <w:szCs w:val="20"/>
                <w:color w:val="auto"/>
              </w:rPr>
            </w:pPr>
            <w:r>
              <w:rPr>
                <w:rFonts w:ascii="Calibri" w:cs="Calibri" w:eastAsia="Calibri" w:hAnsi="Calibri"/>
                <w:sz w:val="18"/>
                <w:szCs w:val="18"/>
                <w:color w:val="auto"/>
              </w:rPr>
              <w:t>—</w:t>
            </w:r>
          </w:p>
        </w:tc>
      </w:tr>
      <w:tr>
        <w:trPr>
          <w:trHeight w:val="194"/>
        </w:trPr>
        <w:tc>
          <w:tcPr>
            <w:tcW w:w="7340" w:type="dxa"/>
            <w:vAlign w:val="bottom"/>
          </w:tcPr>
          <w:p>
            <w:pPr>
              <w:ind w:left="200"/>
              <w:spacing w:after="0" w:line="194" w:lineRule="exact"/>
              <w:rPr>
                <w:sz w:val="20"/>
                <w:szCs w:val="20"/>
                <w:color w:val="auto"/>
              </w:rPr>
            </w:pPr>
            <w:r>
              <w:rPr>
                <w:rFonts w:ascii="Calibri" w:cs="Calibri" w:eastAsia="Calibri" w:hAnsi="Calibri"/>
                <w:sz w:val="18"/>
                <w:szCs w:val="18"/>
                <w:color w:val="auto"/>
              </w:rPr>
              <w:t>Proceeds from the issuance of common stock in connecton with at-the-market</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7340" w:type="dxa"/>
            <w:vAlign w:val="bottom"/>
          </w:tcPr>
          <w:p>
            <w:pPr>
              <w:ind w:left="320"/>
              <w:spacing w:after="0" w:line="215" w:lineRule="exact"/>
              <w:rPr>
                <w:sz w:val="20"/>
                <w:szCs w:val="20"/>
                <w:color w:val="auto"/>
              </w:rPr>
            </w:pPr>
            <w:r>
              <w:rPr>
                <w:rFonts w:ascii="Calibri" w:cs="Calibri" w:eastAsia="Calibri" w:hAnsi="Calibri"/>
                <w:sz w:val="18"/>
                <w:szCs w:val="18"/>
                <w:color w:val="auto"/>
              </w:rPr>
              <w:t>ofering, net of issuances costs</w:t>
            </w:r>
          </w:p>
        </w:tc>
        <w:tc>
          <w:tcPr>
            <w:tcW w:w="240" w:type="dxa"/>
            <w:vAlign w:val="bottom"/>
          </w:tcPr>
          <w:p>
            <w:pPr>
              <w:spacing w:after="0"/>
              <w:rPr>
                <w:sz w:val="18"/>
                <w:szCs w:val="18"/>
                <w:color w:val="auto"/>
              </w:rPr>
            </w:pPr>
          </w:p>
        </w:tc>
        <w:tc>
          <w:tcPr>
            <w:tcW w:w="1100" w:type="dxa"/>
            <w:vAlign w:val="bottom"/>
            <w:gridSpan w:val="2"/>
          </w:tcPr>
          <w:p>
            <w:pPr>
              <w:jc w:val="right"/>
              <w:ind w:right="26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53,299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3"/>
        </w:trPr>
        <w:tc>
          <w:tcPr>
            <w:tcW w:w="7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4"/>
        </w:trPr>
        <w:tc>
          <w:tcPr>
            <w:tcW w:w="7340" w:type="dxa"/>
            <w:vAlign w:val="bottom"/>
            <w:shd w:val="clear" w:color="auto" w:fill="CCEEFF"/>
          </w:tcPr>
          <w:p>
            <w:pPr>
              <w:ind w:left="200"/>
              <w:spacing w:after="0" w:line="194" w:lineRule="exact"/>
              <w:rPr>
                <w:sz w:val="20"/>
                <w:szCs w:val="20"/>
                <w:color w:val="auto"/>
              </w:rPr>
            </w:pPr>
            <w:r>
              <w:rPr>
                <w:rFonts w:ascii="Calibri" w:cs="Calibri" w:eastAsia="Calibri" w:hAnsi="Calibri"/>
                <w:sz w:val="18"/>
                <w:szCs w:val="18"/>
                <w:color w:val="auto"/>
              </w:rPr>
              <w:t>Proceeds from the issuance of common stock from exercise of equity</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7340" w:type="dxa"/>
            <w:vAlign w:val="bottom"/>
            <w:tcBorders>
              <w:bottom w:val="single" w:sz="8" w:color="CCEEFF"/>
            </w:tcBorders>
            <w:shd w:val="clear" w:color="auto" w:fill="CCEEFF"/>
          </w:tcPr>
          <w:p>
            <w:pPr>
              <w:ind w:left="360"/>
              <w:spacing w:after="0" w:line="215" w:lineRule="exact"/>
              <w:rPr>
                <w:sz w:val="20"/>
                <w:szCs w:val="20"/>
                <w:color w:val="auto"/>
              </w:rPr>
            </w:pPr>
            <w:r>
              <w:rPr>
                <w:rFonts w:ascii="Calibri" w:cs="Calibri" w:eastAsia="Calibri" w:hAnsi="Calibri"/>
                <w:sz w:val="18"/>
                <w:szCs w:val="18"/>
                <w:color w:val="auto"/>
              </w:rPr>
              <w:t>plan awards, net</w:t>
            </w: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11,258</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8,415</w:t>
            </w: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10,813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5"/>
        </w:trPr>
        <w:tc>
          <w:tcPr>
            <w:tcW w:w="7340" w:type="dxa"/>
            <w:vAlign w:val="bottom"/>
          </w:tcPr>
          <w:p>
            <w:pPr>
              <w:ind w:left="200"/>
              <w:spacing w:after="0" w:line="215" w:lineRule="exact"/>
              <w:rPr>
                <w:sz w:val="20"/>
                <w:szCs w:val="20"/>
                <w:color w:val="auto"/>
              </w:rPr>
            </w:pPr>
            <w:r>
              <w:rPr>
                <w:rFonts w:ascii="Calibri" w:cs="Calibri" w:eastAsia="Calibri" w:hAnsi="Calibri"/>
                <w:sz w:val="18"/>
                <w:szCs w:val="18"/>
                <w:color w:val="auto"/>
              </w:rPr>
              <w:t>Proceeds from issuance of equity interest in noncontrolling interest</w:t>
            </w:r>
          </w:p>
        </w:tc>
        <w:tc>
          <w:tcPr>
            <w:tcW w:w="24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7,000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8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6"/>
        </w:trPr>
        <w:tc>
          <w:tcPr>
            <w:tcW w:w="7340" w:type="dxa"/>
            <w:vAlign w:val="bottom"/>
            <w:shd w:val="clear" w:color="auto" w:fill="CCEEFF"/>
          </w:tcPr>
          <w:p>
            <w:pPr>
              <w:ind w:left="200"/>
              <w:spacing w:after="0" w:line="216" w:lineRule="exact"/>
              <w:rPr>
                <w:sz w:val="20"/>
                <w:szCs w:val="20"/>
                <w:color w:val="auto"/>
              </w:rPr>
            </w:pPr>
            <w:r>
              <w:rPr>
                <w:rFonts w:ascii="Calibri" w:cs="Calibri" w:eastAsia="Calibri" w:hAnsi="Calibri"/>
                <w:sz w:val="18"/>
                <w:szCs w:val="18"/>
                <w:color w:val="auto"/>
              </w:rPr>
              <w:t>Other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line="216"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line="216" w:lineRule="exact"/>
              <w:rPr>
                <w:sz w:val="20"/>
                <w:szCs w:val="20"/>
                <w:color w:val="auto"/>
              </w:rPr>
            </w:pPr>
            <w:r>
              <w:rPr>
                <w:rFonts w:ascii="Calibri" w:cs="Calibri" w:eastAsia="Calibri" w:hAnsi="Calibri"/>
                <w:sz w:val="18"/>
                <w:szCs w:val="18"/>
                <w:color w:val="auto"/>
              </w:rPr>
              <w:t>(28 )</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line="216" w:lineRule="exact"/>
              <w:rPr>
                <w:sz w:val="20"/>
                <w:szCs w:val="20"/>
                <w:color w:val="auto"/>
              </w:rPr>
            </w:pPr>
            <w:r>
              <w:rPr>
                <w:rFonts w:ascii="Calibri" w:cs="Calibri" w:eastAsia="Calibri" w:hAnsi="Calibri"/>
                <w:sz w:val="18"/>
                <w:szCs w:val="18"/>
                <w:color w:val="auto"/>
              </w:rPr>
              <w:t>(555 )</w:t>
            </w:r>
          </w:p>
        </w:tc>
      </w:tr>
      <w:tr>
        <w:trPr>
          <w:trHeight w:val="209"/>
        </w:trPr>
        <w:tc>
          <w:tcPr>
            <w:tcW w:w="7340" w:type="dxa"/>
            <w:vAlign w:val="bottom"/>
            <w:tcBorders>
              <w:top w:val="single" w:sz="8" w:color="CCEEFF"/>
            </w:tcBorders>
          </w:tcPr>
          <w:p>
            <w:pPr>
              <w:ind w:left="560"/>
              <w:spacing w:after="0" w:line="209" w:lineRule="exact"/>
              <w:rPr>
                <w:sz w:val="20"/>
                <w:szCs w:val="20"/>
                <w:color w:val="auto"/>
              </w:rPr>
            </w:pPr>
            <w:r>
              <w:rPr>
                <w:rFonts w:ascii="Calibri" w:cs="Calibri" w:eastAsia="Calibri" w:hAnsi="Calibri"/>
                <w:sz w:val="18"/>
                <w:szCs w:val="18"/>
                <w:color w:val="auto"/>
              </w:rPr>
              <w:t>Net cash provided by fnancing actvites</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399,241</w:t>
            </w: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388,142</w:t>
            </w: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501,208</w:t>
            </w:r>
          </w:p>
        </w:tc>
        <w:tc>
          <w:tcPr>
            <w:tcW w:w="100" w:type="dxa"/>
            <w:vAlign w:val="bottom"/>
            <w:tcBorders>
              <w:top w:val="single" w:sz="8" w:color="CCEEFF"/>
            </w:tcBorders>
          </w:tcPr>
          <w:p>
            <w:pPr>
              <w:spacing w:after="0"/>
              <w:rPr>
                <w:sz w:val="18"/>
                <w:szCs w:val="18"/>
                <w:color w:val="auto"/>
              </w:rPr>
            </w:pPr>
          </w:p>
        </w:tc>
      </w:tr>
      <w:tr>
        <w:trPr>
          <w:trHeight w:val="210"/>
        </w:trPr>
        <w:tc>
          <w:tcPr>
            <w:tcW w:w="7340" w:type="dxa"/>
            <w:vAlign w:val="bottom"/>
            <w:shd w:val="clear" w:color="auto" w:fill="CCEEFF"/>
          </w:tcPr>
          <w:p>
            <w:pPr>
              <w:ind w:left="20"/>
              <w:spacing w:after="0" w:line="209" w:lineRule="exact"/>
              <w:rPr>
                <w:sz w:val="20"/>
                <w:szCs w:val="20"/>
                <w:color w:val="auto"/>
              </w:rPr>
            </w:pPr>
            <w:r>
              <w:rPr>
                <w:rFonts w:ascii="Calibri" w:cs="Calibri" w:eastAsia="Calibri" w:hAnsi="Calibri"/>
                <w:sz w:val="18"/>
                <w:szCs w:val="18"/>
                <w:color w:val="auto"/>
              </w:rPr>
              <w:t>Efect of exchange rate changes on cash</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line="209" w:lineRule="exact"/>
              <w:rPr>
                <w:sz w:val="20"/>
                <w:szCs w:val="20"/>
                <w:color w:val="auto"/>
              </w:rPr>
            </w:pPr>
            <w:r>
              <w:rPr>
                <w:rFonts w:ascii="Calibri" w:cs="Calibri" w:eastAsia="Calibri" w:hAnsi="Calibri"/>
                <w:sz w:val="18"/>
                <w:szCs w:val="18"/>
                <w:color w:val="auto"/>
              </w:rPr>
              <w:t>(2,525 )</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line="209" w:lineRule="exact"/>
              <w:rPr>
                <w:sz w:val="20"/>
                <w:szCs w:val="20"/>
                <w:color w:val="auto"/>
              </w:rPr>
            </w:pPr>
            <w:r>
              <w:rPr>
                <w:rFonts w:ascii="Calibri" w:cs="Calibri" w:eastAsia="Calibri" w:hAnsi="Calibri"/>
                <w:sz w:val="18"/>
                <w:szCs w:val="18"/>
                <w:color w:val="auto"/>
              </w:rPr>
              <w:t>462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line="209" w:lineRule="exact"/>
              <w:rPr>
                <w:sz w:val="20"/>
                <w:szCs w:val="20"/>
                <w:color w:val="auto"/>
              </w:rPr>
            </w:pPr>
            <w:r>
              <w:rPr>
                <w:rFonts w:ascii="Calibri" w:cs="Calibri" w:eastAsia="Calibri" w:hAnsi="Calibri"/>
                <w:sz w:val="18"/>
                <w:szCs w:val="18"/>
                <w:color w:val="auto"/>
              </w:rPr>
              <w:t>(1,075 )</w:t>
            </w:r>
          </w:p>
        </w:tc>
      </w:tr>
      <w:tr>
        <w:trPr>
          <w:trHeight w:val="20"/>
        </w:trPr>
        <w:tc>
          <w:tcPr>
            <w:tcW w:w="73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340" w:type="dxa"/>
            <w:vAlign w:val="bottom"/>
          </w:tcPr>
          <w:p>
            <w:pPr>
              <w:ind w:left="20"/>
              <w:spacing w:after="0" w:line="209" w:lineRule="exact"/>
              <w:rPr>
                <w:sz w:val="20"/>
                <w:szCs w:val="20"/>
                <w:color w:val="auto"/>
              </w:rPr>
            </w:pPr>
            <w:r>
              <w:rPr>
                <w:rFonts w:ascii="Calibri" w:cs="Calibri" w:eastAsia="Calibri" w:hAnsi="Calibri"/>
                <w:sz w:val="18"/>
                <w:szCs w:val="18"/>
                <w:color w:val="auto"/>
              </w:rPr>
              <w:t>Net (decrease) increase in cash, cash equivalents, and restricted cash</w:t>
            </w:r>
          </w:p>
        </w:tc>
        <w:tc>
          <w:tcPr>
            <w:tcW w:w="240" w:type="dxa"/>
            <w:vAlign w:val="bottom"/>
          </w:tcPr>
          <w:p>
            <w:pPr>
              <w:spacing w:after="0"/>
              <w:rPr>
                <w:sz w:val="18"/>
                <w:szCs w:val="18"/>
                <w:color w:val="auto"/>
              </w:rPr>
            </w:pPr>
          </w:p>
        </w:tc>
        <w:tc>
          <w:tcPr>
            <w:tcW w:w="1100" w:type="dxa"/>
            <w:vAlign w:val="bottom"/>
            <w:gridSpan w:val="2"/>
          </w:tcPr>
          <w:p>
            <w:pPr>
              <w:jc w:val="right"/>
              <w:ind w:right="180"/>
              <w:spacing w:after="0" w:line="209" w:lineRule="exact"/>
              <w:rPr>
                <w:sz w:val="20"/>
                <w:szCs w:val="20"/>
                <w:color w:val="auto"/>
              </w:rPr>
            </w:pPr>
            <w:r>
              <w:rPr>
                <w:rFonts w:ascii="Calibri" w:cs="Calibri" w:eastAsia="Calibri" w:hAnsi="Calibri"/>
                <w:sz w:val="18"/>
                <w:szCs w:val="18"/>
                <w:color w:val="auto"/>
              </w:rPr>
              <w:t>(35,240 )</w:t>
            </w:r>
          </w:p>
        </w:tc>
        <w:tc>
          <w:tcPr>
            <w:tcW w:w="240" w:type="dxa"/>
            <w:vAlign w:val="bottom"/>
          </w:tcPr>
          <w:p>
            <w:pPr>
              <w:spacing w:after="0"/>
              <w:rPr>
                <w:sz w:val="18"/>
                <w:szCs w:val="18"/>
                <w:color w:val="auto"/>
              </w:rPr>
            </w:pPr>
          </w:p>
        </w:tc>
        <w:tc>
          <w:tcPr>
            <w:tcW w:w="860" w:type="dxa"/>
            <w:vAlign w:val="bottom"/>
          </w:tcPr>
          <w:p>
            <w:pPr>
              <w:jc w:val="right"/>
              <w:spacing w:after="0" w:line="209" w:lineRule="exact"/>
              <w:rPr>
                <w:sz w:val="20"/>
                <w:szCs w:val="20"/>
                <w:color w:val="auto"/>
              </w:rPr>
            </w:pPr>
            <w:r>
              <w:rPr>
                <w:rFonts w:ascii="Calibri" w:cs="Calibri" w:eastAsia="Calibri" w:hAnsi="Calibri"/>
                <w:sz w:val="18"/>
                <w:szCs w:val="18"/>
                <w:color w:val="auto"/>
              </w:rPr>
              <w:t>81,798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40"/>
              <w:spacing w:after="0" w:line="209" w:lineRule="exact"/>
              <w:rPr>
                <w:sz w:val="20"/>
                <w:szCs w:val="20"/>
                <w:color w:val="auto"/>
              </w:rPr>
            </w:pPr>
            <w:r>
              <w:rPr>
                <w:rFonts w:ascii="Calibri" w:cs="Calibri" w:eastAsia="Calibri" w:hAnsi="Calibri"/>
                <w:sz w:val="18"/>
                <w:szCs w:val="18"/>
                <w:color w:val="auto"/>
              </w:rPr>
              <w:t>(171,984 )</w:t>
            </w:r>
          </w:p>
        </w:tc>
      </w:tr>
      <w:tr>
        <w:trPr>
          <w:trHeight w:val="216"/>
        </w:trPr>
        <w:tc>
          <w:tcPr>
            <w:tcW w:w="7340" w:type="dxa"/>
            <w:vAlign w:val="bottom"/>
            <w:tcBorders>
              <w:bottom w:val="single" w:sz="8" w:color="CCEEFF"/>
            </w:tcBorders>
            <w:shd w:val="clear" w:color="auto" w:fill="CCEEFF"/>
          </w:tcPr>
          <w:p>
            <w:pPr>
              <w:ind w:left="20"/>
              <w:spacing w:after="0" w:line="216" w:lineRule="exact"/>
              <w:rPr>
                <w:sz w:val="20"/>
                <w:szCs w:val="20"/>
                <w:color w:val="auto"/>
              </w:rPr>
            </w:pPr>
            <w:r>
              <w:rPr>
                <w:rFonts w:ascii="Calibri" w:cs="Calibri" w:eastAsia="Calibri" w:hAnsi="Calibri"/>
                <w:sz w:val="18"/>
                <w:szCs w:val="18"/>
                <w:color w:val="auto"/>
              </w:rPr>
              <w:t>Cash, cash equivalents, and restricted cash at beginning of year</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219,399</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137,601</w:t>
            </w: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309,585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340" w:type="dxa"/>
            <w:vAlign w:val="bottom"/>
          </w:tcPr>
          <w:p>
            <w:pPr>
              <w:ind w:left="20"/>
              <w:spacing w:after="0" w:line="209" w:lineRule="exact"/>
              <w:rPr>
                <w:sz w:val="20"/>
                <w:szCs w:val="20"/>
                <w:color w:val="auto"/>
              </w:rPr>
            </w:pPr>
            <w:r>
              <w:rPr>
                <w:rFonts w:ascii="Calibri" w:cs="Calibri" w:eastAsia="Calibri" w:hAnsi="Calibri"/>
                <w:sz w:val="18"/>
                <w:szCs w:val="18"/>
                <w:color w:val="auto"/>
              </w:rPr>
              <w:t>Cash, cash equivalents, and restricted cash at end of year</w:t>
            </w:r>
          </w:p>
        </w:tc>
        <w:tc>
          <w:tcPr>
            <w:tcW w:w="24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color w:val="auto"/>
                <w:w w:val="87"/>
              </w:rPr>
              <w:t>$</w:t>
            </w:r>
          </w:p>
        </w:tc>
        <w:tc>
          <w:tcPr>
            <w:tcW w:w="8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184,159</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30"/>
              <w:spacing w:after="0" w:line="209" w:lineRule="exact"/>
              <w:rPr>
                <w:sz w:val="20"/>
                <w:szCs w:val="20"/>
                <w:color w:val="auto"/>
              </w:rPr>
            </w:pPr>
            <w:r>
              <w:rPr>
                <w:rFonts w:ascii="Calibri" w:cs="Calibri" w:eastAsia="Calibri" w:hAnsi="Calibri"/>
                <w:sz w:val="18"/>
                <w:szCs w:val="18"/>
                <w:color w:val="auto"/>
              </w:rPr>
              <w:t>$</w:t>
            </w:r>
          </w:p>
        </w:tc>
        <w:tc>
          <w:tcPr>
            <w:tcW w:w="8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219,399</w:t>
            </w:r>
          </w:p>
        </w:tc>
        <w:tc>
          <w:tcPr>
            <w:tcW w:w="2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color w:val="auto"/>
                <w:w w:val="87"/>
              </w:rPr>
              <w:t>$</w:t>
            </w:r>
          </w:p>
        </w:tc>
        <w:tc>
          <w:tcPr>
            <w:tcW w:w="8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137,601</w:t>
            </w:r>
          </w:p>
        </w:tc>
        <w:tc>
          <w:tcPr>
            <w:tcW w:w="100" w:type="dxa"/>
            <w:vAlign w:val="bottom"/>
          </w:tcPr>
          <w:p>
            <w:pPr>
              <w:spacing w:after="0"/>
              <w:rPr>
                <w:sz w:val="18"/>
                <w:szCs w:val="18"/>
                <w:color w:val="auto"/>
              </w:rPr>
            </w:pPr>
          </w:p>
        </w:tc>
      </w:tr>
      <w:tr>
        <w:trPr>
          <w:trHeight w:val="20"/>
        </w:trPr>
        <w:tc>
          <w:tcPr>
            <w:tcW w:w="7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-3796665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-3796665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-3796665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-2407920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-2407920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-744855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-744855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-453390</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-453390</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-170815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-170815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 w:lineRule="exact"/>
        <w:rPr>
          <w:sz w:val="20"/>
          <w:szCs w:val="20"/>
          <w:color w:val="auto"/>
        </w:rPr>
      </w:pPr>
    </w:p>
    <w:p>
      <w:pPr>
        <w:jc w:val="center"/>
        <w:ind w:right="40"/>
        <w:spacing w:after="0"/>
        <w:rPr>
          <w:sz w:val="20"/>
          <w:szCs w:val="20"/>
          <w:color w:val="auto"/>
        </w:rPr>
      </w:pPr>
      <w:r>
        <w:rPr>
          <w:rFonts w:ascii="Calibri" w:cs="Calibri" w:eastAsia="Calibri" w:hAnsi="Calibri"/>
          <w:sz w:val="18"/>
          <w:szCs w:val="18"/>
          <w:color w:val="auto"/>
        </w:rPr>
        <w:t>See accompanying notes.</w:t>
      </w:r>
    </w:p>
    <w:p>
      <w:pPr>
        <w:jc w:val="center"/>
        <w:ind w:right="-19"/>
        <w:spacing w:after="0" w:line="235" w:lineRule="auto"/>
        <w:rPr>
          <w:sz w:val="20"/>
          <w:szCs w:val="20"/>
          <w:color w:val="auto"/>
        </w:rPr>
      </w:pPr>
      <w:r>
        <w:rPr>
          <w:rFonts w:ascii="Calibri" w:cs="Calibri" w:eastAsia="Calibri" w:hAnsi="Calibri"/>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20"/>
        </w:trPr>
        <w:tc>
          <w:tcPr>
            <w:tcW w:w="7340" w:type="dxa"/>
            <w:vAlign w:val="bottom"/>
          </w:tcPr>
          <w:p>
            <w:pPr>
              <w:jc w:val="center"/>
              <w:ind w:left="3790"/>
              <w:spacing w:after="0"/>
              <w:rPr>
                <w:sz w:val="20"/>
                <w:szCs w:val="20"/>
                <w:color w:val="auto"/>
              </w:rPr>
            </w:pPr>
            <w:r>
              <w:rPr>
                <w:rFonts w:ascii="Calibri" w:cs="Calibri" w:eastAsia="Calibri" w:hAnsi="Calibri"/>
                <w:sz w:val="18"/>
                <w:szCs w:val="18"/>
                <w:b w:val="1"/>
                <w:bCs w:val="1"/>
                <w:color w:val="auto"/>
                <w:w w:val="97"/>
              </w:rPr>
              <w:t>ULTRAGENYX PHARMACEUTICAL INC.</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7340" w:type="dxa"/>
            <w:vAlign w:val="bottom"/>
          </w:tcPr>
          <w:p>
            <w:pPr>
              <w:jc w:val="center"/>
              <w:ind w:left="3770"/>
              <w:spacing w:after="0"/>
              <w:rPr>
                <w:sz w:val="20"/>
                <w:szCs w:val="20"/>
                <w:color w:val="auto"/>
              </w:rPr>
            </w:pPr>
            <w:r>
              <w:rPr>
                <w:rFonts w:ascii="Calibri" w:cs="Calibri" w:eastAsia="Calibri" w:hAnsi="Calibri"/>
                <w:sz w:val="18"/>
                <w:szCs w:val="18"/>
                <w:b w:val="1"/>
                <w:bCs w:val="1"/>
                <w:color w:val="auto"/>
                <w:w w:val="97"/>
              </w:rPr>
              <w:t>CONSOLIDATED STATEMENTS OF CASH FLOWS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40" w:type="dxa"/>
            <w:vAlign w:val="bottom"/>
          </w:tcPr>
          <w:p>
            <w:pPr>
              <w:jc w:val="center"/>
              <w:ind w:left="3810"/>
              <w:spacing w:after="0" w:line="216" w:lineRule="exact"/>
              <w:rPr>
                <w:sz w:val="20"/>
                <w:szCs w:val="20"/>
                <w:color w:val="auto"/>
              </w:rPr>
            </w:pPr>
            <w:r>
              <w:rPr>
                <w:rFonts w:ascii="Calibri" w:cs="Calibri" w:eastAsia="Calibri" w:hAnsi="Calibri"/>
                <w:sz w:val="18"/>
                <w:szCs w:val="18"/>
                <w:b w:val="1"/>
                <w:bCs w:val="1"/>
                <w:color w:val="auto"/>
                <w:w w:val="96"/>
              </w:rPr>
              <w:t>(In thousands)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7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00" w:type="dxa"/>
            <w:vAlign w:val="bottom"/>
            <w:gridSpan w:val="6"/>
          </w:tcPr>
          <w:p>
            <w:pPr>
              <w:jc w:val="right"/>
              <w:ind w:right="30"/>
              <w:spacing w:after="0"/>
              <w:rPr>
                <w:sz w:val="20"/>
                <w:szCs w:val="20"/>
                <w:color w:val="auto"/>
              </w:rPr>
            </w:pPr>
            <w:r>
              <w:rPr>
                <w:rFonts w:ascii="Calibri" w:cs="Calibri" w:eastAsia="Calibri" w:hAnsi="Calibri"/>
                <w:sz w:val="18"/>
                <w:szCs w:val="18"/>
                <w:b w:val="1"/>
                <w:bCs w:val="1"/>
                <w:color w:val="auto"/>
              </w:rPr>
              <w:t>Year Ended December 31,</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90"/>
              <w:spacing w:after="0" w:line="209" w:lineRule="exact"/>
              <w:rPr>
                <w:sz w:val="20"/>
                <w:szCs w:val="20"/>
                <w:color w:val="auto"/>
              </w:rPr>
            </w:pPr>
            <w:r>
              <w:rPr>
                <w:rFonts w:ascii="Calibri" w:cs="Calibri" w:eastAsia="Calibri" w:hAnsi="Calibri"/>
                <w:sz w:val="18"/>
                <w:szCs w:val="18"/>
                <w:b w:val="1"/>
                <w:bCs w:val="1"/>
                <w:color w:val="auto"/>
              </w:rPr>
              <w:t>2024</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90"/>
              <w:spacing w:after="0" w:line="209" w:lineRule="exact"/>
              <w:rPr>
                <w:sz w:val="20"/>
                <w:szCs w:val="20"/>
                <w:color w:val="auto"/>
              </w:rPr>
            </w:pPr>
            <w:r>
              <w:rPr>
                <w:rFonts w:ascii="Calibri" w:cs="Calibri" w:eastAsia="Calibri" w:hAnsi="Calibri"/>
                <w:sz w:val="18"/>
                <w:szCs w:val="18"/>
                <w:b w:val="1"/>
                <w:bCs w:val="1"/>
                <w:color w:val="auto"/>
              </w:rPr>
              <w:t>2023</w:t>
            </w: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90"/>
              <w:spacing w:after="0" w:line="209" w:lineRule="exact"/>
              <w:rPr>
                <w:sz w:val="20"/>
                <w:szCs w:val="20"/>
                <w:color w:val="auto"/>
              </w:rPr>
            </w:pPr>
            <w:r>
              <w:rPr>
                <w:rFonts w:ascii="Calibri" w:cs="Calibri" w:eastAsia="Calibri" w:hAnsi="Calibri"/>
                <w:sz w:val="18"/>
                <w:szCs w:val="18"/>
                <w:b w:val="1"/>
                <w:bCs w:val="1"/>
                <w:color w:val="auto"/>
              </w:rPr>
              <w:t>2022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4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Supplemental disclosures of non-cash investng and fnancing informaton:</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340" w:type="dxa"/>
            <w:vAlign w:val="bottom"/>
            <w:shd w:val="clear" w:color="auto" w:fill="CCEEFF"/>
          </w:tcPr>
          <w:p>
            <w:pPr>
              <w:ind w:left="200"/>
              <w:spacing w:after="0" w:line="194" w:lineRule="exact"/>
              <w:rPr>
                <w:sz w:val="20"/>
                <w:szCs w:val="20"/>
                <w:color w:val="auto"/>
              </w:rPr>
            </w:pPr>
            <w:r>
              <w:rPr>
                <w:rFonts w:ascii="Calibri" w:cs="Calibri" w:eastAsia="Calibri" w:hAnsi="Calibri"/>
                <w:sz w:val="18"/>
                <w:szCs w:val="18"/>
                <w:color w:val="auto"/>
              </w:rPr>
              <w:t>Acquired lease liabilites arising from obtaining right-of-use assets and property, plant, and</w:t>
            </w:r>
          </w:p>
        </w:tc>
        <w:tc>
          <w:tcPr>
            <w:tcW w:w="240" w:type="dxa"/>
            <w:vAlign w:val="bottom"/>
            <w:vMerge w:val="restart"/>
            <w:shd w:val="clear" w:color="auto" w:fill="CCEEFF"/>
          </w:tcPr>
          <w:p>
            <w:pPr>
              <w:jc w:val="right"/>
              <w:ind w:right="50"/>
              <w:spacing w:after="0"/>
              <w:rPr>
                <w:sz w:val="20"/>
                <w:szCs w:val="20"/>
                <w:color w:val="auto"/>
              </w:rPr>
            </w:pPr>
            <w:r>
              <w:rPr>
                <w:rFonts w:ascii="Calibri" w:cs="Calibri" w:eastAsia="Calibri" w:hAnsi="Calibri"/>
                <w:sz w:val="18"/>
                <w:szCs w:val="18"/>
                <w:color w:val="auto"/>
                <w:w w:val="87"/>
              </w:rPr>
              <w:t>$</w:t>
            </w:r>
          </w:p>
        </w:tc>
        <w:tc>
          <w:tcPr>
            <w:tcW w:w="860" w:type="dxa"/>
            <w:vAlign w:val="bottom"/>
            <w:vMerge w:val="restart"/>
            <w:shd w:val="clear" w:color="auto" w:fill="CCEEFF"/>
          </w:tcPr>
          <w:p>
            <w:pPr>
              <w:jc w:val="right"/>
              <w:spacing w:after="0"/>
              <w:rPr>
                <w:sz w:val="20"/>
                <w:szCs w:val="20"/>
                <w:color w:val="auto"/>
              </w:rPr>
            </w:pPr>
            <w:r>
              <w:rPr>
                <w:rFonts w:ascii="Calibri" w:cs="Calibri" w:eastAsia="Calibri" w:hAnsi="Calibri"/>
                <w:sz w:val="18"/>
                <w:szCs w:val="18"/>
                <w:color w:val="auto"/>
              </w:rPr>
              <w:t>9,609</w:t>
            </w:r>
          </w:p>
        </w:tc>
        <w:tc>
          <w:tcPr>
            <w:tcW w:w="240" w:type="dxa"/>
            <w:vAlign w:val="bottom"/>
            <w:vMerge w:val="restart"/>
            <w:shd w:val="clear" w:color="auto" w:fill="CCEEFF"/>
          </w:tcPr>
          <w:p>
            <w:pPr>
              <w:spacing w:after="0"/>
              <w:rPr>
                <w:sz w:val="16"/>
                <w:szCs w:val="16"/>
                <w:color w:val="auto"/>
              </w:rPr>
            </w:pPr>
          </w:p>
        </w:tc>
        <w:tc>
          <w:tcPr>
            <w:tcW w:w="240" w:type="dxa"/>
            <w:vAlign w:val="bottom"/>
            <w:vMerge w:val="restart"/>
            <w:shd w:val="clear" w:color="auto" w:fill="CCEEFF"/>
          </w:tcPr>
          <w:p>
            <w:pPr>
              <w:jc w:val="right"/>
              <w:ind w:right="30"/>
              <w:spacing w:after="0"/>
              <w:rPr>
                <w:sz w:val="20"/>
                <w:szCs w:val="20"/>
                <w:color w:val="auto"/>
              </w:rPr>
            </w:pPr>
            <w:r>
              <w:rPr>
                <w:rFonts w:ascii="Calibri" w:cs="Calibri" w:eastAsia="Calibri" w:hAnsi="Calibri"/>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Calibri" w:cs="Calibri" w:eastAsia="Calibri" w:hAnsi="Calibri"/>
                <w:sz w:val="18"/>
                <w:szCs w:val="18"/>
                <w:color w:val="auto"/>
              </w:rPr>
              <w:t>22,162</w:t>
            </w:r>
          </w:p>
        </w:tc>
        <w:tc>
          <w:tcPr>
            <w:tcW w:w="260" w:type="dxa"/>
            <w:vAlign w:val="bottom"/>
            <w:vMerge w:val="restart"/>
            <w:shd w:val="clear" w:color="auto" w:fill="CCEEFF"/>
          </w:tcPr>
          <w:p>
            <w:pPr>
              <w:spacing w:after="0"/>
              <w:rPr>
                <w:sz w:val="16"/>
                <w:szCs w:val="16"/>
                <w:color w:val="auto"/>
              </w:rPr>
            </w:pPr>
          </w:p>
        </w:tc>
        <w:tc>
          <w:tcPr>
            <w:tcW w:w="240" w:type="dxa"/>
            <w:vAlign w:val="bottom"/>
            <w:vMerge w:val="restart"/>
            <w:shd w:val="clear" w:color="auto" w:fill="CCEEFF"/>
          </w:tcPr>
          <w:p>
            <w:pPr>
              <w:jc w:val="right"/>
              <w:ind w:right="50"/>
              <w:spacing w:after="0"/>
              <w:rPr>
                <w:sz w:val="20"/>
                <w:szCs w:val="20"/>
                <w:color w:val="auto"/>
              </w:rPr>
            </w:pPr>
            <w:r>
              <w:rPr>
                <w:rFonts w:ascii="Calibri" w:cs="Calibri" w:eastAsia="Calibri" w:hAnsi="Calibri"/>
                <w:sz w:val="18"/>
                <w:szCs w:val="18"/>
                <w:color w:val="auto"/>
                <w:w w:val="87"/>
              </w:rPr>
              <w:t>$</w:t>
            </w:r>
          </w:p>
        </w:tc>
        <w:tc>
          <w:tcPr>
            <w:tcW w:w="860" w:type="dxa"/>
            <w:vAlign w:val="bottom"/>
            <w:vMerge w:val="restart"/>
            <w:shd w:val="clear" w:color="auto" w:fill="CCEEFF"/>
          </w:tcPr>
          <w:p>
            <w:pPr>
              <w:jc w:val="right"/>
              <w:spacing w:after="0"/>
              <w:rPr>
                <w:sz w:val="20"/>
                <w:szCs w:val="20"/>
                <w:color w:val="auto"/>
              </w:rPr>
            </w:pPr>
            <w:r>
              <w:rPr>
                <w:rFonts w:ascii="Calibri" w:cs="Calibri" w:eastAsia="Calibri" w:hAnsi="Calibri"/>
                <w:sz w:val="18"/>
                <w:szCs w:val="18"/>
                <w:color w:val="auto"/>
              </w:rPr>
              <w:t>1,168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340" w:type="dxa"/>
            <w:vAlign w:val="bottom"/>
            <w:tcBorders>
              <w:bottom w:val="single" w:sz="8" w:color="CCEEFF"/>
            </w:tcBorders>
            <w:shd w:val="clear" w:color="auto" w:fill="CCEEFF"/>
          </w:tcPr>
          <w:p>
            <w:pPr>
              <w:ind w:left="200"/>
              <w:spacing w:after="0" w:line="198" w:lineRule="exact"/>
              <w:rPr>
                <w:sz w:val="20"/>
                <w:szCs w:val="20"/>
                <w:color w:val="auto"/>
              </w:rPr>
            </w:pPr>
            <w:r>
              <w:rPr>
                <w:rFonts w:ascii="Calibri" w:cs="Calibri" w:eastAsia="Calibri" w:hAnsi="Calibri"/>
                <w:sz w:val="18"/>
                <w:szCs w:val="18"/>
                <w:color w:val="auto"/>
              </w:rPr>
              <w:t>equipment</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CCEEFF"/>
            </w:tcBorders>
            <w:vMerge w:val="continue"/>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260" w:type="dxa"/>
            <w:vAlign w:val="bottom"/>
            <w:tcBorders>
              <w:bottom w:val="single" w:sz="8" w:color="CCEEFF"/>
            </w:tcBorders>
            <w:vMerge w:val="continue"/>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340" w:type="dxa"/>
            <w:vAlign w:val="bottom"/>
          </w:tcPr>
          <w:p>
            <w:pPr>
              <w:ind w:left="200"/>
              <w:spacing w:after="0" w:line="196" w:lineRule="exact"/>
              <w:rPr>
                <w:sz w:val="20"/>
                <w:szCs w:val="20"/>
                <w:color w:val="auto"/>
              </w:rPr>
            </w:pPr>
            <w:r>
              <w:rPr>
                <w:rFonts w:ascii="Calibri" w:cs="Calibri" w:eastAsia="Calibri" w:hAnsi="Calibri"/>
                <w:sz w:val="18"/>
                <w:szCs w:val="18"/>
                <w:color w:val="auto"/>
                <w:w w:val="99"/>
              </w:rPr>
              <w:t>Costs of property, plant and equipment included in accounts payable, accrued, and other liabilites</w:t>
            </w:r>
          </w:p>
        </w:tc>
        <w:tc>
          <w:tcPr>
            <w:tcW w:w="240" w:type="dxa"/>
            <w:vAlign w:val="bottom"/>
          </w:tcPr>
          <w:p>
            <w:pPr>
              <w:jc w:val="right"/>
              <w:ind w:right="50"/>
              <w:spacing w:after="0" w:line="196" w:lineRule="exact"/>
              <w:rPr>
                <w:sz w:val="20"/>
                <w:szCs w:val="20"/>
                <w:color w:val="auto"/>
              </w:rPr>
            </w:pPr>
            <w:r>
              <w:rPr>
                <w:rFonts w:ascii="Calibri" w:cs="Calibri" w:eastAsia="Calibri" w:hAnsi="Calibri"/>
                <w:sz w:val="18"/>
                <w:szCs w:val="18"/>
                <w:color w:val="auto"/>
                <w:w w:val="87"/>
              </w:rPr>
              <w:t>$</w:t>
            </w:r>
          </w:p>
        </w:tc>
        <w:tc>
          <w:tcPr>
            <w:tcW w:w="860" w:type="dxa"/>
            <w:vAlign w:val="bottom"/>
          </w:tcPr>
          <w:p>
            <w:pPr>
              <w:jc w:val="right"/>
              <w:spacing w:after="0" w:line="196" w:lineRule="exact"/>
              <w:rPr>
                <w:sz w:val="20"/>
                <w:szCs w:val="20"/>
                <w:color w:val="auto"/>
              </w:rPr>
            </w:pPr>
            <w:r>
              <w:rPr>
                <w:rFonts w:ascii="Calibri" w:cs="Calibri" w:eastAsia="Calibri" w:hAnsi="Calibri"/>
                <w:sz w:val="18"/>
                <w:szCs w:val="18"/>
                <w:color w:val="auto"/>
              </w:rPr>
              <w:t>693</w:t>
            </w:r>
          </w:p>
        </w:tc>
        <w:tc>
          <w:tcPr>
            <w:tcW w:w="480" w:type="dxa"/>
            <w:vAlign w:val="bottom"/>
            <w:gridSpan w:val="2"/>
          </w:tcPr>
          <w:p>
            <w:pPr>
              <w:jc w:val="right"/>
              <w:ind w:right="30"/>
              <w:spacing w:after="0" w:line="196" w:lineRule="exact"/>
              <w:rPr>
                <w:sz w:val="20"/>
                <w:szCs w:val="20"/>
                <w:color w:val="auto"/>
              </w:rPr>
            </w:pPr>
            <w:r>
              <w:rPr>
                <w:rFonts w:ascii="Calibri" w:cs="Calibri" w:eastAsia="Calibri" w:hAnsi="Calibri"/>
                <w:sz w:val="18"/>
                <w:szCs w:val="18"/>
                <w:color w:val="auto"/>
              </w:rPr>
              <w:t>$</w:t>
            </w:r>
          </w:p>
        </w:tc>
        <w:tc>
          <w:tcPr>
            <w:tcW w:w="860" w:type="dxa"/>
            <w:vAlign w:val="bottom"/>
          </w:tcPr>
          <w:p>
            <w:pPr>
              <w:jc w:val="right"/>
              <w:spacing w:after="0" w:line="196" w:lineRule="exact"/>
              <w:rPr>
                <w:sz w:val="20"/>
                <w:szCs w:val="20"/>
                <w:color w:val="auto"/>
              </w:rPr>
            </w:pPr>
            <w:r>
              <w:rPr>
                <w:rFonts w:ascii="Calibri" w:cs="Calibri" w:eastAsia="Calibri" w:hAnsi="Calibri"/>
                <w:sz w:val="18"/>
                <w:szCs w:val="18"/>
                <w:color w:val="auto"/>
              </w:rPr>
              <w:t>1,577</w:t>
            </w:r>
          </w:p>
        </w:tc>
        <w:tc>
          <w:tcPr>
            <w:tcW w:w="500" w:type="dxa"/>
            <w:vAlign w:val="bottom"/>
            <w:gridSpan w:val="2"/>
          </w:tcPr>
          <w:p>
            <w:pPr>
              <w:jc w:val="right"/>
              <w:ind w:right="50"/>
              <w:spacing w:after="0" w:line="196" w:lineRule="exact"/>
              <w:rPr>
                <w:sz w:val="20"/>
                <w:szCs w:val="20"/>
                <w:color w:val="auto"/>
              </w:rPr>
            </w:pPr>
            <w:r>
              <w:rPr>
                <w:rFonts w:ascii="Calibri" w:cs="Calibri" w:eastAsia="Calibri" w:hAnsi="Calibri"/>
                <w:sz w:val="18"/>
                <w:szCs w:val="18"/>
                <w:color w:val="auto"/>
              </w:rPr>
              <w:t>$</w:t>
            </w:r>
          </w:p>
        </w:tc>
        <w:tc>
          <w:tcPr>
            <w:tcW w:w="860" w:type="dxa"/>
            <w:vAlign w:val="bottom"/>
          </w:tcPr>
          <w:p>
            <w:pPr>
              <w:jc w:val="right"/>
              <w:spacing w:after="0" w:line="196" w:lineRule="exact"/>
              <w:rPr>
                <w:sz w:val="20"/>
                <w:szCs w:val="20"/>
                <w:color w:val="auto"/>
              </w:rPr>
            </w:pPr>
            <w:r>
              <w:rPr>
                <w:rFonts w:ascii="Calibri" w:cs="Calibri" w:eastAsia="Calibri" w:hAnsi="Calibri"/>
                <w:sz w:val="18"/>
                <w:szCs w:val="18"/>
                <w:color w:val="auto"/>
              </w:rPr>
              <w:t>17,963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340" w:type="dxa"/>
            <w:vAlign w:val="bottom"/>
            <w:shd w:val="clear" w:color="auto" w:fill="CCEEFF"/>
          </w:tcPr>
          <w:p>
            <w:pPr>
              <w:ind w:left="200"/>
              <w:spacing w:after="0" w:line="174" w:lineRule="exact"/>
              <w:rPr>
                <w:sz w:val="20"/>
                <w:szCs w:val="20"/>
                <w:color w:val="auto"/>
              </w:rPr>
            </w:pPr>
            <w:r>
              <w:rPr>
                <w:rFonts w:ascii="Calibri" w:cs="Calibri" w:eastAsia="Calibri" w:hAnsi="Calibri"/>
                <w:sz w:val="18"/>
                <w:szCs w:val="18"/>
                <w:color w:val="auto"/>
              </w:rPr>
              <w:t>Non-cash interest expense on liabilites for sales of future royaltes capitalized during the year into</w:t>
            </w:r>
          </w:p>
        </w:tc>
        <w:tc>
          <w:tcPr>
            <w:tcW w:w="240" w:type="dxa"/>
            <w:vAlign w:val="bottom"/>
            <w:vMerge w:val="restart"/>
            <w:shd w:val="clear" w:color="auto" w:fill="CCEEFF"/>
          </w:tcPr>
          <w:p>
            <w:pPr>
              <w:jc w:val="right"/>
              <w:ind w:right="50"/>
              <w:spacing w:after="0"/>
              <w:rPr>
                <w:sz w:val="20"/>
                <w:szCs w:val="20"/>
                <w:color w:val="auto"/>
              </w:rPr>
            </w:pPr>
            <w:r>
              <w:rPr>
                <w:rFonts w:ascii="Calibri" w:cs="Calibri" w:eastAsia="Calibri" w:hAnsi="Calibri"/>
                <w:sz w:val="18"/>
                <w:szCs w:val="18"/>
                <w:color w:val="auto"/>
                <w:w w:val="87"/>
              </w:rPr>
              <w:t>$</w:t>
            </w:r>
          </w:p>
        </w:tc>
        <w:tc>
          <w:tcPr>
            <w:tcW w:w="860" w:type="dxa"/>
            <w:vAlign w:val="bottom"/>
            <w:vMerge w:val="restart"/>
            <w:shd w:val="clear" w:color="auto" w:fill="CCEEFF"/>
          </w:tcPr>
          <w:p>
            <w:pPr>
              <w:jc w:val="right"/>
              <w:spacing w:after="0"/>
              <w:rPr>
                <w:sz w:val="20"/>
                <w:szCs w:val="20"/>
                <w:color w:val="auto"/>
              </w:rPr>
            </w:pPr>
            <w:r>
              <w:rPr>
                <w:rFonts w:ascii="Calibri" w:cs="Calibri" w:eastAsia="Calibri" w:hAnsi="Calibri"/>
                <w:sz w:val="18"/>
                <w:szCs w:val="18"/>
                <w:color w:val="auto"/>
              </w:rPr>
              <w:t>—</w:t>
            </w:r>
          </w:p>
        </w:tc>
        <w:tc>
          <w:tcPr>
            <w:tcW w:w="240" w:type="dxa"/>
            <w:vAlign w:val="bottom"/>
            <w:vMerge w:val="restart"/>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Calibri" w:cs="Calibri" w:eastAsia="Calibri" w:hAnsi="Calibri"/>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Calibri" w:cs="Calibri" w:eastAsia="Calibri" w:hAnsi="Calibri"/>
                <w:sz w:val="18"/>
                <w:szCs w:val="18"/>
                <w:color w:val="auto"/>
              </w:rPr>
              <w:t>9,431</w:t>
            </w:r>
          </w:p>
        </w:tc>
        <w:tc>
          <w:tcPr>
            <w:tcW w:w="260" w:type="dxa"/>
            <w:vAlign w:val="bottom"/>
            <w:vMerge w:val="restart"/>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Calibri" w:cs="Calibri" w:eastAsia="Calibri" w:hAnsi="Calibri"/>
                <w:sz w:val="18"/>
                <w:szCs w:val="18"/>
                <w:color w:val="auto"/>
                <w:w w:val="87"/>
              </w:rPr>
              <w:t>$</w:t>
            </w:r>
          </w:p>
        </w:tc>
        <w:tc>
          <w:tcPr>
            <w:tcW w:w="860" w:type="dxa"/>
            <w:vAlign w:val="bottom"/>
            <w:vMerge w:val="restart"/>
            <w:shd w:val="clear" w:color="auto" w:fill="CCEEFF"/>
          </w:tcPr>
          <w:p>
            <w:pPr>
              <w:jc w:val="right"/>
              <w:spacing w:after="0"/>
              <w:rPr>
                <w:sz w:val="20"/>
                <w:szCs w:val="20"/>
                <w:color w:val="auto"/>
              </w:rPr>
            </w:pPr>
            <w:r>
              <w:rPr>
                <w:rFonts w:ascii="Calibri" w:cs="Calibri" w:eastAsia="Calibri" w:hAnsi="Calibri"/>
                <w:sz w:val="18"/>
                <w:szCs w:val="18"/>
                <w:color w:val="auto"/>
              </w:rPr>
              <w:t>11,380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340" w:type="dxa"/>
            <w:vAlign w:val="bottom"/>
            <w:tcBorders>
              <w:bottom w:val="single" w:sz="8" w:color="CCEEFF"/>
            </w:tcBorders>
            <w:shd w:val="clear" w:color="auto" w:fill="CCEEFF"/>
          </w:tcPr>
          <w:p>
            <w:pPr>
              <w:ind w:left="200"/>
              <w:spacing w:after="0" w:line="198" w:lineRule="exact"/>
              <w:rPr>
                <w:sz w:val="20"/>
                <w:szCs w:val="20"/>
                <w:color w:val="auto"/>
              </w:rPr>
            </w:pPr>
            <w:r>
              <w:rPr>
                <w:rFonts w:ascii="Calibri" w:cs="Calibri" w:eastAsia="Calibri" w:hAnsi="Calibri"/>
                <w:sz w:val="18"/>
                <w:szCs w:val="18"/>
                <w:color w:val="auto"/>
              </w:rPr>
              <w:t>ending property, plant and equipment</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CCEEFF"/>
            </w:tcBorders>
            <w:vMerge w:val="continue"/>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260" w:type="dxa"/>
            <w:vAlign w:val="bottom"/>
            <w:tcBorders>
              <w:bottom w:val="single" w:sz="8" w:color="CCEEFF"/>
            </w:tcBorders>
            <w:vMerge w:val="continue"/>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-856615</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-856615</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4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-462280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-445135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-462280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-445135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See accompanying notes.</w:t>
      </w:r>
    </w:p>
    <w:p>
      <w:pPr>
        <w:jc w:val="center"/>
        <w:ind w:right="-19"/>
        <w:spacing w:after="0" w:line="235" w:lineRule="auto"/>
        <w:rPr>
          <w:sz w:val="20"/>
          <w:szCs w:val="20"/>
          <w:color w:val="auto"/>
        </w:rPr>
      </w:pPr>
      <w:r>
        <w:rPr>
          <w:rFonts w:ascii="Calibri" w:cs="Calibri" w:eastAsia="Calibri" w:hAnsi="Calibri"/>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02" w:name="page103"/>
    <w:bookmarkEnd w:id="102"/>
    <w:p>
      <w:pPr>
        <w:jc w:val="right"/>
        <w:ind w:right="384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jc w:val="right"/>
        <w:ind w:right="39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520" w:hanging="512"/>
        <w:spacing w:after="0"/>
        <w:tabs>
          <w:tab w:leader="none" w:pos="520" w:val="left"/>
        </w:tabs>
        <w:numPr>
          <w:ilvl w:val="0"/>
          <w:numId w:val="40"/>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Organization and Basis of Presentaton</w:t>
      </w:r>
    </w:p>
    <w:p>
      <w:pPr>
        <w:spacing w:after="0" w:line="77" w:lineRule="exact"/>
        <w:rPr>
          <w:rFonts w:ascii="Calibri" w:cs="Calibri" w:eastAsia="Calibri" w:hAnsi="Calibri"/>
          <w:sz w:val="18"/>
          <w:szCs w:val="18"/>
          <w:b w:val="1"/>
          <w:bCs w:val="1"/>
          <w:color w:val="auto"/>
        </w:rPr>
      </w:pPr>
    </w:p>
    <w:p>
      <w:pPr>
        <w:ind w:left="520"/>
        <w:spacing w:after="0"/>
        <w:rPr>
          <w:rFonts w:ascii="Calibri" w:cs="Calibri" w:eastAsia="Calibri" w:hAnsi="Calibri"/>
          <w:sz w:val="18"/>
          <w:szCs w:val="18"/>
          <w:b w:val="1"/>
          <w:bCs w:val="1"/>
          <w:color w:val="auto"/>
        </w:rPr>
      </w:pPr>
      <w:r>
        <w:rPr>
          <w:rFonts w:ascii="Calibri" w:cs="Calibri" w:eastAsia="Calibri" w:hAnsi="Calibri"/>
          <w:sz w:val="18"/>
          <w:szCs w:val="18"/>
          <w:color w:val="auto"/>
        </w:rPr>
        <w:t>Ultragenyx Pharmaceutcal Inc., or the Company, is a biopharmaceutcal company incorporated in Delaware.</w:t>
      </w:r>
    </w:p>
    <w:p>
      <w:pPr>
        <w:spacing w:after="0" w:line="82"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The Company is focused on the identfcaton, acquisiton, development, and commercializaton of novel products for the treatment of serious rare and ultrarare genetc diseases. The Company operates as one reportable segment and has four commercially approved products.</w:t>
      </w:r>
    </w:p>
    <w:p>
      <w:pPr>
        <w:spacing w:after="0" w:line="83"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Crysvita® (burosumab) is approved in the United States, or U.S., the European Union, or EU, and certain other regions for the treatment of X-linked hypophosphatemia, or XLH, in adult and pediatric patents one year of age and older. Crysvita is also approved in the U.S. and certain other regions for the treatment of fbroblast growth factor 23, or FGF23-related hypophosphatemia in tumor-induced osteomalacia, or TIO, associated with phosphaturic mesenchymal tumors that cannot be curatvely resected or localized in adults and pediatric patents 2 years of age and older.</w:t>
      </w:r>
    </w:p>
    <w:p>
      <w:pPr>
        <w:spacing w:after="0" w:line="84"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Mepsevii® (vestronidase alfa) is approved in the U.S., the EU and certain other regions, as the frst medicine for the treatment of children and adults with mucopolysaccharidosis VII, or MPS VII, also known as Sly syndrome.</w:t>
      </w:r>
    </w:p>
    <w:p>
      <w:pPr>
        <w:spacing w:after="0" w:line="83"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Dojolvi® (triheptanoin) is approved in the U.S. and certain other regions for the treatment of pediatric and adult patents severely afected by long-chain faty acid oxidaton disorders, or LC-FAOD.</w:t>
      </w:r>
    </w:p>
    <w:p>
      <w:pPr>
        <w:spacing w:after="0" w:line="83" w:lineRule="exact"/>
        <w:rPr>
          <w:sz w:val="20"/>
          <w:szCs w:val="20"/>
          <w:color w:val="auto"/>
        </w:rPr>
      </w:pPr>
    </w:p>
    <w:p>
      <w:pPr>
        <w:ind w:right="620" w:firstLine="509"/>
        <w:spacing w:after="0" w:line="235" w:lineRule="auto"/>
        <w:rPr>
          <w:sz w:val="20"/>
          <w:szCs w:val="20"/>
          <w:color w:val="auto"/>
        </w:rPr>
      </w:pPr>
      <w:r>
        <w:rPr>
          <w:rFonts w:ascii="Calibri" w:cs="Calibri" w:eastAsia="Calibri" w:hAnsi="Calibri"/>
          <w:sz w:val="18"/>
          <w:szCs w:val="18"/>
          <w:color w:val="auto"/>
        </w:rPr>
        <w:t>Evkeeza® (evinacumab) is approved in the U.S. and the European Economic Area, or EEA, and Japan for the treatment of homozygous familial hypercholesterolemia, or HoFH. The Company has exclusive rights to commercialize Evkeeza® (evinacumab) outside of the U.S.</w:t>
      </w:r>
    </w:p>
    <w:p>
      <w:pPr>
        <w:spacing w:after="0" w:line="78"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In additon to the approved products, the Company has the following ongoing clinical development programs:</w:t>
      </w:r>
    </w:p>
    <w:p>
      <w:pPr>
        <w:spacing w:after="0" w:line="123" w:lineRule="exact"/>
        <w:rPr>
          <w:sz w:val="20"/>
          <w:szCs w:val="20"/>
          <w:color w:val="auto"/>
        </w:rPr>
      </w:pPr>
    </w:p>
    <w:p>
      <w:pPr>
        <w:ind w:left="1020" w:right="80" w:hanging="503"/>
        <w:spacing w:after="0" w:line="235" w:lineRule="auto"/>
        <w:tabs>
          <w:tab w:leader="none" w:pos="1020" w:val="left"/>
        </w:tabs>
        <w:numPr>
          <w:ilvl w:val="0"/>
          <w:numId w:val="41"/>
        </w:numPr>
        <w:rPr>
          <w:rFonts w:ascii="Times New Roman" w:cs="Times New Roman" w:eastAsia="Times New Roman" w:hAnsi="Times New Roman"/>
          <w:sz w:val="18"/>
          <w:szCs w:val="18"/>
          <w:color w:val="auto"/>
        </w:rPr>
      </w:pPr>
      <w:r>
        <w:rPr>
          <w:rFonts w:ascii="Calibri" w:cs="Calibri" w:eastAsia="Calibri" w:hAnsi="Calibri"/>
          <w:sz w:val="18"/>
          <w:szCs w:val="18"/>
          <w:color w:val="auto"/>
        </w:rPr>
        <w:t>UX111 (formerly ABO-102) is an AAV9 gene therapy product candidate for the treatment of patents with Sanflippo syndrome type A, or MPS IIIA, a rare lysosomal storage disease;</w:t>
      </w:r>
    </w:p>
    <w:p>
      <w:pPr>
        <w:spacing w:after="0" w:line="123" w:lineRule="exact"/>
        <w:rPr>
          <w:rFonts w:ascii="Times New Roman" w:cs="Times New Roman" w:eastAsia="Times New Roman" w:hAnsi="Times New Roman"/>
          <w:sz w:val="18"/>
          <w:szCs w:val="18"/>
          <w:color w:val="auto"/>
        </w:rPr>
      </w:pPr>
    </w:p>
    <w:p>
      <w:pPr>
        <w:ind w:left="1020" w:right="140" w:hanging="503"/>
        <w:spacing w:after="0" w:line="235" w:lineRule="auto"/>
        <w:tabs>
          <w:tab w:leader="none" w:pos="1020" w:val="left"/>
        </w:tabs>
        <w:numPr>
          <w:ilvl w:val="0"/>
          <w:numId w:val="41"/>
        </w:numPr>
        <w:rPr>
          <w:rFonts w:ascii="Times New Roman" w:cs="Times New Roman" w:eastAsia="Times New Roman" w:hAnsi="Times New Roman"/>
          <w:sz w:val="18"/>
          <w:szCs w:val="18"/>
          <w:color w:val="auto"/>
        </w:rPr>
      </w:pPr>
      <w:r>
        <w:rPr>
          <w:rFonts w:ascii="Calibri" w:cs="Calibri" w:eastAsia="Calibri" w:hAnsi="Calibri"/>
          <w:sz w:val="18"/>
          <w:szCs w:val="18"/>
          <w:color w:val="auto"/>
        </w:rPr>
        <w:t>DTX401 is an adeno-associated virus 8, or AAV8, gene therapy product candidate for the treatment of patents with glycogen storage disease type Ia, or GSDIa;</w:t>
      </w:r>
    </w:p>
    <w:p>
      <w:pPr>
        <w:spacing w:after="0" w:line="123" w:lineRule="exact"/>
        <w:rPr>
          <w:rFonts w:ascii="Times New Roman" w:cs="Times New Roman" w:eastAsia="Times New Roman" w:hAnsi="Times New Roman"/>
          <w:sz w:val="18"/>
          <w:szCs w:val="18"/>
          <w:color w:val="auto"/>
        </w:rPr>
      </w:pPr>
    </w:p>
    <w:p>
      <w:pPr>
        <w:ind w:left="1020" w:right="300" w:hanging="503"/>
        <w:spacing w:after="0" w:line="235" w:lineRule="auto"/>
        <w:tabs>
          <w:tab w:leader="none" w:pos="1020" w:val="left"/>
        </w:tabs>
        <w:numPr>
          <w:ilvl w:val="0"/>
          <w:numId w:val="41"/>
        </w:numPr>
        <w:rPr>
          <w:rFonts w:ascii="Times New Roman" w:cs="Times New Roman" w:eastAsia="Times New Roman" w:hAnsi="Times New Roman"/>
          <w:sz w:val="18"/>
          <w:szCs w:val="18"/>
          <w:color w:val="auto"/>
        </w:rPr>
      </w:pPr>
      <w:r>
        <w:rPr>
          <w:rFonts w:ascii="Calibri" w:cs="Calibri" w:eastAsia="Calibri" w:hAnsi="Calibri"/>
          <w:sz w:val="18"/>
          <w:szCs w:val="18"/>
          <w:color w:val="auto"/>
        </w:rPr>
        <w:t>DTX301 is an AAV8 gene therapy product candidate in development for the treatment of patents with ornithine transcarbamylase, or OTC defciency, the most common urea cycle disorder;</w:t>
      </w:r>
    </w:p>
    <w:p>
      <w:pPr>
        <w:spacing w:after="0" w:line="123" w:lineRule="exact"/>
        <w:rPr>
          <w:rFonts w:ascii="Times New Roman" w:cs="Times New Roman" w:eastAsia="Times New Roman" w:hAnsi="Times New Roman"/>
          <w:sz w:val="18"/>
          <w:szCs w:val="18"/>
          <w:color w:val="auto"/>
        </w:rPr>
      </w:pPr>
    </w:p>
    <w:p>
      <w:pPr>
        <w:ind w:left="1020" w:right="20" w:hanging="503"/>
        <w:spacing w:after="0" w:line="235" w:lineRule="auto"/>
        <w:tabs>
          <w:tab w:leader="none" w:pos="1020" w:val="left"/>
        </w:tabs>
        <w:numPr>
          <w:ilvl w:val="0"/>
          <w:numId w:val="41"/>
        </w:numPr>
        <w:rPr>
          <w:rFonts w:ascii="Times New Roman" w:cs="Times New Roman" w:eastAsia="Times New Roman" w:hAnsi="Times New Roman"/>
          <w:sz w:val="18"/>
          <w:szCs w:val="18"/>
          <w:color w:val="auto"/>
        </w:rPr>
      </w:pPr>
      <w:r>
        <w:rPr>
          <w:rFonts w:ascii="Calibri" w:cs="Calibri" w:eastAsia="Calibri" w:hAnsi="Calibri"/>
          <w:sz w:val="18"/>
          <w:szCs w:val="18"/>
          <w:color w:val="auto"/>
        </w:rPr>
        <w:t>UX143 (setrusumab), which is subject to the Company</w:t>
      </w:r>
      <w:r>
        <w:rPr>
          <w:rFonts w:ascii="Calibri" w:cs="Calibri" w:eastAsia="Calibri" w:hAnsi="Calibri"/>
          <w:sz w:val="18"/>
          <w:szCs w:val="18"/>
          <w:b w:val="1"/>
          <w:bCs w:val="1"/>
          <w:color w:val="auto"/>
        </w:rPr>
        <w:t>’</w:t>
      </w:r>
      <w:r>
        <w:rPr>
          <w:rFonts w:ascii="Calibri" w:cs="Calibri" w:eastAsia="Calibri" w:hAnsi="Calibri"/>
          <w:sz w:val="18"/>
          <w:szCs w:val="18"/>
          <w:color w:val="auto"/>
        </w:rPr>
        <w:t>s collaboraton agreement with Mereo BioPharma 3, or Mereo, is a fully human monoclonal antbody that inhibits sclerostn, a protein that acts on a key bone-signaling pathway and inhibits the actvity of bone-forming cells for the treatment of patents with Osteogenesis Imperfecta, or OI;</w:t>
      </w:r>
    </w:p>
    <w:p>
      <w:pPr>
        <w:spacing w:after="0" w:line="124" w:lineRule="exact"/>
        <w:rPr>
          <w:rFonts w:ascii="Times New Roman" w:cs="Times New Roman" w:eastAsia="Times New Roman" w:hAnsi="Times New Roman"/>
          <w:sz w:val="18"/>
          <w:szCs w:val="18"/>
          <w:color w:val="auto"/>
        </w:rPr>
      </w:pPr>
    </w:p>
    <w:p>
      <w:pPr>
        <w:ind w:left="1020" w:right="500" w:hanging="503"/>
        <w:spacing w:after="0" w:line="235" w:lineRule="auto"/>
        <w:tabs>
          <w:tab w:leader="none" w:pos="1020" w:val="left"/>
        </w:tabs>
        <w:numPr>
          <w:ilvl w:val="0"/>
          <w:numId w:val="41"/>
        </w:numPr>
        <w:rPr>
          <w:rFonts w:ascii="Times New Roman" w:cs="Times New Roman" w:eastAsia="Times New Roman" w:hAnsi="Times New Roman"/>
          <w:sz w:val="18"/>
          <w:szCs w:val="18"/>
          <w:color w:val="auto"/>
        </w:rPr>
      </w:pPr>
      <w:r>
        <w:rPr>
          <w:rFonts w:ascii="Calibri" w:cs="Calibri" w:eastAsia="Calibri" w:hAnsi="Calibri"/>
          <w:sz w:val="18"/>
          <w:szCs w:val="18"/>
          <w:color w:val="auto"/>
        </w:rPr>
        <w:t>GTX-102 is an antsense oligonucleotde, or ASO for the treatment of Angelman syndrome, a debilitatng and rare neurogenetc disorder caused by loss-of-functon of the maternally inherited allele of the UBE3A gene; and</w:t>
      </w:r>
    </w:p>
    <w:p>
      <w:pPr>
        <w:spacing w:after="0" w:line="123" w:lineRule="exact"/>
        <w:rPr>
          <w:rFonts w:ascii="Times New Roman" w:cs="Times New Roman" w:eastAsia="Times New Roman" w:hAnsi="Times New Roman"/>
          <w:sz w:val="18"/>
          <w:szCs w:val="18"/>
          <w:color w:val="auto"/>
        </w:rPr>
      </w:pPr>
    </w:p>
    <w:p>
      <w:pPr>
        <w:ind w:left="1020" w:right="40" w:hanging="503"/>
        <w:spacing w:after="0" w:line="235" w:lineRule="auto"/>
        <w:tabs>
          <w:tab w:leader="none" w:pos="1020" w:val="left"/>
        </w:tabs>
        <w:numPr>
          <w:ilvl w:val="0"/>
          <w:numId w:val="41"/>
        </w:numPr>
        <w:rPr>
          <w:rFonts w:ascii="Times New Roman" w:cs="Times New Roman" w:eastAsia="Times New Roman" w:hAnsi="Times New Roman"/>
          <w:sz w:val="18"/>
          <w:szCs w:val="18"/>
          <w:color w:val="auto"/>
        </w:rPr>
      </w:pPr>
      <w:r>
        <w:rPr>
          <w:rFonts w:ascii="Calibri" w:cs="Calibri" w:eastAsia="Calibri" w:hAnsi="Calibri"/>
          <w:sz w:val="18"/>
          <w:szCs w:val="18"/>
          <w:color w:val="auto"/>
        </w:rPr>
        <w:t>UX701 is an adeno-associated virus 9, or AAV9, gene therapy designed to deliver stable expression of a truncated version of the ATP7B copper transporter following a single intravenous infusion to improve copper distributon and excreton from the body and reverse pathological fndings of Wilson liver disease.</w:t>
      </w:r>
    </w:p>
    <w:p>
      <w:pPr>
        <w:spacing w:after="0" w:line="300" w:lineRule="exact"/>
        <w:rPr>
          <w:sz w:val="20"/>
          <w:szCs w:val="20"/>
          <w:color w:val="auto"/>
        </w:rPr>
      </w:pPr>
    </w:p>
    <w:p>
      <w:pPr>
        <w:jc w:val="both"/>
        <w:ind w:right="60" w:firstLine="509"/>
        <w:spacing w:after="0" w:line="249" w:lineRule="auto"/>
        <w:rPr>
          <w:sz w:val="20"/>
          <w:szCs w:val="20"/>
          <w:color w:val="auto"/>
        </w:rPr>
      </w:pPr>
      <w:r>
        <w:rPr>
          <w:rFonts w:ascii="Calibri" w:cs="Calibri" w:eastAsia="Calibri" w:hAnsi="Calibri"/>
          <w:sz w:val="17"/>
          <w:szCs w:val="17"/>
          <w:color w:val="auto"/>
        </w:rPr>
        <w:t>The Company has sustained operatng losses and expects such annual losses to contnue in the near term. The Company’s ultmate success depends on the outcome of its research and development and commercializaton actvites. Through December 31, 2024, the Company has relied primarily on its sale of equity securites, its revenues from commercial products, its sale of future royaltes, and strategic collaboraton arrangements to fnance its operatons.</w:t>
      </w:r>
    </w:p>
    <w:p>
      <w:pPr>
        <w:spacing w:after="0" w:line="2"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Company may need to raise additonal capital to fully implement its business plans through the issuance of equity, borrowings, or strategic alliances with partner companies. However, if such fnancing is not available at adequate levels, the Company would need to reevaluate its operatng plans.</w:t>
      </w:r>
    </w:p>
    <w:p>
      <w:pPr>
        <w:spacing w:after="0" w:line="240" w:lineRule="exact"/>
        <w:rPr>
          <w:sz w:val="20"/>
          <w:szCs w:val="20"/>
          <w:color w:val="auto"/>
        </w:rPr>
      </w:pPr>
    </w:p>
    <w:p>
      <w:pPr>
        <w:ind w:left="520" w:hanging="512"/>
        <w:spacing w:after="0"/>
        <w:tabs>
          <w:tab w:leader="none" w:pos="520" w:val="left"/>
        </w:tabs>
        <w:numPr>
          <w:ilvl w:val="0"/>
          <w:numId w:val="42"/>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Summary of Signifcant Accountng Policies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Basis of Consolidaton</w:t>
      </w:r>
    </w:p>
    <w:p>
      <w:pPr>
        <w:spacing w:after="0" w:line="82" w:lineRule="exact"/>
        <w:rPr>
          <w:sz w:val="20"/>
          <w:szCs w:val="20"/>
          <w:color w:val="auto"/>
        </w:rPr>
      </w:pPr>
    </w:p>
    <w:p>
      <w:pPr>
        <w:ind w:right="500" w:firstLine="509"/>
        <w:spacing w:after="0" w:line="235" w:lineRule="auto"/>
        <w:rPr>
          <w:sz w:val="20"/>
          <w:szCs w:val="20"/>
          <w:color w:val="auto"/>
        </w:rPr>
      </w:pPr>
      <w:r>
        <w:rPr>
          <w:rFonts w:ascii="Calibri" w:cs="Calibri" w:eastAsia="Calibri" w:hAnsi="Calibri"/>
          <w:sz w:val="18"/>
          <w:szCs w:val="18"/>
          <w:color w:val="auto"/>
        </w:rPr>
        <w:t>The Consolidated Financial Statements include the accounts of the Company and its wholly-owned subsidiaries. The Company consolidates any variable interest entty, or VIE, for which it is the primary benefciary.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619760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03" w:name="page104"/>
    <w:bookmarkEnd w:id="103"/>
    <w:p>
      <w:pPr>
        <w:ind w:left="384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Segment Reportng</w:t>
      </w:r>
    </w:p>
    <w:p>
      <w:pPr>
        <w:spacing w:after="0" w:line="8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The Company operates as one reportable segment relatng to the research, development and commercializaton of its products. The segment derives its current revenues from its four commercially approved products.</w:t>
      </w:r>
    </w:p>
    <w:p>
      <w:pPr>
        <w:spacing w:after="0" w:line="83" w:lineRule="exact"/>
        <w:rPr>
          <w:sz w:val="20"/>
          <w:szCs w:val="20"/>
          <w:color w:val="auto"/>
        </w:rPr>
      </w:pPr>
    </w:p>
    <w:p>
      <w:pPr>
        <w:jc w:val="both"/>
        <w:ind w:right="380" w:firstLine="509"/>
        <w:spacing w:after="0" w:line="235" w:lineRule="auto"/>
        <w:rPr>
          <w:sz w:val="20"/>
          <w:szCs w:val="20"/>
          <w:color w:val="auto"/>
        </w:rPr>
      </w:pPr>
      <w:r>
        <w:rPr>
          <w:rFonts w:ascii="Calibri" w:cs="Calibri" w:eastAsia="Calibri" w:hAnsi="Calibri"/>
          <w:sz w:val="18"/>
          <w:szCs w:val="18"/>
          <w:color w:val="auto"/>
        </w:rPr>
        <w:t>The Company’s Chief Operatng Decision Maker, or CODM, its Chief Executve Ofcer and the executve leadership team, manage the Company’s operatons on an integrated basis for the purposes of allocatng resources. When evaluatng the Company’s fnancial performance, the CODM regularly reviews total revenues and total expenses and makes decisions using this informaton on a global basis.</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Use of Estmates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accompanying Consolidated Financial Statements have been prepared in accordance with U.S. generally accepted accountng principles, or GAAP. The preparaton of the Consolidated Financial Statements in conformity with GAAP requires management to make estmates and assumptons that afect the reported amounts of assets and liabilites, disclosure of contngent liabilites and the reported amounts of expenses in the Consolidated Financial Statements and the accompanying notes. On an ongoing basis, management evaluates its estmates, including those related to clinical trial accruals, fair value of assets and liabilites, income taxes, stock-based compensaton, revenue recogniton, and the liabilites for sales of future royaltes. Management bases its estmates on historical experience and on various other market-specifc and relevant assumptons that management believes to be reasonable under the circumstances. Actual results could difer from those estmates.</w:t>
      </w:r>
    </w:p>
    <w:p>
      <w:pPr>
        <w:spacing w:after="0" w:line="24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Cash, Cash Equivalents, and Restricted Cash</w:t>
      </w:r>
    </w:p>
    <w:p>
      <w:pPr>
        <w:spacing w:after="0" w:line="82"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The Company considers all highly liquid investments with original maturites of three months or less from the date of purchase to be cash equivalents.</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Cash equivalents consist primarily of amounts invested in money market accounts.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Restricted cash primarily consists of money market accounts used as collateral for the Company’s obligatons under its facility leases and to guarantee the fulfllment of certain sales orders to certain government-sponsored customers.</w:t>
      </w:r>
    </w:p>
    <w:p>
      <w:pPr>
        <w:spacing w:after="0" w:line="83"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The following table provides a reconciliaton of cash, cash equivalents, and restricted cash reported within the Consolidated Balance Sheets that sum to the total of the same such amounts shown in the Consolidated Statements of Cash Flows (in thousands):</w:t>
      </w:r>
    </w:p>
    <w:p>
      <w:pPr>
        <w:spacing w:after="0" w:line="78" w:lineRule="exact"/>
        <w:rPr>
          <w:sz w:val="20"/>
          <w:szCs w:val="20"/>
          <w:color w:val="auto"/>
        </w:rPr>
      </w:pPr>
    </w:p>
    <w:tbl>
      <w:tblPr>
        <w:tblLayout w:type="fixed"/>
        <w:tblInd w:w="1700" w:type="dxa"/>
        <w:tblCellMar>
          <w:top w:w="0" w:type="dxa"/>
          <w:left w:w="0" w:type="dxa"/>
          <w:bottom w:w="0" w:type="dxa"/>
          <w:right w:w="0" w:type="dxa"/>
        </w:tblCellMar>
      </w:tblPr>
      <w:tr>
        <w:trPr>
          <w:trHeight w:val="220"/>
        </w:trPr>
        <w:tc>
          <w:tcPr>
            <w:tcW w:w="4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80" w:type="dxa"/>
            <w:vAlign w:val="bottom"/>
            <w:gridSpan w:val="4"/>
          </w:tcPr>
          <w:p>
            <w:pPr>
              <w:ind w:left="180"/>
              <w:spacing w:after="0"/>
              <w:rPr>
                <w:sz w:val="20"/>
                <w:szCs w:val="20"/>
                <w:color w:val="auto"/>
              </w:rPr>
            </w:pPr>
            <w:r>
              <w:rPr>
                <w:rFonts w:ascii="Calibri" w:cs="Calibri" w:eastAsia="Calibri" w:hAnsi="Calibri"/>
                <w:sz w:val="18"/>
                <w:szCs w:val="18"/>
                <w:b w:val="1"/>
                <w:bCs w:val="1"/>
                <w:color w:val="auto"/>
              </w:rPr>
              <w:t>December 31,</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5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line="215" w:lineRule="exact"/>
              <w:rPr>
                <w:sz w:val="20"/>
                <w:szCs w:val="20"/>
                <w:color w:val="auto"/>
              </w:rPr>
            </w:pPr>
            <w:r>
              <w:rPr>
                <w:rFonts w:ascii="Calibri" w:cs="Calibri" w:eastAsia="Calibri" w:hAnsi="Calibri"/>
                <w:sz w:val="18"/>
                <w:szCs w:val="18"/>
                <w:b w:val="1"/>
                <w:bCs w:val="1"/>
                <w:color w:val="auto"/>
              </w:rPr>
              <w:t>2024</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line="215" w:lineRule="exact"/>
              <w:rPr>
                <w:sz w:val="20"/>
                <w:szCs w:val="20"/>
                <w:color w:val="auto"/>
              </w:rPr>
            </w:pPr>
            <w:r>
              <w:rPr>
                <w:rFonts w:ascii="Calibri" w:cs="Calibri" w:eastAsia="Calibri" w:hAnsi="Calibri"/>
                <w:sz w:val="18"/>
                <w:szCs w:val="18"/>
                <w:b w:val="1"/>
                <w:bCs w:val="1"/>
                <w:color w:val="auto"/>
              </w:rPr>
              <w:t>2023</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line="215" w:lineRule="exact"/>
              <w:rPr>
                <w:sz w:val="20"/>
                <w:szCs w:val="20"/>
                <w:color w:val="auto"/>
              </w:rPr>
            </w:pPr>
            <w:r>
              <w:rPr>
                <w:rFonts w:ascii="Calibri" w:cs="Calibri" w:eastAsia="Calibri" w:hAnsi="Calibri"/>
                <w:sz w:val="18"/>
                <w:szCs w:val="18"/>
                <w:b w:val="1"/>
                <w:bCs w:val="1"/>
                <w:color w:val="auto"/>
              </w:rPr>
              <w:t>2022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tcBorders>
              <w:bottom w:val="single" w:sz="8" w:color="CCECFF"/>
            </w:tcBorders>
            <w:shd w:val="clear" w:color="auto" w:fill="CCECFF"/>
          </w:tcPr>
          <w:p>
            <w:pPr>
              <w:spacing w:after="0" w:line="215" w:lineRule="exact"/>
              <w:rPr>
                <w:sz w:val="20"/>
                <w:szCs w:val="20"/>
                <w:color w:val="auto"/>
              </w:rPr>
            </w:pPr>
            <w:r>
              <w:rPr>
                <w:rFonts w:ascii="Calibri" w:cs="Calibri" w:eastAsia="Calibri" w:hAnsi="Calibri"/>
                <w:sz w:val="18"/>
                <w:szCs w:val="18"/>
                <w:color w:val="auto"/>
              </w:rPr>
              <w:t>Cash and cash equivalents</w:t>
            </w:r>
          </w:p>
        </w:tc>
        <w:tc>
          <w:tcPr>
            <w:tcW w:w="180" w:type="dxa"/>
            <w:vAlign w:val="bottom"/>
            <w:tcBorders>
              <w:bottom w:val="single" w:sz="8" w:color="CCECFF"/>
            </w:tcBorders>
            <w:shd w:val="clear" w:color="auto" w:fill="CCECFF"/>
          </w:tcPr>
          <w:p>
            <w:pPr>
              <w:jc w:val="right"/>
              <w:spacing w:after="0"/>
              <w:rPr>
                <w:sz w:val="20"/>
                <w:szCs w:val="20"/>
                <w:color w:val="auto"/>
              </w:rPr>
            </w:pPr>
            <w:r>
              <w:rPr>
                <w:rFonts w:ascii="Calibri" w:cs="Calibri" w:eastAsia="Calibri" w:hAnsi="Calibri"/>
                <w:sz w:val="18"/>
                <w:szCs w:val="18"/>
                <w:color w:val="auto"/>
                <w:w w:val="87"/>
              </w:rPr>
              <w:t>$</w:t>
            </w:r>
          </w:p>
        </w:tc>
        <w:tc>
          <w:tcPr>
            <w:tcW w:w="720" w:type="dxa"/>
            <w:vAlign w:val="bottom"/>
            <w:tcBorders>
              <w:bottom w:val="single" w:sz="8" w:color="CCECFF"/>
            </w:tcBorders>
            <w:shd w:val="clear" w:color="auto" w:fill="CCECFF"/>
          </w:tcPr>
          <w:p>
            <w:pPr>
              <w:jc w:val="right"/>
              <w:spacing w:after="0"/>
              <w:rPr>
                <w:sz w:val="20"/>
                <w:szCs w:val="20"/>
                <w:color w:val="auto"/>
              </w:rPr>
            </w:pPr>
            <w:r>
              <w:rPr>
                <w:rFonts w:ascii="Calibri" w:cs="Calibri" w:eastAsia="Calibri" w:hAnsi="Calibri"/>
                <w:sz w:val="18"/>
                <w:szCs w:val="18"/>
                <w:color w:val="auto"/>
              </w:rPr>
              <w:t>173,729</w:t>
            </w:r>
          </w:p>
        </w:tc>
        <w:tc>
          <w:tcPr>
            <w:tcW w:w="420" w:type="dxa"/>
            <w:vAlign w:val="bottom"/>
            <w:tcBorders>
              <w:bottom w:val="single" w:sz="8" w:color="CCECFF"/>
            </w:tcBorders>
            <w:gridSpan w:val="2"/>
            <w:shd w:val="clear" w:color="auto" w:fill="CCECFF"/>
          </w:tcPr>
          <w:p>
            <w:pPr>
              <w:jc w:val="right"/>
              <w:ind w:right="80"/>
              <w:spacing w:after="0"/>
              <w:rPr>
                <w:sz w:val="20"/>
                <w:szCs w:val="20"/>
                <w:color w:val="auto"/>
              </w:rPr>
            </w:pPr>
            <w:r>
              <w:rPr>
                <w:rFonts w:ascii="Calibri" w:cs="Calibri" w:eastAsia="Calibri" w:hAnsi="Calibri"/>
                <w:sz w:val="18"/>
                <w:szCs w:val="18"/>
                <w:color w:val="auto"/>
              </w:rPr>
              <w:t>$</w:t>
            </w:r>
          </w:p>
        </w:tc>
        <w:tc>
          <w:tcPr>
            <w:tcW w:w="740" w:type="dxa"/>
            <w:vAlign w:val="bottom"/>
            <w:tcBorders>
              <w:bottom w:val="single" w:sz="8" w:color="CCECFF"/>
            </w:tcBorders>
            <w:shd w:val="clear" w:color="auto" w:fill="CCECFF"/>
          </w:tcPr>
          <w:p>
            <w:pPr>
              <w:jc w:val="right"/>
              <w:spacing w:after="0"/>
              <w:rPr>
                <w:sz w:val="20"/>
                <w:szCs w:val="20"/>
                <w:color w:val="auto"/>
              </w:rPr>
            </w:pPr>
            <w:r>
              <w:rPr>
                <w:rFonts w:ascii="Calibri" w:cs="Calibri" w:eastAsia="Calibri" w:hAnsi="Calibri"/>
                <w:sz w:val="18"/>
                <w:szCs w:val="18"/>
                <w:color w:val="auto"/>
              </w:rPr>
              <w:t>213,584</w:t>
            </w:r>
          </w:p>
        </w:tc>
        <w:tc>
          <w:tcPr>
            <w:tcW w:w="220" w:type="dxa"/>
            <w:vAlign w:val="bottom"/>
            <w:tcBorders>
              <w:bottom w:val="single" w:sz="8" w:color="CCECFF"/>
            </w:tcBorders>
            <w:shd w:val="clear" w:color="auto" w:fill="CCECFF"/>
          </w:tcPr>
          <w:p>
            <w:pPr>
              <w:spacing w:after="0"/>
              <w:rPr>
                <w:sz w:val="19"/>
                <w:szCs w:val="19"/>
                <w:color w:val="auto"/>
              </w:rPr>
            </w:pPr>
          </w:p>
        </w:tc>
        <w:tc>
          <w:tcPr>
            <w:tcW w:w="200" w:type="dxa"/>
            <w:vAlign w:val="bottom"/>
            <w:tcBorders>
              <w:bottom w:val="single" w:sz="8" w:color="CCECFF"/>
            </w:tcBorders>
            <w:shd w:val="clear" w:color="auto" w:fill="CCECFF"/>
          </w:tcPr>
          <w:p>
            <w:pPr>
              <w:jc w:val="right"/>
              <w:spacing w:after="0"/>
              <w:rPr>
                <w:sz w:val="20"/>
                <w:szCs w:val="20"/>
                <w:color w:val="auto"/>
              </w:rPr>
            </w:pPr>
            <w:r>
              <w:rPr>
                <w:rFonts w:ascii="Calibri" w:cs="Calibri" w:eastAsia="Calibri" w:hAnsi="Calibri"/>
                <w:sz w:val="18"/>
                <w:szCs w:val="18"/>
                <w:color w:val="auto"/>
              </w:rPr>
              <w:t>$</w:t>
            </w:r>
          </w:p>
        </w:tc>
        <w:tc>
          <w:tcPr>
            <w:tcW w:w="720" w:type="dxa"/>
            <w:vAlign w:val="bottom"/>
            <w:tcBorders>
              <w:bottom w:val="single" w:sz="8" w:color="CCECFF"/>
            </w:tcBorders>
            <w:shd w:val="clear" w:color="auto" w:fill="CCECFF"/>
          </w:tcPr>
          <w:p>
            <w:pPr>
              <w:jc w:val="right"/>
              <w:spacing w:after="0"/>
              <w:rPr>
                <w:sz w:val="20"/>
                <w:szCs w:val="20"/>
                <w:color w:val="auto"/>
              </w:rPr>
            </w:pPr>
            <w:r>
              <w:rPr>
                <w:rFonts w:ascii="Calibri" w:cs="Calibri" w:eastAsia="Calibri" w:hAnsi="Calibri"/>
                <w:sz w:val="18"/>
                <w:szCs w:val="18"/>
                <w:color w:val="auto"/>
              </w:rPr>
              <w:t>132,944</w:t>
            </w:r>
          </w:p>
        </w:tc>
        <w:tc>
          <w:tcPr>
            <w:tcW w:w="8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80" w:type="dxa"/>
            <w:vAlign w:val="bottom"/>
          </w:tcPr>
          <w:p>
            <w:pPr>
              <w:spacing w:after="0" w:line="215" w:lineRule="exact"/>
              <w:rPr>
                <w:sz w:val="20"/>
                <w:szCs w:val="20"/>
                <w:color w:val="auto"/>
              </w:rPr>
            </w:pPr>
            <w:r>
              <w:rPr>
                <w:rFonts w:ascii="Calibri" w:cs="Calibri" w:eastAsia="Calibri" w:hAnsi="Calibri"/>
                <w:sz w:val="18"/>
                <w:szCs w:val="18"/>
                <w:color w:val="auto"/>
              </w:rPr>
              <w:t>Restricted cash included in other current assets</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Calibri" w:cs="Calibri" w:eastAsia="Calibri" w:hAnsi="Calibri"/>
                <w:sz w:val="18"/>
                <w:szCs w:val="18"/>
                <w:color w:val="auto"/>
              </w:rPr>
              <w:t>6,806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Calibri" w:cs="Calibri" w:eastAsia="Calibri" w:hAnsi="Calibri"/>
                <w:sz w:val="18"/>
                <w:szCs w:val="18"/>
                <w:color w:val="auto"/>
              </w:rPr>
              <w:t>2,008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Calibri" w:cs="Calibri" w:eastAsia="Calibri" w:hAnsi="Calibri"/>
                <w:sz w:val="18"/>
                <w:szCs w:val="18"/>
                <w:color w:val="auto"/>
              </w:rPr>
              <w:t>862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tcBorders>
              <w:bottom w:val="single" w:sz="8" w:color="CCECFF"/>
            </w:tcBorders>
            <w:shd w:val="clear" w:color="auto" w:fill="CCECFF"/>
          </w:tcPr>
          <w:p>
            <w:pPr>
              <w:spacing w:after="0" w:line="215" w:lineRule="exact"/>
              <w:rPr>
                <w:sz w:val="20"/>
                <w:szCs w:val="20"/>
                <w:color w:val="auto"/>
              </w:rPr>
            </w:pPr>
            <w:r>
              <w:rPr>
                <w:rFonts w:ascii="Calibri" w:cs="Calibri" w:eastAsia="Calibri" w:hAnsi="Calibri"/>
                <w:sz w:val="18"/>
                <w:szCs w:val="18"/>
                <w:color w:val="auto"/>
              </w:rPr>
              <w:t>Restricted cash included in other non-current assets</w:t>
            </w:r>
          </w:p>
        </w:tc>
        <w:tc>
          <w:tcPr>
            <w:tcW w:w="180" w:type="dxa"/>
            <w:vAlign w:val="bottom"/>
            <w:tcBorders>
              <w:bottom w:val="single" w:sz="8" w:color="auto"/>
            </w:tcBorders>
            <w:shd w:val="clear" w:color="auto" w:fill="CCECFF"/>
          </w:tcPr>
          <w:p>
            <w:pPr>
              <w:spacing w:after="0"/>
              <w:rPr>
                <w:sz w:val="19"/>
                <w:szCs w:val="19"/>
                <w:color w:val="auto"/>
              </w:rPr>
            </w:pPr>
          </w:p>
        </w:tc>
        <w:tc>
          <w:tcPr>
            <w:tcW w:w="720" w:type="dxa"/>
            <w:vAlign w:val="bottom"/>
            <w:tcBorders>
              <w:bottom w:val="single" w:sz="8" w:color="auto"/>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3,624</w:t>
            </w:r>
          </w:p>
        </w:tc>
        <w:tc>
          <w:tcPr>
            <w:tcW w:w="240" w:type="dxa"/>
            <w:vAlign w:val="bottom"/>
            <w:tcBorders>
              <w:bottom w:val="single" w:sz="8" w:color="CCECFF"/>
            </w:tcBorders>
            <w:shd w:val="clear" w:color="auto" w:fill="CCECFF"/>
          </w:tcPr>
          <w:p>
            <w:pPr>
              <w:spacing w:after="0"/>
              <w:rPr>
                <w:sz w:val="19"/>
                <w:szCs w:val="19"/>
                <w:color w:val="auto"/>
              </w:rPr>
            </w:pPr>
          </w:p>
        </w:tc>
        <w:tc>
          <w:tcPr>
            <w:tcW w:w="180" w:type="dxa"/>
            <w:vAlign w:val="bottom"/>
            <w:tcBorders>
              <w:bottom w:val="single" w:sz="8" w:color="auto"/>
            </w:tcBorders>
            <w:shd w:val="clear" w:color="auto" w:fill="CCECFF"/>
          </w:tcPr>
          <w:p>
            <w:pPr>
              <w:spacing w:after="0"/>
              <w:rPr>
                <w:sz w:val="19"/>
                <w:szCs w:val="19"/>
                <w:color w:val="auto"/>
              </w:rPr>
            </w:pPr>
          </w:p>
        </w:tc>
        <w:tc>
          <w:tcPr>
            <w:tcW w:w="740" w:type="dxa"/>
            <w:vAlign w:val="bottom"/>
            <w:tcBorders>
              <w:bottom w:val="single" w:sz="8" w:color="auto"/>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3,807</w:t>
            </w:r>
          </w:p>
        </w:tc>
        <w:tc>
          <w:tcPr>
            <w:tcW w:w="220" w:type="dxa"/>
            <w:vAlign w:val="bottom"/>
            <w:tcBorders>
              <w:bottom w:val="single" w:sz="8" w:color="CCECFF"/>
            </w:tcBorders>
            <w:shd w:val="clear" w:color="auto" w:fill="CCECFF"/>
          </w:tcPr>
          <w:p>
            <w:pPr>
              <w:spacing w:after="0"/>
              <w:rPr>
                <w:sz w:val="19"/>
                <w:szCs w:val="19"/>
                <w:color w:val="auto"/>
              </w:rPr>
            </w:pPr>
          </w:p>
        </w:tc>
        <w:tc>
          <w:tcPr>
            <w:tcW w:w="200" w:type="dxa"/>
            <w:vAlign w:val="bottom"/>
            <w:tcBorders>
              <w:bottom w:val="single" w:sz="8" w:color="auto"/>
            </w:tcBorders>
            <w:shd w:val="clear" w:color="auto" w:fill="CCECFF"/>
          </w:tcPr>
          <w:p>
            <w:pPr>
              <w:spacing w:after="0"/>
              <w:rPr>
                <w:sz w:val="19"/>
                <w:szCs w:val="19"/>
                <w:color w:val="auto"/>
              </w:rPr>
            </w:pPr>
          </w:p>
        </w:tc>
        <w:tc>
          <w:tcPr>
            <w:tcW w:w="720" w:type="dxa"/>
            <w:vAlign w:val="bottom"/>
            <w:tcBorders>
              <w:bottom w:val="single" w:sz="8" w:color="auto"/>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3,795</w:t>
            </w:r>
          </w:p>
        </w:tc>
        <w:tc>
          <w:tcPr>
            <w:tcW w:w="8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580" w:type="dxa"/>
            <w:vAlign w:val="bottom"/>
          </w:tcPr>
          <w:p>
            <w:pPr>
              <w:ind w:left="180"/>
              <w:spacing w:after="0" w:line="194" w:lineRule="exact"/>
              <w:rPr>
                <w:sz w:val="20"/>
                <w:szCs w:val="20"/>
                <w:color w:val="auto"/>
              </w:rPr>
            </w:pPr>
            <w:r>
              <w:rPr>
                <w:rFonts w:ascii="Calibri" w:cs="Calibri" w:eastAsia="Calibri" w:hAnsi="Calibri"/>
                <w:sz w:val="18"/>
                <w:szCs w:val="18"/>
                <w:color w:val="auto"/>
              </w:rPr>
              <w:t>Total cash, cash equivalents, and restricted cash</w:t>
            </w:r>
          </w:p>
        </w:tc>
        <w:tc>
          <w:tcPr>
            <w:tcW w:w="180" w:type="dxa"/>
            <w:vAlign w:val="bottom"/>
            <w:vMerge w:val="restart"/>
          </w:tcPr>
          <w:p>
            <w:pPr>
              <w:jc w:val="right"/>
              <w:spacing w:after="0"/>
              <w:rPr>
                <w:sz w:val="20"/>
                <w:szCs w:val="20"/>
                <w:color w:val="auto"/>
              </w:rPr>
            </w:pPr>
            <w:r>
              <w:rPr>
                <w:rFonts w:ascii="Calibri" w:cs="Calibri" w:eastAsia="Calibri" w:hAnsi="Calibri"/>
                <w:sz w:val="18"/>
                <w:szCs w:val="18"/>
                <w:color w:val="auto"/>
                <w:w w:val="87"/>
              </w:rPr>
              <w:t>$</w:t>
            </w:r>
          </w:p>
        </w:tc>
        <w:tc>
          <w:tcPr>
            <w:tcW w:w="720" w:type="dxa"/>
            <w:vAlign w:val="bottom"/>
            <w:vMerge w:val="restart"/>
          </w:tcPr>
          <w:p>
            <w:pPr>
              <w:jc w:val="right"/>
              <w:spacing w:after="0"/>
              <w:rPr>
                <w:sz w:val="20"/>
                <w:szCs w:val="20"/>
                <w:color w:val="auto"/>
              </w:rPr>
            </w:pPr>
            <w:r>
              <w:rPr>
                <w:rFonts w:ascii="Calibri" w:cs="Calibri" w:eastAsia="Calibri" w:hAnsi="Calibri"/>
                <w:sz w:val="18"/>
                <w:szCs w:val="18"/>
                <w:color w:val="auto"/>
              </w:rPr>
              <w:t>184,159</w:t>
            </w:r>
          </w:p>
        </w:tc>
        <w:tc>
          <w:tcPr>
            <w:tcW w:w="420" w:type="dxa"/>
            <w:vAlign w:val="bottom"/>
            <w:gridSpan w:val="2"/>
            <w:vMerge w:val="restart"/>
          </w:tcPr>
          <w:p>
            <w:pPr>
              <w:jc w:val="right"/>
              <w:ind w:right="80"/>
              <w:spacing w:after="0"/>
              <w:rPr>
                <w:sz w:val="20"/>
                <w:szCs w:val="20"/>
                <w:color w:val="auto"/>
              </w:rPr>
            </w:pPr>
            <w:r>
              <w:rPr>
                <w:rFonts w:ascii="Calibri" w:cs="Calibri" w:eastAsia="Calibri" w:hAnsi="Calibri"/>
                <w:sz w:val="18"/>
                <w:szCs w:val="18"/>
                <w:color w:val="auto"/>
              </w:rPr>
              <w:t>$</w:t>
            </w:r>
          </w:p>
        </w:tc>
        <w:tc>
          <w:tcPr>
            <w:tcW w:w="740" w:type="dxa"/>
            <w:vAlign w:val="bottom"/>
            <w:vMerge w:val="restart"/>
          </w:tcPr>
          <w:p>
            <w:pPr>
              <w:jc w:val="right"/>
              <w:spacing w:after="0"/>
              <w:rPr>
                <w:sz w:val="20"/>
                <w:szCs w:val="20"/>
                <w:color w:val="auto"/>
              </w:rPr>
            </w:pPr>
            <w:r>
              <w:rPr>
                <w:rFonts w:ascii="Calibri" w:cs="Calibri" w:eastAsia="Calibri" w:hAnsi="Calibri"/>
                <w:sz w:val="18"/>
                <w:szCs w:val="18"/>
                <w:color w:val="auto"/>
              </w:rPr>
              <w:t>219,399</w:t>
            </w:r>
          </w:p>
        </w:tc>
        <w:tc>
          <w:tcPr>
            <w:tcW w:w="220" w:type="dxa"/>
            <w:vAlign w:val="bottom"/>
          </w:tcPr>
          <w:p>
            <w:pPr>
              <w:spacing w:after="0"/>
              <w:rPr>
                <w:sz w:val="16"/>
                <w:szCs w:val="16"/>
                <w:color w:val="auto"/>
              </w:rPr>
            </w:pPr>
          </w:p>
        </w:tc>
        <w:tc>
          <w:tcPr>
            <w:tcW w:w="200" w:type="dxa"/>
            <w:vAlign w:val="bottom"/>
            <w:vMerge w:val="restart"/>
          </w:tcPr>
          <w:p>
            <w:pPr>
              <w:jc w:val="right"/>
              <w:spacing w:after="0"/>
              <w:rPr>
                <w:sz w:val="20"/>
                <w:szCs w:val="20"/>
                <w:color w:val="auto"/>
              </w:rPr>
            </w:pPr>
            <w:r>
              <w:rPr>
                <w:rFonts w:ascii="Calibri" w:cs="Calibri" w:eastAsia="Calibri" w:hAnsi="Calibri"/>
                <w:sz w:val="18"/>
                <w:szCs w:val="18"/>
                <w:color w:val="auto"/>
              </w:rPr>
              <w:t>$</w:t>
            </w:r>
          </w:p>
        </w:tc>
        <w:tc>
          <w:tcPr>
            <w:tcW w:w="720" w:type="dxa"/>
            <w:vAlign w:val="bottom"/>
            <w:vMerge w:val="restart"/>
          </w:tcPr>
          <w:p>
            <w:pPr>
              <w:jc w:val="right"/>
              <w:spacing w:after="0"/>
              <w:rPr>
                <w:sz w:val="20"/>
                <w:szCs w:val="20"/>
                <w:color w:val="auto"/>
              </w:rPr>
            </w:pPr>
            <w:r>
              <w:rPr>
                <w:rFonts w:ascii="Calibri" w:cs="Calibri" w:eastAsia="Calibri" w:hAnsi="Calibri"/>
                <w:sz w:val="18"/>
                <w:szCs w:val="18"/>
                <w:color w:val="auto"/>
              </w:rPr>
              <w:t>137,601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580" w:type="dxa"/>
            <w:vAlign w:val="bottom"/>
          </w:tcPr>
          <w:p>
            <w:pPr>
              <w:ind w:left="340"/>
              <w:spacing w:after="0" w:line="198" w:lineRule="exact"/>
              <w:rPr>
                <w:sz w:val="20"/>
                <w:szCs w:val="20"/>
                <w:color w:val="auto"/>
              </w:rPr>
            </w:pPr>
            <w:r>
              <w:rPr>
                <w:rFonts w:ascii="Calibri" w:cs="Calibri" w:eastAsia="Calibri" w:hAnsi="Calibri"/>
                <w:sz w:val="18"/>
                <w:szCs w:val="18"/>
                <w:color w:val="auto"/>
              </w:rPr>
              <w:t>shown in the statements of cash fows</w:t>
            </w:r>
          </w:p>
        </w:tc>
        <w:tc>
          <w:tcPr>
            <w:tcW w:w="18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-281940</wp:posOffset>
            </wp:positionV>
            <wp:extent cx="431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41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-281940</wp:posOffset>
            </wp:positionV>
            <wp:extent cx="431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42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-281940</wp:posOffset>
            </wp:positionV>
            <wp:extent cx="431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42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Marketable Debt Securites</w:t>
      </w:r>
    </w:p>
    <w:p>
      <w:pPr>
        <w:spacing w:after="0" w:line="82"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All marketable debt securites have been classifed as “available-for-sale” and are carried at estmated fair value as determined based upon quoted market prices or pricing models for similar securites. Management determines the appropriate classifcaton of its investments at the tme of purchase and reevaluates such designaton as of each balance sheet date. Investments with a maturity of one year or less from the balance sheet date are reported as current marketable debt securites and investments with a maturity of greater than one year from the balance sheet date are reported as non-current marketable debt securites. Unrealized gains and losses are excluded from earnings and are reported as a component of comprehensive loss. Realized gains and losses and declines in fair value judged to be other than temporary, if any, on available-for-sale securites are included in other expense. The cost of securites sold is based on the specifc-identfcaton method. Interest on investments is included in interest income.</w:t>
      </w:r>
    </w:p>
    <w:p>
      <w:pPr>
        <w:spacing w:after="0" w:line="24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Equity Investments</w:t>
      </w:r>
    </w:p>
    <w:p>
      <w:pPr>
        <w:spacing w:after="0" w:line="69"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 records investments in equity securites, other than equity method investments, at fair market value, using market quotes when readily determinable. Equity securites with no readily determinable fair values are recorded using the measurement alternatve of cost adjusted for observable price changes in orderly transactons for identcal or similar investments of the same issuer less impairment, if any. Investments in equity securites are recorded in other assets on the Company's Consolidated Balance Sheets. Unrealized gains and losses are reported in change in fair value of equity investments on the Company’s Consolidated Statements of Operatons. The Company regularly reviews its non-marketable equity securites for indicators of impairment.</w:t>
      </w:r>
    </w:p>
    <w:p>
      <w:pPr>
        <w:jc w:val="center"/>
        <w:ind w:right="-39"/>
        <w:spacing w:after="0"/>
        <w:rPr>
          <w:sz w:val="20"/>
          <w:szCs w:val="20"/>
          <w:color w:val="auto"/>
        </w:rPr>
      </w:pPr>
      <w:r>
        <w:rPr>
          <w:rFonts w:ascii="Calibri" w:cs="Calibri" w:eastAsia="Calibri" w:hAnsi="Calibri"/>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04" w:name="page105"/>
    <w:bookmarkEnd w:id="104"/>
    <w:p>
      <w:pPr>
        <w:ind w:left="384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Concentraton of Credit Risk, Credit Losses, and Other Risks and Uncertaintes</w:t>
      </w:r>
    </w:p>
    <w:p>
      <w:pPr>
        <w:spacing w:after="0" w:line="82" w:lineRule="exact"/>
        <w:rPr>
          <w:sz w:val="20"/>
          <w:szCs w:val="20"/>
          <w:color w:val="auto"/>
        </w:rPr>
      </w:pPr>
    </w:p>
    <w:p>
      <w:pPr>
        <w:ind w:firstLine="509"/>
        <w:spacing w:after="0" w:line="251" w:lineRule="auto"/>
        <w:rPr>
          <w:sz w:val="20"/>
          <w:szCs w:val="20"/>
          <w:color w:val="auto"/>
        </w:rPr>
      </w:pPr>
      <w:r>
        <w:rPr>
          <w:rFonts w:ascii="Calibri" w:cs="Calibri" w:eastAsia="Calibri" w:hAnsi="Calibri"/>
          <w:sz w:val="17"/>
          <w:szCs w:val="17"/>
          <w:color w:val="auto"/>
        </w:rPr>
        <w:t>Financial instruments that potentally subject the Company to a concentraton of credit risk consist of cash, cash equivalents, and investments. The Company’s cash, cash equivalents, and investments are held by fnancial insttutons that management believes are of high credit quality. The Company’s investment policy limits investments to fxed income securites denominated and payable in U.S. dollars such as U.S. government obligatons, money market instruments and funds, corporate bonds, commercial paper, and asset-backed securites and places restrictons on maturites and concentratons by type and issuer. Such deposits may, at tmes, exceed federally insured limits. The Company has not experienced any losses on its deposits of cash and cash equivalents and its accounts are monitored by management to mitgate risk. The Company is exposed to credit risk in the event of default by the fnancial insttutons holding its cash and cash equivalents, corporate issuers, and other fnancial instruments, to the extent recorded in the Consolidated Balance Sheets.</w:t>
      </w:r>
    </w:p>
    <w:p>
      <w:pPr>
        <w:spacing w:after="0" w:line="74"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The Company is exposed to credit losses primarily through receivables from customers and collaborators and through its available-for-sale debt securites. For trade receivables and other fnancial instruments, the Company uses a forward-looking expected loss model that recognizes a current period charge for losses that are expected to be incurred over the life of the fnancial instrument.</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Company’s expected loss allowance methodology for the receivables is developed using historical collecton experience, current and future economic market conditons, a review of the current aging status and fnancial conditon of the enttes. Specifc allowance amounts are established to record the appropriate allowance for customers that have a higher probability of default. Balances are writen of when determined to be uncollectble. The Company’s expected loss allowance methodology for the debt securites is developed by reviewing the extent of the unrealized loss, the size, term, geographical locaton, and industry of the issuer, the issuers’ credit ratngs and any changes in those ratngs, as well as reviewing current and future economic market conditons and the issuers’ current status and fnancial conditon.</w:t>
      </w:r>
    </w:p>
    <w:p>
      <w:pPr>
        <w:spacing w:after="0" w:line="86"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For available-for-sale debt securites with unrealized losses, the losses are recognized as allowances rather than as reductons in the amortzed cost of the securites. There was no allowance for losses on available-for-sale debt securites which were atributable to credit risk for the years ended December 31, 2024 and 2023.</w:t>
      </w:r>
    </w:p>
    <w:p>
      <w:pPr>
        <w:spacing w:after="0" w:line="84"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Company is dependent on third-party manufacturers to supply products for research and development actvites in its programs. In partcular, the Company relies and expects to contnue to rely on a small number of manufacturers to supply it with its requirements for the actve pharmaceutcal ingredients and formulated drugs related to these programs. These programs could be adversely afected by a signifcant interrupton in the supply of actve pharmaceutcal ingredients and formulated drugs.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Inventory</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The Company values inventory at the lower of cost and net realizable value and determines the cost of inventory using the average-cost method. The Company expenses costs associated with the manufacture of product candidates prior to regulatory approval. Inventories consist of currently approved products. The Company periodically reviews its inventories for excess amounts or obsolescence and writes down obsolete or otherwise unmarketable inventory to its estmated net realizable value. Management determines excess inventory based on expected future demand. Estmates related to future demand are sensitve to signifcant inputs and assumptons such as acceptance by patents and physicians and the availability of formulary coverage and adequate reimbursement from private third-party payers for the product.</w:t>
      </w: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Property, Plant, and Equipment</w:t>
      </w:r>
    </w:p>
    <w:p>
      <w:pPr>
        <w:spacing w:after="0" w:line="8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Property, plant, and equipment are stated at cost, less accumulated depreciaton and amortzaton. Depreciaton and amortzaton is computed using the straight-line method over the estmated useful lives of the respectve assets. Depreciaton and amortzaton begins when the asset is placed in service. Interest costs incurred during the constructon of major capital projects are capitalized untl the underlying asset is ready to be placed in service. Maintenance and repairs are charged to operatons as incurred. Upon sale or retrement of assets, the cost and related accumulated depreciaton or amortzaton are removed from the balance sheet and the resultng gain or loss, if any, is refected in operatons. See “Note 4. Balance Sheet Components” for further disclosure on the useful lives of property, plant, and equipment.</w:t>
      </w:r>
    </w:p>
    <w:p>
      <w:pPr>
        <w:jc w:val="center"/>
        <w:ind w:right="-19"/>
        <w:spacing w:after="0"/>
        <w:rPr>
          <w:sz w:val="20"/>
          <w:szCs w:val="20"/>
          <w:color w:val="auto"/>
        </w:rPr>
      </w:pPr>
      <w:r>
        <w:rPr>
          <w:rFonts w:ascii="Calibri" w:cs="Calibri" w:eastAsia="Calibri" w:hAnsi="Calibri"/>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05" w:name="page106"/>
    <w:bookmarkEnd w:id="105"/>
    <w:p>
      <w:pPr>
        <w:ind w:left="384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Intangible Assets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Finite-lived intangibles consist of contractual payments made for certain milestones achieved with collaboraton partners. The contractual payments are recorded as intangible assets and are amortzed over their estmated useful lives. The Company reviews its defnite-lived intangible assets when events or circumstances may indicate that the carrying value of these assets is not recoverable and exceeds their fair value. The Company measures fair value based on the estmated future undiscounted cash fows associated with these assets in additon to other assumptons and projectons that the Company deems to be reasonable and supportable.</w:t>
      </w:r>
    </w:p>
    <w:p>
      <w:pPr>
        <w:spacing w:after="0" w:line="85"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Indefnite-lived intangibles consist of acquired in-process research and development, or IPR&amp;D. IPR&amp;D assets represent capitalized incomplete research projects that the Company acquired through business combinatons. Such assets are initally measured at their acquisiton date fair values and are tested for impairment annually and whenever events or changes in circumstances indicate that the carrying amount may not be recoverable. When development of the project is complete, which generally occurs when regulatory approval to market a product is obtained, the associated assets will be deemed fnite-lived and will be amortzed over a period that best refects the economic benefts provided by these assets.</w:t>
      </w:r>
    </w:p>
    <w:p>
      <w:pPr>
        <w:spacing w:after="0" w:line="85"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If it is determined that an intangible asset becomes impaired, the carrying value is writen down to its fair value with the related impairment charge recognized in Consolidated Statements of Operatons in the period in which the impairment occurs. The Company has not recorded any impairments of intangible assets to date.</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Goodwill</w:t>
      </w:r>
    </w:p>
    <w:p>
      <w:pPr>
        <w:spacing w:after="0" w:line="82"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Goodwill represents the excess of purchase price over fair value of net assets acquired in a business combinaton and is not amortzed. Goodwill is subject to impairment testng at least annually during the fourth quarter or when a triggering event occurs that could indicate a potental impairment. If it is determined that the goodwill becomes impaired, the carrying value is writen down to its fair value with the related impairment charge recognized in Consolidated Statements of Operatons in the period in which the impairment occurs. The Company has not recorded any impairments of goodwill.</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Impairment of Long-Lived Assets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 evaluates its long-lived assets, including property and equipment, for impairment whenever events or changes in circumstances indicate that the carrying value of these assets may not be recoverable. Recoverability of these assets is measured by comparison of the carrying amount of each asset to the future undiscounted cash fows expected to result from the use of the asset and its eventual dispositon. If the asset is considered to be impaired, the amount of any impairment is measured as the diference between the carrying value and the fair value of the impaired asset. The Company has not recorded material impairment of any long-lived assets.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Accruals of Research and Development Costs</w:t>
      </w:r>
    </w:p>
    <w:p>
      <w:pPr>
        <w:spacing w:after="0" w:line="82"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The Company records accruals for estmated costs of research, preclinical and clinical studies and manufacturing development. These costs are a signifcant component of the Company’s research and development expenses. A substantal porton of the Company’s ongoing research and development actvites are conducted by third-party service providers, including contract research organizatons. The Company accrues the costs incurred under its agreements with these third partes based on actual work completed in accordance with agreements established with these third partes. The Company determines the actual costs through obtaining informaton from external service providers as to the progress or stage of completon of the services and the agreed-upon fee to be paid for such services.</w:t>
      </w: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Liabilites for Sales of Future Royaltes</w:t>
      </w:r>
    </w:p>
    <w:p>
      <w:pPr>
        <w:spacing w:after="0" w:line="82" w:lineRule="exact"/>
        <w:rPr>
          <w:sz w:val="20"/>
          <w:szCs w:val="20"/>
          <w:color w:val="auto"/>
        </w:rPr>
      </w:pPr>
    </w:p>
    <w:p>
      <w:pPr>
        <w:ind w:right="60" w:firstLine="509"/>
        <w:spacing w:after="0" w:line="249" w:lineRule="auto"/>
        <w:rPr>
          <w:sz w:val="20"/>
          <w:szCs w:val="20"/>
          <w:color w:val="auto"/>
        </w:rPr>
      </w:pPr>
      <w:r>
        <w:rPr>
          <w:rFonts w:ascii="Calibri" w:cs="Calibri" w:eastAsia="Calibri" w:hAnsi="Calibri"/>
          <w:sz w:val="17"/>
          <w:szCs w:val="17"/>
          <w:color w:val="auto"/>
        </w:rPr>
        <w:t>The Company sold the right to receive certain royalty payments from net sales of Crysvita in certain territories to RPI Finance Trust, or RPI, an afliate of Royalty Pharma, and to OCM LS23 Holdings LP, an investment vehicle for Ontario Municipal Employees Retrement System, or OMERS, as further described in “Note 11. Liabilites for Sales of Future Royaltes.” The Company recorded the liabilites at incepton based upon estmated future cash fows discounted at a market rate. The liabilites are being amortzed using the efectve interest method over the estmated life of the applicable arrangement. In order to determine the amortzaton of the liabilites, the Company is required to estmate the total amount of future royalty payments to be received by the Company and paid to RPI and OMERS, subject to the capped amount, over the life of the arrangements. The excess of future estmated royalty payments (subject to the capped amount) to RPI and OMERS is recorded as non-cash interest expense over the life of the arrangements. Consequently, the Company estmates an imputed interest on the unamortzed porton of the liabilites and records interest expense relatng to the transactons.</w:t>
      </w:r>
    </w:p>
    <w:p>
      <w:pPr>
        <w:spacing w:after="0" w:line="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6" w:name="page107"/>
    <w:bookmarkEnd w:id="106"/>
    <w:p>
      <w:pPr>
        <w:ind w:left="384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2" w:lineRule="exact"/>
        <w:rPr>
          <w:sz w:val="20"/>
          <w:szCs w:val="20"/>
          <w:color w:val="auto"/>
        </w:rPr>
      </w:pPr>
    </w:p>
    <w:p>
      <w:pPr>
        <w:ind w:right="100" w:firstLine="509"/>
        <w:spacing w:after="0" w:line="254" w:lineRule="auto"/>
        <w:rPr>
          <w:sz w:val="20"/>
          <w:szCs w:val="20"/>
          <w:color w:val="auto"/>
        </w:rPr>
      </w:pPr>
      <w:r>
        <w:rPr>
          <w:rFonts w:ascii="Calibri" w:cs="Calibri" w:eastAsia="Calibri" w:hAnsi="Calibri"/>
          <w:sz w:val="17"/>
          <w:szCs w:val="17"/>
          <w:color w:val="auto"/>
        </w:rPr>
        <w:t>The Company periodically assesses the expected royalty payments using a combinaton of historical results, internal projectons and forecasts from external sources. To the extent such payments are greater or less than the Company’s inital estmates or the tming of such payments is materially diferent than its original estmates, the Company employs the prospectve method to adjust the amortzaton of the liabilites and the efectve interest rate.</w:t>
      </w:r>
    </w:p>
    <w:p>
      <w:pPr>
        <w:spacing w:after="0" w:line="22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Revenue Recogniton</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Product Sales</w:t>
      </w:r>
    </w:p>
    <w:p>
      <w:pPr>
        <w:spacing w:after="0" w:line="82" w:lineRule="exact"/>
        <w:rPr>
          <w:sz w:val="20"/>
          <w:szCs w:val="20"/>
          <w:color w:val="auto"/>
        </w:rPr>
      </w:pPr>
    </w:p>
    <w:p>
      <w:pPr>
        <w:ind w:firstLine="509"/>
        <w:spacing w:after="0" w:line="251" w:lineRule="auto"/>
        <w:rPr>
          <w:sz w:val="20"/>
          <w:szCs w:val="20"/>
          <w:color w:val="auto"/>
        </w:rPr>
      </w:pPr>
      <w:r>
        <w:rPr>
          <w:rFonts w:ascii="Calibri" w:cs="Calibri" w:eastAsia="Calibri" w:hAnsi="Calibri"/>
          <w:sz w:val="17"/>
          <w:szCs w:val="17"/>
          <w:color w:val="auto"/>
        </w:rPr>
        <w:t xml:space="preserve">The Company sells its approved products through a limited number of distributors. Under Accountng Standards Codifcaton, or ASC, 606, </w:t>
      </w:r>
      <w:r>
        <w:rPr>
          <w:rFonts w:ascii="Calibri" w:cs="Calibri" w:eastAsia="Calibri" w:hAnsi="Calibri"/>
          <w:sz w:val="17"/>
          <w:szCs w:val="17"/>
          <w:i w:val="1"/>
          <w:iCs w:val="1"/>
          <w:color w:val="auto"/>
        </w:rPr>
        <w:t>Revenue</w:t>
      </w:r>
      <w:r>
        <w:rPr>
          <w:rFonts w:ascii="Calibri" w:cs="Calibri" w:eastAsia="Calibri" w:hAnsi="Calibri"/>
          <w:sz w:val="17"/>
          <w:szCs w:val="17"/>
          <w:color w:val="auto"/>
        </w:rPr>
        <w:t xml:space="preserve"> </w:t>
      </w:r>
      <w:r>
        <w:rPr>
          <w:rFonts w:ascii="Calibri" w:cs="Calibri" w:eastAsia="Calibri" w:hAnsi="Calibri"/>
          <w:sz w:val="17"/>
          <w:szCs w:val="17"/>
          <w:i w:val="1"/>
          <w:iCs w:val="1"/>
          <w:color w:val="auto"/>
        </w:rPr>
        <w:t xml:space="preserve">from Contracts with Customers, </w:t>
      </w:r>
      <w:r>
        <w:rPr>
          <w:rFonts w:ascii="Calibri" w:cs="Calibri" w:eastAsia="Calibri" w:hAnsi="Calibri"/>
          <w:sz w:val="17"/>
          <w:szCs w:val="17"/>
          <w:color w:val="auto"/>
        </w:rPr>
        <w:t>revenue from product sales is recognized at the point in tme when control is transferred to these distributors. The Company</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also recognizes revenue from sales of certain products on a “named patent” basis, which are allowed in certain countries prior to the commercial approval of the product. Prior to recognizing revenue, the Company makes estmates of the transacton price, including any variable consideraton that is subject to a constraint. Amounts of variable consideraton are included in the transacton price to the extent that it is probable that a signifcant reversal in the amount of cumulatve revenue recognized will not occur and when the uncertainty associated with the variable consideraton is subsequently resolved. Product sales are recorded net of estmated government-mandated rebates and chargebacks, estmated product returns, and other deductons.</w:t>
      </w:r>
    </w:p>
    <w:p>
      <w:pPr>
        <w:spacing w:after="0" w:line="74"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Provisions for returns and other adjustments are provided for in the period the related revenue is recorded, as estmated by management. These reserves are based on estmates of the amounts earned or to be claimed on the related sales and are reviewed periodically and adjusted as necessary. The Company’s estmates of government mandated rebates, chargebacks, estmated product returns, and other deductons depends on the identfcaton of key customer contract terms and conditons, as well as estmates of sales volumes to diferent classes of payors. If actual results vary, the Company may need to adjust these estmates, which could have a material efect on earnings in the period of the adjustment.</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Collaboraton, License, and Royalty Revenue</w:t>
      </w:r>
    </w:p>
    <w:p>
      <w:pPr>
        <w:spacing w:after="0" w:line="8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 xml:space="preserve">The Company has certain license and collaboraton agreements that are within the scope of ASC 808, </w:t>
      </w:r>
      <w:r>
        <w:rPr>
          <w:rFonts w:ascii="Calibri" w:cs="Calibri" w:eastAsia="Calibri" w:hAnsi="Calibri"/>
          <w:sz w:val="18"/>
          <w:szCs w:val="18"/>
          <w:i w:val="1"/>
          <w:iCs w:val="1"/>
          <w:color w:val="auto"/>
        </w:rPr>
        <w:t>Collaboratve Agreements</w:t>
      </w:r>
      <w:r>
        <w:rPr>
          <w:rFonts w:ascii="Calibri" w:cs="Calibri" w:eastAsia="Calibri" w:hAnsi="Calibri"/>
          <w:sz w:val="18"/>
          <w:szCs w:val="18"/>
          <w:color w:val="auto"/>
        </w:rPr>
        <w:t>, which provides guidance on the presentaton and disclosure of collaboratve arrangements. Generally, the classifcaton of the transactons under the collaboratve arrangements is determined based on the nature of contractual terms of the arrangement, along with the nature of the operatons of the partcipants. The Company records its share of collaboraton revenue, net of transfer pricing related to net sales in the period in which such sales occur, if the Company is considered as an agent in the arrangement. The Company is considered an agent when the collaboraton partner controls the product before transfer to the customers and has the ability to direct the use of and obtain substantally all of the remaining benefts from the product. Funding received related to research and development services and commercializaton costs is generally classifed as a reducton of research and development expenses and selling, general and administratve expenses, respectvely, in the Consolidated Statements of Operatons, because the provision of such services for collaboratve partners are not considered to be part of the Company’s ongoing major or central operatons.</w:t>
      </w:r>
    </w:p>
    <w:p>
      <w:pPr>
        <w:spacing w:after="0" w:line="89" w:lineRule="exact"/>
        <w:rPr>
          <w:sz w:val="20"/>
          <w:szCs w:val="20"/>
          <w:color w:val="auto"/>
        </w:rPr>
      </w:pPr>
    </w:p>
    <w:p>
      <w:pPr>
        <w:ind w:right="380" w:firstLine="509"/>
        <w:spacing w:after="0" w:line="235" w:lineRule="auto"/>
        <w:rPr>
          <w:sz w:val="20"/>
          <w:szCs w:val="20"/>
          <w:color w:val="auto"/>
        </w:rPr>
      </w:pPr>
      <w:r>
        <w:rPr>
          <w:rFonts w:ascii="Calibri" w:cs="Calibri" w:eastAsia="Calibri" w:hAnsi="Calibri"/>
          <w:sz w:val="18"/>
          <w:szCs w:val="18"/>
          <w:color w:val="auto"/>
        </w:rPr>
        <w:t>The Company utlizes certain informaton from its collaboraton partners to record collaboraton revenue, including revenue from the sale of the product, associated reserves on revenue, and costs incurred for development and sales actvites. For the periods covered in the fnancial statements presented, there have been no material changes to prior period estmates of revenues and expenses. The Company also records royalty revenues under certain of the Company’s license or collaboraton agreements in exchange for license of intellectual property.</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As described in “Note 11. Liabilites for Sales of Future Royaltes”, for certain royalty payments from net sales of Crysvita in applicable territories that were sold to RPI and OMERS, the Company records the royalty revenue on a prospectve basis as non-cash royalty revenue in the Consolidated Statements of Operatons over the term of the applicable arrangement.</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The terms of the Company’s collaboraton and license agreements may contain multple performance obligatons, which may include licenses and research and development actvites. The Company evaluates these agreements under ASC 606, </w:t>
      </w:r>
      <w:r>
        <w:rPr>
          <w:rFonts w:ascii="Calibri" w:cs="Calibri" w:eastAsia="Calibri" w:hAnsi="Calibri"/>
          <w:sz w:val="18"/>
          <w:szCs w:val="18"/>
          <w:i w:val="1"/>
          <w:iCs w:val="1"/>
          <w:color w:val="auto"/>
        </w:rPr>
        <w:t>Revenue from Contracts with Customers</w:t>
      </w:r>
      <w:r>
        <w:rPr>
          <w:rFonts w:ascii="Calibri" w:cs="Calibri" w:eastAsia="Calibri" w:hAnsi="Calibri"/>
          <w:sz w:val="18"/>
          <w:szCs w:val="18"/>
          <w:color w:val="auto"/>
        </w:rPr>
        <w:t>, to determine the distnct performance obligatons. The Company analogizes to ASC 606 for the accountng for distnct performance obligatons for which there is a customer relatonship. Prior to recognizing revenue, the Company makes estmates of the transacton price, including variable consideraton that is subject to a constraint. Amounts of variable consideraton are included in the transacton price to the extent that it is probable that a signifcant reversal in the amount of cumulatve revenue recognized will not occur and when the uncertainty associated with the variable consideraton is subsequently resolved. Total consideraton may include nonrefundable upfront license fees, payments for research and</w:t>
      </w:r>
    </w:p>
    <w:p>
      <w:pPr>
        <w:spacing w:after="0" w:line="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07" w:name="page108"/>
    <w:bookmarkEnd w:id="107"/>
    <w:p>
      <w:pPr>
        <w:ind w:left="384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2"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color w:val="auto"/>
        </w:rPr>
        <w:t>development actvites, reimbursement of certain third-party costs, payments based upon the achievement of specifed milestones, and royalty payments based on product sales derived from the collaboraton.</w:t>
      </w:r>
    </w:p>
    <w:p>
      <w:pPr>
        <w:spacing w:after="0" w:line="83"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If there are multple distnct performance obligatons, the Company allocates the transacton price to each distnct performance obligaton based on its relatve standalone selling price. The standalone selling price is generally determined based on the prices charged to customers or using expected cost-plus margin. The Company estmates the eforts needed to complete the performance obligatons and recognizes revenue by measuring the progress towards complete satsfacton of the performance obligatons using input measures.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Deferred Compensaton Plan</w:t>
      </w:r>
    </w:p>
    <w:p>
      <w:pPr>
        <w:spacing w:after="0" w:line="82" w:lineRule="exact"/>
        <w:rPr>
          <w:sz w:val="20"/>
          <w:szCs w:val="20"/>
          <w:color w:val="auto"/>
        </w:rPr>
      </w:pPr>
    </w:p>
    <w:p>
      <w:pPr>
        <w:ind w:right="20" w:firstLine="509"/>
        <w:spacing w:after="0" w:line="251" w:lineRule="auto"/>
        <w:rPr>
          <w:sz w:val="20"/>
          <w:szCs w:val="20"/>
          <w:color w:val="auto"/>
        </w:rPr>
      </w:pPr>
      <w:r>
        <w:rPr>
          <w:rFonts w:ascii="Calibri" w:cs="Calibri" w:eastAsia="Calibri" w:hAnsi="Calibri"/>
          <w:sz w:val="17"/>
          <w:szCs w:val="17"/>
          <w:color w:val="auto"/>
        </w:rPr>
        <w:t>The Company maintains a nonqualifed deferred compensaton plan whereby certain employees and members of the board of directors are able to defer certain equity awards and other compensaton. Amounts deferred are invested into shares of the Company's common stock and corporate-owned life insurance. The plan complies with the provisions of Secton 409A of the Internal Revenue Code. All the investments held in the plan are recorded in other non-current assets in the Consolidated Balance Sheets. The short-term porton of the corresponding liability for the plan is included in accrued expenses. The long-term porton of the liability is included in other non-current liabilites in the Consolidated Balance Sheets. Changes in the value of the deferred compensaton assets and liabilites are recorded in earnings as they occur. Certain equity awards deferred under the plan are required to be setled through the issuance of Company stock. These awards are recorded as treasury stock and deferred compensaton obligaton within stockholders’ equity.</w:t>
      </w:r>
    </w:p>
    <w:p>
      <w:pPr>
        <w:spacing w:after="0" w:line="23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Leases</w:t>
      </w:r>
    </w:p>
    <w:p>
      <w:pPr>
        <w:spacing w:after="0" w:line="8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 xml:space="preserve">Lease agreements are evaluated to determine whether an arrangement is or contains a lease in accordance with ASC 842, </w:t>
      </w:r>
      <w:r>
        <w:rPr>
          <w:rFonts w:ascii="Calibri" w:cs="Calibri" w:eastAsia="Calibri" w:hAnsi="Calibri"/>
          <w:sz w:val="18"/>
          <w:szCs w:val="18"/>
          <w:i w:val="1"/>
          <w:iCs w:val="1"/>
          <w:color w:val="auto"/>
        </w:rPr>
        <w:t>Leases</w:t>
      </w:r>
      <w:r>
        <w:rPr>
          <w:rFonts w:ascii="Calibri" w:cs="Calibri" w:eastAsia="Calibri" w:hAnsi="Calibri"/>
          <w:sz w:val="18"/>
          <w:szCs w:val="18"/>
          <w:color w:val="auto"/>
        </w:rPr>
        <w:t>. The Company determines if an arrangement includes a lease at incepton. Right-of-use lease assets and lease liabilites are recognized based on the present value of the future minimum lease payments over the lease term at the commencement date. The right-of-use lease asset includes any lease payments made and excludes lease incentves. Incremental borrowing rate is used in determining the present value of future payments. The Company applies a portolio approach to the property leases to apply an incremental borrowing rate to leases with similar lease terms. The lease terms may include optons to extend or terminate the lease. The Company recognizes the optons to extend the lease as part of the right-of-use lease assets and lease liabilites only if it is reasonably certain that the opton would be exercised. Lease expense for minimum lease payments is recognized on a straight-line basis over the non-cancelable lease term. The Company has elected to not separate lease and non-lease components. See “Note 10. Leases” for further disclosure.</w:t>
      </w:r>
    </w:p>
    <w:p>
      <w:pPr>
        <w:spacing w:after="0" w:line="24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Comprehensive Loss</w:t>
      </w:r>
    </w:p>
    <w:p>
      <w:pPr>
        <w:spacing w:after="0" w:line="82" w:lineRule="exact"/>
        <w:rPr>
          <w:sz w:val="20"/>
          <w:szCs w:val="20"/>
          <w:color w:val="auto"/>
        </w:rPr>
      </w:pPr>
    </w:p>
    <w:p>
      <w:pPr>
        <w:jc w:val="both"/>
        <w:ind w:right="420" w:firstLine="509"/>
        <w:spacing w:after="0" w:line="235" w:lineRule="auto"/>
        <w:rPr>
          <w:sz w:val="20"/>
          <w:szCs w:val="20"/>
          <w:color w:val="auto"/>
        </w:rPr>
      </w:pPr>
      <w:r>
        <w:rPr>
          <w:rFonts w:ascii="Calibri" w:cs="Calibri" w:eastAsia="Calibri" w:hAnsi="Calibri"/>
          <w:sz w:val="18"/>
          <w:szCs w:val="18"/>
          <w:color w:val="auto"/>
        </w:rPr>
        <w:t>Comprehensive loss is the change in stockholders’ equity from transactons and other events and circumstances other than those resultng from investments by stockholders and distributons to stockholders. The Company’s other comprehensive loss is comprised of unrealized gains and losses on investments in available-for-sale securites and foreign currency translaton adjustments.</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Research and Development</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Research and development costs are expensed as incurred and consist of salaries and benefts, stock-based compensaton expense, lab supplies and facility costs, as well as fees paid to other nonemployees and enttes that conduct certain research and development actvites on the Company’s behalf. Amounts incurred in connecton with license agreements are also included in research and development expense. Nonrefundable advance payments for goods or services to be received in the future for use in research and development actvites are deferred. The deferred amounts are expensed as the related goods are delivered or the services are performed.</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Stock-Based Compensaton</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Stock-based awards issued to employees, including stock optons, performance stock optons, or PSOs, restricted stock units, or RSUs, and performance stock units, or PSUs are recorded at fair value as of the grant date and recognized as expense on a straight-line basis over the employee’s requisite service period (generally the vestng period). PSOs and PSUs vest only if certain specifed criteria are achieved and the employees’ contnued service requirements are met; therefore, the expense recogniton occurs when the likelihood of the PSOs and PSUs being earned is deemed probable. Stock compensaton expense on awards expected to vest is recognized net of estmated forfeitures.</w:t>
      </w:r>
    </w:p>
    <w:p>
      <w:pPr>
        <w:jc w:val="center"/>
        <w:ind w:right="-39"/>
        <w:spacing w:after="0"/>
        <w:rPr>
          <w:sz w:val="20"/>
          <w:szCs w:val="20"/>
          <w:color w:val="auto"/>
        </w:rPr>
      </w:pPr>
      <w:r>
        <w:rPr>
          <w:rFonts w:ascii="Calibri" w:cs="Calibri" w:eastAsia="Calibri" w:hAnsi="Calibri"/>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08" w:name="page109"/>
    <w:bookmarkEnd w:id="108"/>
    <w:p>
      <w:pPr>
        <w:ind w:left="384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Income Taxes</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Company uses the liability method of accountng for income taxes. Under this method, deferred tax assets and liabilites are determined based on the diferences between the fnancial reportng and the tax bases of assets and liabilites and are measured using the enacted tax rates and laws that will be in efect when the diferences are expected to reverse. The Company must then assess the likelihood that the resultng deferred tax assets will be realized. A valuaton allowance is provided when it is more likely than not that some porton or all of a deferred tax asset will not be realized. Due to the Company’s lack of earnings history, the net deferred tax assets have been fully ofset by a valuaton allowance.</w:t>
      </w:r>
    </w:p>
    <w:p>
      <w:pPr>
        <w:spacing w:after="0" w:line="85"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In conjuncton with the acquisiton of Dimension Therapeutcs, Inc., or Dimension, a deferred tax liability was recorded refectng the tax impact of the diference between the book basis and tax basis of acquired IPR&amp;D. Such deferred income tax liability is not used to ofset deferred tax assets when analyzing the Company’s valuaton allowance as the acquired IPR&amp;D is considered to have an indefnite life untl the Company completes or abandons development of the acquired IPR&amp;D.</w:t>
      </w:r>
    </w:p>
    <w:p>
      <w:pPr>
        <w:spacing w:after="0" w:line="84"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The Company recognizes benefts of uncertain tax positons if it is more likely than not that such positons will be sustained upon examinaton based solely on their technical merits, as the largest amount of beneft that is more likely than not to be realized upon the ultmate setlement. The Company’s policy is to recognize interest and penaltes related to the underpayment of income taxes as a component of income tax expense or beneft. To date, there have been no interest or penaltes charged in relaton to the unrecognized tax benefts.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Foreign Currency</w:t>
      </w:r>
    </w:p>
    <w:p>
      <w:pPr>
        <w:spacing w:after="0" w:line="82"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Assets and liabilites of non-U.S. subsidiaries that operate in a local currency environment, where the local currency is the functonal currency, are translated to U.S. dollars at exchange rates in efect at the balance sheet date, with the resultng translaton adjustments directly recorded to a separate component of accumulated other comprehensive loss. Income and expense accounts are translated at average exchange rates for the period. Transactons which are not in the functonal currency of the entty are remeasured into the functonal currency and gains or losses resultng from the remeasurement recorded in other expense.</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Net Loss per Share</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Basic net loss per share is calculated by dividing the net loss by the weighted-average number of shares of common stock outstanding during the period, without consideraton for common stock equivalents. Shares of common stock into which pre-funded warrants may be exercised are considered outstanding for the purposes of computng basic net loss per share because the shares may be issued for litle or no consideraton, are fully vested and are exercisable afer the original issuance date. Diluted net loss per share is the same as basic net loss per share, since the efects of potentally dilutve securites are antdilutve. In periods when we have incurred a net loss, optons and warrants to purchase common stock are considered common stock equivalents, but have been excluded from the calculaton of diluted net loss per share, as their efect is antdilutve.</w:t>
      </w: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 Accountng Pronouncements</w:t>
      </w:r>
    </w:p>
    <w:p>
      <w:pPr>
        <w:spacing w:after="0" w:line="82" w:lineRule="exact"/>
        <w:rPr>
          <w:sz w:val="20"/>
          <w:szCs w:val="20"/>
          <w:color w:val="auto"/>
        </w:rPr>
      </w:pPr>
    </w:p>
    <w:p>
      <w:pPr>
        <w:ind w:right="60" w:firstLine="509"/>
        <w:spacing w:after="0" w:line="252" w:lineRule="auto"/>
        <w:rPr>
          <w:sz w:val="20"/>
          <w:szCs w:val="20"/>
          <w:color w:val="auto"/>
        </w:rPr>
      </w:pPr>
      <w:r>
        <w:rPr>
          <w:rFonts w:ascii="Calibri" w:cs="Calibri" w:eastAsia="Calibri" w:hAnsi="Calibri"/>
          <w:sz w:val="17"/>
          <w:szCs w:val="17"/>
          <w:color w:val="auto"/>
        </w:rPr>
        <w:t xml:space="preserve">In November 2024, the FASB issued ASU 2024-03, </w:t>
      </w:r>
      <w:r>
        <w:rPr>
          <w:rFonts w:ascii="Calibri" w:cs="Calibri" w:eastAsia="Calibri" w:hAnsi="Calibri"/>
          <w:sz w:val="17"/>
          <w:szCs w:val="17"/>
          <w:i w:val="1"/>
          <w:iCs w:val="1"/>
          <w:color w:val="auto"/>
        </w:rPr>
        <w:t>Income Statement-Reportng Comprehensive Income-Expense Disaggregaton Disclosures (Subtopic</w:t>
      </w:r>
      <w:r>
        <w:rPr>
          <w:rFonts w:ascii="Calibri" w:cs="Calibri" w:eastAsia="Calibri" w:hAnsi="Calibri"/>
          <w:sz w:val="17"/>
          <w:szCs w:val="17"/>
          <w:color w:val="auto"/>
        </w:rPr>
        <w:t xml:space="preserve"> </w:t>
      </w:r>
      <w:r>
        <w:rPr>
          <w:rFonts w:ascii="Calibri" w:cs="Calibri" w:eastAsia="Calibri" w:hAnsi="Calibri"/>
          <w:sz w:val="17"/>
          <w:szCs w:val="17"/>
          <w:i w:val="1"/>
          <w:iCs w:val="1"/>
          <w:color w:val="auto"/>
        </w:rPr>
        <w:t>220-40): Disaggregaton of Income Statement Expenses</w:t>
      </w:r>
      <w:r>
        <w:rPr>
          <w:rFonts w:ascii="Calibri" w:cs="Calibri" w:eastAsia="Calibri" w:hAnsi="Calibri"/>
          <w:sz w:val="17"/>
          <w:szCs w:val="17"/>
          <w:color w:val="auto"/>
        </w:rPr>
        <w:t>, requiring public enttes to disclose additonal informaton about specifc expense categories in the</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notes to the fnancial statements on an interim and annual basis. ASU 2024-03 is efectve for fscal years beginning afer December 15, 2026, and for interim periods beginning afer December 15, 2027, with early adopton permited. The Company is currently evaluatng the impact of adoptng ASU 2024-03.</w:t>
      </w:r>
    </w:p>
    <w:p>
      <w:pPr>
        <w:spacing w:after="0" w:line="73" w:lineRule="exact"/>
        <w:rPr>
          <w:sz w:val="20"/>
          <w:szCs w:val="20"/>
          <w:color w:val="auto"/>
        </w:rPr>
      </w:pPr>
    </w:p>
    <w:p>
      <w:pPr>
        <w:ind w:firstLine="509"/>
        <w:spacing w:after="0" w:line="249" w:lineRule="auto"/>
        <w:rPr>
          <w:sz w:val="20"/>
          <w:szCs w:val="20"/>
          <w:color w:val="auto"/>
        </w:rPr>
      </w:pPr>
      <w:r>
        <w:rPr>
          <w:rFonts w:ascii="Calibri" w:cs="Calibri" w:eastAsia="Calibri" w:hAnsi="Calibri"/>
          <w:sz w:val="17"/>
          <w:szCs w:val="17"/>
          <w:color w:val="auto"/>
        </w:rPr>
        <w:t xml:space="preserve">In November 2023, the FASB issued ASU 2023-07, </w:t>
      </w:r>
      <w:r>
        <w:rPr>
          <w:rFonts w:ascii="Calibri" w:cs="Calibri" w:eastAsia="Calibri" w:hAnsi="Calibri"/>
          <w:sz w:val="17"/>
          <w:szCs w:val="17"/>
          <w:i w:val="1"/>
          <w:iCs w:val="1"/>
          <w:color w:val="auto"/>
        </w:rPr>
        <w:t>Segment Reportng (Topic 280): Improvements to Reportable Segment Disclosures</w:t>
      </w:r>
      <w:r>
        <w:rPr>
          <w:rFonts w:ascii="Calibri" w:cs="Calibri" w:eastAsia="Calibri" w:hAnsi="Calibri"/>
          <w:sz w:val="17"/>
          <w:szCs w:val="17"/>
          <w:color w:val="auto"/>
        </w:rPr>
        <w:t>, requiring public enttes to disclose informaton about their reportable segments’ signifcant expenses and other segment items on an interim and annual basis. Public enttes with a single reportable segment are required to apply the disclosure requirements in ASU 2023-07, as well as all existng segment disclosures and reconciliaton requirements in ASC 280 on an interim and annual basis. The Company adopted ASU 2023-07 during the year ended December 31, 2024.</w:t>
      </w:r>
    </w:p>
    <w:p>
      <w:pPr>
        <w:jc w:val="center"/>
        <w:ind w:right="-19"/>
        <w:spacing w:after="0" w:line="237" w:lineRule="auto"/>
        <w:rPr>
          <w:sz w:val="20"/>
          <w:szCs w:val="20"/>
          <w:color w:val="auto"/>
        </w:rPr>
      </w:pPr>
      <w:r>
        <w:rPr>
          <w:rFonts w:ascii="Calibri" w:cs="Calibri" w:eastAsia="Calibri" w:hAnsi="Calibri"/>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9" w:name="page110"/>
    <w:bookmarkEnd w:id="109"/>
    <w:p>
      <w:pPr>
        <w:ind w:left="384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9" w:lineRule="exact"/>
        <w:rPr>
          <w:sz w:val="20"/>
          <w:szCs w:val="20"/>
          <w:color w:val="auto"/>
        </w:rPr>
      </w:pPr>
    </w:p>
    <w:p>
      <w:pPr>
        <w:ind w:left="520" w:hanging="512"/>
        <w:spacing w:after="0"/>
        <w:tabs>
          <w:tab w:leader="none" w:pos="520" w:val="left"/>
        </w:tabs>
        <w:numPr>
          <w:ilvl w:val="0"/>
          <w:numId w:val="43"/>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Fair Value Measurements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Certain fnancial assets and liabilites are recorded at fair value. The carrying amount of certain fnancial instruments, including cash and cash equivalents, accounts receivable, accounts payable and accrued liabilites approximate fair value due to their relatvely short maturites. The carrying amounts of liabilites for the sales of future royaltes also approximate their fair value. Assets and liabilites recorded at fair value on a recurring basis in the balance sheets are categorized based upon the level of judgment associated with the inputs used to measure their fair values. Fair value is defned as the exchange price that would be received for an asset or an exit price that would be paid to transfer a liability in the principal or most advantageous market for the asset or liability in an orderly transacton between market partcipants on the measurement date. The authoritatve guidance on fair value measurements establishes a three-ter fair value hierarchy for disclosure of fair value measurements as follows:</w:t>
      </w:r>
    </w:p>
    <w:p>
      <w:pPr>
        <w:spacing w:after="0" w:line="82"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Level 1</w:t>
      </w:r>
      <w:r>
        <w:rPr>
          <w:rFonts w:ascii="Calibri" w:cs="Calibri" w:eastAsia="Calibri" w:hAnsi="Calibri"/>
          <w:sz w:val="18"/>
          <w:szCs w:val="18"/>
          <w:color w:val="auto"/>
        </w:rPr>
        <w:t>—Inputs are unadjusted, quoted prices in actve markets for identcal assets or liabilites at the measurement date;</w:t>
      </w:r>
    </w:p>
    <w:p>
      <w:pPr>
        <w:spacing w:after="0" w:line="82" w:lineRule="exact"/>
        <w:rPr>
          <w:sz w:val="20"/>
          <w:szCs w:val="20"/>
          <w:color w:val="auto"/>
        </w:rPr>
      </w:pPr>
    </w:p>
    <w:p>
      <w:pPr>
        <w:jc w:val="both"/>
        <w:ind w:left="520" w:right="280"/>
        <w:spacing w:after="0" w:line="235" w:lineRule="auto"/>
        <w:rPr>
          <w:sz w:val="20"/>
          <w:szCs w:val="20"/>
          <w:color w:val="auto"/>
        </w:rPr>
      </w:pPr>
      <w:r>
        <w:rPr>
          <w:rFonts w:ascii="Calibri" w:cs="Calibri" w:eastAsia="Calibri" w:hAnsi="Calibri"/>
          <w:sz w:val="18"/>
          <w:szCs w:val="18"/>
          <w:i w:val="1"/>
          <w:iCs w:val="1"/>
          <w:color w:val="auto"/>
        </w:rPr>
        <w:t>Level 2</w:t>
      </w:r>
      <w:r>
        <w:rPr>
          <w:rFonts w:ascii="Calibri" w:cs="Calibri" w:eastAsia="Calibri" w:hAnsi="Calibri"/>
          <w:sz w:val="18"/>
          <w:szCs w:val="18"/>
          <w:color w:val="auto"/>
        </w:rPr>
        <w:t>—Inputs are observable, unadjusted quoted prices in actve markets for similar assets or liabilites, unadjusted quoted prices for identcal or</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similar assets or liabilites in markets that are not actve, or other inputs that are observable or can be corroborated by observable market data for substantally the full term of the related assets or liabilites; and</w:t>
      </w:r>
    </w:p>
    <w:p>
      <w:pPr>
        <w:spacing w:after="0" w:line="84" w:lineRule="exact"/>
        <w:rPr>
          <w:sz w:val="20"/>
          <w:szCs w:val="20"/>
          <w:color w:val="auto"/>
        </w:rPr>
      </w:pPr>
    </w:p>
    <w:p>
      <w:pPr>
        <w:ind w:left="520" w:right="380"/>
        <w:spacing w:after="0" w:line="235" w:lineRule="auto"/>
        <w:rPr>
          <w:sz w:val="20"/>
          <w:szCs w:val="20"/>
          <w:color w:val="auto"/>
        </w:rPr>
      </w:pPr>
      <w:r>
        <w:rPr>
          <w:rFonts w:ascii="Calibri" w:cs="Calibri" w:eastAsia="Calibri" w:hAnsi="Calibri"/>
          <w:sz w:val="18"/>
          <w:szCs w:val="18"/>
          <w:i w:val="1"/>
          <w:iCs w:val="1"/>
          <w:color w:val="auto"/>
        </w:rPr>
        <w:t>Level 3</w:t>
      </w:r>
      <w:r>
        <w:rPr>
          <w:rFonts w:ascii="Calibri" w:cs="Calibri" w:eastAsia="Calibri" w:hAnsi="Calibri"/>
          <w:sz w:val="18"/>
          <w:szCs w:val="18"/>
          <w:color w:val="auto"/>
        </w:rPr>
        <w:t>—Unobservable inputs that are signifcant to the measurement of the fair value of the assets or liabilites that are supported by litle or no</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market data.</w:t>
      </w:r>
    </w:p>
    <w:p>
      <w:pPr>
        <w:spacing w:after="0" w:line="83"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The Company’s fnancial instruments consist of Level 1, Level 2, and Level 3 assets. Where quoted prices are available in an actve market, securites are classifed as Level 1. Money market funds and U.S. Government treasury bills are classifed as Level 1. Level 2 assets consist primarily of corporate bonds, asset backed securites, commercial paper, U.S. Government Treasury and agency securites, and debt securites in government-sponsored enttes based upon quoted market prices for similar movements in actve markets, quoted prices for identcal or similar instruments in markets that are not actve and model-based valuaton techniques for which all signifcant inputs are observable in the market or can be corroborated by observable market data for substantally the full term of the assets. Where applicable these models project future cash fows and discount the future amounts to a present value using market-based observable inputs obtained from various third-party data providers, including but not limited to, benchmark yields, interest rate curves, reported trades, broker/dealer quotes and reference data.</w:t>
      </w:r>
    </w:p>
    <w:p>
      <w:pPr>
        <w:spacing w:after="0" w:line="88"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The Company determines the fair value of its equity investment in Solid Biosciences, Inc., or Solid, by using the quoted market prices, which are Level 1 fair value measurements.</w:t>
      </w:r>
    </w:p>
    <w:p>
      <w:pPr>
        <w:spacing w:after="0" w:line="83" w:lineRule="exact"/>
        <w:rPr>
          <w:sz w:val="20"/>
          <w:szCs w:val="20"/>
          <w:color w:val="auto"/>
        </w:rPr>
      </w:pPr>
    </w:p>
    <w:p>
      <w:pPr>
        <w:ind w:right="520" w:firstLine="509"/>
        <w:spacing w:after="0" w:line="235" w:lineRule="auto"/>
        <w:rPr>
          <w:sz w:val="20"/>
          <w:szCs w:val="20"/>
          <w:color w:val="auto"/>
        </w:rPr>
      </w:pPr>
      <w:r>
        <w:rPr>
          <w:rFonts w:ascii="Calibri" w:cs="Calibri" w:eastAsia="Calibri" w:hAnsi="Calibri"/>
          <w:sz w:val="18"/>
          <w:szCs w:val="18"/>
          <w:color w:val="auto"/>
        </w:rPr>
        <w:t>The following tables set forth the fair value of the Company’s fnancial assets remeasured on a recurring basis based on the three-ter fair value hierarchy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gridSpan w:val="3"/>
          </w:tcPr>
          <w:p>
            <w:pPr>
              <w:jc w:val="right"/>
              <w:ind w:right="190"/>
              <w:spacing w:after="0"/>
              <w:rPr>
                <w:sz w:val="20"/>
                <w:szCs w:val="20"/>
                <w:color w:val="auto"/>
              </w:rPr>
            </w:pPr>
            <w:r>
              <w:rPr>
                <w:rFonts w:ascii="Calibri" w:cs="Calibri" w:eastAsia="Calibri" w:hAnsi="Calibri"/>
                <w:sz w:val="18"/>
                <w:szCs w:val="18"/>
                <w:b w:val="1"/>
                <w:bCs w:val="1"/>
                <w:color w:val="auto"/>
              </w:rPr>
              <w:t>December 31, 2024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0"/>
              <w:spacing w:after="0" w:line="209" w:lineRule="exact"/>
              <w:rPr>
                <w:sz w:val="20"/>
                <w:szCs w:val="20"/>
                <w:color w:val="auto"/>
              </w:rPr>
            </w:pPr>
            <w:r>
              <w:rPr>
                <w:rFonts w:ascii="Calibri" w:cs="Calibri" w:eastAsia="Calibri" w:hAnsi="Calibri"/>
                <w:sz w:val="18"/>
                <w:szCs w:val="18"/>
                <w:b w:val="1"/>
                <w:bCs w:val="1"/>
                <w:color w:val="auto"/>
              </w:rPr>
              <w:t>Level 1</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0"/>
              <w:spacing w:after="0" w:line="209" w:lineRule="exact"/>
              <w:rPr>
                <w:sz w:val="20"/>
                <w:szCs w:val="20"/>
                <w:color w:val="auto"/>
              </w:rPr>
            </w:pPr>
            <w:r>
              <w:rPr>
                <w:rFonts w:ascii="Calibri" w:cs="Calibri" w:eastAsia="Calibri" w:hAnsi="Calibri"/>
                <w:sz w:val="18"/>
                <w:szCs w:val="18"/>
                <w:b w:val="1"/>
                <w:bCs w:val="1"/>
                <w:color w:val="auto"/>
              </w:rPr>
              <w:t>Level 2</w:t>
            </w:r>
          </w:p>
        </w:tc>
        <w:tc>
          <w:tcPr>
            <w:tcW w:w="240" w:type="dxa"/>
            <w:vAlign w:val="bottom"/>
          </w:tcPr>
          <w:p>
            <w:pPr>
              <w:spacing w:after="0"/>
              <w:rPr>
                <w:sz w:val="18"/>
                <w:szCs w:val="18"/>
                <w:color w:val="auto"/>
              </w:rPr>
            </w:pPr>
          </w:p>
        </w:tc>
        <w:tc>
          <w:tcPr>
            <w:tcW w:w="8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Level 3</w:t>
            </w:r>
          </w:p>
        </w:tc>
        <w:tc>
          <w:tcPr>
            <w:tcW w:w="2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line="209" w:lineRule="exact"/>
              <w:rPr>
                <w:sz w:val="20"/>
                <w:szCs w:val="20"/>
                <w:color w:val="auto"/>
              </w:rPr>
            </w:pPr>
            <w:r>
              <w:rPr>
                <w:rFonts w:ascii="Calibri" w:cs="Calibri" w:eastAsia="Calibri" w:hAnsi="Calibri"/>
                <w:sz w:val="18"/>
                <w:szCs w:val="18"/>
                <w:b w:val="1"/>
                <w:bCs w:val="1"/>
                <w:color w:val="auto"/>
              </w:rPr>
              <w:t>Total</w:t>
            </w:r>
          </w:p>
        </w:tc>
        <w:tc>
          <w:tcPr>
            <w:tcW w:w="10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780" w:type="dxa"/>
            <w:vAlign w:val="bottom"/>
            <w:shd w:val="clear" w:color="auto" w:fill="CCECFF"/>
          </w:tcPr>
          <w:p>
            <w:pPr>
              <w:spacing w:after="0" w:line="210" w:lineRule="exact"/>
              <w:rPr>
                <w:sz w:val="20"/>
                <w:szCs w:val="20"/>
                <w:color w:val="auto"/>
              </w:rPr>
            </w:pPr>
            <w:r>
              <w:rPr>
                <w:rFonts w:ascii="Calibri" w:cs="Calibri" w:eastAsia="Calibri" w:hAnsi="Calibri"/>
                <w:sz w:val="18"/>
                <w:szCs w:val="18"/>
                <w:b w:val="1"/>
                <w:bCs w:val="1"/>
                <w:color w:val="auto"/>
              </w:rPr>
              <w:t>Financial Assets:</w:t>
            </w:r>
          </w:p>
        </w:tc>
        <w:tc>
          <w:tcPr>
            <w:tcW w:w="220" w:type="dxa"/>
            <w:vAlign w:val="bottom"/>
            <w:shd w:val="clear" w:color="auto" w:fill="CCECFF"/>
          </w:tcPr>
          <w:p>
            <w:pPr>
              <w:spacing w:after="0"/>
              <w:rPr>
                <w:sz w:val="18"/>
                <w:szCs w:val="18"/>
                <w:color w:val="auto"/>
              </w:rPr>
            </w:pPr>
          </w:p>
        </w:tc>
        <w:tc>
          <w:tcPr>
            <w:tcW w:w="9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780" w:type="dxa"/>
            <w:vAlign w:val="bottom"/>
          </w:tcPr>
          <w:p>
            <w:pPr>
              <w:ind w:left="180"/>
              <w:spacing w:after="0" w:line="215" w:lineRule="exact"/>
              <w:rPr>
                <w:sz w:val="20"/>
                <w:szCs w:val="20"/>
                <w:color w:val="auto"/>
              </w:rPr>
            </w:pPr>
            <w:r>
              <w:rPr>
                <w:rFonts w:ascii="Calibri" w:cs="Calibri" w:eastAsia="Calibri" w:hAnsi="Calibri"/>
                <w:sz w:val="18"/>
                <w:szCs w:val="18"/>
                <w:color w:val="auto"/>
              </w:rPr>
              <w:t>Money market funds</w:t>
            </w:r>
          </w:p>
        </w:tc>
        <w:tc>
          <w:tcPr>
            <w:tcW w:w="22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113,894</w:t>
            </w:r>
          </w:p>
        </w:tc>
        <w:tc>
          <w:tcPr>
            <w:tcW w:w="46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gridSpan w:val="2"/>
          </w:tcPr>
          <w:p>
            <w:pPr>
              <w:jc w:val="right"/>
              <w:ind w:right="67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ind w:left="80"/>
              <w:spacing w:after="0" w:line="215" w:lineRule="exact"/>
              <w:rPr>
                <w:sz w:val="20"/>
                <w:szCs w:val="20"/>
                <w:color w:val="auto"/>
              </w:rPr>
            </w:pPr>
            <w:r>
              <w:rPr>
                <w:rFonts w:ascii="Calibri" w:cs="Calibri" w:eastAsia="Calibri" w:hAnsi="Calibri"/>
                <w:sz w:val="18"/>
                <w:szCs w:val="18"/>
                <w:color w:val="auto"/>
                <w:w w:val="97"/>
              </w:rPr>
              <w:t>—</w:t>
            </w:r>
          </w:p>
        </w:tc>
        <w:tc>
          <w:tcPr>
            <w:tcW w:w="4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113,894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780" w:type="dxa"/>
            <w:vAlign w:val="bottom"/>
            <w:shd w:val="clear" w:color="auto" w:fill="CCECFF"/>
          </w:tcPr>
          <w:p>
            <w:pPr>
              <w:ind w:left="180"/>
              <w:spacing w:after="0" w:line="216" w:lineRule="exact"/>
              <w:rPr>
                <w:sz w:val="20"/>
                <w:szCs w:val="20"/>
                <w:color w:val="auto"/>
              </w:rPr>
            </w:pPr>
            <w:r>
              <w:rPr>
                <w:rFonts w:ascii="Calibri" w:cs="Calibri" w:eastAsia="Calibri" w:hAnsi="Calibri"/>
                <w:sz w:val="18"/>
                <w:szCs w:val="18"/>
                <w:color w:val="auto"/>
              </w:rPr>
              <w:t>Time deposits</w:t>
            </w:r>
          </w:p>
        </w:tc>
        <w:tc>
          <w:tcPr>
            <w:tcW w:w="22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w:t>
            </w:r>
          </w:p>
        </w:tc>
        <w:tc>
          <w:tcPr>
            <w:tcW w:w="26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10,000</w:t>
            </w:r>
          </w:p>
        </w:tc>
        <w:tc>
          <w:tcPr>
            <w:tcW w:w="24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260" w:type="dxa"/>
            <w:vAlign w:val="bottom"/>
            <w:shd w:val="clear" w:color="auto" w:fill="CCECFF"/>
          </w:tcPr>
          <w:p>
            <w:pPr>
              <w:ind w:left="80"/>
              <w:spacing w:after="0" w:line="216" w:lineRule="exact"/>
              <w:rPr>
                <w:sz w:val="20"/>
                <w:szCs w:val="20"/>
                <w:color w:val="auto"/>
              </w:rPr>
            </w:pPr>
            <w:r>
              <w:rPr>
                <w:rFonts w:ascii="Calibri" w:cs="Calibri" w:eastAsia="Calibri" w:hAnsi="Calibri"/>
                <w:sz w:val="18"/>
                <w:szCs w:val="18"/>
                <w:color w:val="auto"/>
                <w:w w:val="97"/>
              </w:rPr>
              <w:t>—</w:t>
            </w:r>
          </w:p>
        </w:tc>
        <w:tc>
          <w:tcPr>
            <w:tcW w:w="24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10,000</w:t>
            </w:r>
          </w:p>
        </w:tc>
        <w:tc>
          <w:tcPr>
            <w:tcW w:w="100" w:type="dxa"/>
            <w:vAlign w:val="bottom"/>
            <w:shd w:val="clear" w:color="auto" w:fill="CCEC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780" w:type="dxa"/>
            <w:vAlign w:val="bottom"/>
          </w:tcPr>
          <w:p>
            <w:pPr>
              <w:ind w:left="180"/>
              <w:spacing w:after="0" w:line="215" w:lineRule="exact"/>
              <w:rPr>
                <w:sz w:val="20"/>
                <w:szCs w:val="20"/>
                <w:color w:val="auto"/>
              </w:rPr>
            </w:pPr>
            <w:r>
              <w:rPr>
                <w:rFonts w:ascii="Calibri" w:cs="Calibri" w:eastAsia="Calibri" w:hAnsi="Calibri"/>
                <w:sz w:val="18"/>
                <w:szCs w:val="18"/>
                <w:color w:val="auto"/>
              </w:rPr>
              <w:t>Corporate bonds</w:t>
            </w:r>
          </w:p>
        </w:tc>
        <w:tc>
          <w:tcPr>
            <w:tcW w:w="22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391,731</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ind w:left="80"/>
              <w:spacing w:after="0" w:line="215" w:lineRule="exact"/>
              <w:rPr>
                <w:sz w:val="20"/>
                <w:szCs w:val="20"/>
                <w:color w:val="auto"/>
              </w:rPr>
            </w:pPr>
            <w:r>
              <w:rPr>
                <w:rFonts w:ascii="Calibri" w:cs="Calibri" w:eastAsia="Calibri" w:hAnsi="Calibri"/>
                <w:sz w:val="18"/>
                <w:szCs w:val="18"/>
                <w:color w:val="auto"/>
                <w:w w:val="97"/>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391,731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780" w:type="dxa"/>
            <w:vAlign w:val="bottom"/>
            <w:shd w:val="clear" w:color="auto" w:fill="CCECFF"/>
          </w:tcPr>
          <w:p>
            <w:pPr>
              <w:ind w:left="180"/>
              <w:spacing w:after="0" w:line="216" w:lineRule="exact"/>
              <w:rPr>
                <w:sz w:val="20"/>
                <w:szCs w:val="20"/>
                <w:color w:val="auto"/>
              </w:rPr>
            </w:pPr>
            <w:r>
              <w:rPr>
                <w:rFonts w:ascii="Calibri" w:cs="Calibri" w:eastAsia="Calibri" w:hAnsi="Calibri"/>
                <w:sz w:val="18"/>
                <w:szCs w:val="18"/>
                <w:color w:val="auto"/>
              </w:rPr>
              <w:t>Commercial paper</w:t>
            </w:r>
          </w:p>
        </w:tc>
        <w:tc>
          <w:tcPr>
            <w:tcW w:w="22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w:t>
            </w:r>
          </w:p>
        </w:tc>
        <w:tc>
          <w:tcPr>
            <w:tcW w:w="26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21,194</w:t>
            </w:r>
          </w:p>
        </w:tc>
        <w:tc>
          <w:tcPr>
            <w:tcW w:w="24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260" w:type="dxa"/>
            <w:vAlign w:val="bottom"/>
            <w:shd w:val="clear" w:color="auto" w:fill="CCECFF"/>
          </w:tcPr>
          <w:p>
            <w:pPr>
              <w:ind w:left="80"/>
              <w:spacing w:after="0" w:line="216" w:lineRule="exact"/>
              <w:rPr>
                <w:sz w:val="20"/>
                <w:szCs w:val="20"/>
                <w:color w:val="auto"/>
              </w:rPr>
            </w:pPr>
            <w:r>
              <w:rPr>
                <w:rFonts w:ascii="Calibri" w:cs="Calibri" w:eastAsia="Calibri" w:hAnsi="Calibri"/>
                <w:sz w:val="18"/>
                <w:szCs w:val="18"/>
                <w:color w:val="auto"/>
                <w:w w:val="97"/>
              </w:rPr>
              <w:t>—</w:t>
            </w:r>
          </w:p>
        </w:tc>
        <w:tc>
          <w:tcPr>
            <w:tcW w:w="24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21,194</w:t>
            </w:r>
          </w:p>
        </w:tc>
        <w:tc>
          <w:tcPr>
            <w:tcW w:w="100" w:type="dxa"/>
            <w:vAlign w:val="bottom"/>
            <w:shd w:val="clear" w:color="auto" w:fill="CCEC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780" w:type="dxa"/>
            <w:vAlign w:val="bottom"/>
          </w:tcPr>
          <w:p>
            <w:pPr>
              <w:ind w:left="180"/>
              <w:spacing w:after="0" w:line="215" w:lineRule="exact"/>
              <w:rPr>
                <w:sz w:val="20"/>
                <w:szCs w:val="20"/>
                <w:color w:val="auto"/>
              </w:rPr>
            </w:pPr>
            <w:r>
              <w:rPr>
                <w:rFonts w:ascii="Calibri" w:cs="Calibri" w:eastAsia="Calibri" w:hAnsi="Calibri"/>
                <w:sz w:val="18"/>
                <w:szCs w:val="18"/>
                <w:color w:val="auto"/>
              </w:rPr>
              <w:t>Asset-backed securites</w:t>
            </w:r>
          </w:p>
        </w:tc>
        <w:tc>
          <w:tcPr>
            <w:tcW w:w="22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143</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ind w:left="80"/>
              <w:spacing w:after="0" w:line="215" w:lineRule="exact"/>
              <w:rPr>
                <w:sz w:val="20"/>
                <w:szCs w:val="20"/>
                <w:color w:val="auto"/>
              </w:rPr>
            </w:pPr>
            <w:r>
              <w:rPr>
                <w:rFonts w:ascii="Calibri" w:cs="Calibri" w:eastAsia="Calibri" w:hAnsi="Calibri"/>
                <w:sz w:val="18"/>
                <w:szCs w:val="18"/>
                <w:color w:val="auto"/>
                <w:w w:val="97"/>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143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780" w:type="dxa"/>
            <w:vAlign w:val="bottom"/>
            <w:shd w:val="clear" w:color="auto" w:fill="CCECFF"/>
          </w:tcPr>
          <w:p>
            <w:pPr>
              <w:ind w:left="180"/>
              <w:spacing w:after="0" w:line="216" w:lineRule="exact"/>
              <w:rPr>
                <w:sz w:val="20"/>
                <w:szCs w:val="20"/>
                <w:color w:val="auto"/>
              </w:rPr>
            </w:pPr>
            <w:r>
              <w:rPr>
                <w:rFonts w:ascii="Calibri" w:cs="Calibri" w:eastAsia="Calibri" w:hAnsi="Calibri"/>
                <w:sz w:val="18"/>
                <w:szCs w:val="18"/>
                <w:color w:val="auto"/>
              </w:rPr>
              <w:t>U.S. Government Treasury and agency securites</w:t>
            </w:r>
          </w:p>
        </w:tc>
        <w:tc>
          <w:tcPr>
            <w:tcW w:w="22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w:t>
            </w:r>
          </w:p>
        </w:tc>
        <w:tc>
          <w:tcPr>
            <w:tcW w:w="26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158,814</w:t>
            </w:r>
          </w:p>
        </w:tc>
        <w:tc>
          <w:tcPr>
            <w:tcW w:w="24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260" w:type="dxa"/>
            <w:vAlign w:val="bottom"/>
            <w:shd w:val="clear" w:color="auto" w:fill="CCECFF"/>
          </w:tcPr>
          <w:p>
            <w:pPr>
              <w:ind w:left="80"/>
              <w:spacing w:after="0" w:line="216" w:lineRule="exact"/>
              <w:rPr>
                <w:sz w:val="20"/>
                <w:szCs w:val="20"/>
                <w:color w:val="auto"/>
              </w:rPr>
            </w:pPr>
            <w:r>
              <w:rPr>
                <w:rFonts w:ascii="Calibri" w:cs="Calibri" w:eastAsia="Calibri" w:hAnsi="Calibri"/>
                <w:sz w:val="18"/>
                <w:szCs w:val="18"/>
                <w:color w:val="auto"/>
                <w:w w:val="97"/>
              </w:rPr>
              <w:t>—</w:t>
            </w:r>
          </w:p>
        </w:tc>
        <w:tc>
          <w:tcPr>
            <w:tcW w:w="24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158,814</w:t>
            </w:r>
          </w:p>
        </w:tc>
        <w:tc>
          <w:tcPr>
            <w:tcW w:w="100" w:type="dxa"/>
            <w:vAlign w:val="bottom"/>
            <w:shd w:val="clear" w:color="auto" w:fill="CCEC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780" w:type="dxa"/>
            <w:vAlign w:val="bottom"/>
          </w:tcPr>
          <w:p>
            <w:pPr>
              <w:ind w:left="180"/>
              <w:spacing w:after="0" w:line="215" w:lineRule="exact"/>
              <w:rPr>
                <w:sz w:val="20"/>
                <w:szCs w:val="20"/>
                <w:color w:val="auto"/>
              </w:rPr>
            </w:pPr>
            <w:r>
              <w:rPr>
                <w:rFonts w:ascii="Calibri" w:cs="Calibri" w:eastAsia="Calibri" w:hAnsi="Calibri"/>
                <w:sz w:val="18"/>
                <w:szCs w:val="18"/>
                <w:color w:val="auto"/>
              </w:rPr>
              <w:t>Investment in Solid common stock</w:t>
            </w:r>
          </w:p>
        </w:tc>
        <w:tc>
          <w:tcPr>
            <w:tcW w:w="22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2,089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ind w:left="80"/>
              <w:spacing w:after="0" w:line="215" w:lineRule="exact"/>
              <w:rPr>
                <w:sz w:val="20"/>
                <w:szCs w:val="20"/>
                <w:color w:val="auto"/>
              </w:rPr>
            </w:pPr>
            <w:r>
              <w:rPr>
                <w:rFonts w:ascii="Calibri" w:cs="Calibri" w:eastAsia="Calibri" w:hAnsi="Calibri"/>
                <w:sz w:val="18"/>
                <w:szCs w:val="18"/>
                <w:color w:val="auto"/>
                <w:w w:val="97"/>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2,089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tcBorders>
              <w:bottom w:val="single" w:sz="8" w:color="CCECFF"/>
            </w:tcBorders>
            <w:shd w:val="clear" w:color="auto" w:fill="CCECFF"/>
          </w:tcPr>
          <w:p>
            <w:pPr>
              <w:ind w:left="180"/>
              <w:spacing w:after="0" w:line="216" w:lineRule="exact"/>
              <w:rPr>
                <w:sz w:val="20"/>
                <w:szCs w:val="20"/>
                <w:color w:val="auto"/>
              </w:rPr>
            </w:pPr>
            <w:r>
              <w:rPr>
                <w:rFonts w:ascii="Calibri" w:cs="Calibri" w:eastAsia="Calibri" w:hAnsi="Calibri"/>
                <w:sz w:val="18"/>
                <w:szCs w:val="18"/>
                <w:color w:val="auto"/>
              </w:rPr>
              <w:t>Deferred compensaton assets</w:t>
            </w:r>
          </w:p>
        </w:tc>
        <w:tc>
          <w:tcPr>
            <w:tcW w:w="220" w:type="dxa"/>
            <w:vAlign w:val="bottom"/>
            <w:tcBorders>
              <w:bottom w:val="single" w:sz="8" w:color="auto"/>
            </w:tcBorders>
            <w:shd w:val="clear" w:color="auto" w:fill="CCECFF"/>
          </w:tcPr>
          <w:p>
            <w:pPr>
              <w:spacing w:after="0"/>
              <w:rPr>
                <w:sz w:val="18"/>
                <w:szCs w:val="18"/>
                <w:color w:val="auto"/>
              </w:rPr>
            </w:pPr>
          </w:p>
        </w:tc>
        <w:tc>
          <w:tcPr>
            <w:tcW w:w="900" w:type="dxa"/>
            <w:vAlign w:val="bottom"/>
            <w:tcBorders>
              <w:bottom w:val="single" w:sz="8" w:color="auto"/>
            </w:tcBorders>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w:t>
            </w:r>
          </w:p>
        </w:tc>
        <w:tc>
          <w:tcPr>
            <w:tcW w:w="260" w:type="dxa"/>
            <w:vAlign w:val="bottom"/>
            <w:tcBorders>
              <w:bottom w:val="single" w:sz="8" w:color="CCECFF"/>
            </w:tcBorders>
            <w:shd w:val="clear" w:color="auto" w:fill="CCECFF"/>
          </w:tcPr>
          <w:p>
            <w:pPr>
              <w:spacing w:after="0"/>
              <w:rPr>
                <w:sz w:val="18"/>
                <w:szCs w:val="18"/>
                <w:color w:val="auto"/>
              </w:rPr>
            </w:pPr>
          </w:p>
        </w:tc>
        <w:tc>
          <w:tcPr>
            <w:tcW w:w="200" w:type="dxa"/>
            <w:vAlign w:val="bottom"/>
            <w:tcBorders>
              <w:bottom w:val="single" w:sz="8" w:color="auto"/>
            </w:tcBorders>
            <w:shd w:val="clear" w:color="auto" w:fill="CCECFF"/>
          </w:tcPr>
          <w:p>
            <w:pPr>
              <w:spacing w:after="0"/>
              <w:rPr>
                <w:sz w:val="18"/>
                <w:szCs w:val="18"/>
                <w:color w:val="auto"/>
              </w:rPr>
            </w:pPr>
          </w:p>
        </w:tc>
        <w:tc>
          <w:tcPr>
            <w:tcW w:w="920" w:type="dxa"/>
            <w:vAlign w:val="bottom"/>
            <w:tcBorders>
              <w:bottom w:val="single" w:sz="8" w:color="auto"/>
            </w:tcBorders>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15,337</w:t>
            </w:r>
          </w:p>
        </w:tc>
        <w:tc>
          <w:tcPr>
            <w:tcW w:w="240" w:type="dxa"/>
            <w:vAlign w:val="bottom"/>
            <w:tcBorders>
              <w:bottom w:val="single" w:sz="8" w:color="CCECFF"/>
            </w:tcBorders>
            <w:shd w:val="clear" w:color="auto" w:fill="CCECFF"/>
          </w:tcPr>
          <w:p>
            <w:pPr>
              <w:spacing w:after="0"/>
              <w:rPr>
                <w:sz w:val="18"/>
                <w:szCs w:val="18"/>
                <w:color w:val="auto"/>
              </w:rPr>
            </w:pPr>
          </w:p>
        </w:tc>
        <w:tc>
          <w:tcPr>
            <w:tcW w:w="860" w:type="dxa"/>
            <w:vAlign w:val="bottom"/>
            <w:tcBorders>
              <w:bottom w:val="single" w:sz="8" w:color="auto"/>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ind w:left="80"/>
              <w:spacing w:after="0" w:line="216" w:lineRule="exact"/>
              <w:rPr>
                <w:sz w:val="20"/>
                <w:szCs w:val="20"/>
                <w:color w:val="auto"/>
              </w:rPr>
            </w:pPr>
            <w:r>
              <w:rPr>
                <w:rFonts w:ascii="Calibri" w:cs="Calibri" w:eastAsia="Calibri" w:hAnsi="Calibri"/>
                <w:sz w:val="18"/>
                <w:szCs w:val="18"/>
                <w:color w:val="auto"/>
                <w:w w:val="97"/>
              </w:rPr>
              <w:t>—</w:t>
            </w:r>
          </w:p>
        </w:tc>
        <w:tc>
          <w:tcPr>
            <w:tcW w:w="24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spacing w:after="0"/>
              <w:rPr>
                <w:sz w:val="18"/>
                <w:szCs w:val="18"/>
                <w:color w:val="auto"/>
              </w:rPr>
            </w:pPr>
          </w:p>
        </w:tc>
        <w:tc>
          <w:tcPr>
            <w:tcW w:w="880" w:type="dxa"/>
            <w:vAlign w:val="bottom"/>
            <w:tcBorders>
              <w:bottom w:val="single" w:sz="8" w:color="auto"/>
            </w:tcBorders>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15,337</w:t>
            </w:r>
          </w:p>
        </w:tc>
        <w:tc>
          <w:tcPr>
            <w:tcW w:w="100" w:type="dxa"/>
            <w:vAlign w:val="bottom"/>
            <w:tcBorders>
              <w:bottom w:val="single" w:sz="8" w:color="CCECFF"/>
            </w:tcBorders>
            <w:shd w:val="clear" w:color="auto" w:fill="CCEC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780" w:type="dxa"/>
            <w:vAlign w:val="bottom"/>
          </w:tcPr>
          <w:p>
            <w:pPr>
              <w:ind w:left="360"/>
              <w:spacing w:after="0" w:line="210" w:lineRule="exact"/>
              <w:rPr>
                <w:sz w:val="20"/>
                <w:szCs w:val="20"/>
                <w:color w:val="auto"/>
              </w:rPr>
            </w:pPr>
            <w:r>
              <w:rPr>
                <w:rFonts w:ascii="Calibri" w:cs="Calibri" w:eastAsia="Calibri" w:hAnsi="Calibri"/>
                <w:sz w:val="18"/>
                <w:szCs w:val="18"/>
                <w:color w:val="auto"/>
              </w:rPr>
              <w:t>Total fnancial assets</w:t>
            </w:r>
          </w:p>
        </w:tc>
        <w:tc>
          <w:tcPr>
            <w:tcW w:w="220" w:type="dxa"/>
            <w:vAlign w:val="bottom"/>
          </w:tcPr>
          <w:p>
            <w:pPr>
              <w:jc w:val="right"/>
              <w:ind w:right="10"/>
              <w:spacing w:after="0" w:line="210" w:lineRule="exact"/>
              <w:rPr>
                <w:sz w:val="20"/>
                <w:szCs w:val="20"/>
                <w:color w:val="auto"/>
              </w:rPr>
            </w:pPr>
            <w:r>
              <w:rPr>
                <w:rFonts w:ascii="Calibri" w:cs="Calibri" w:eastAsia="Calibri" w:hAnsi="Calibri"/>
                <w:sz w:val="18"/>
                <w:szCs w:val="18"/>
                <w:color w:val="auto"/>
              </w:rPr>
              <w:t>$</w:t>
            </w:r>
          </w:p>
        </w:tc>
        <w:tc>
          <w:tcPr>
            <w:tcW w:w="900" w:type="dxa"/>
            <w:vAlign w:val="bottom"/>
          </w:tcPr>
          <w:p>
            <w:pPr>
              <w:jc w:val="right"/>
              <w:spacing w:after="0" w:line="210" w:lineRule="exact"/>
              <w:rPr>
                <w:sz w:val="20"/>
                <w:szCs w:val="20"/>
                <w:color w:val="auto"/>
              </w:rPr>
            </w:pPr>
            <w:r>
              <w:rPr>
                <w:rFonts w:ascii="Calibri" w:cs="Calibri" w:eastAsia="Calibri" w:hAnsi="Calibri"/>
                <w:sz w:val="18"/>
                <w:szCs w:val="18"/>
                <w:color w:val="auto"/>
              </w:rPr>
              <w:t>115,983</w:t>
            </w:r>
          </w:p>
        </w:tc>
        <w:tc>
          <w:tcPr>
            <w:tcW w:w="460" w:type="dxa"/>
            <w:vAlign w:val="bottom"/>
            <w:gridSpan w:val="2"/>
          </w:tcPr>
          <w:p>
            <w:pPr>
              <w:jc w:val="right"/>
              <w:ind w:right="100"/>
              <w:spacing w:after="0" w:line="210" w:lineRule="exact"/>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line="210" w:lineRule="exact"/>
              <w:rPr>
                <w:sz w:val="20"/>
                <w:szCs w:val="20"/>
                <w:color w:val="auto"/>
              </w:rPr>
            </w:pPr>
            <w:r>
              <w:rPr>
                <w:rFonts w:ascii="Calibri" w:cs="Calibri" w:eastAsia="Calibri" w:hAnsi="Calibri"/>
                <w:sz w:val="18"/>
                <w:szCs w:val="18"/>
                <w:color w:val="auto"/>
              </w:rPr>
              <w:t>597,219</w:t>
            </w:r>
          </w:p>
        </w:tc>
        <w:tc>
          <w:tcPr>
            <w:tcW w:w="1100" w:type="dxa"/>
            <w:vAlign w:val="bottom"/>
            <w:gridSpan w:val="2"/>
          </w:tcPr>
          <w:p>
            <w:pPr>
              <w:jc w:val="right"/>
              <w:ind w:right="670"/>
              <w:spacing w:after="0" w:line="210" w:lineRule="exact"/>
              <w:rPr>
                <w:sz w:val="20"/>
                <w:szCs w:val="20"/>
                <w:color w:val="auto"/>
              </w:rPr>
            </w:pPr>
            <w:r>
              <w:rPr>
                <w:rFonts w:ascii="Calibri" w:cs="Calibri" w:eastAsia="Calibri" w:hAnsi="Calibri"/>
                <w:sz w:val="18"/>
                <w:szCs w:val="18"/>
                <w:color w:val="auto"/>
              </w:rPr>
              <w:t>$</w:t>
            </w:r>
          </w:p>
        </w:tc>
        <w:tc>
          <w:tcPr>
            <w:tcW w:w="260" w:type="dxa"/>
            <w:vAlign w:val="bottom"/>
          </w:tcPr>
          <w:p>
            <w:pPr>
              <w:ind w:left="80"/>
              <w:spacing w:after="0" w:line="210" w:lineRule="exact"/>
              <w:rPr>
                <w:sz w:val="20"/>
                <w:szCs w:val="20"/>
                <w:color w:val="auto"/>
              </w:rPr>
            </w:pPr>
            <w:r>
              <w:rPr>
                <w:rFonts w:ascii="Calibri" w:cs="Calibri" w:eastAsia="Calibri" w:hAnsi="Calibri"/>
                <w:sz w:val="18"/>
                <w:szCs w:val="18"/>
                <w:color w:val="auto"/>
                <w:w w:val="97"/>
              </w:rPr>
              <w:t>—</w:t>
            </w:r>
          </w:p>
        </w:tc>
        <w:tc>
          <w:tcPr>
            <w:tcW w:w="480" w:type="dxa"/>
            <w:vAlign w:val="bottom"/>
            <w:gridSpan w:val="2"/>
          </w:tcPr>
          <w:p>
            <w:pPr>
              <w:jc w:val="right"/>
              <w:ind w:right="140"/>
              <w:spacing w:after="0" w:line="210" w:lineRule="exact"/>
              <w:rPr>
                <w:sz w:val="20"/>
                <w:szCs w:val="20"/>
                <w:color w:val="auto"/>
              </w:rPr>
            </w:pPr>
            <w:r>
              <w:rPr>
                <w:rFonts w:ascii="Calibri" w:cs="Calibri" w:eastAsia="Calibri" w:hAnsi="Calibri"/>
                <w:sz w:val="18"/>
                <w:szCs w:val="18"/>
                <w:color w:val="auto"/>
              </w:rPr>
              <w:t>$</w:t>
            </w:r>
          </w:p>
        </w:tc>
        <w:tc>
          <w:tcPr>
            <w:tcW w:w="880" w:type="dxa"/>
            <w:vAlign w:val="bottom"/>
          </w:tcPr>
          <w:p>
            <w:pPr>
              <w:jc w:val="right"/>
              <w:spacing w:after="0" w:line="210" w:lineRule="exact"/>
              <w:rPr>
                <w:sz w:val="20"/>
                <w:szCs w:val="20"/>
                <w:color w:val="auto"/>
              </w:rPr>
            </w:pPr>
            <w:r>
              <w:rPr>
                <w:rFonts w:ascii="Calibri" w:cs="Calibri" w:eastAsia="Calibri" w:hAnsi="Calibri"/>
                <w:sz w:val="18"/>
                <w:szCs w:val="18"/>
                <w:color w:val="auto"/>
              </w:rPr>
              <w:t>713,202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780" w:type="dxa"/>
            <w:vAlign w:val="bottom"/>
          </w:tcPr>
          <w:p>
            <w:pPr>
              <w:spacing w:after="0" w:line="215" w:lineRule="exact"/>
              <w:rPr>
                <w:sz w:val="20"/>
                <w:szCs w:val="20"/>
                <w:color w:val="auto"/>
              </w:rPr>
            </w:pPr>
            <w:r>
              <w:rPr>
                <w:rFonts w:ascii="Calibri" w:cs="Calibri" w:eastAsia="Calibri" w:hAnsi="Calibri"/>
                <w:sz w:val="18"/>
                <w:szCs w:val="18"/>
                <w:b w:val="1"/>
                <w:bCs w:val="1"/>
                <w:color w:val="auto"/>
              </w:rPr>
              <w:t>Financial Liabilites: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4780" w:type="dxa"/>
            <w:vAlign w:val="bottom"/>
            <w:shd w:val="clear" w:color="auto" w:fill="CCEEFF"/>
          </w:tcPr>
          <w:p>
            <w:pPr>
              <w:ind w:left="180"/>
              <w:spacing w:after="0" w:line="217" w:lineRule="exact"/>
              <w:rPr>
                <w:sz w:val="20"/>
                <w:szCs w:val="20"/>
                <w:color w:val="auto"/>
              </w:rPr>
            </w:pPr>
            <w:r>
              <w:rPr>
                <w:rFonts w:ascii="Calibri" w:cs="Calibri" w:eastAsia="Calibri" w:hAnsi="Calibri"/>
                <w:sz w:val="18"/>
                <w:szCs w:val="18"/>
                <w:color w:val="auto"/>
              </w:rPr>
              <w:t>Deferred compensaton liabilites</w:t>
            </w:r>
          </w:p>
        </w:tc>
        <w:tc>
          <w:tcPr>
            <w:tcW w:w="220" w:type="dxa"/>
            <w:vAlign w:val="bottom"/>
            <w:shd w:val="clear" w:color="auto" w:fill="CCEEFF"/>
          </w:tcPr>
          <w:p>
            <w:pPr>
              <w:jc w:val="right"/>
              <w:ind w:right="10"/>
              <w:spacing w:after="0" w:line="216" w:lineRule="exact"/>
              <w:rPr>
                <w:sz w:val="20"/>
                <w:szCs w:val="20"/>
                <w:color w:val="auto"/>
              </w:rPr>
            </w:pPr>
            <w:r>
              <w:rPr>
                <w:rFonts w:ascii="Calibri" w:cs="Calibri" w:eastAsia="Calibri" w:hAnsi="Calibri"/>
                <w:sz w:val="18"/>
                <w:szCs w:val="18"/>
                <w:color w:val="auto"/>
              </w:rPr>
              <w:t>$</w:t>
            </w:r>
          </w:p>
        </w:tc>
        <w:tc>
          <w:tcPr>
            <w:tcW w:w="90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w:t>
            </w:r>
          </w:p>
        </w:tc>
        <w:tc>
          <w:tcPr>
            <w:tcW w:w="460" w:type="dxa"/>
            <w:vAlign w:val="bottom"/>
            <w:gridSpan w:val="2"/>
            <w:shd w:val="clear" w:color="auto" w:fill="CCEEFF"/>
          </w:tcPr>
          <w:p>
            <w:pPr>
              <w:jc w:val="right"/>
              <w:ind w:right="100"/>
              <w:spacing w:after="0" w:line="216"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15,756</w:t>
            </w:r>
          </w:p>
        </w:tc>
        <w:tc>
          <w:tcPr>
            <w:tcW w:w="1100" w:type="dxa"/>
            <w:vAlign w:val="bottom"/>
            <w:gridSpan w:val="2"/>
            <w:shd w:val="clear" w:color="auto" w:fill="CCEEFF"/>
          </w:tcPr>
          <w:p>
            <w:pPr>
              <w:jc w:val="right"/>
              <w:ind w:right="670"/>
              <w:spacing w:after="0" w:line="216" w:lineRule="exact"/>
              <w:rPr>
                <w:sz w:val="20"/>
                <w:szCs w:val="20"/>
                <w:color w:val="auto"/>
              </w:rPr>
            </w:pPr>
            <w:r>
              <w:rPr>
                <w:rFonts w:ascii="Calibri" w:cs="Calibri" w:eastAsia="Calibri" w:hAnsi="Calibri"/>
                <w:sz w:val="18"/>
                <w:szCs w:val="18"/>
                <w:color w:val="auto"/>
              </w:rPr>
              <w:t>$</w:t>
            </w:r>
          </w:p>
        </w:tc>
        <w:tc>
          <w:tcPr>
            <w:tcW w:w="260" w:type="dxa"/>
            <w:vAlign w:val="bottom"/>
            <w:shd w:val="clear" w:color="auto" w:fill="CCEEFF"/>
          </w:tcPr>
          <w:p>
            <w:pPr>
              <w:ind w:left="80"/>
              <w:spacing w:after="0" w:line="216" w:lineRule="exact"/>
              <w:rPr>
                <w:sz w:val="20"/>
                <w:szCs w:val="20"/>
                <w:color w:val="auto"/>
              </w:rPr>
            </w:pPr>
            <w:r>
              <w:rPr>
                <w:rFonts w:ascii="Calibri" w:cs="Calibri" w:eastAsia="Calibri" w:hAnsi="Calibri"/>
                <w:sz w:val="18"/>
                <w:szCs w:val="18"/>
                <w:color w:val="auto"/>
                <w:w w:val="97"/>
              </w:rPr>
              <w:t>—</w:t>
            </w:r>
          </w:p>
        </w:tc>
        <w:tc>
          <w:tcPr>
            <w:tcW w:w="480" w:type="dxa"/>
            <w:vAlign w:val="bottom"/>
            <w:gridSpan w:val="2"/>
            <w:shd w:val="clear" w:color="auto" w:fill="CCEEFF"/>
          </w:tcPr>
          <w:p>
            <w:pPr>
              <w:jc w:val="right"/>
              <w:ind w:right="140"/>
              <w:spacing w:after="0" w:line="216" w:lineRule="exact"/>
              <w:rPr>
                <w:sz w:val="20"/>
                <w:szCs w:val="20"/>
                <w:color w:val="auto"/>
              </w:rPr>
            </w:pPr>
            <w:r>
              <w:rPr>
                <w:rFonts w:ascii="Calibri" w:cs="Calibri" w:eastAsia="Calibri" w:hAnsi="Calibri"/>
                <w:sz w:val="18"/>
                <w:szCs w:val="18"/>
                <w:color w:val="auto"/>
              </w:rPr>
              <w:t>$</w:t>
            </w:r>
          </w:p>
        </w:tc>
        <w:tc>
          <w:tcPr>
            <w:tcW w:w="88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15,756</w:t>
            </w:r>
          </w:p>
        </w:tc>
        <w:tc>
          <w:tcPr>
            <w:tcW w:w="100" w:type="dxa"/>
            <w:vAlign w:val="bottom"/>
            <w:shd w:val="clear" w:color="auto" w:fill="CCEEFF"/>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9"/>
        </w:trPr>
        <w:tc>
          <w:tcPr>
            <w:tcW w:w="580" w:type="dxa"/>
            <w:vAlign w:val="bottom"/>
          </w:tcPr>
          <w:p>
            <w:pPr>
              <w:spacing w:after="0"/>
              <w:rPr>
                <w:sz w:val="24"/>
                <w:szCs w:val="24"/>
                <w:color w:val="auto"/>
              </w:rPr>
            </w:pPr>
          </w:p>
        </w:tc>
        <w:tc>
          <w:tcPr>
            <w:tcW w:w="478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gridSpan w:val="2"/>
          </w:tcPr>
          <w:p>
            <w:pPr>
              <w:jc w:val="right"/>
              <w:ind w:right="610"/>
              <w:spacing w:after="0"/>
              <w:rPr>
                <w:sz w:val="20"/>
                <w:szCs w:val="20"/>
                <w:color w:val="auto"/>
              </w:rPr>
            </w:pPr>
            <w:r>
              <w:rPr>
                <w:rFonts w:ascii="Calibri" w:cs="Calibri" w:eastAsia="Calibri" w:hAnsi="Calibri"/>
                <w:sz w:val="18"/>
                <w:szCs w:val="18"/>
                <w:color w:val="auto"/>
              </w:rPr>
              <w:t>F-16</w:t>
            </w:r>
          </w:p>
        </w:tc>
        <w:tc>
          <w:tcPr>
            <w:tcW w:w="26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6"/>
        </w:trPr>
        <w:tc>
          <w:tcPr>
            <w:tcW w:w="58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-1379220</wp:posOffset>
            </wp:positionV>
            <wp:extent cx="6032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-1379220</wp:posOffset>
            </wp:positionV>
            <wp:extent cx="6032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-1379220</wp:posOffset>
            </wp:positionV>
            <wp:extent cx="6032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-1379220</wp:posOffset>
            </wp:positionV>
            <wp:extent cx="6032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-796290</wp:posOffset>
            </wp:positionV>
            <wp:extent cx="6032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-779145</wp:posOffset>
            </wp:positionV>
            <wp:extent cx="603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-796290</wp:posOffset>
            </wp:positionV>
            <wp:extent cx="6032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-779145</wp:posOffset>
            </wp:positionV>
            <wp:extent cx="603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-796290</wp:posOffset>
            </wp:positionV>
            <wp:extent cx="6032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-779145</wp:posOffset>
            </wp:positionV>
            <wp:extent cx="603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-796290</wp:posOffset>
            </wp:positionV>
            <wp:extent cx="6032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-779145</wp:posOffset>
            </wp:positionV>
            <wp:extent cx="6032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0" w:name="page111"/>
    <w:bookmarkEnd w:id="110"/>
    <w:p>
      <w:pPr>
        <w:ind w:left="384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76" w:lineRule="exact"/>
        <w:rPr>
          <w:sz w:val="20"/>
          <w:szCs w:val="20"/>
          <w:color w:val="auto"/>
        </w:rPr>
      </w:pPr>
    </w:p>
    <w:tbl>
      <w:tblPr>
        <w:tblLayout w:type="fixed"/>
        <w:tblInd w:w="580" w:type="dxa"/>
        <w:tblCellMar>
          <w:top w:w="0" w:type="dxa"/>
          <w:left w:w="0" w:type="dxa"/>
          <w:bottom w:w="0" w:type="dxa"/>
          <w:right w:w="0" w:type="dxa"/>
        </w:tblCellMar>
      </w:tblPr>
      <w:tr>
        <w:trPr>
          <w:trHeight w:val="220"/>
        </w:trPr>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gridSpan w:val="3"/>
          </w:tcPr>
          <w:p>
            <w:pPr>
              <w:jc w:val="right"/>
              <w:ind w:right="190"/>
              <w:spacing w:after="0"/>
              <w:rPr>
                <w:sz w:val="20"/>
                <w:szCs w:val="20"/>
                <w:color w:val="auto"/>
              </w:rPr>
            </w:pPr>
            <w:r>
              <w:rPr>
                <w:rFonts w:ascii="Calibri" w:cs="Calibri" w:eastAsia="Calibri" w:hAnsi="Calibri"/>
                <w:sz w:val="18"/>
                <w:szCs w:val="18"/>
                <w:b w:val="1"/>
                <w:bCs w:val="1"/>
                <w:color w:val="auto"/>
              </w:rPr>
              <w:t>December 31, 2023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0"/>
              <w:spacing w:after="0" w:line="209" w:lineRule="exact"/>
              <w:rPr>
                <w:sz w:val="20"/>
                <w:szCs w:val="20"/>
                <w:color w:val="auto"/>
              </w:rPr>
            </w:pPr>
            <w:r>
              <w:rPr>
                <w:rFonts w:ascii="Calibri" w:cs="Calibri" w:eastAsia="Calibri" w:hAnsi="Calibri"/>
                <w:sz w:val="18"/>
                <w:szCs w:val="18"/>
                <w:b w:val="1"/>
                <w:bCs w:val="1"/>
                <w:color w:val="auto"/>
              </w:rPr>
              <w:t>Level 1</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0"/>
              <w:spacing w:after="0" w:line="209" w:lineRule="exact"/>
              <w:rPr>
                <w:sz w:val="20"/>
                <w:szCs w:val="20"/>
                <w:color w:val="auto"/>
              </w:rPr>
            </w:pPr>
            <w:r>
              <w:rPr>
                <w:rFonts w:ascii="Calibri" w:cs="Calibri" w:eastAsia="Calibri" w:hAnsi="Calibri"/>
                <w:sz w:val="18"/>
                <w:szCs w:val="18"/>
                <w:b w:val="1"/>
                <w:bCs w:val="1"/>
                <w:color w:val="auto"/>
              </w:rPr>
              <w:t>Level 2</w:t>
            </w:r>
          </w:p>
        </w:tc>
        <w:tc>
          <w:tcPr>
            <w:tcW w:w="240" w:type="dxa"/>
            <w:vAlign w:val="bottom"/>
          </w:tcPr>
          <w:p>
            <w:pPr>
              <w:spacing w:after="0"/>
              <w:rPr>
                <w:sz w:val="18"/>
                <w:szCs w:val="18"/>
                <w:color w:val="auto"/>
              </w:rPr>
            </w:pPr>
          </w:p>
        </w:tc>
        <w:tc>
          <w:tcPr>
            <w:tcW w:w="8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Level 3</w:t>
            </w:r>
          </w:p>
        </w:tc>
        <w:tc>
          <w:tcPr>
            <w:tcW w:w="2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line="209" w:lineRule="exact"/>
              <w:rPr>
                <w:sz w:val="20"/>
                <w:szCs w:val="20"/>
                <w:color w:val="auto"/>
              </w:rPr>
            </w:pPr>
            <w:r>
              <w:rPr>
                <w:rFonts w:ascii="Calibri" w:cs="Calibri" w:eastAsia="Calibri" w:hAnsi="Calibri"/>
                <w:sz w:val="18"/>
                <w:szCs w:val="18"/>
                <w:b w:val="1"/>
                <w:bCs w:val="1"/>
                <w:color w:val="auto"/>
              </w:rPr>
              <w:t>Total</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CFF"/>
          </w:tcPr>
          <w:p>
            <w:pPr>
              <w:spacing w:after="0" w:line="210" w:lineRule="exact"/>
              <w:rPr>
                <w:sz w:val="20"/>
                <w:szCs w:val="20"/>
                <w:color w:val="auto"/>
              </w:rPr>
            </w:pPr>
            <w:r>
              <w:rPr>
                <w:rFonts w:ascii="Calibri" w:cs="Calibri" w:eastAsia="Calibri" w:hAnsi="Calibri"/>
                <w:sz w:val="18"/>
                <w:szCs w:val="18"/>
                <w:b w:val="1"/>
                <w:bCs w:val="1"/>
                <w:color w:val="auto"/>
              </w:rPr>
              <w:t>Financial Assets:</w:t>
            </w:r>
          </w:p>
        </w:tc>
        <w:tc>
          <w:tcPr>
            <w:tcW w:w="220" w:type="dxa"/>
            <w:vAlign w:val="bottom"/>
            <w:shd w:val="clear" w:color="auto" w:fill="CCECFF"/>
          </w:tcPr>
          <w:p>
            <w:pPr>
              <w:spacing w:after="0"/>
              <w:rPr>
                <w:sz w:val="18"/>
                <w:szCs w:val="18"/>
                <w:color w:val="auto"/>
              </w:rPr>
            </w:pPr>
          </w:p>
        </w:tc>
        <w:tc>
          <w:tcPr>
            <w:tcW w:w="90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8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180"/>
              <w:spacing w:after="0" w:line="215" w:lineRule="exact"/>
              <w:rPr>
                <w:sz w:val="20"/>
                <w:szCs w:val="20"/>
                <w:color w:val="auto"/>
              </w:rPr>
            </w:pPr>
            <w:r>
              <w:rPr>
                <w:rFonts w:ascii="Calibri" w:cs="Calibri" w:eastAsia="Calibri" w:hAnsi="Calibri"/>
                <w:sz w:val="18"/>
                <w:szCs w:val="18"/>
                <w:color w:val="auto"/>
              </w:rPr>
              <w:t>Money market funds</w:t>
            </w:r>
          </w:p>
        </w:tc>
        <w:tc>
          <w:tcPr>
            <w:tcW w:w="22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162,289</w:t>
            </w:r>
          </w:p>
        </w:tc>
        <w:tc>
          <w:tcPr>
            <w:tcW w:w="460" w:type="dxa"/>
            <w:vAlign w:val="bottom"/>
            <w:gridSpan w:val="2"/>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gridSpan w:val="2"/>
          </w:tcPr>
          <w:p>
            <w:pPr>
              <w:jc w:val="right"/>
              <w:ind w:right="670"/>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ind w:left="80"/>
              <w:spacing w:after="0" w:line="215" w:lineRule="exact"/>
              <w:rPr>
                <w:sz w:val="20"/>
                <w:szCs w:val="20"/>
                <w:color w:val="auto"/>
              </w:rPr>
            </w:pPr>
            <w:r>
              <w:rPr>
                <w:rFonts w:ascii="Calibri" w:cs="Calibri" w:eastAsia="Calibri" w:hAnsi="Calibri"/>
                <w:sz w:val="18"/>
                <w:szCs w:val="18"/>
                <w:color w:val="auto"/>
                <w:w w:val="97"/>
              </w:rPr>
              <w:t>—</w:t>
            </w:r>
          </w:p>
        </w:tc>
        <w:tc>
          <w:tcPr>
            <w:tcW w:w="480" w:type="dxa"/>
            <w:vAlign w:val="bottom"/>
            <w:gridSpan w:val="2"/>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162,289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CFF"/>
          </w:tcPr>
          <w:p>
            <w:pPr>
              <w:ind w:left="180"/>
              <w:spacing w:after="0" w:line="216" w:lineRule="exact"/>
              <w:rPr>
                <w:sz w:val="20"/>
                <w:szCs w:val="20"/>
                <w:color w:val="auto"/>
              </w:rPr>
            </w:pPr>
            <w:r>
              <w:rPr>
                <w:rFonts w:ascii="Calibri" w:cs="Calibri" w:eastAsia="Calibri" w:hAnsi="Calibri"/>
                <w:sz w:val="18"/>
                <w:szCs w:val="18"/>
                <w:color w:val="auto"/>
              </w:rPr>
              <w:t>Certfcates of deposit and tme deposits</w:t>
            </w:r>
          </w:p>
        </w:tc>
        <w:tc>
          <w:tcPr>
            <w:tcW w:w="22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w:t>
            </w:r>
          </w:p>
        </w:tc>
        <w:tc>
          <w:tcPr>
            <w:tcW w:w="26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17,986</w:t>
            </w:r>
          </w:p>
        </w:tc>
        <w:tc>
          <w:tcPr>
            <w:tcW w:w="24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260" w:type="dxa"/>
            <w:vAlign w:val="bottom"/>
            <w:shd w:val="clear" w:color="auto" w:fill="CCECFF"/>
          </w:tcPr>
          <w:p>
            <w:pPr>
              <w:ind w:left="80"/>
              <w:spacing w:after="0" w:line="216" w:lineRule="exact"/>
              <w:rPr>
                <w:sz w:val="20"/>
                <w:szCs w:val="20"/>
                <w:color w:val="auto"/>
              </w:rPr>
            </w:pPr>
            <w:r>
              <w:rPr>
                <w:rFonts w:ascii="Calibri" w:cs="Calibri" w:eastAsia="Calibri" w:hAnsi="Calibri"/>
                <w:sz w:val="18"/>
                <w:szCs w:val="18"/>
                <w:color w:val="auto"/>
                <w:w w:val="97"/>
              </w:rPr>
              <w:t>—</w:t>
            </w:r>
          </w:p>
        </w:tc>
        <w:tc>
          <w:tcPr>
            <w:tcW w:w="24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17,986</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180"/>
              <w:spacing w:after="0" w:line="215" w:lineRule="exact"/>
              <w:rPr>
                <w:sz w:val="20"/>
                <w:szCs w:val="20"/>
                <w:color w:val="auto"/>
              </w:rPr>
            </w:pPr>
            <w:r>
              <w:rPr>
                <w:rFonts w:ascii="Calibri" w:cs="Calibri" w:eastAsia="Calibri" w:hAnsi="Calibri"/>
                <w:sz w:val="18"/>
                <w:szCs w:val="18"/>
                <w:color w:val="auto"/>
              </w:rPr>
              <w:t>Corporate bonds</w:t>
            </w:r>
          </w:p>
        </w:tc>
        <w:tc>
          <w:tcPr>
            <w:tcW w:w="22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215,166</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ind w:left="80"/>
              <w:spacing w:after="0" w:line="215" w:lineRule="exact"/>
              <w:rPr>
                <w:sz w:val="20"/>
                <w:szCs w:val="20"/>
                <w:color w:val="auto"/>
              </w:rPr>
            </w:pPr>
            <w:r>
              <w:rPr>
                <w:rFonts w:ascii="Calibri" w:cs="Calibri" w:eastAsia="Calibri" w:hAnsi="Calibri"/>
                <w:sz w:val="18"/>
                <w:szCs w:val="18"/>
                <w:color w:val="auto"/>
                <w:w w:val="97"/>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215,166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CFF"/>
          </w:tcPr>
          <w:p>
            <w:pPr>
              <w:ind w:left="180"/>
              <w:spacing w:after="0" w:line="216" w:lineRule="exact"/>
              <w:rPr>
                <w:sz w:val="20"/>
                <w:szCs w:val="20"/>
                <w:color w:val="auto"/>
              </w:rPr>
            </w:pPr>
            <w:r>
              <w:rPr>
                <w:rFonts w:ascii="Calibri" w:cs="Calibri" w:eastAsia="Calibri" w:hAnsi="Calibri"/>
                <w:sz w:val="18"/>
                <w:szCs w:val="18"/>
                <w:color w:val="auto"/>
              </w:rPr>
              <w:t>Commercial paper</w:t>
            </w:r>
          </w:p>
        </w:tc>
        <w:tc>
          <w:tcPr>
            <w:tcW w:w="22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w:t>
            </w:r>
          </w:p>
        </w:tc>
        <w:tc>
          <w:tcPr>
            <w:tcW w:w="26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20,620</w:t>
            </w:r>
          </w:p>
        </w:tc>
        <w:tc>
          <w:tcPr>
            <w:tcW w:w="24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260" w:type="dxa"/>
            <w:vAlign w:val="bottom"/>
            <w:shd w:val="clear" w:color="auto" w:fill="CCECFF"/>
          </w:tcPr>
          <w:p>
            <w:pPr>
              <w:ind w:left="80"/>
              <w:spacing w:after="0" w:line="216" w:lineRule="exact"/>
              <w:rPr>
                <w:sz w:val="20"/>
                <w:szCs w:val="20"/>
                <w:color w:val="auto"/>
              </w:rPr>
            </w:pPr>
            <w:r>
              <w:rPr>
                <w:rFonts w:ascii="Calibri" w:cs="Calibri" w:eastAsia="Calibri" w:hAnsi="Calibri"/>
                <w:sz w:val="18"/>
                <w:szCs w:val="18"/>
                <w:color w:val="auto"/>
                <w:w w:val="97"/>
              </w:rPr>
              <w:t>—</w:t>
            </w:r>
          </w:p>
        </w:tc>
        <w:tc>
          <w:tcPr>
            <w:tcW w:w="24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20,620</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180"/>
              <w:spacing w:after="0" w:line="215" w:lineRule="exact"/>
              <w:rPr>
                <w:sz w:val="20"/>
                <w:szCs w:val="20"/>
                <w:color w:val="auto"/>
              </w:rPr>
            </w:pPr>
            <w:r>
              <w:rPr>
                <w:rFonts w:ascii="Calibri" w:cs="Calibri" w:eastAsia="Calibri" w:hAnsi="Calibri"/>
                <w:sz w:val="18"/>
                <w:szCs w:val="18"/>
                <w:color w:val="auto"/>
              </w:rPr>
              <w:t>Asset-backed securites</w:t>
            </w:r>
          </w:p>
        </w:tc>
        <w:tc>
          <w:tcPr>
            <w:tcW w:w="22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2,712</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ind w:left="80"/>
              <w:spacing w:after="0" w:line="215" w:lineRule="exact"/>
              <w:rPr>
                <w:sz w:val="20"/>
                <w:szCs w:val="20"/>
                <w:color w:val="auto"/>
              </w:rPr>
            </w:pPr>
            <w:r>
              <w:rPr>
                <w:rFonts w:ascii="Calibri" w:cs="Calibri" w:eastAsia="Calibri" w:hAnsi="Calibri"/>
                <w:sz w:val="18"/>
                <w:szCs w:val="18"/>
                <w:color w:val="auto"/>
                <w:w w:val="97"/>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2,712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CFF"/>
          </w:tcPr>
          <w:p>
            <w:pPr>
              <w:ind w:left="180"/>
              <w:spacing w:after="0" w:line="216" w:lineRule="exact"/>
              <w:rPr>
                <w:sz w:val="20"/>
                <w:szCs w:val="20"/>
                <w:color w:val="auto"/>
              </w:rPr>
            </w:pPr>
            <w:r>
              <w:rPr>
                <w:rFonts w:ascii="Calibri" w:cs="Calibri" w:eastAsia="Calibri" w:hAnsi="Calibri"/>
                <w:sz w:val="18"/>
                <w:szCs w:val="18"/>
                <w:color w:val="auto"/>
              </w:rPr>
              <w:t>U.S. Government Treasury and agency securites</w:t>
            </w:r>
          </w:p>
        </w:tc>
        <w:tc>
          <w:tcPr>
            <w:tcW w:w="22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57,437</w:t>
            </w:r>
          </w:p>
        </w:tc>
        <w:tc>
          <w:tcPr>
            <w:tcW w:w="26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259,605</w:t>
            </w:r>
          </w:p>
        </w:tc>
        <w:tc>
          <w:tcPr>
            <w:tcW w:w="24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260" w:type="dxa"/>
            <w:vAlign w:val="bottom"/>
            <w:shd w:val="clear" w:color="auto" w:fill="CCECFF"/>
          </w:tcPr>
          <w:p>
            <w:pPr>
              <w:ind w:left="80"/>
              <w:spacing w:after="0" w:line="216" w:lineRule="exact"/>
              <w:rPr>
                <w:sz w:val="20"/>
                <w:szCs w:val="20"/>
                <w:color w:val="auto"/>
              </w:rPr>
            </w:pPr>
            <w:r>
              <w:rPr>
                <w:rFonts w:ascii="Calibri" w:cs="Calibri" w:eastAsia="Calibri" w:hAnsi="Calibri"/>
                <w:sz w:val="18"/>
                <w:szCs w:val="18"/>
                <w:color w:val="auto"/>
                <w:w w:val="97"/>
              </w:rPr>
              <w:t>—</w:t>
            </w:r>
          </w:p>
        </w:tc>
        <w:tc>
          <w:tcPr>
            <w:tcW w:w="24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317,042</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180"/>
              <w:spacing w:after="0" w:line="215" w:lineRule="exact"/>
              <w:rPr>
                <w:sz w:val="20"/>
                <w:szCs w:val="20"/>
                <w:color w:val="auto"/>
              </w:rPr>
            </w:pPr>
            <w:r>
              <w:rPr>
                <w:rFonts w:ascii="Calibri" w:cs="Calibri" w:eastAsia="Calibri" w:hAnsi="Calibri"/>
                <w:sz w:val="18"/>
                <w:szCs w:val="18"/>
                <w:color w:val="auto"/>
              </w:rPr>
              <w:t>Investment in Solid common stock</w:t>
            </w:r>
          </w:p>
        </w:tc>
        <w:tc>
          <w:tcPr>
            <w:tcW w:w="22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3,204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ind w:left="80"/>
              <w:spacing w:after="0" w:line="215" w:lineRule="exact"/>
              <w:rPr>
                <w:sz w:val="20"/>
                <w:szCs w:val="20"/>
                <w:color w:val="auto"/>
              </w:rPr>
            </w:pPr>
            <w:r>
              <w:rPr>
                <w:rFonts w:ascii="Calibri" w:cs="Calibri" w:eastAsia="Calibri" w:hAnsi="Calibri"/>
                <w:sz w:val="18"/>
                <w:szCs w:val="18"/>
                <w:color w:val="auto"/>
                <w:w w:val="97"/>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3,204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Borders>
              <w:bottom w:val="single" w:sz="8" w:color="CCECFF"/>
            </w:tcBorders>
            <w:shd w:val="clear" w:color="auto" w:fill="CCECFF"/>
          </w:tcPr>
          <w:p>
            <w:pPr>
              <w:ind w:left="180"/>
              <w:spacing w:after="0" w:line="216" w:lineRule="exact"/>
              <w:rPr>
                <w:sz w:val="20"/>
                <w:szCs w:val="20"/>
                <w:color w:val="auto"/>
              </w:rPr>
            </w:pPr>
            <w:r>
              <w:rPr>
                <w:rFonts w:ascii="Calibri" w:cs="Calibri" w:eastAsia="Calibri" w:hAnsi="Calibri"/>
                <w:sz w:val="18"/>
                <w:szCs w:val="18"/>
                <w:color w:val="auto"/>
              </w:rPr>
              <w:t>Deferred compensaton assets</w:t>
            </w:r>
          </w:p>
        </w:tc>
        <w:tc>
          <w:tcPr>
            <w:tcW w:w="220" w:type="dxa"/>
            <w:vAlign w:val="bottom"/>
            <w:tcBorders>
              <w:bottom w:val="single" w:sz="8" w:color="auto"/>
            </w:tcBorders>
            <w:shd w:val="clear" w:color="auto" w:fill="CCECFF"/>
          </w:tcPr>
          <w:p>
            <w:pPr>
              <w:spacing w:after="0"/>
              <w:rPr>
                <w:sz w:val="18"/>
                <w:szCs w:val="18"/>
                <w:color w:val="auto"/>
              </w:rPr>
            </w:pPr>
          </w:p>
        </w:tc>
        <w:tc>
          <w:tcPr>
            <w:tcW w:w="900" w:type="dxa"/>
            <w:vAlign w:val="bottom"/>
            <w:tcBorders>
              <w:bottom w:val="single" w:sz="8" w:color="auto"/>
            </w:tcBorders>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w:t>
            </w:r>
          </w:p>
        </w:tc>
        <w:tc>
          <w:tcPr>
            <w:tcW w:w="260" w:type="dxa"/>
            <w:vAlign w:val="bottom"/>
            <w:tcBorders>
              <w:bottom w:val="single" w:sz="8" w:color="CCECFF"/>
            </w:tcBorders>
            <w:shd w:val="clear" w:color="auto" w:fill="CCECFF"/>
          </w:tcPr>
          <w:p>
            <w:pPr>
              <w:spacing w:after="0"/>
              <w:rPr>
                <w:sz w:val="18"/>
                <w:szCs w:val="18"/>
                <w:color w:val="auto"/>
              </w:rPr>
            </w:pPr>
          </w:p>
        </w:tc>
        <w:tc>
          <w:tcPr>
            <w:tcW w:w="200" w:type="dxa"/>
            <w:vAlign w:val="bottom"/>
            <w:tcBorders>
              <w:bottom w:val="single" w:sz="8" w:color="auto"/>
            </w:tcBorders>
            <w:shd w:val="clear" w:color="auto" w:fill="CCECFF"/>
          </w:tcPr>
          <w:p>
            <w:pPr>
              <w:spacing w:after="0"/>
              <w:rPr>
                <w:sz w:val="18"/>
                <w:szCs w:val="18"/>
                <w:color w:val="auto"/>
              </w:rPr>
            </w:pPr>
          </w:p>
        </w:tc>
        <w:tc>
          <w:tcPr>
            <w:tcW w:w="920" w:type="dxa"/>
            <w:vAlign w:val="bottom"/>
            <w:tcBorders>
              <w:bottom w:val="single" w:sz="8" w:color="auto"/>
            </w:tcBorders>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10,220</w:t>
            </w:r>
          </w:p>
        </w:tc>
        <w:tc>
          <w:tcPr>
            <w:tcW w:w="240" w:type="dxa"/>
            <w:vAlign w:val="bottom"/>
            <w:tcBorders>
              <w:bottom w:val="single" w:sz="8" w:color="CCECFF"/>
            </w:tcBorders>
            <w:shd w:val="clear" w:color="auto" w:fill="CCECFF"/>
          </w:tcPr>
          <w:p>
            <w:pPr>
              <w:spacing w:after="0"/>
              <w:rPr>
                <w:sz w:val="18"/>
                <w:szCs w:val="18"/>
                <w:color w:val="auto"/>
              </w:rPr>
            </w:pPr>
          </w:p>
        </w:tc>
        <w:tc>
          <w:tcPr>
            <w:tcW w:w="860" w:type="dxa"/>
            <w:vAlign w:val="bottom"/>
            <w:tcBorders>
              <w:bottom w:val="single" w:sz="8" w:color="auto"/>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ind w:left="80"/>
              <w:spacing w:after="0" w:line="216" w:lineRule="exact"/>
              <w:rPr>
                <w:sz w:val="20"/>
                <w:szCs w:val="20"/>
                <w:color w:val="auto"/>
              </w:rPr>
            </w:pPr>
            <w:r>
              <w:rPr>
                <w:rFonts w:ascii="Calibri" w:cs="Calibri" w:eastAsia="Calibri" w:hAnsi="Calibri"/>
                <w:sz w:val="18"/>
                <w:szCs w:val="18"/>
                <w:color w:val="auto"/>
                <w:w w:val="97"/>
              </w:rPr>
              <w:t>—</w:t>
            </w:r>
          </w:p>
        </w:tc>
        <w:tc>
          <w:tcPr>
            <w:tcW w:w="24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spacing w:after="0"/>
              <w:rPr>
                <w:sz w:val="18"/>
                <w:szCs w:val="18"/>
                <w:color w:val="auto"/>
              </w:rPr>
            </w:pPr>
          </w:p>
        </w:tc>
        <w:tc>
          <w:tcPr>
            <w:tcW w:w="880" w:type="dxa"/>
            <w:vAlign w:val="bottom"/>
            <w:tcBorders>
              <w:bottom w:val="single" w:sz="8" w:color="auto"/>
            </w:tcBorders>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10,220</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Pr>
          <w:p>
            <w:pPr>
              <w:ind w:left="360"/>
              <w:spacing w:after="0" w:line="210" w:lineRule="exact"/>
              <w:rPr>
                <w:sz w:val="20"/>
                <w:szCs w:val="20"/>
                <w:color w:val="auto"/>
              </w:rPr>
            </w:pPr>
            <w:r>
              <w:rPr>
                <w:rFonts w:ascii="Calibri" w:cs="Calibri" w:eastAsia="Calibri" w:hAnsi="Calibri"/>
                <w:sz w:val="18"/>
                <w:szCs w:val="18"/>
                <w:color w:val="auto"/>
              </w:rPr>
              <w:t>Total fnancial assets</w:t>
            </w:r>
          </w:p>
        </w:tc>
        <w:tc>
          <w:tcPr>
            <w:tcW w:w="220" w:type="dxa"/>
            <w:vAlign w:val="bottom"/>
          </w:tcPr>
          <w:p>
            <w:pPr>
              <w:jc w:val="right"/>
              <w:ind w:right="10"/>
              <w:spacing w:after="0" w:line="210" w:lineRule="exact"/>
              <w:rPr>
                <w:sz w:val="20"/>
                <w:szCs w:val="20"/>
                <w:color w:val="auto"/>
              </w:rPr>
            </w:pPr>
            <w:r>
              <w:rPr>
                <w:rFonts w:ascii="Calibri" w:cs="Calibri" w:eastAsia="Calibri" w:hAnsi="Calibri"/>
                <w:sz w:val="18"/>
                <w:szCs w:val="18"/>
                <w:color w:val="auto"/>
              </w:rPr>
              <w:t>$</w:t>
            </w:r>
          </w:p>
        </w:tc>
        <w:tc>
          <w:tcPr>
            <w:tcW w:w="900" w:type="dxa"/>
            <w:vAlign w:val="bottom"/>
          </w:tcPr>
          <w:p>
            <w:pPr>
              <w:jc w:val="right"/>
              <w:spacing w:after="0" w:line="210" w:lineRule="exact"/>
              <w:rPr>
                <w:sz w:val="20"/>
                <w:szCs w:val="20"/>
                <w:color w:val="auto"/>
              </w:rPr>
            </w:pPr>
            <w:r>
              <w:rPr>
                <w:rFonts w:ascii="Calibri" w:cs="Calibri" w:eastAsia="Calibri" w:hAnsi="Calibri"/>
                <w:sz w:val="18"/>
                <w:szCs w:val="18"/>
                <w:color w:val="auto"/>
              </w:rPr>
              <w:t>222,930</w:t>
            </w:r>
          </w:p>
        </w:tc>
        <w:tc>
          <w:tcPr>
            <w:tcW w:w="460" w:type="dxa"/>
            <w:vAlign w:val="bottom"/>
            <w:gridSpan w:val="2"/>
          </w:tcPr>
          <w:p>
            <w:pPr>
              <w:jc w:val="right"/>
              <w:ind w:right="10"/>
              <w:spacing w:after="0" w:line="210" w:lineRule="exact"/>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line="210" w:lineRule="exact"/>
              <w:rPr>
                <w:sz w:val="20"/>
                <w:szCs w:val="20"/>
                <w:color w:val="auto"/>
              </w:rPr>
            </w:pPr>
            <w:r>
              <w:rPr>
                <w:rFonts w:ascii="Calibri" w:cs="Calibri" w:eastAsia="Calibri" w:hAnsi="Calibri"/>
                <w:sz w:val="18"/>
                <w:szCs w:val="18"/>
                <w:color w:val="auto"/>
              </w:rPr>
              <w:t>526,309</w:t>
            </w:r>
          </w:p>
        </w:tc>
        <w:tc>
          <w:tcPr>
            <w:tcW w:w="1100" w:type="dxa"/>
            <w:vAlign w:val="bottom"/>
            <w:gridSpan w:val="2"/>
          </w:tcPr>
          <w:p>
            <w:pPr>
              <w:jc w:val="right"/>
              <w:ind w:right="670"/>
              <w:spacing w:after="0" w:line="210" w:lineRule="exact"/>
              <w:rPr>
                <w:sz w:val="20"/>
                <w:szCs w:val="20"/>
                <w:color w:val="auto"/>
              </w:rPr>
            </w:pPr>
            <w:r>
              <w:rPr>
                <w:rFonts w:ascii="Calibri" w:cs="Calibri" w:eastAsia="Calibri" w:hAnsi="Calibri"/>
                <w:sz w:val="18"/>
                <w:szCs w:val="18"/>
                <w:color w:val="auto"/>
              </w:rPr>
              <w:t>$</w:t>
            </w:r>
          </w:p>
        </w:tc>
        <w:tc>
          <w:tcPr>
            <w:tcW w:w="260" w:type="dxa"/>
            <w:vAlign w:val="bottom"/>
          </w:tcPr>
          <w:p>
            <w:pPr>
              <w:ind w:left="80"/>
              <w:spacing w:after="0" w:line="210" w:lineRule="exact"/>
              <w:rPr>
                <w:sz w:val="20"/>
                <w:szCs w:val="20"/>
                <w:color w:val="auto"/>
              </w:rPr>
            </w:pPr>
            <w:r>
              <w:rPr>
                <w:rFonts w:ascii="Calibri" w:cs="Calibri" w:eastAsia="Calibri" w:hAnsi="Calibri"/>
                <w:sz w:val="18"/>
                <w:szCs w:val="18"/>
                <w:color w:val="auto"/>
                <w:w w:val="97"/>
              </w:rPr>
              <w:t>—</w:t>
            </w:r>
          </w:p>
        </w:tc>
        <w:tc>
          <w:tcPr>
            <w:tcW w:w="480" w:type="dxa"/>
            <w:vAlign w:val="bottom"/>
            <w:gridSpan w:val="2"/>
          </w:tcPr>
          <w:p>
            <w:pPr>
              <w:jc w:val="right"/>
              <w:ind w:right="50"/>
              <w:spacing w:after="0" w:line="210" w:lineRule="exact"/>
              <w:rPr>
                <w:sz w:val="20"/>
                <w:szCs w:val="20"/>
                <w:color w:val="auto"/>
              </w:rPr>
            </w:pPr>
            <w:r>
              <w:rPr>
                <w:rFonts w:ascii="Calibri" w:cs="Calibri" w:eastAsia="Calibri" w:hAnsi="Calibri"/>
                <w:sz w:val="18"/>
                <w:szCs w:val="18"/>
                <w:color w:val="auto"/>
              </w:rPr>
              <w:t>$</w:t>
            </w:r>
          </w:p>
        </w:tc>
        <w:tc>
          <w:tcPr>
            <w:tcW w:w="880" w:type="dxa"/>
            <w:vAlign w:val="bottom"/>
          </w:tcPr>
          <w:p>
            <w:pPr>
              <w:jc w:val="right"/>
              <w:spacing w:after="0" w:line="210" w:lineRule="exact"/>
              <w:rPr>
                <w:sz w:val="20"/>
                <w:szCs w:val="20"/>
                <w:color w:val="auto"/>
              </w:rPr>
            </w:pPr>
            <w:r>
              <w:rPr>
                <w:rFonts w:ascii="Calibri" w:cs="Calibri" w:eastAsia="Calibri" w:hAnsi="Calibri"/>
                <w:sz w:val="18"/>
                <w:szCs w:val="18"/>
                <w:color w:val="auto"/>
              </w:rPr>
              <w:t>749,239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780" w:type="dxa"/>
            <w:vAlign w:val="bottom"/>
          </w:tcPr>
          <w:p>
            <w:pPr>
              <w:spacing w:after="0" w:line="215" w:lineRule="exact"/>
              <w:rPr>
                <w:sz w:val="20"/>
                <w:szCs w:val="20"/>
                <w:color w:val="auto"/>
              </w:rPr>
            </w:pPr>
            <w:r>
              <w:rPr>
                <w:rFonts w:ascii="Calibri" w:cs="Calibri" w:eastAsia="Calibri" w:hAnsi="Calibri"/>
                <w:sz w:val="18"/>
                <w:szCs w:val="18"/>
                <w:b w:val="1"/>
                <w:bCs w:val="1"/>
                <w:color w:val="auto"/>
              </w:rPr>
              <w:t>Financial Liabilites: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80" w:type="dxa"/>
            <w:vAlign w:val="bottom"/>
            <w:tcBorders>
              <w:bottom w:val="single" w:sz="8" w:color="CCEEFF"/>
            </w:tcBorders>
            <w:shd w:val="clear" w:color="auto" w:fill="CCEEFF"/>
          </w:tcPr>
          <w:p>
            <w:pPr>
              <w:ind w:left="180"/>
              <w:spacing w:after="0" w:line="217" w:lineRule="exact"/>
              <w:rPr>
                <w:sz w:val="20"/>
                <w:szCs w:val="20"/>
                <w:color w:val="auto"/>
              </w:rPr>
            </w:pPr>
            <w:r>
              <w:rPr>
                <w:rFonts w:ascii="Calibri" w:cs="Calibri" w:eastAsia="Calibri" w:hAnsi="Calibri"/>
                <w:sz w:val="18"/>
                <w:szCs w:val="18"/>
                <w:color w:val="auto"/>
              </w:rPr>
              <w:t>Deferred compensaton liabilites</w:t>
            </w:r>
          </w:p>
        </w:tc>
        <w:tc>
          <w:tcPr>
            <w:tcW w:w="220" w:type="dxa"/>
            <w:vAlign w:val="bottom"/>
            <w:tcBorders>
              <w:bottom w:val="single" w:sz="8" w:color="auto"/>
            </w:tcBorders>
            <w:shd w:val="clear" w:color="auto" w:fill="CCEEFF"/>
          </w:tcPr>
          <w:p>
            <w:pPr>
              <w:jc w:val="right"/>
              <w:ind w:right="10"/>
              <w:spacing w:after="0" w:line="216" w:lineRule="exact"/>
              <w:rPr>
                <w:sz w:val="20"/>
                <w:szCs w:val="20"/>
                <w:color w:val="auto"/>
              </w:rPr>
            </w:pPr>
            <w:r>
              <w:rPr>
                <w:rFonts w:ascii="Calibri" w:cs="Calibri" w:eastAsia="Calibri" w:hAnsi="Calibri"/>
                <w:sz w:val="18"/>
                <w:szCs w:val="18"/>
                <w:color w:val="auto"/>
              </w:rPr>
              <w:t>$</w:t>
            </w:r>
          </w:p>
        </w:tc>
        <w:tc>
          <w:tcPr>
            <w:tcW w:w="900" w:type="dxa"/>
            <w:vAlign w:val="bottom"/>
            <w:tcBorders>
              <w:bottom w:val="single" w:sz="8" w:color="auto"/>
            </w:tcBorders>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line="216" w:lineRule="exact"/>
              <w:rPr>
                <w:sz w:val="20"/>
                <w:szCs w:val="20"/>
                <w:color w:val="auto"/>
              </w:rPr>
            </w:pPr>
            <w:r>
              <w:rPr>
                <w:rFonts w:ascii="Calibri" w:cs="Calibri" w:eastAsia="Calibri" w:hAnsi="Calibri"/>
                <w:sz w:val="18"/>
                <w:szCs w:val="18"/>
                <w:color w:val="auto"/>
                <w:w w:val="87"/>
              </w:rPr>
              <w:t>$</w:t>
            </w:r>
          </w:p>
        </w:tc>
        <w:tc>
          <w:tcPr>
            <w:tcW w:w="920" w:type="dxa"/>
            <w:vAlign w:val="bottom"/>
            <w:tcBorders>
              <w:bottom w:val="single" w:sz="8" w:color="auto"/>
            </w:tcBorders>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10,365</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70"/>
              <w:spacing w:after="0" w:line="216" w:lineRule="exact"/>
              <w:rPr>
                <w:sz w:val="20"/>
                <w:szCs w:val="20"/>
                <w:color w:val="auto"/>
              </w:rPr>
            </w:pPr>
            <w:r>
              <w:rPr>
                <w:rFonts w:ascii="Calibri" w:cs="Calibri" w:eastAsia="Calibri" w:hAnsi="Calibri"/>
                <w:sz w:val="18"/>
                <w:szCs w:val="18"/>
                <w:color w:val="auto"/>
                <w:w w:val="87"/>
              </w:rPr>
              <w:t>$</w:t>
            </w:r>
          </w:p>
        </w:tc>
        <w:tc>
          <w:tcPr>
            <w:tcW w:w="260" w:type="dxa"/>
            <w:vAlign w:val="bottom"/>
            <w:tcBorders>
              <w:bottom w:val="single" w:sz="8" w:color="auto"/>
            </w:tcBorders>
            <w:shd w:val="clear" w:color="auto" w:fill="CCEEFF"/>
          </w:tcPr>
          <w:p>
            <w:pPr>
              <w:ind w:left="80"/>
              <w:spacing w:after="0" w:line="216" w:lineRule="exact"/>
              <w:rPr>
                <w:sz w:val="20"/>
                <w:szCs w:val="20"/>
                <w:color w:val="auto"/>
              </w:rPr>
            </w:pPr>
            <w:r>
              <w:rPr>
                <w:rFonts w:ascii="Calibri" w:cs="Calibri" w:eastAsia="Calibri" w:hAnsi="Calibri"/>
                <w:sz w:val="18"/>
                <w:szCs w:val="18"/>
                <w:color w:val="auto"/>
                <w:w w:val="97"/>
              </w:rPr>
              <w:t>—</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line="216" w:lineRule="exact"/>
              <w:rPr>
                <w:sz w:val="20"/>
                <w:szCs w:val="20"/>
                <w:color w:val="auto"/>
              </w:rPr>
            </w:pPr>
            <w:r>
              <w:rPr>
                <w:rFonts w:ascii="Calibri" w:cs="Calibri" w:eastAsia="Calibri" w:hAnsi="Calibri"/>
                <w:sz w:val="18"/>
                <w:szCs w:val="18"/>
                <w:color w:val="auto"/>
                <w:w w:val="87"/>
              </w:rPr>
              <w:t>$</w:t>
            </w:r>
          </w:p>
        </w:tc>
        <w:tc>
          <w:tcPr>
            <w:tcW w:w="880" w:type="dxa"/>
            <w:vAlign w:val="bottom"/>
            <w:tcBorders>
              <w:bottom w:val="single" w:sz="8" w:color="auto"/>
            </w:tcBorders>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10,365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-607695</wp:posOffset>
            </wp:positionV>
            <wp:extent cx="6032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-607695</wp:posOffset>
            </wp:positionV>
            <wp:extent cx="6032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-607695</wp:posOffset>
            </wp:positionV>
            <wp:extent cx="6032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-607695</wp:posOffset>
            </wp:positionV>
            <wp:extent cx="6032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-24765</wp:posOffset>
            </wp:positionV>
            <wp:extent cx="6032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-7620</wp:posOffset>
            </wp:positionV>
            <wp:extent cx="6032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-24765</wp:posOffset>
            </wp:positionV>
            <wp:extent cx="6032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603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6032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6032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5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Deferred compensaton liabilites consist of short-term liabilites of $0.6 million and $0.2 million as of December 31, 2024 and 2023, respectvely, included in accrued liabilites on the Consolidated Balance Sheets, and long-term liabilites of $15.2 million and $10.1 million as of December 31, 2024 and 2023, respectvely, included in other non-current liabilites on the Consolidated Balance Sheets. There have been no signifcant net gains or losses on deferred compensaton assets or liabilites for the periods presented.</w:t>
      </w:r>
    </w:p>
    <w:p>
      <w:pPr>
        <w:spacing w:after="0" w:line="242" w:lineRule="exact"/>
        <w:rPr>
          <w:sz w:val="20"/>
          <w:szCs w:val="20"/>
          <w:color w:val="auto"/>
        </w:rPr>
      </w:pPr>
    </w:p>
    <w:p>
      <w:pPr>
        <w:ind w:left="520" w:hanging="512"/>
        <w:spacing w:after="0"/>
        <w:tabs>
          <w:tab w:leader="none" w:pos="520" w:val="left"/>
        </w:tabs>
        <w:numPr>
          <w:ilvl w:val="0"/>
          <w:numId w:val="44"/>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Balance Sheet Components</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Cash Equivalents and Marketable Debt Securites</w:t>
      </w:r>
    </w:p>
    <w:p>
      <w:pPr>
        <w:spacing w:after="0" w:line="82"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The fair values of cash equivalents and marketable debt securites classifed as available-for-sale securites consisted of the following (in thousands):</w:t>
      </w:r>
    </w:p>
    <w:p>
      <w:pPr>
        <w:spacing w:after="0" w:line="85" w:lineRule="exact"/>
        <w:rPr>
          <w:sz w:val="20"/>
          <w:szCs w:val="20"/>
          <w:color w:val="auto"/>
        </w:rPr>
      </w:pPr>
    </w:p>
    <w:tbl>
      <w:tblPr>
        <w:tblLayout w:type="fixed"/>
        <w:tblInd w:w="580" w:type="dxa"/>
        <w:tblCellMar>
          <w:top w:w="0" w:type="dxa"/>
          <w:left w:w="0" w:type="dxa"/>
          <w:bottom w:w="0" w:type="dxa"/>
          <w:right w:w="0" w:type="dxa"/>
        </w:tblCellMar>
      </w:tblPr>
      <w:tr>
        <w:trPr>
          <w:trHeight w:val="220"/>
        </w:trPr>
        <w:tc>
          <w:tcPr>
            <w:tcW w:w="4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gridSpan w:val="3"/>
          </w:tcPr>
          <w:p>
            <w:pPr>
              <w:jc w:val="right"/>
              <w:ind w:right="130"/>
              <w:spacing w:after="0"/>
              <w:rPr>
                <w:sz w:val="20"/>
                <w:szCs w:val="20"/>
                <w:color w:val="auto"/>
              </w:rPr>
            </w:pPr>
            <w:r>
              <w:rPr>
                <w:rFonts w:ascii="Calibri" w:cs="Calibri" w:eastAsia="Calibri" w:hAnsi="Calibri"/>
                <w:sz w:val="18"/>
                <w:szCs w:val="18"/>
                <w:b w:val="1"/>
                <w:bCs w:val="1"/>
                <w:color w:val="auto"/>
              </w:rPr>
              <w:t>December 31, 2024</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90"/>
              <w:spacing w:after="0" w:line="208" w:lineRule="exact"/>
              <w:rPr>
                <w:sz w:val="20"/>
                <w:szCs w:val="20"/>
                <w:color w:val="auto"/>
              </w:rPr>
            </w:pPr>
            <w:r>
              <w:rPr>
                <w:rFonts w:ascii="Calibri" w:cs="Calibri" w:eastAsia="Calibri" w:hAnsi="Calibri"/>
                <w:sz w:val="18"/>
                <w:szCs w:val="18"/>
                <w:b w:val="1"/>
                <w:bCs w:val="1"/>
                <w:color w:val="auto"/>
              </w:rPr>
              <w:t>Amortzed</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3"/>
          </w:tcPr>
          <w:p>
            <w:pPr>
              <w:jc w:val="right"/>
              <w:ind w:right="210"/>
              <w:spacing w:after="0" w:line="208" w:lineRule="exact"/>
              <w:rPr>
                <w:sz w:val="20"/>
                <w:szCs w:val="20"/>
                <w:color w:val="auto"/>
              </w:rPr>
            </w:pPr>
            <w:r>
              <w:rPr>
                <w:rFonts w:ascii="Calibri" w:cs="Calibri" w:eastAsia="Calibri" w:hAnsi="Calibri"/>
                <w:sz w:val="18"/>
                <w:szCs w:val="18"/>
                <w:b w:val="1"/>
                <w:bCs w:val="1"/>
                <w:color w:val="auto"/>
              </w:rPr>
              <w:t>Gross Unrealized</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30"/>
              <w:spacing w:after="0" w:line="208" w:lineRule="exact"/>
              <w:rPr>
                <w:sz w:val="20"/>
                <w:szCs w:val="20"/>
                <w:color w:val="auto"/>
              </w:rPr>
            </w:pPr>
            <w:r>
              <w:rPr>
                <w:rFonts w:ascii="Calibri" w:cs="Calibri" w:eastAsia="Calibri" w:hAnsi="Calibri"/>
                <w:sz w:val="18"/>
                <w:szCs w:val="18"/>
                <w:b w:val="1"/>
                <w:bCs w:val="1"/>
                <w:color w:val="auto"/>
              </w:rPr>
              <w:t>Estmated</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0"/>
              <w:spacing w:after="0" w:line="195" w:lineRule="exact"/>
              <w:rPr>
                <w:sz w:val="20"/>
                <w:szCs w:val="20"/>
                <w:color w:val="auto"/>
              </w:rPr>
            </w:pPr>
            <w:r>
              <w:rPr>
                <w:rFonts w:ascii="Calibri" w:cs="Calibri" w:eastAsia="Calibri" w:hAnsi="Calibri"/>
                <w:sz w:val="18"/>
                <w:szCs w:val="18"/>
                <w:b w:val="1"/>
                <w:bCs w:val="1"/>
                <w:color w:val="auto"/>
              </w:rPr>
              <w:t>Cost</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line="210" w:lineRule="exact"/>
              <w:rPr>
                <w:sz w:val="20"/>
                <w:szCs w:val="20"/>
                <w:color w:val="auto"/>
              </w:rPr>
            </w:pPr>
            <w:r>
              <w:rPr>
                <w:rFonts w:ascii="Calibri" w:cs="Calibri" w:eastAsia="Calibri" w:hAnsi="Calibri"/>
                <w:sz w:val="18"/>
                <w:szCs w:val="18"/>
                <w:b w:val="1"/>
                <w:bCs w:val="1"/>
                <w:color w:val="auto"/>
              </w:rPr>
              <w:t>Gains</w:t>
            </w:r>
          </w:p>
        </w:tc>
        <w:tc>
          <w:tcPr>
            <w:tcW w:w="2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b w:val="1"/>
                <w:bCs w:val="1"/>
                <w:color w:val="auto"/>
              </w:rPr>
              <w:t>Losses</w:t>
            </w:r>
          </w:p>
        </w:tc>
        <w:tc>
          <w:tcPr>
            <w:tcW w:w="34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0"/>
              <w:spacing w:after="0" w:line="195" w:lineRule="exact"/>
              <w:rPr>
                <w:sz w:val="20"/>
                <w:szCs w:val="20"/>
                <w:color w:val="auto"/>
              </w:rPr>
            </w:pPr>
            <w:r>
              <w:rPr>
                <w:rFonts w:ascii="Calibri" w:cs="Calibri" w:eastAsia="Calibri" w:hAnsi="Calibri"/>
                <w:sz w:val="18"/>
                <w:szCs w:val="18"/>
                <w:b w:val="1"/>
                <w:bCs w:val="1"/>
                <w:color w:val="auto"/>
              </w:rPr>
              <w:t>Fair Value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CFF"/>
          </w:tcPr>
          <w:p>
            <w:pPr>
              <w:spacing w:after="0" w:line="210" w:lineRule="exact"/>
              <w:rPr>
                <w:sz w:val="20"/>
                <w:szCs w:val="20"/>
                <w:color w:val="auto"/>
              </w:rPr>
            </w:pPr>
            <w:r>
              <w:rPr>
                <w:rFonts w:ascii="Calibri" w:cs="Calibri" w:eastAsia="Calibri" w:hAnsi="Calibri"/>
                <w:sz w:val="18"/>
                <w:szCs w:val="18"/>
                <w:color w:val="auto"/>
              </w:rPr>
              <w:t>Money market funds</w:t>
            </w:r>
          </w:p>
        </w:tc>
        <w:tc>
          <w:tcPr>
            <w:tcW w:w="14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00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113,894</w:t>
            </w:r>
          </w:p>
        </w:tc>
        <w:tc>
          <w:tcPr>
            <w:tcW w:w="480" w:type="dxa"/>
            <w:vAlign w:val="bottom"/>
            <w:gridSpan w:val="2"/>
            <w:shd w:val="clear" w:color="auto" w:fill="CCECFF"/>
          </w:tcPr>
          <w:p>
            <w:pPr>
              <w:jc w:val="right"/>
              <w:ind w:right="30"/>
              <w:spacing w:after="0" w:line="210"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w:t>
            </w:r>
          </w:p>
        </w:tc>
        <w:tc>
          <w:tcPr>
            <w:tcW w:w="1040" w:type="dxa"/>
            <w:vAlign w:val="bottom"/>
            <w:gridSpan w:val="2"/>
            <w:shd w:val="clear" w:color="auto" w:fill="CCECFF"/>
          </w:tcPr>
          <w:p>
            <w:pPr>
              <w:jc w:val="right"/>
              <w:ind w:right="610"/>
              <w:spacing w:after="0" w:line="210" w:lineRule="exact"/>
              <w:rPr>
                <w:sz w:val="20"/>
                <w:szCs w:val="20"/>
                <w:color w:val="auto"/>
              </w:rPr>
            </w:pPr>
            <w:r>
              <w:rPr>
                <w:rFonts w:ascii="Calibri" w:cs="Calibri" w:eastAsia="Calibri" w:hAnsi="Calibri"/>
                <w:sz w:val="18"/>
                <w:szCs w:val="18"/>
                <w:color w:val="auto"/>
              </w:rPr>
              <w:t>$</w:t>
            </w:r>
          </w:p>
        </w:tc>
        <w:tc>
          <w:tcPr>
            <w:tcW w:w="600" w:type="dxa"/>
            <w:vAlign w:val="bottom"/>
            <w:gridSpan w:val="2"/>
            <w:shd w:val="clear" w:color="auto" w:fill="CCECFF"/>
          </w:tcPr>
          <w:p>
            <w:pPr>
              <w:jc w:val="right"/>
              <w:ind w:right="190"/>
              <w:spacing w:after="0" w:line="210" w:lineRule="exact"/>
              <w:rPr>
                <w:sz w:val="20"/>
                <w:szCs w:val="20"/>
                <w:color w:val="auto"/>
              </w:rPr>
            </w:pPr>
            <w:r>
              <w:rPr>
                <w:rFonts w:ascii="Calibri" w:cs="Calibri" w:eastAsia="Calibri" w:hAnsi="Calibri"/>
                <w:sz w:val="18"/>
                <w:szCs w:val="18"/>
                <w:color w:val="auto"/>
              </w:rPr>
              <w:t>—</w:t>
            </w:r>
          </w:p>
        </w:tc>
        <w:tc>
          <w:tcPr>
            <w:tcW w:w="14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00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113,894</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80" w:type="dxa"/>
            <w:vAlign w:val="bottom"/>
          </w:tcPr>
          <w:p>
            <w:pPr>
              <w:spacing w:after="0" w:line="215" w:lineRule="exact"/>
              <w:rPr>
                <w:sz w:val="20"/>
                <w:szCs w:val="20"/>
                <w:color w:val="auto"/>
              </w:rPr>
            </w:pPr>
            <w:r>
              <w:rPr>
                <w:rFonts w:ascii="Calibri" w:cs="Calibri" w:eastAsia="Calibri" w:hAnsi="Calibri"/>
                <w:sz w:val="18"/>
                <w:szCs w:val="18"/>
                <w:color w:val="auto"/>
              </w:rPr>
              <w:t>Time deposits</w:t>
            </w:r>
          </w:p>
        </w:tc>
        <w:tc>
          <w:tcPr>
            <w:tcW w:w="14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10,000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gridSpan w:val="2"/>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10,000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80" w:type="dxa"/>
            <w:vAlign w:val="bottom"/>
            <w:shd w:val="clear" w:color="auto" w:fill="CCECFF"/>
          </w:tcPr>
          <w:p>
            <w:pPr>
              <w:spacing w:after="0" w:line="216" w:lineRule="exact"/>
              <w:rPr>
                <w:sz w:val="20"/>
                <w:szCs w:val="20"/>
                <w:color w:val="auto"/>
              </w:rPr>
            </w:pPr>
            <w:r>
              <w:rPr>
                <w:rFonts w:ascii="Calibri" w:cs="Calibri" w:eastAsia="Calibri" w:hAnsi="Calibri"/>
                <w:sz w:val="18"/>
                <w:szCs w:val="18"/>
                <w:color w:val="auto"/>
              </w:rPr>
              <w:t>Corporate bonds</w:t>
            </w:r>
          </w:p>
        </w:tc>
        <w:tc>
          <w:tcPr>
            <w:tcW w:w="140" w:type="dxa"/>
            <w:vAlign w:val="bottom"/>
            <w:shd w:val="clear" w:color="auto" w:fill="CCECFF"/>
          </w:tcPr>
          <w:p>
            <w:pPr>
              <w:spacing w:after="0"/>
              <w:rPr>
                <w:sz w:val="18"/>
                <w:szCs w:val="18"/>
                <w:color w:val="auto"/>
              </w:rPr>
            </w:pPr>
          </w:p>
        </w:tc>
        <w:tc>
          <w:tcPr>
            <w:tcW w:w="100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391,124</w:t>
            </w:r>
          </w:p>
        </w:tc>
        <w:tc>
          <w:tcPr>
            <w:tcW w:w="24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809</w:t>
            </w:r>
          </w:p>
        </w:tc>
        <w:tc>
          <w:tcPr>
            <w:tcW w:w="240" w:type="dxa"/>
            <w:vAlign w:val="bottom"/>
            <w:shd w:val="clear" w:color="auto" w:fill="CCECFF"/>
          </w:tcPr>
          <w:p>
            <w:pPr>
              <w:spacing w:after="0"/>
              <w:rPr>
                <w:sz w:val="18"/>
                <w:szCs w:val="18"/>
                <w:color w:val="auto"/>
              </w:rPr>
            </w:pPr>
          </w:p>
        </w:tc>
        <w:tc>
          <w:tcPr>
            <w:tcW w:w="800" w:type="dxa"/>
            <w:vAlign w:val="bottom"/>
            <w:shd w:val="clear" w:color="auto" w:fill="CCECFF"/>
          </w:tcPr>
          <w:p>
            <w:pPr>
              <w:spacing w:after="0"/>
              <w:rPr>
                <w:sz w:val="18"/>
                <w:szCs w:val="18"/>
                <w:color w:val="auto"/>
              </w:rPr>
            </w:pPr>
          </w:p>
        </w:tc>
        <w:tc>
          <w:tcPr>
            <w:tcW w:w="600" w:type="dxa"/>
            <w:vAlign w:val="bottom"/>
            <w:gridSpan w:val="2"/>
            <w:shd w:val="clear" w:color="auto" w:fill="CCECFF"/>
          </w:tcPr>
          <w:p>
            <w:pPr>
              <w:jc w:val="right"/>
              <w:ind w:right="90"/>
              <w:spacing w:after="0" w:line="216" w:lineRule="exact"/>
              <w:rPr>
                <w:sz w:val="20"/>
                <w:szCs w:val="20"/>
                <w:color w:val="auto"/>
              </w:rPr>
            </w:pPr>
            <w:r>
              <w:rPr>
                <w:rFonts w:ascii="Calibri" w:cs="Calibri" w:eastAsia="Calibri" w:hAnsi="Calibri"/>
                <w:sz w:val="18"/>
                <w:szCs w:val="18"/>
                <w:color w:val="auto"/>
                <w:w w:val="94"/>
              </w:rPr>
              <w:t>(202 )</w:t>
            </w:r>
          </w:p>
        </w:tc>
        <w:tc>
          <w:tcPr>
            <w:tcW w:w="140" w:type="dxa"/>
            <w:vAlign w:val="bottom"/>
            <w:shd w:val="clear" w:color="auto" w:fill="CCECFF"/>
          </w:tcPr>
          <w:p>
            <w:pPr>
              <w:spacing w:after="0"/>
              <w:rPr>
                <w:sz w:val="18"/>
                <w:szCs w:val="18"/>
                <w:color w:val="auto"/>
              </w:rPr>
            </w:pPr>
          </w:p>
        </w:tc>
        <w:tc>
          <w:tcPr>
            <w:tcW w:w="100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391,731</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80" w:type="dxa"/>
            <w:vAlign w:val="bottom"/>
          </w:tcPr>
          <w:p>
            <w:pPr>
              <w:spacing w:after="0" w:line="215" w:lineRule="exact"/>
              <w:rPr>
                <w:sz w:val="20"/>
                <w:szCs w:val="20"/>
                <w:color w:val="auto"/>
              </w:rPr>
            </w:pPr>
            <w:r>
              <w:rPr>
                <w:rFonts w:ascii="Calibri" w:cs="Calibri" w:eastAsia="Calibri" w:hAnsi="Calibri"/>
                <w:sz w:val="18"/>
                <w:szCs w:val="18"/>
                <w:color w:val="auto"/>
              </w:rPr>
              <w:t>Commercial paper</w:t>
            </w:r>
          </w:p>
        </w:tc>
        <w:tc>
          <w:tcPr>
            <w:tcW w:w="14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21,194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gridSpan w:val="2"/>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21,194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80" w:type="dxa"/>
            <w:vAlign w:val="bottom"/>
            <w:shd w:val="clear" w:color="auto" w:fill="CCECFF"/>
          </w:tcPr>
          <w:p>
            <w:pPr>
              <w:spacing w:after="0" w:line="216" w:lineRule="exact"/>
              <w:rPr>
                <w:sz w:val="20"/>
                <w:szCs w:val="20"/>
                <w:color w:val="auto"/>
              </w:rPr>
            </w:pPr>
            <w:r>
              <w:rPr>
                <w:rFonts w:ascii="Calibri" w:cs="Calibri" w:eastAsia="Calibri" w:hAnsi="Calibri"/>
                <w:sz w:val="18"/>
                <w:szCs w:val="18"/>
                <w:color w:val="auto"/>
              </w:rPr>
              <w:t>Asset-backed securites</w:t>
            </w:r>
          </w:p>
        </w:tc>
        <w:tc>
          <w:tcPr>
            <w:tcW w:w="140" w:type="dxa"/>
            <w:vAlign w:val="bottom"/>
            <w:shd w:val="clear" w:color="auto" w:fill="CCECFF"/>
          </w:tcPr>
          <w:p>
            <w:pPr>
              <w:spacing w:after="0"/>
              <w:rPr>
                <w:sz w:val="18"/>
                <w:szCs w:val="18"/>
                <w:color w:val="auto"/>
              </w:rPr>
            </w:pPr>
          </w:p>
        </w:tc>
        <w:tc>
          <w:tcPr>
            <w:tcW w:w="100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143</w:t>
            </w:r>
          </w:p>
        </w:tc>
        <w:tc>
          <w:tcPr>
            <w:tcW w:w="24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CECFF"/>
          </w:tcPr>
          <w:p>
            <w:pPr>
              <w:spacing w:after="0"/>
              <w:rPr>
                <w:sz w:val="18"/>
                <w:szCs w:val="18"/>
                <w:color w:val="auto"/>
              </w:rPr>
            </w:pPr>
          </w:p>
        </w:tc>
        <w:tc>
          <w:tcPr>
            <w:tcW w:w="800" w:type="dxa"/>
            <w:vAlign w:val="bottom"/>
            <w:shd w:val="clear" w:color="auto" w:fill="CCECFF"/>
          </w:tcPr>
          <w:p>
            <w:pPr>
              <w:spacing w:after="0"/>
              <w:rPr>
                <w:sz w:val="18"/>
                <w:szCs w:val="18"/>
                <w:color w:val="auto"/>
              </w:rPr>
            </w:pPr>
          </w:p>
        </w:tc>
        <w:tc>
          <w:tcPr>
            <w:tcW w:w="600" w:type="dxa"/>
            <w:vAlign w:val="bottom"/>
            <w:gridSpan w:val="2"/>
            <w:shd w:val="clear" w:color="auto" w:fill="CCECFF"/>
          </w:tcPr>
          <w:p>
            <w:pPr>
              <w:jc w:val="right"/>
              <w:ind w:right="190"/>
              <w:spacing w:after="0" w:line="216" w:lineRule="exact"/>
              <w:rPr>
                <w:sz w:val="20"/>
                <w:szCs w:val="20"/>
                <w:color w:val="auto"/>
              </w:rPr>
            </w:pPr>
            <w:r>
              <w:rPr>
                <w:rFonts w:ascii="Calibri" w:cs="Calibri" w:eastAsia="Calibri" w:hAnsi="Calibri"/>
                <w:sz w:val="18"/>
                <w:szCs w:val="18"/>
                <w:color w:val="auto"/>
              </w:rPr>
              <w:t>—</w:t>
            </w:r>
          </w:p>
        </w:tc>
        <w:tc>
          <w:tcPr>
            <w:tcW w:w="140" w:type="dxa"/>
            <w:vAlign w:val="bottom"/>
            <w:shd w:val="clear" w:color="auto" w:fill="CCECFF"/>
          </w:tcPr>
          <w:p>
            <w:pPr>
              <w:spacing w:after="0"/>
              <w:rPr>
                <w:sz w:val="18"/>
                <w:szCs w:val="18"/>
                <w:color w:val="auto"/>
              </w:rPr>
            </w:pPr>
          </w:p>
        </w:tc>
        <w:tc>
          <w:tcPr>
            <w:tcW w:w="100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143</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80" w:type="dxa"/>
            <w:vAlign w:val="bottom"/>
          </w:tcPr>
          <w:p>
            <w:pPr>
              <w:spacing w:after="0" w:line="215" w:lineRule="exact"/>
              <w:rPr>
                <w:sz w:val="20"/>
                <w:szCs w:val="20"/>
                <w:color w:val="auto"/>
              </w:rPr>
            </w:pPr>
            <w:r>
              <w:rPr>
                <w:rFonts w:ascii="Calibri" w:cs="Calibri" w:eastAsia="Calibri" w:hAnsi="Calibri"/>
                <w:sz w:val="18"/>
                <w:szCs w:val="18"/>
                <w:color w:val="auto"/>
              </w:rPr>
              <w:t>U.S. Government Treasury and agency securites</w:t>
            </w:r>
          </w:p>
        </w:tc>
        <w:tc>
          <w:tcPr>
            <w:tcW w:w="14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158,414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404</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gridSpan w:val="2"/>
          </w:tcPr>
          <w:p>
            <w:pPr>
              <w:jc w:val="right"/>
              <w:ind w:right="90"/>
              <w:spacing w:after="0" w:line="215" w:lineRule="exact"/>
              <w:rPr>
                <w:sz w:val="20"/>
                <w:szCs w:val="20"/>
                <w:color w:val="auto"/>
              </w:rPr>
            </w:pPr>
            <w:r>
              <w:rPr>
                <w:rFonts w:ascii="Calibri" w:cs="Calibri" w:eastAsia="Calibri" w:hAnsi="Calibri"/>
                <w:sz w:val="18"/>
                <w:szCs w:val="18"/>
                <w:color w:val="auto"/>
              </w:rPr>
              <w:t>(4 )</w:t>
            </w:r>
          </w:p>
        </w:tc>
        <w:tc>
          <w:tcPr>
            <w:tcW w:w="14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158,814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80" w:type="dxa"/>
            <w:vAlign w:val="bottom"/>
            <w:tcBorders>
              <w:top w:val="single" w:sz="8" w:color="CCECFF"/>
              <w:bottom w:val="single" w:sz="8" w:color="CCECFF"/>
            </w:tcBorders>
            <w:shd w:val="clear" w:color="auto" w:fill="CCECFF"/>
          </w:tcPr>
          <w:p>
            <w:pPr>
              <w:ind w:left="180"/>
              <w:spacing w:after="0" w:line="210" w:lineRule="exact"/>
              <w:rPr>
                <w:sz w:val="20"/>
                <w:szCs w:val="20"/>
                <w:color w:val="auto"/>
              </w:rPr>
            </w:pPr>
            <w:r>
              <w:rPr>
                <w:rFonts w:ascii="Calibri" w:cs="Calibri" w:eastAsia="Calibri" w:hAnsi="Calibri"/>
                <w:sz w:val="18"/>
                <w:szCs w:val="18"/>
                <w:color w:val="auto"/>
              </w:rPr>
              <w:t>Total</w:t>
            </w:r>
          </w:p>
        </w:tc>
        <w:tc>
          <w:tcPr>
            <w:tcW w:w="140" w:type="dxa"/>
            <w:vAlign w:val="bottom"/>
            <w:tcBorders>
              <w:top w:val="single" w:sz="8" w:color="auto"/>
              <w:bottom w:val="single" w:sz="8" w:color="auto"/>
            </w:tcBorders>
            <w:shd w:val="clear" w:color="auto" w:fill="CCEC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000" w:type="dxa"/>
            <w:vAlign w:val="bottom"/>
            <w:tcBorders>
              <w:top w:val="single" w:sz="8" w:color="auto"/>
              <w:bottom w:val="single" w:sz="8" w:color="auto"/>
            </w:tcBorders>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694,769</w:t>
            </w:r>
          </w:p>
        </w:tc>
        <w:tc>
          <w:tcPr>
            <w:tcW w:w="240" w:type="dxa"/>
            <w:vAlign w:val="bottom"/>
            <w:tcBorders>
              <w:top w:val="single" w:sz="8" w:color="CCECFF"/>
              <w:bottom w:val="single" w:sz="8" w:color="CCECFF"/>
            </w:tcBorders>
            <w:shd w:val="clear" w:color="auto" w:fill="CCECFF"/>
          </w:tcPr>
          <w:p>
            <w:pPr>
              <w:spacing w:after="0"/>
              <w:rPr>
                <w:sz w:val="21"/>
                <w:szCs w:val="21"/>
                <w:color w:val="auto"/>
              </w:rPr>
            </w:pPr>
          </w:p>
        </w:tc>
        <w:tc>
          <w:tcPr>
            <w:tcW w:w="240" w:type="dxa"/>
            <w:vAlign w:val="bottom"/>
            <w:tcBorders>
              <w:top w:val="single" w:sz="8" w:color="auto"/>
              <w:bottom w:val="single" w:sz="8" w:color="auto"/>
            </w:tcBorders>
            <w:shd w:val="clear" w:color="auto" w:fill="CCECFF"/>
          </w:tcPr>
          <w:p>
            <w:pPr>
              <w:jc w:val="right"/>
              <w:ind w:right="30"/>
              <w:spacing w:after="0" w:line="210" w:lineRule="exact"/>
              <w:rPr>
                <w:sz w:val="20"/>
                <w:szCs w:val="20"/>
                <w:color w:val="auto"/>
              </w:rPr>
            </w:pPr>
            <w:r>
              <w:rPr>
                <w:rFonts w:ascii="Calibri" w:cs="Calibri" w:eastAsia="Calibri" w:hAnsi="Calibri"/>
                <w:sz w:val="18"/>
                <w:szCs w:val="18"/>
                <w:color w:val="auto"/>
              </w:rPr>
              <w:t>$</w:t>
            </w:r>
          </w:p>
        </w:tc>
        <w:tc>
          <w:tcPr>
            <w:tcW w:w="920" w:type="dxa"/>
            <w:vAlign w:val="bottom"/>
            <w:tcBorders>
              <w:top w:val="single" w:sz="8" w:color="auto"/>
              <w:bottom w:val="single" w:sz="8" w:color="auto"/>
            </w:tcBorders>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1,213</w:t>
            </w:r>
          </w:p>
        </w:tc>
        <w:tc>
          <w:tcPr>
            <w:tcW w:w="240" w:type="dxa"/>
            <w:vAlign w:val="bottom"/>
            <w:tcBorders>
              <w:top w:val="single" w:sz="8" w:color="CCECFF"/>
              <w:bottom w:val="single" w:sz="8" w:color="CCECFF"/>
            </w:tcBorders>
            <w:shd w:val="clear" w:color="auto" w:fill="CCECFF"/>
          </w:tcPr>
          <w:p>
            <w:pPr>
              <w:spacing w:after="0"/>
              <w:rPr>
                <w:sz w:val="21"/>
                <w:szCs w:val="21"/>
                <w:color w:val="auto"/>
              </w:rPr>
            </w:pPr>
          </w:p>
        </w:tc>
        <w:tc>
          <w:tcPr>
            <w:tcW w:w="800" w:type="dxa"/>
            <w:vAlign w:val="bottom"/>
            <w:tcBorders>
              <w:top w:val="single" w:sz="8" w:color="auto"/>
              <w:bottom w:val="single" w:sz="8" w:color="auto"/>
            </w:tcBorders>
            <w:shd w:val="clear" w:color="auto" w:fill="CCECFF"/>
          </w:tcPr>
          <w:p>
            <w:pPr>
              <w:jc w:val="right"/>
              <w:ind w:right="610"/>
              <w:spacing w:after="0" w:line="210" w:lineRule="exact"/>
              <w:rPr>
                <w:sz w:val="20"/>
                <w:szCs w:val="20"/>
                <w:color w:val="auto"/>
              </w:rPr>
            </w:pPr>
            <w:r>
              <w:rPr>
                <w:rFonts w:ascii="Calibri" w:cs="Calibri" w:eastAsia="Calibri" w:hAnsi="Calibri"/>
                <w:sz w:val="18"/>
                <w:szCs w:val="18"/>
                <w:color w:val="auto"/>
                <w:w w:val="87"/>
              </w:rPr>
              <w:t>$</w:t>
            </w:r>
          </w:p>
        </w:tc>
        <w:tc>
          <w:tcPr>
            <w:tcW w:w="340" w:type="dxa"/>
            <w:vAlign w:val="bottom"/>
            <w:tcBorders>
              <w:top w:val="single" w:sz="8" w:color="auto"/>
              <w:bottom w:val="single" w:sz="8" w:color="auto"/>
            </w:tcBorders>
            <w:shd w:val="clear" w:color="auto" w:fill="CCECFF"/>
          </w:tcPr>
          <w:p>
            <w:pPr>
              <w:jc w:val="right"/>
              <w:spacing w:after="0" w:line="210" w:lineRule="exact"/>
              <w:rPr>
                <w:sz w:val="20"/>
                <w:szCs w:val="20"/>
                <w:color w:val="auto"/>
              </w:rPr>
            </w:pPr>
            <w:r>
              <w:rPr>
                <w:rFonts w:ascii="Calibri" w:cs="Calibri" w:eastAsia="Calibri" w:hAnsi="Calibri"/>
                <w:sz w:val="18"/>
                <w:szCs w:val="18"/>
                <w:color w:val="auto"/>
                <w:w w:val="91"/>
              </w:rPr>
              <w:t>(206</w:t>
            </w:r>
          </w:p>
        </w:tc>
        <w:tc>
          <w:tcPr>
            <w:tcW w:w="260" w:type="dxa"/>
            <w:vAlign w:val="bottom"/>
            <w:tcBorders>
              <w:top w:val="single" w:sz="8" w:color="CCECFF"/>
              <w:bottom w:val="single" w:sz="8" w:color="CCECFF"/>
            </w:tcBorders>
            <w:shd w:val="clear" w:color="auto" w:fill="CCECFF"/>
          </w:tcPr>
          <w:p>
            <w:pPr>
              <w:jc w:val="right"/>
              <w:ind w:right="90"/>
              <w:spacing w:after="0" w:line="196" w:lineRule="exact"/>
              <w:rPr>
                <w:sz w:val="20"/>
                <w:szCs w:val="20"/>
                <w:color w:val="auto"/>
              </w:rPr>
            </w:pPr>
            <w:r>
              <w:rPr>
                <w:rFonts w:ascii="Calibri" w:cs="Calibri" w:eastAsia="Calibri" w:hAnsi="Calibri"/>
                <w:sz w:val="18"/>
                <w:szCs w:val="18"/>
                <w:color w:val="auto"/>
              </w:rPr>
              <w:t>)</w:t>
            </w:r>
          </w:p>
        </w:tc>
        <w:tc>
          <w:tcPr>
            <w:tcW w:w="140" w:type="dxa"/>
            <w:vAlign w:val="bottom"/>
            <w:tcBorders>
              <w:top w:val="single" w:sz="8" w:color="auto"/>
              <w:bottom w:val="single" w:sz="8" w:color="auto"/>
            </w:tcBorders>
            <w:shd w:val="clear" w:color="auto" w:fill="CCEC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000" w:type="dxa"/>
            <w:vAlign w:val="bottom"/>
            <w:tcBorders>
              <w:top w:val="single" w:sz="8" w:color="auto"/>
              <w:bottom w:val="single" w:sz="8" w:color="auto"/>
            </w:tcBorders>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695,776</w:t>
            </w:r>
          </w:p>
        </w:tc>
        <w:tc>
          <w:tcPr>
            <w:tcW w:w="100" w:type="dxa"/>
            <w:vAlign w:val="bottom"/>
            <w:tcBorders>
              <w:top w:val="single" w:sz="8" w:color="CCECFF"/>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4938395</wp:posOffset>
            </wp:positionH>
            <wp:positionV relativeFrom="paragraph">
              <wp:posOffset>-1160780</wp:posOffset>
            </wp:positionV>
            <wp:extent cx="85090" cy="17970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54">
                      <a:extLst>
                        <a:ext uri="{28A0092B-C50C-407E-A947-70E740481C1C}"/>
                      </a:extLst>
                    </a:blip>
                    <a:srcRect/>
                    <a:stretch>
                      <a:fillRect/>
                    </a:stretch>
                  </pic:blipFill>
                  <pic:spPr bwMode="auto">
                    <a:xfrm>
                      <a:off x="0" y="0"/>
                      <a:ext cx="85090" cy="179705"/>
                    </a:xfrm>
                    <a:prstGeom prst="rect">
                      <a:avLst/>
                    </a:prstGeom>
                    <a:noFill/>
                  </pic:spPr>
                </pic:pic>
              </a:graphicData>
            </a:graphic>
          </wp:anchor>
        </w:drawing>
        <w:drawing>
          <wp:anchor simplePos="0" relativeHeight="251657728" behindDoc="1" locked="0" layoutInCell="0" allowOverlap="1">
            <wp:simplePos x="0" y="0"/>
            <wp:positionH relativeFrom="column">
              <wp:posOffset>5821680</wp:posOffset>
            </wp:positionH>
            <wp:positionV relativeFrom="paragraph">
              <wp:posOffset>-1160780</wp:posOffset>
            </wp:positionV>
            <wp:extent cx="85725" cy="1797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55">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-24765</wp:posOffset>
            </wp:positionV>
            <wp:extent cx="596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5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-7620</wp:posOffset>
            </wp:positionV>
            <wp:extent cx="596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-170815</wp:posOffset>
            </wp:positionV>
            <wp:extent cx="5969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5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-24765</wp:posOffset>
            </wp:positionV>
            <wp:extent cx="596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596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6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-170815</wp:posOffset>
            </wp:positionV>
            <wp:extent cx="5969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6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03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03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-170815</wp:posOffset>
            </wp:positionV>
            <wp:extent cx="6032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6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220"/>
        </w:trPr>
        <w:tc>
          <w:tcPr>
            <w:tcW w:w="4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gridSpan w:val="3"/>
          </w:tcPr>
          <w:p>
            <w:pPr>
              <w:jc w:val="right"/>
              <w:ind w:right="130"/>
              <w:spacing w:after="0"/>
              <w:rPr>
                <w:sz w:val="20"/>
                <w:szCs w:val="20"/>
                <w:color w:val="auto"/>
              </w:rPr>
            </w:pPr>
            <w:r>
              <w:rPr>
                <w:rFonts w:ascii="Calibri" w:cs="Calibri" w:eastAsia="Calibri" w:hAnsi="Calibri"/>
                <w:sz w:val="18"/>
                <w:szCs w:val="18"/>
                <w:b w:val="1"/>
                <w:bCs w:val="1"/>
                <w:color w:val="auto"/>
              </w:rPr>
              <w:t>December 31, 2023</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90"/>
              <w:spacing w:after="0" w:line="208" w:lineRule="exact"/>
              <w:rPr>
                <w:sz w:val="20"/>
                <w:szCs w:val="20"/>
                <w:color w:val="auto"/>
              </w:rPr>
            </w:pPr>
            <w:r>
              <w:rPr>
                <w:rFonts w:ascii="Calibri" w:cs="Calibri" w:eastAsia="Calibri" w:hAnsi="Calibri"/>
                <w:sz w:val="18"/>
                <w:szCs w:val="18"/>
                <w:b w:val="1"/>
                <w:bCs w:val="1"/>
                <w:color w:val="auto"/>
              </w:rPr>
              <w:t>Amortzed</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3"/>
          </w:tcPr>
          <w:p>
            <w:pPr>
              <w:jc w:val="right"/>
              <w:ind w:right="210"/>
              <w:spacing w:after="0" w:line="208" w:lineRule="exact"/>
              <w:rPr>
                <w:sz w:val="20"/>
                <w:szCs w:val="20"/>
                <w:color w:val="auto"/>
              </w:rPr>
            </w:pPr>
            <w:r>
              <w:rPr>
                <w:rFonts w:ascii="Calibri" w:cs="Calibri" w:eastAsia="Calibri" w:hAnsi="Calibri"/>
                <w:sz w:val="18"/>
                <w:szCs w:val="18"/>
                <w:b w:val="1"/>
                <w:bCs w:val="1"/>
                <w:color w:val="auto"/>
              </w:rPr>
              <w:t>Gross Unrealized</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30"/>
              <w:spacing w:after="0" w:line="208" w:lineRule="exact"/>
              <w:rPr>
                <w:sz w:val="20"/>
                <w:szCs w:val="20"/>
                <w:color w:val="auto"/>
              </w:rPr>
            </w:pPr>
            <w:r>
              <w:rPr>
                <w:rFonts w:ascii="Calibri" w:cs="Calibri" w:eastAsia="Calibri" w:hAnsi="Calibri"/>
                <w:sz w:val="18"/>
                <w:szCs w:val="18"/>
                <w:b w:val="1"/>
                <w:bCs w:val="1"/>
                <w:color w:val="auto"/>
              </w:rPr>
              <w:t>Estmated</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0"/>
              <w:spacing w:after="0" w:line="195" w:lineRule="exact"/>
              <w:rPr>
                <w:sz w:val="20"/>
                <w:szCs w:val="20"/>
                <w:color w:val="auto"/>
              </w:rPr>
            </w:pPr>
            <w:r>
              <w:rPr>
                <w:rFonts w:ascii="Calibri" w:cs="Calibri" w:eastAsia="Calibri" w:hAnsi="Calibri"/>
                <w:sz w:val="18"/>
                <w:szCs w:val="18"/>
                <w:b w:val="1"/>
                <w:bCs w:val="1"/>
                <w:color w:val="auto"/>
              </w:rPr>
              <w:t>Cost</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line="210" w:lineRule="exact"/>
              <w:rPr>
                <w:sz w:val="20"/>
                <w:szCs w:val="20"/>
                <w:color w:val="auto"/>
              </w:rPr>
            </w:pPr>
            <w:r>
              <w:rPr>
                <w:rFonts w:ascii="Calibri" w:cs="Calibri" w:eastAsia="Calibri" w:hAnsi="Calibri"/>
                <w:sz w:val="18"/>
                <w:szCs w:val="18"/>
                <w:b w:val="1"/>
                <w:bCs w:val="1"/>
                <w:color w:val="auto"/>
              </w:rPr>
              <w:t>Gains</w:t>
            </w:r>
          </w:p>
        </w:tc>
        <w:tc>
          <w:tcPr>
            <w:tcW w:w="2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b w:val="1"/>
                <w:bCs w:val="1"/>
                <w:color w:val="auto"/>
              </w:rPr>
              <w:t>Losses</w:t>
            </w:r>
          </w:p>
        </w:tc>
        <w:tc>
          <w:tcPr>
            <w:tcW w:w="34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0"/>
              <w:spacing w:after="0" w:line="195" w:lineRule="exact"/>
              <w:rPr>
                <w:sz w:val="20"/>
                <w:szCs w:val="20"/>
                <w:color w:val="auto"/>
              </w:rPr>
            </w:pPr>
            <w:r>
              <w:rPr>
                <w:rFonts w:ascii="Calibri" w:cs="Calibri" w:eastAsia="Calibri" w:hAnsi="Calibri"/>
                <w:sz w:val="18"/>
                <w:szCs w:val="18"/>
                <w:b w:val="1"/>
                <w:bCs w:val="1"/>
                <w:color w:val="auto"/>
              </w:rPr>
              <w:t>Fair Value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CFF"/>
          </w:tcPr>
          <w:p>
            <w:pPr>
              <w:spacing w:after="0" w:line="210" w:lineRule="exact"/>
              <w:rPr>
                <w:sz w:val="20"/>
                <w:szCs w:val="20"/>
                <w:color w:val="auto"/>
              </w:rPr>
            </w:pPr>
            <w:r>
              <w:rPr>
                <w:rFonts w:ascii="Calibri" w:cs="Calibri" w:eastAsia="Calibri" w:hAnsi="Calibri"/>
                <w:sz w:val="18"/>
                <w:szCs w:val="18"/>
                <w:color w:val="auto"/>
              </w:rPr>
              <w:t>Money market funds</w:t>
            </w:r>
          </w:p>
        </w:tc>
        <w:tc>
          <w:tcPr>
            <w:tcW w:w="14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00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162,289</w:t>
            </w:r>
          </w:p>
        </w:tc>
        <w:tc>
          <w:tcPr>
            <w:tcW w:w="480" w:type="dxa"/>
            <w:vAlign w:val="bottom"/>
            <w:gridSpan w:val="2"/>
            <w:shd w:val="clear" w:color="auto" w:fill="CCECFF"/>
          </w:tcPr>
          <w:p>
            <w:pPr>
              <w:jc w:val="right"/>
              <w:ind w:right="30"/>
              <w:spacing w:after="0" w:line="210"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w:t>
            </w:r>
          </w:p>
        </w:tc>
        <w:tc>
          <w:tcPr>
            <w:tcW w:w="1040" w:type="dxa"/>
            <w:vAlign w:val="bottom"/>
            <w:gridSpan w:val="2"/>
            <w:shd w:val="clear" w:color="auto" w:fill="CCECFF"/>
          </w:tcPr>
          <w:p>
            <w:pPr>
              <w:jc w:val="right"/>
              <w:ind w:right="610"/>
              <w:spacing w:after="0" w:line="210" w:lineRule="exact"/>
              <w:rPr>
                <w:sz w:val="20"/>
                <w:szCs w:val="20"/>
                <w:color w:val="auto"/>
              </w:rPr>
            </w:pPr>
            <w:r>
              <w:rPr>
                <w:rFonts w:ascii="Calibri" w:cs="Calibri" w:eastAsia="Calibri" w:hAnsi="Calibri"/>
                <w:sz w:val="18"/>
                <w:szCs w:val="18"/>
                <w:color w:val="auto"/>
              </w:rPr>
              <w:t>$</w:t>
            </w:r>
          </w:p>
        </w:tc>
        <w:tc>
          <w:tcPr>
            <w:tcW w:w="600" w:type="dxa"/>
            <w:vAlign w:val="bottom"/>
            <w:gridSpan w:val="2"/>
            <w:shd w:val="clear" w:color="auto" w:fill="CCECFF"/>
          </w:tcPr>
          <w:p>
            <w:pPr>
              <w:jc w:val="right"/>
              <w:ind w:right="190"/>
              <w:spacing w:after="0" w:line="210" w:lineRule="exact"/>
              <w:rPr>
                <w:sz w:val="20"/>
                <w:szCs w:val="20"/>
                <w:color w:val="auto"/>
              </w:rPr>
            </w:pPr>
            <w:r>
              <w:rPr>
                <w:rFonts w:ascii="Calibri" w:cs="Calibri" w:eastAsia="Calibri" w:hAnsi="Calibri"/>
                <w:sz w:val="18"/>
                <w:szCs w:val="18"/>
                <w:color w:val="auto"/>
              </w:rPr>
              <w:t>—</w:t>
            </w:r>
          </w:p>
        </w:tc>
        <w:tc>
          <w:tcPr>
            <w:tcW w:w="14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00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162,289</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80" w:type="dxa"/>
            <w:vAlign w:val="bottom"/>
          </w:tcPr>
          <w:p>
            <w:pPr>
              <w:spacing w:after="0" w:line="215" w:lineRule="exact"/>
              <w:rPr>
                <w:sz w:val="20"/>
                <w:szCs w:val="20"/>
                <w:color w:val="auto"/>
              </w:rPr>
            </w:pPr>
            <w:r>
              <w:rPr>
                <w:rFonts w:ascii="Calibri" w:cs="Calibri" w:eastAsia="Calibri" w:hAnsi="Calibri"/>
                <w:sz w:val="18"/>
                <w:szCs w:val="18"/>
                <w:color w:val="auto"/>
              </w:rPr>
              <w:t>Certfcates of deposit and tme deposits</w:t>
            </w:r>
          </w:p>
        </w:tc>
        <w:tc>
          <w:tcPr>
            <w:tcW w:w="14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17,986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gridSpan w:val="2"/>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17,986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80" w:type="dxa"/>
            <w:vAlign w:val="bottom"/>
            <w:shd w:val="clear" w:color="auto" w:fill="CCECFF"/>
          </w:tcPr>
          <w:p>
            <w:pPr>
              <w:spacing w:after="0" w:line="216" w:lineRule="exact"/>
              <w:rPr>
                <w:sz w:val="20"/>
                <w:szCs w:val="20"/>
                <w:color w:val="auto"/>
              </w:rPr>
            </w:pPr>
            <w:r>
              <w:rPr>
                <w:rFonts w:ascii="Calibri" w:cs="Calibri" w:eastAsia="Calibri" w:hAnsi="Calibri"/>
                <w:sz w:val="18"/>
                <w:szCs w:val="18"/>
                <w:color w:val="auto"/>
              </w:rPr>
              <w:t>Corporate bonds</w:t>
            </w:r>
          </w:p>
        </w:tc>
        <w:tc>
          <w:tcPr>
            <w:tcW w:w="140" w:type="dxa"/>
            <w:vAlign w:val="bottom"/>
            <w:shd w:val="clear" w:color="auto" w:fill="CCECFF"/>
          </w:tcPr>
          <w:p>
            <w:pPr>
              <w:spacing w:after="0"/>
              <w:rPr>
                <w:sz w:val="18"/>
                <w:szCs w:val="18"/>
                <w:color w:val="auto"/>
              </w:rPr>
            </w:pPr>
          </w:p>
        </w:tc>
        <w:tc>
          <w:tcPr>
            <w:tcW w:w="100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214,792</w:t>
            </w:r>
          </w:p>
        </w:tc>
        <w:tc>
          <w:tcPr>
            <w:tcW w:w="24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711</w:t>
            </w:r>
          </w:p>
        </w:tc>
        <w:tc>
          <w:tcPr>
            <w:tcW w:w="240" w:type="dxa"/>
            <w:vAlign w:val="bottom"/>
            <w:shd w:val="clear" w:color="auto" w:fill="CCECFF"/>
          </w:tcPr>
          <w:p>
            <w:pPr>
              <w:spacing w:after="0"/>
              <w:rPr>
                <w:sz w:val="18"/>
                <w:szCs w:val="18"/>
                <w:color w:val="auto"/>
              </w:rPr>
            </w:pPr>
          </w:p>
        </w:tc>
        <w:tc>
          <w:tcPr>
            <w:tcW w:w="800" w:type="dxa"/>
            <w:vAlign w:val="bottom"/>
            <w:shd w:val="clear" w:color="auto" w:fill="CCECFF"/>
          </w:tcPr>
          <w:p>
            <w:pPr>
              <w:spacing w:after="0"/>
              <w:rPr>
                <w:sz w:val="18"/>
                <w:szCs w:val="18"/>
                <w:color w:val="auto"/>
              </w:rPr>
            </w:pPr>
          </w:p>
        </w:tc>
        <w:tc>
          <w:tcPr>
            <w:tcW w:w="600" w:type="dxa"/>
            <w:vAlign w:val="bottom"/>
            <w:gridSpan w:val="2"/>
            <w:shd w:val="clear" w:color="auto" w:fill="CCECFF"/>
          </w:tcPr>
          <w:p>
            <w:pPr>
              <w:jc w:val="right"/>
              <w:ind w:right="90"/>
              <w:spacing w:after="0" w:line="216" w:lineRule="exact"/>
              <w:rPr>
                <w:sz w:val="20"/>
                <w:szCs w:val="20"/>
                <w:color w:val="auto"/>
              </w:rPr>
            </w:pPr>
            <w:r>
              <w:rPr>
                <w:rFonts w:ascii="Calibri" w:cs="Calibri" w:eastAsia="Calibri" w:hAnsi="Calibri"/>
                <w:sz w:val="18"/>
                <w:szCs w:val="18"/>
                <w:color w:val="auto"/>
                <w:w w:val="94"/>
              </w:rPr>
              <w:t>(337 )</w:t>
            </w:r>
          </w:p>
        </w:tc>
        <w:tc>
          <w:tcPr>
            <w:tcW w:w="140" w:type="dxa"/>
            <w:vAlign w:val="bottom"/>
            <w:shd w:val="clear" w:color="auto" w:fill="CCECFF"/>
          </w:tcPr>
          <w:p>
            <w:pPr>
              <w:spacing w:after="0"/>
              <w:rPr>
                <w:sz w:val="18"/>
                <w:szCs w:val="18"/>
                <w:color w:val="auto"/>
              </w:rPr>
            </w:pPr>
          </w:p>
        </w:tc>
        <w:tc>
          <w:tcPr>
            <w:tcW w:w="100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215,166</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80" w:type="dxa"/>
            <w:vAlign w:val="bottom"/>
          </w:tcPr>
          <w:p>
            <w:pPr>
              <w:spacing w:after="0" w:line="215" w:lineRule="exact"/>
              <w:rPr>
                <w:sz w:val="20"/>
                <w:szCs w:val="20"/>
                <w:color w:val="auto"/>
              </w:rPr>
            </w:pPr>
            <w:r>
              <w:rPr>
                <w:rFonts w:ascii="Calibri" w:cs="Calibri" w:eastAsia="Calibri" w:hAnsi="Calibri"/>
                <w:sz w:val="18"/>
                <w:szCs w:val="18"/>
                <w:color w:val="auto"/>
              </w:rPr>
              <w:t>Commercial paper</w:t>
            </w:r>
          </w:p>
        </w:tc>
        <w:tc>
          <w:tcPr>
            <w:tcW w:w="14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20,620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gridSpan w:val="2"/>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20,620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80" w:type="dxa"/>
            <w:vAlign w:val="bottom"/>
            <w:shd w:val="clear" w:color="auto" w:fill="CCECFF"/>
          </w:tcPr>
          <w:p>
            <w:pPr>
              <w:spacing w:after="0" w:line="216" w:lineRule="exact"/>
              <w:rPr>
                <w:sz w:val="20"/>
                <w:szCs w:val="20"/>
                <w:color w:val="auto"/>
              </w:rPr>
            </w:pPr>
            <w:r>
              <w:rPr>
                <w:rFonts w:ascii="Calibri" w:cs="Calibri" w:eastAsia="Calibri" w:hAnsi="Calibri"/>
                <w:sz w:val="18"/>
                <w:szCs w:val="18"/>
                <w:color w:val="auto"/>
              </w:rPr>
              <w:t>Asset-backed securites</w:t>
            </w:r>
          </w:p>
        </w:tc>
        <w:tc>
          <w:tcPr>
            <w:tcW w:w="140" w:type="dxa"/>
            <w:vAlign w:val="bottom"/>
            <w:shd w:val="clear" w:color="auto" w:fill="CCECFF"/>
          </w:tcPr>
          <w:p>
            <w:pPr>
              <w:spacing w:after="0"/>
              <w:rPr>
                <w:sz w:val="18"/>
                <w:szCs w:val="18"/>
                <w:color w:val="auto"/>
              </w:rPr>
            </w:pPr>
          </w:p>
        </w:tc>
        <w:tc>
          <w:tcPr>
            <w:tcW w:w="100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2,715</w:t>
            </w:r>
          </w:p>
        </w:tc>
        <w:tc>
          <w:tcPr>
            <w:tcW w:w="24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CECFF"/>
          </w:tcPr>
          <w:p>
            <w:pPr>
              <w:spacing w:after="0"/>
              <w:rPr>
                <w:sz w:val="18"/>
                <w:szCs w:val="18"/>
                <w:color w:val="auto"/>
              </w:rPr>
            </w:pPr>
          </w:p>
        </w:tc>
        <w:tc>
          <w:tcPr>
            <w:tcW w:w="800" w:type="dxa"/>
            <w:vAlign w:val="bottom"/>
            <w:shd w:val="clear" w:color="auto" w:fill="CCECFF"/>
          </w:tcPr>
          <w:p>
            <w:pPr>
              <w:spacing w:after="0"/>
              <w:rPr>
                <w:sz w:val="18"/>
                <w:szCs w:val="18"/>
                <w:color w:val="auto"/>
              </w:rPr>
            </w:pPr>
          </w:p>
        </w:tc>
        <w:tc>
          <w:tcPr>
            <w:tcW w:w="600" w:type="dxa"/>
            <w:vAlign w:val="bottom"/>
            <w:gridSpan w:val="2"/>
            <w:shd w:val="clear" w:color="auto" w:fill="CCECFF"/>
          </w:tcPr>
          <w:p>
            <w:pPr>
              <w:jc w:val="right"/>
              <w:ind w:right="90"/>
              <w:spacing w:after="0" w:line="216" w:lineRule="exact"/>
              <w:rPr>
                <w:sz w:val="20"/>
                <w:szCs w:val="20"/>
                <w:color w:val="auto"/>
              </w:rPr>
            </w:pPr>
            <w:r>
              <w:rPr>
                <w:rFonts w:ascii="Calibri" w:cs="Calibri" w:eastAsia="Calibri" w:hAnsi="Calibri"/>
                <w:sz w:val="18"/>
                <w:szCs w:val="18"/>
                <w:color w:val="auto"/>
              </w:rPr>
              <w:t>(3 )</w:t>
            </w:r>
          </w:p>
        </w:tc>
        <w:tc>
          <w:tcPr>
            <w:tcW w:w="140" w:type="dxa"/>
            <w:vAlign w:val="bottom"/>
            <w:shd w:val="clear" w:color="auto" w:fill="CCECFF"/>
          </w:tcPr>
          <w:p>
            <w:pPr>
              <w:spacing w:after="0"/>
              <w:rPr>
                <w:sz w:val="18"/>
                <w:szCs w:val="18"/>
                <w:color w:val="auto"/>
              </w:rPr>
            </w:pPr>
          </w:p>
        </w:tc>
        <w:tc>
          <w:tcPr>
            <w:tcW w:w="100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2,712</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80" w:type="dxa"/>
            <w:vAlign w:val="bottom"/>
          </w:tcPr>
          <w:p>
            <w:pPr>
              <w:spacing w:after="0" w:line="215" w:lineRule="exact"/>
              <w:rPr>
                <w:sz w:val="20"/>
                <w:szCs w:val="20"/>
                <w:color w:val="auto"/>
              </w:rPr>
            </w:pPr>
            <w:r>
              <w:rPr>
                <w:rFonts w:ascii="Calibri" w:cs="Calibri" w:eastAsia="Calibri" w:hAnsi="Calibri"/>
                <w:sz w:val="18"/>
                <w:szCs w:val="18"/>
                <w:color w:val="auto"/>
              </w:rPr>
              <w:t>U.S. Government Treasury and agency securites</w:t>
            </w:r>
          </w:p>
        </w:tc>
        <w:tc>
          <w:tcPr>
            <w:tcW w:w="14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316,160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982</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gridSpan w:val="2"/>
          </w:tcPr>
          <w:p>
            <w:pPr>
              <w:jc w:val="right"/>
              <w:ind w:right="90"/>
              <w:spacing w:after="0" w:line="215" w:lineRule="exact"/>
              <w:rPr>
                <w:sz w:val="20"/>
                <w:szCs w:val="20"/>
                <w:color w:val="auto"/>
              </w:rPr>
            </w:pPr>
            <w:r>
              <w:rPr>
                <w:rFonts w:ascii="Calibri" w:cs="Calibri" w:eastAsia="Calibri" w:hAnsi="Calibri"/>
                <w:sz w:val="18"/>
                <w:szCs w:val="18"/>
                <w:color w:val="auto"/>
                <w:w w:val="94"/>
              </w:rPr>
              <w:t>(100 )</w:t>
            </w:r>
          </w:p>
        </w:tc>
        <w:tc>
          <w:tcPr>
            <w:tcW w:w="14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317,042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80" w:type="dxa"/>
            <w:vAlign w:val="bottom"/>
            <w:tcBorders>
              <w:top w:val="single" w:sz="8" w:color="CCECFF"/>
              <w:bottom w:val="single" w:sz="8" w:color="CCECFF"/>
            </w:tcBorders>
            <w:shd w:val="clear" w:color="auto" w:fill="CCECFF"/>
          </w:tcPr>
          <w:p>
            <w:pPr>
              <w:ind w:left="180"/>
              <w:spacing w:after="0" w:line="210" w:lineRule="exact"/>
              <w:rPr>
                <w:sz w:val="20"/>
                <w:szCs w:val="20"/>
                <w:color w:val="auto"/>
              </w:rPr>
            </w:pPr>
            <w:r>
              <w:rPr>
                <w:rFonts w:ascii="Calibri" w:cs="Calibri" w:eastAsia="Calibri" w:hAnsi="Calibri"/>
                <w:sz w:val="18"/>
                <w:szCs w:val="18"/>
                <w:color w:val="auto"/>
              </w:rPr>
              <w:t>Total</w:t>
            </w:r>
          </w:p>
        </w:tc>
        <w:tc>
          <w:tcPr>
            <w:tcW w:w="140" w:type="dxa"/>
            <w:vAlign w:val="bottom"/>
            <w:tcBorders>
              <w:top w:val="single" w:sz="8" w:color="auto"/>
              <w:bottom w:val="single" w:sz="8" w:color="auto"/>
            </w:tcBorders>
            <w:shd w:val="clear" w:color="auto" w:fill="CCEC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000" w:type="dxa"/>
            <w:vAlign w:val="bottom"/>
            <w:tcBorders>
              <w:top w:val="single" w:sz="8" w:color="auto"/>
              <w:bottom w:val="single" w:sz="8" w:color="auto"/>
            </w:tcBorders>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734,562</w:t>
            </w:r>
          </w:p>
        </w:tc>
        <w:tc>
          <w:tcPr>
            <w:tcW w:w="240" w:type="dxa"/>
            <w:vAlign w:val="bottom"/>
            <w:tcBorders>
              <w:top w:val="single" w:sz="8" w:color="CCECFF"/>
              <w:bottom w:val="single" w:sz="8" w:color="CCECFF"/>
            </w:tcBorders>
            <w:shd w:val="clear" w:color="auto" w:fill="CCECFF"/>
          </w:tcPr>
          <w:p>
            <w:pPr>
              <w:spacing w:after="0"/>
              <w:rPr>
                <w:sz w:val="21"/>
                <w:szCs w:val="21"/>
                <w:color w:val="auto"/>
              </w:rPr>
            </w:pPr>
          </w:p>
        </w:tc>
        <w:tc>
          <w:tcPr>
            <w:tcW w:w="240" w:type="dxa"/>
            <w:vAlign w:val="bottom"/>
            <w:tcBorders>
              <w:top w:val="single" w:sz="8" w:color="auto"/>
              <w:bottom w:val="single" w:sz="8" w:color="auto"/>
            </w:tcBorders>
            <w:shd w:val="clear" w:color="auto" w:fill="CCECFF"/>
          </w:tcPr>
          <w:p>
            <w:pPr>
              <w:jc w:val="right"/>
              <w:ind w:right="30"/>
              <w:spacing w:after="0" w:line="210" w:lineRule="exact"/>
              <w:rPr>
                <w:sz w:val="20"/>
                <w:szCs w:val="20"/>
                <w:color w:val="auto"/>
              </w:rPr>
            </w:pPr>
            <w:r>
              <w:rPr>
                <w:rFonts w:ascii="Calibri" w:cs="Calibri" w:eastAsia="Calibri" w:hAnsi="Calibri"/>
                <w:sz w:val="18"/>
                <w:szCs w:val="18"/>
                <w:color w:val="auto"/>
              </w:rPr>
              <w:t>$</w:t>
            </w:r>
          </w:p>
        </w:tc>
        <w:tc>
          <w:tcPr>
            <w:tcW w:w="920" w:type="dxa"/>
            <w:vAlign w:val="bottom"/>
            <w:tcBorders>
              <w:top w:val="single" w:sz="8" w:color="auto"/>
              <w:bottom w:val="single" w:sz="8" w:color="auto"/>
            </w:tcBorders>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1,693</w:t>
            </w:r>
          </w:p>
        </w:tc>
        <w:tc>
          <w:tcPr>
            <w:tcW w:w="240" w:type="dxa"/>
            <w:vAlign w:val="bottom"/>
            <w:tcBorders>
              <w:top w:val="single" w:sz="8" w:color="CCECFF"/>
              <w:bottom w:val="single" w:sz="8" w:color="CCECFF"/>
            </w:tcBorders>
            <w:shd w:val="clear" w:color="auto" w:fill="CCECFF"/>
          </w:tcPr>
          <w:p>
            <w:pPr>
              <w:spacing w:after="0"/>
              <w:rPr>
                <w:sz w:val="21"/>
                <w:szCs w:val="21"/>
                <w:color w:val="auto"/>
              </w:rPr>
            </w:pPr>
          </w:p>
        </w:tc>
        <w:tc>
          <w:tcPr>
            <w:tcW w:w="800" w:type="dxa"/>
            <w:vAlign w:val="bottom"/>
            <w:tcBorders>
              <w:top w:val="single" w:sz="8" w:color="auto"/>
              <w:bottom w:val="single" w:sz="8" w:color="auto"/>
            </w:tcBorders>
            <w:shd w:val="clear" w:color="auto" w:fill="CCECFF"/>
          </w:tcPr>
          <w:p>
            <w:pPr>
              <w:jc w:val="right"/>
              <w:ind w:right="610"/>
              <w:spacing w:after="0" w:line="210" w:lineRule="exact"/>
              <w:rPr>
                <w:sz w:val="20"/>
                <w:szCs w:val="20"/>
                <w:color w:val="auto"/>
              </w:rPr>
            </w:pPr>
            <w:r>
              <w:rPr>
                <w:rFonts w:ascii="Calibri" w:cs="Calibri" w:eastAsia="Calibri" w:hAnsi="Calibri"/>
                <w:sz w:val="18"/>
                <w:szCs w:val="18"/>
                <w:color w:val="auto"/>
                <w:w w:val="87"/>
              </w:rPr>
              <w:t>$</w:t>
            </w:r>
          </w:p>
        </w:tc>
        <w:tc>
          <w:tcPr>
            <w:tcW w:w="340" w:type="dxa"/>
            <w:vAlign w:val="bottom"/>
            <w:tcBorders>
              <w:top w:val="single" w:sz="8" w:color="auto"/>
              <w:bottom w:val="single" w:sz="8" w:color="auto"/>
            </w:tcBorders>
            <w:shd w:val="clear" w:color="auto" w:fill="CCECFF"/>
          </w:tcPr>
          <w:p>
            <w:pPr>
              <w:jc w:val="right"/>
              <w:spacing w:after="0" w:line="210" w:lineRule="exact"/>
              <w:rPr>
                <w:sz w:val="20"/>
                <w:szCs w:val="20"/>
                <w:color w:val="auto"/>
              </w:rPr>
            </w:pPr>
            <w:r>
              <w:rPr>
                <w:rFonts w:ascii="Calibri" w:cs="Calibri" w:eastAsia="Calibri" w:hAnsi="Calibri"/>
                <w:sz w:val="18"/>
                <w:szCs w:val="18"/>
                <w:color w:val="auto"/>
                <w:w w:val="91"/>
              </w:rPr>
              <w:t>(440</w:t>
            </w:r>
          </w:p>
        </w:tc>
        <w:tc>
          <w:tcPr>
            <w:tcW w:w="260" w:type="dxa"/>
            <w:vAlign w:val="bottom"/>
            <w:tcBorders>
              <w:top w:val="single" w:sz="8" w:color="CCECFF"/>
              <w:bottom w:val="single" w:sz="8" w:color="CCECFF"/>
            </w:tcBorders>
            <w:shd w:val="clear" w:color="auto" w:fill="CCECFF"/>
          </w:tcPr>
          <w:p>
            <w:pPr>
              <w:jc w:val="right"/>
              <w:ind w:right="90"/>
              <w:spacing w:after="0" w:line="196" w:lineRule="exact"/>
              <w:rPr>
                <w:sz w:val="20"/>
                <w:szCs w:val="20"/>
                <w:color w:val="auto"/>
              </w:rPr>
            </w:pPr>
            <w:r>
              <w:rPr>
                <w:rFonts w:ascii="Calibri" w:cs="Calibri" w:eastAsia="Calibri" w:hAnsi="Calibri"/>
                <w:sz w:val="18"/>
                <w:szCs w:val="18"/>
                <w:color w:val="auto"/>
              </w:rPr>
              <w:t>)</w:t>
            </w:r>
          </w:p>
        </w:tc>
        <w:tc>
          <w:tcPr>
            <w:tcW w:w="140" w:type="dxa"/>
            <w:vAlign w:val="bottom"/>
            <w:tcBorders>
              <w:top w:val="single" w:sz="8" w:color="auto"/>
              <w:bottom w:val="single" w:sz="8" w:color="auto"/>
            </w:tcBorders>
            <w:shd w:val="clear" w:color="auto" w:fill="CCEC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000" w:type="dxa"/>
            <w:vAlign w:val="bottom"/>
            <w:tcBorders>
              <w:top w:val="single" w:sz="8" w:color="auto"/>
              <w:bottom w:val="single" w:sz="8" w:color="auto"/>
            </w:tcBorders>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735,815</w:t>
            </w:r>
          </w:p>
        </w:tc>
        <w:tc>
          <w:tcPr>
            <w:tcW w:w="100" w:type="dxa"/>
            <w:vAlign w:val="bottom"/>
            <w:tcBorders>
              <w:top w:val="single" w:sz="8" w:color="CCECFF"/>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4938395</wp:posOffset>
            </wp:positionH>
            <wp:positionV relativeFrom="paragraph">
              <wp:posOffset>-1160780</wp:posOffset>
            </wp:positionV>
            <wp:extent cx="85090" cy="17970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68">
                      <a:extLst>
                        <a:ext uri="{28A0092B-C50C-407E-A947-70E740481C1C}"/>
                      </a:extLst>
                    </a:blip>
                    <a:srcRect/>
                    <a:stretch>
                      <a:fillRect/>
                    </a:stretch>
                  </pic:blipFill>
                  <pic:spPr bwMode="auto">
                    <a:xfrm>
                      <a:off x="0" y="0"/>
                      <a:ext cx="85090" cy="179705"/>
                    </a:xfrm>
                    <a:prstGeom prst="rect">
                      <a:avLst/>
                    </a:prstGeom>
                    <a:noFill/>
                  </pic:spPr>
                </pic:pic>
              </a:graphicData>
            </a:graphic>
          </wp:anchor>
        </w:drawing>
        <w:drawing>
          <wp:anchor simplePos="0" relativeHeight="251657728" behindDoc="1" locked="0" layoutInCell="0" allowOverlap="1">
            <wp:simplePos x="0" y="0"/>
            <wp:positionH relativeFrom="column">
              <wp:posOffset>5821680</wp:posOffset>
            </wp:positionH>
            <wp:positionV relativeFrom="paragraph">
              <wp:posOffset>-1160780</wp:posOffset>
            </wp:positionV>
            <wp:extent cx="85725" cy="1797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69">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-24765</wp:posOffset>
            </wp:positionV>
            <wp:extent cx="596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-7620</wp:posOffset>
            </wp:positionV>
            <wp:extent cx="596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-170815</wp:posOffset>
            </wp:positionV>
            <wp:extent cx="596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-24765</wp:posOffset>
            </wp:positionV>
            <wp:extent cx="596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596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-170815</wp:posOffset>
            </wp:positionV>
            <wp:extent cx="596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032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032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-170815</wp:posOffset>
            </wp:positionV>
            <wp:extent cx="6032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8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At December 31, 2024, the remaining contractual maturites of available-for-sale securites were less than three years. There have been no signifcant realized gains or losses on available-for-sale securites for the periods presented. All marketable securites with unrealized losses at December 31, 2024 have been in a loss positon for less than 12 months or the loss is not material and is temporary in nature.</w:t>
      </w:r>
    </w:p>
    <w:p>
      <w:pPr>
        <w:jc w:val="center"/>
        <w:ind w:right="-79"/>
        <w:spacing w:after="0" w:line="237" w:lineRule="auto"/>
        <w:rPr>
          <w:sz w:val="20"/>
          <w:szCs w:val="20"/>
          <w:color w:val="auto"/>
        </w:rPr>
      </w:pPr>
      <w:r>
        <w:rPr>
          <w:rFonts w:ascii="Calibri" w:cs="Calibri" w:eastAsia="Calibri" w:hAnsi="Calibri"/>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111" w:name="page112"/>
    <w:bookmarkEnd w:id="111"/>
    <w:p>
      <w:pPr>
        <w:ind w:left="384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740" w:type="dxa"/>
            <w:vAlign w:val="bottom"/>
            <w:gridSpan w:val="2"/>
          </w:tcPr>
          <w:p>
            <w:pPr>
              <w:spacing w:after="0"/>
              <w:rPr>
                <w:sz w:val="20"/>
                <w:szCs w:val="20"/>
                <w:color w:val="auto"/>
              </w:rPr>
            </w:pPr>
            <w:r>
              <w:rPr>
                <w:rFonts w:ascii="Calibri" w:cs="Calibri" w:eastAsia="Calibri" w:hAnsi="Calibri"/>
                <w:sz w:val="18"/>
                <w:szCs w:val="18"/>
                <w:b w:val="1"/>
                <w:bCs w:val="1"/>
                <w:color w:val="auto"/>
              </w:rPr>
              <w:t>Inventory</w:t>
            </w: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5740" w:type="dxa"/>
            <w:vAlign w:val="bottom"/>
            <w:gridSpan w:val="2"/>
          </w:tcPr>
          <w:p>
            <w:pPr>
              <w:ind w:left="520"/>
              <w:spacing w:after="0"/>
              <w:rPr>
                <w:sz w:val="20"/>
                <w:szCs w:val="20"/>
                <w:color w:val="auto"/>
              </w:rPr>
            </w:pPr>
            <w:r>
              <w:rPr>
                <w:rFonts w:ascii="Calibri" w:cs="Calibri" w:eastAsia="Calibri" w:hAnsi="Calibri"/>
                <w:sz w:val="18"/>
                <w:szCs w:val="18"/>
                <w:color w:val="auto"/>
              </w:rPr>
              <w:t>Inventory consists of the following (in thousands):</w:t>
            </w: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7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5"/>
          </w:tcPr>
          <w:p>
            <w:pPr>
              <w:jc w:val="right"/>
              <w:spacing w:after="0"/>
              <w:rPr>
                <w:sz w:val="20"/>
                <w:szCs w:val="20"/>
                <w:color w:val="auto"/>
              </w:rPr>
            </w:pPr>
            <w:r>
              <w:rPr>
                <w:rFonts w:ascii="Calibri" w:cs="Calibri" w:eastAsia="Calibri" w:hAnsi="Calibri"/>
                <w:sz w:val="18"/>
                <w:szCs w:val="18"/>
                <w:b w:val="1"/>
                <w:bCs w:val="1"/>
                <w:color w:val="auto"/>
              </w:rPr>
              <w:t>December 31,</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7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4"/>
          </w:tcPr>
          <w:p>
            <w:pPr>
              <w:jc w:val="right"/>
              <w:ind w:right="350"/>
              <w:spacing w:after="0" w:line="209" w:lineRule="exact"/>
              <w:rPr>
                <w:sz w:val="20"/>
                <w:szCs w:val="20"/>
                <w:color w:val="auto"/>
              </w:rPr>
            </w:pPr>
            <w:r>
              <w:rPr>
                <w:rFonts w:ascii="Calibri" w:cs="Calibri" w:eastAsia="Calibri" w:hAnsi="Calibri"/>
                <w:sz w:val="18"/>
                <w:szCs w:val="18"/>
                <w:b w:val="1"/>
                <w:bCs w:val="1"/>
                <w:color w:val="auto"/>
              </w:rPr>
              <w:t>2024</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0"/>
              <w:spacing w:after="0" w:line="209" w:lineRule="exact"/>
              <w:rPr>
                <w:sz w:val="20"/>
                <w:szCs w:val="20"/>
                <w:color w:val="auto"/>
              </w:rPr>
            </w:pPr>
            <w:r>
              <w:rPr>
                <w:rFonts w:ascii="Calibri" w:cs="Calibri" w:eastAsia="Calibri" w:hAnsi="Calibri"/>
                <w:sz w:val="18"/>
                <w:szCs w:val="18"/>
                <w:b w:val="1"/>
                <w:bCs w:val="1"/>
                <w:color w:val="auto"/>
                <w:w w:val="98"/>
              </w:rPr>
              <w:t>2023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4040" w:type="dxa"/>
            <w:vAlign w:val="bottom"/>
            <w:tcBorders>
              <w:bottom w:val="single" w:sz="8" w:color="CCECFF"/>
            </w:tcBorders>
            <w:shd w:val="clear" w:color="auto" w:fill="CCECFF"/>
          </w:tcPr>
          <w:p>
            <w:pPr>
              <w:spacing w:after="0" w:line="214" w:lineRule="exact"/>
              <w:rPr>
                <w:sz w:val="20"/>
                <w:szCs w:val="20"/>
                <w:color w:val="auto"/>
              </w:rPr>
            </w:pPr>
            <w:r>
              <w:rPr>
                <w:rFonts w:ascii="Calibri" w:cs="Calibri" w:eastAsia="Calibri" w:hAnsi="Calibri"/>
                <w:sz w:val="18"/>
                <w:szCs w:val="18"/>
                <w:color w:val="auto"/>
              </w:rPr>
              <w:t>Work-in-process</w:t>
            </w:r>
          </w:p>
        </w:tc>
        <w:tc>
          <w:tcPr>
            <w:tcW w:w="1440" w:type="dxa"/>
            <w:vAlign w:val="bottom"/>
            <w:tcBorders>
              <w:bottom w:val="single" w:sz="8" w:color="CCECFF"/>
            </w:tcBorders>
            <w:gridSpan w:val="2"/>
            <w:shd w:val="clear" w:color="auto" w:fill="CCECFF"/>
          </w:tcPr>
          <w:p>
            <w:pPr>
              <w:jc w:val="right"/>
              <w:ind w:right="210"/>
              <w:spacing w:after="0" w:line="214" w:lineRule="exact"/>
              <w:rPr>
                <w:sz w:val="20"/>
                <w:szCs w:val="20"/>
                <w:color w:val="auto"/>
              </w:rPr>
            </w:pPr>
            <w:r>
              <w:rPr>
                <w:rFonts w:ascii="Calibri" w:cs="Calibri" w:eastAsia="Calibri" w:hAnsi="Calibri"/>
                <w:sz w:val="18"/>
                <w:szCs w:val="18"/>
                <w:color w:val="auto"/>
              </w:rPr>
              <w:t>$</w:t>
            </w:r>
          </w:p>
        </w:tc>
        <w:tc>
          <w:tcPr>
            <w:tcW w:w="8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CCECFF"/>
            </w:tcBorders>
            <w:shd w:val="clear" w:color="auto" w:fill="CCECFF"/>
          </w:tcPr>
          <w:p>
            <w:pPr>
              <w:spacing w:after="0"/>
              <w:rPr>
                <w:sz w:val="18"/>
                <w:szCs w:val="18"/>
                <w:color w:val="auto"/>
              </w:rPr>
            </w:pPr>
          </w:p>
        </w:tc>
        <w:tc>
          <w:tcPr>
            <w:tcW w:w="520" w:type="dxa"/>
            <w:vAlign w:val="bottom"/>
            <w:tcBorders>
              <w:bottom w:val="single" w:sz="8" w:color="CCECFF"/>
            </w:tcBorders>
            <w:shd w:val="clear" w:color="auto" w:fill="CCECFF"/>
          </w:tcPr>
          <w:p>
            <w:pPr>
              <w:jc w:val="right"/>
              <w:spacing w:after="0" w:line="214" w:lineRule="exact"/>
              <w:rPr>
                <w:sz w:val="20"/>
                <w:szCs w:val="20"/>
                <w:color w:val="auto"/>
              </w:rPr>
            </w:pPr>
            <w:r>
              <w:rPr>
                <w:rFonts w:ascii="Calibri" w:cs="Calibri" w:eastAsia="Calibri" w:hAnsi="Calibri"/>
                <w:sz w:val="18"/>
                <w:szCs w:val="18"/>
                <w:color w:val="auto"/>
                <w:w w:val="95"/>
              </w:rPr>
              <w:t>21,967</w:t>
            </w:r>
          </w:p>
        </w:tc>
        <w:tc>
          <w:tcPr>
            <w:tcW w:w="500" w:type="dxa"/>
            <w:vAlign w:val="bottom"/>
            <w:tcBorders>
              <w:bottom w:val="single" w:sz="8" w:color="CCECFF"/>
            </w:tcBorders>
            <w:gridSpan w:val="3"/>
            <w:shd w:val="clear" w:color="auto" w:fill="CCECFF"/>
          </w:tcPr>
          <w:p>
            <w:pPr>
              <w:jc w:val="right"/>
              <w:ind w:right="180"/>
              <w:spacing w:after="0" w:line="214" w:lineRule="exact"/>
              <w:rPr>
                <w:sz w:val="20"/>
                <w:szCs w:val="20"/>
                <w:color w:val="auto"/>
              </w:rPr>
            </w:pPr>
            <w:r>
              <w:rPr>
                <w:rFonts w:ascii="Calibri" w:cs="Calibri" w:eastAsia="Calibri" w:hAnsi="Calibri"/>
                <w:sz w:val="18"/>
                <w:szCs w:val="18"/>
                <w:color w:val="auto"/>
              </w:rPr>
              <w:t>$</w:t>
            </w:r>
          </w:p>
        </w:tc>
        <w:tc>
          <w:tcPr>
            <w:tcW w:w="140" w:type="dxa"/>
            <w:vAlign w:val="bottom"/>
            <w:tcBorders>
              <w:bottom w:val="single" w:sz="8" w:color="CCECFF"/>
            </w:tcBorders>
            <w:shd w:val="clear" w:color="auto" w:fill="CCECFF"/>
          </w:tcPr>
          <w:p>
            <w:pPr>
              <w:spacing w:after="0"/>
              <w:rPr>
                <w:sz w:val="18"/>
                <w:szCs w:val="18"/>
                <w:color w:val="auto"/>
              </w:rPr>
            </w:pPr>
          </w:p>
        </w:tc>
        <w:tc>
          <w:tcPr>
            <w:tcW w:w="820" w:type="dxa"/>
            <w:vAlign w:val="bottom"/>
            <w:tcBorders>
              <w:bottom w:val="single" w:sz="8" w:color="CCECFF"/>
            </w:tcBorders>
            <w:shd w:val="clear" w:color="auto" w:fill="CCECFF"/>
          </w:tcPr>
          <w:p>
            <w:pPr>
              <w:jc w:val="right"/>
              <w:spacing w:after="0" w:line="214" w:lineRule="exact"/>
              <w:rPr>
                <w:sz w:val="20"/>
                <w:szCs w:val="20"/>
                <w:color w:val="auto"/>
              </w:rPr>
            </w:pPr>
            <w:r>
              <w:rPr>
                <w:rFonts w:ascii="Calibri" w:cs="Calibri" w:eastAsia="Calibri" w:hAnsi="Calibri"/>
                <w:sz w:val="18"/>
                <w:szCs w:val="18"/>
                <w:color w:val="auto"/>
              </w:rPr>
              <w:t>18,859</w:t>
            </w:r>
          </w:p>
        </w:tc>
        <w:tc>
          <w:tcPr>
            <w:tcW w:w="8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040" w:type="dxa"/>
            <w:vAlign w:val="bottom"/>
          </w:tcPr>
          <w:p>
            <w:pPr>
              <w:spacing w:after="0" w:line="215" w:lineRule="exact"/>
              <w:rPr>
                <w:sz w:val="20"/>
                <w:szCs w:val="20"/>
                <w:color w:val="auto"/>
              </w:rPr>
            </w:pPr>
            <w:r>
              <w:rPr>
                <w:rFonts w:ascii="Calibri" w:cs="Calibri" w:eastAsia="Calibri" w:hAnsi="Calibri"/>
                <w:sz w:val="18"/>
                <w:szCs w:val="18"/>
                <w:color w:val="auto"/>
              </w:rPr>
              <w:t>Finished goods</w:t>
            </w:r>
          </w:p>
        </w:tc>
        <w:tc>
          <w:tcPr>
            <w:tcW w:w="10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95"/>
              </w:rPr>
              <w:t>23,040</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15,110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1700" w:type="dxa"/>
            <w:vAlign w:val="bottom"/>
          </w:tcPr>
          <w:p>
            <w:pPr>
              <w:spacing w:after="0"/>
              <w:rPr>
                <w:sz w:val="22"/>
                <w:szCs w:val="22"/>
                <w:color w:val="auto"/>
              </w:rPr>
            </w:pPr>
          </w:p>
        </w:tc>
        <w:tc>
          <w:tcPr>
            <w:tcW w:w="4040" w:type="dxa"/>
            <w:vAlign w:val="bottom"/>
            <w:tcBorders>
              <w:bottom w:val="single" w:sz="8" w:color="CCECFF"/>
            </w:tcBorders>
            <w:shd w:val="clear" w:color="auto" w:fill="CCECFF"/>
          </w:tcPr>
          <w:p>
            <w:pPr>
              <w:ind w:left="180"/>
              <w:spacing w:after="0" w:line="215" w:lineRule="exact"/>
              <w:rPr>
                <w:sz w:val="20"/>
                <w:szCs w:val="20"/>
                <w:color w:val="auto"/>
              </w:rPr>
            </w:pPr>
            <w:r>
              <w:rPr>
                <w:rFonts w:ascii="Calibri" w:cs="Calibri" w:eastAsia="Calibri" w:hAnsi="Calibri"/>
                <w:sz w:val="18"/>
                <w:szCs w:val="18"/>
                <w:color w:val="auto"/>
              </w:rPr>
              <w:t>Total inventory</w:t>
            </w:r>
          </w:p>
        </w:tc>
        <w:tc>
          <w:tcPr>
            <w:tcW w:w="1040" w:type="dxa"/>
            <w:vAlign w:val="bottom"/>
            <w:tcBorders>
              <w:bottom w:val="single" w:sz="8" w:color="CCECFF"/>
            </w:tcBorders>
            <w:shd w:val="clear" w:color="auto" w:fill="CCEC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line="215" w:lineRule="exact"/>
              <w:rPr>
                <w:sz w:val="20"/>
                <w:szCs w:val="20"/>
                <w:color w:val="auto"/>
              </w:rPr>
            </w:pPr>
            <w:r>
              <w:rPr>
                <w:rFonts w:ascii="Calibri" w:cs="Calibri" w:eastAsia="Calibri" w:hAnsi="Calibri"/>
                <w:sz w:val="18"/>
                <w:szCs w:val="18"/>
                <w:color w:val="auto"/>
                <w:w w:val="87"/>
              </w:rPr>
              <w:t>$</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w w:val="95"/>
              </w:rPr>
              <w:t>45,007</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gridSpan w:val="2"/>
            <w:shd w:val="clear" w:color="auto" w:fill="CCEEFF"/>
          </w:tcPr>
          <w:p>
            <w:pPr>
              <w:jc w:val="right"/>
              <w:ind w:right="180"/>
              <w:spacing w:after="0" w:line="215" w:lineRule="exact"/>
              <w:rPr>
                <w:sz w:val="20"/>
                <w:szCs w:val="20"/>
                <w:color w:val="auto"/>
              </w:rPr>
            </w:pPr>
            <w:r>
              <w:rPr>
                <w:rFonts w:ascii="Calibri" w:cs="Calibri" w:eastAsia="Calibri" w:hAnsi="Calibri"/>
                <w:sz w:val="18"/>
                <w:szCs w:val="18"/>
                <w:color w:val="auto"/>
                <w:w w:val="87"/>
              </w:rPr>
              <w:t>$</w:t>
            </w:r>
          </w:p>
        </w:tc>
        <w:tc>
          <w:tcPr>
            <w:tcW w:w="1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33,969</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5740" w:type="dxa"/>
            <w:vAlign w:val="bottom"/>
            <w:gridSpan w:val="2"/>
          </w:tcPr>
          <w:p>
            <w:pPr>
              <w:spacing w:after="0"/>
              <w:rPr>
                <w:sz w:val="20"/>
                <w:szCs w:val="20"/>
                <w:color w:val="auto"/>
              </w:rPr>
            </w:pPr>
            <w:r>
              <w:rPr>
                <w:rFonts w:ascii="Calibri" w:cs="Calibri" w:eastAsia="Calibri" w:hAnsi="Calibri"/>
                <w:sz w:val="18"/>
                <w:szCs w:val="18"/>
                <w:b w:val="1"/>
                <w:bCs w:val="1"/>
                <w:color w:val="auto"/>
              </w:rPr>
              <w:t>Property, Plant, and Equipment, net</w:t>
            </w: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180" w:type="dxa"/>
            <w:vAlign w:val="bottom"/>
            <w:gridSpan w:val="4"/>
          </w:tcPr>
          <w:p>
            <w:pPr>
              <w:ind w:left="520"/>
              <w:spacing w:after="0"/>
              <w:rPr>
                <w:sz w:val="20"/>
                <w:szCs w:val="20"/>
                <w:color w:val="auto"/>
              </w:rPr>
            </w:pPr>
            <w:r>
              <w:rPr>
                <w:rFonts w:ascii="Calibri" w:cs="Calibri" w:eastAsia="Calibri" w:hAnsi="Calibri"/>
                <w:sz w:val="18"/>
                <w:szCs w:val="18"/>
                <w:color w:val="auto"/>
              </w:rPr>
              <w:t>Property, plant, and equipment, net consists of the following (in thousands):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7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7"/>
          </w:tcPr>
          <w:p>
            <w:pPr>
              <w:jc w:val="right"/>
              <w:ind w:right="640"/>
              <w:spacing w:after="0"/>
              <w:rPr>
                <w:sz w:val="20"/>
                <w:szCs w:val="20"/>
                <w:color w:val="auto"/>
              </w:rPr>
            </w:pPr>
            <w:r>
              <w:rPr>
                <w:rFonts w:ascii="Calibri" w:cs="Calibri" w:eastAsia="Calibri" w:hAnsi="Calibri"/>
                <w:sz w:val="18"/>
                <w:szCs w:val="18"/>
                <w:b w:val="1"/>
                <w:bCs w:val="1"/>
                <w:color w:val="auto"/>
              </w:rPr>
              <w:t>December 31,</w:t>
            </w:r>
          </w:p>
        </w:tc>
        <w:tc>
          <w:tcPr>
            <w:tcW w:w="0" w:type="dxa"/>
            <w:vAlign w:val="bottom"/>
          </w:tcPr>
          <w:p>
            <w:pPr>
              <w:spacing w:after="0"/>
              <w:rPr>
                <w:sz w:val="1"/>
                <w:szCs w:val="1"/>
                <w:color w:val="auto"/>
              </w:rPr>
            </w:pPr>
          </w:p>
        </w:tc>
      </w:tr>
      <w:tr>
        <w:trPr>
          <w:trHeight w:val="23"/>
        </w:trPr>
        <w:tc>
          <w:tcPr>
            <w:tcW w:w="17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440" w:type="dxa"/>
            <w:vAlign w:val="bottom"/>
            <w:gridSpan w:val="2"/>
            <w:vMerge w:val="restart"/>
          </w:tcPr>
          <w:p>
            <w:pPr>
              <w:jc w:val="center"/>
              <w:spacing w:after="0"/>
              <w:rPr>
                <w:sz w:val="20"/>
                <w:szCs w:val="20"/>
                <w:color w:val="auto"/>
              </w:rPr>
            </w:pPr>
            <w:r>
              <w:rPr>
                <w:rFonts w:ascii="Calibri" w:cs="Calibri" w:eastAsia="Calibri" w:hAnsi="Calibri"/>
                <w:sz w:val="18"/>
                <w:szCs w:val="18"/>
                <w:b w:val="1"/>
                <w:bCs w:val="1"/>
                <w:color w:val="auto"/>
                <w:w w:val="97"/>
              </w:rPr>
              <w:t>Useful life (years)</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4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2024</w:t>
            </w: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0"/>
              <w:spacing w:after="0" w:line="209" w:lineRule="exact"/>
              <w:rPr>
                <w:sz w:val="20"/>
                <w:szCs w:val="20"/>
                <w:color w:val="auto"/>
              </w:rPr>
            </w:pPr>
            <w:r>
              <w:rPr>
                <w:rFonts w:ascii="Calibri" w:cs="Calibri" w:eastAsia="Calibri" w:hAnsi="Calibri"/>
                <w:sz w:val="18"/>
                <w:szCs w:val="18"/>
                <w:b w:val="1"/>
                <w:bCs w:val="1"/>
                <w:color w:val="auto"/>
              </w:rPr>
              <w:t>2023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4040" w:type="dxa"/>
            <w:vAlign w:val="bottom"/>
            <w:shd w:val="clear" w:color="auto" w:fill="CCECFF"/>
          </w:tcPr>
          <w:p>
            <w:pPr>
              <w:spacing w:after="0" w:line="210" w:lineRule="exact"/>
              <w:rPr>
                <w:sz w:val="20"/>
                <w:szCs w:val="20"/>
                <w:color w:val="auto"/>
              </w:rPr>
            </w:pPr>
            <w:r>
              <w:rPr>
                <w:rFonts w:ascii="Calibri" w:cs="Calibri" w:eastAsia="Calibri" w:hAnsi="Calibri"/>
                <w:sz w:val="18"/>
                <w:szCs w:val="18"/>
                <w:color w:val="auto"/>
              </w:rPr>
              <w:t>Building</w:t>
            </w:r>
          </w:p>
        </w:tc>
        <w:tc>
          <w:tcPr>
            <w:tcW w:w="1040" w:type="dxa"/>
            <w:vAlign w:val="bottom"/>
            <w:shd w:val="clear" w:color="auto" w:fill="CCECFF"/>
          </w:tcPr>
          <w:p>
            <w:pPr>
              <w:jc w:val="center"/>
              <w:ind w:left="390"/>
              <w:spacing w:after="0" w:line="210" w:lineRule="exact"/>
              <w:rPr>
                <w:sz w:val="20"/>
                <w:szCs w:val="20"/>
                <w:color w:val="auto"/>
              </w:rPr>
            </w:pPr>
            <w:r>
              <w:rPr>
                <w:rFonts w:ascii="Calibri" w:cs="Calibri" w:eastAsia="Calibri" w:hAnsi="Calibri"/>
                <w:sz w:val="18"/>
                <w:szCs w:val="18"/>
                <w:color w:val="auto"/>
                <w:w w:val="95"/>
              </w:rPr>
              <w:t>20-30</w:t>
            </w:r>
          </w:p>
        </w:tc>
        <w:tc>
          <w:tcPr>
            <w:tcW w:w="400" w:type="dxa"/>
            <w:vAlign w:val="bottom"/>
            <w:shd w:val="clear" w:color="auto" w:fill="CCECFF"/>
          </w:tcPr>
          <w:p>
            <w:pPr>
              <w:spacing w:after="0"/>
              <w:rPr>
                <w:sz w:val="18"/>
                <w:szCs w:val="18"/>
                <w:color w:val="auto"/>
              </w:rPr>
            </w:pPr>
          </w:p>
        </w:tc>
        <w:tc>
          <w:tcPr>
            <w:tcW w:w="320" w:type="dxa"/>
            <w:vAlign w:val="bottom"/>
            <w:gridSpan w:val="3"/>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w:t>
            </w:r>
          </w:p>
        </w:tc>
        <w:tc>
          <w:tcPr>
            <w:tcW w:w="820" w:type="dxa"/>
            <w:vAlign w:val="bottom"/>
            <w:gridSpan w:val="3"/>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181,576</w:t>
            </w:r>
          </w:p>
        </w:tc>
        <w:tc>
          <w:tcPr>
            <w:tcW w:w="200" w:type="dxa"/>
            <w:vAlign w:val="bottom"/>
            <w:shd w:val="clear" w:color="auto" w:fill="CCECFF"/>
          </w:tcPr>
          <w:p>
            <w:pPr>
              <w:spacing w:after="0"/>
              <w:rPr>
                <w:sz w:val="18"/>
                <w:szCs w:val="18"/>
                <w:color w:val="auto"/>
              </w:rPr>
            </w:pPr>
          </w:p>
        </w:tc>
        <w:tc>
          <w:tcPr>
            <w:tcW w:w="14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w:t>
            </w:r>
          </w:p>
        </w:tc>
        <w:tc>
          <w:tcPr>
            <w:tcW w:w="82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181,356</w:t>
            </w:r>
          </w:p>
        </w:tc>
        <w:tc>
          <w:tcPr>
            <w:tcW w:w="8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70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440" w:type="dxa"/>
            <w:vAlign w:val="bottom"/>
            <w:gridSpan w:val="2"/>
          </w:tcPr>
          <w:p>
            <w:pPr>
              <w:jc w:val="center"/>
              <w:spacing w:after="0" w:line="194" w:lineRule="exact"/>
              <w:rPr>
                <w:sz w:val="20"/>
                <w:szCs w:val="20"/>
                <w:color w:val="auto"/>
              </w:rPr>
            </w:pPr>
            <w:r>
              <w:rPr>
                <w:rFonts w:ascii="Calibri" w:cs="Calibri" w:eastAsia="Calibri" w:hAnsi="Calibri"/>
                <w:sz w:val="18"/>
                <w:szCs w:val="18"/>
                <w:color w:val="auto"/>
                <w:w w:val="96"/>
              </w:rPr>
              <w:t>Shorter of lease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4040" w:type="dxa"/>
            <w:vAlign w:val="bottom"/>
          </w:tcPr>
          <w:p>
            <w:pPr>
              <w:spacing w:after="0" w:line="215" w:lineRule="exact"/>
              <w:rPr>
                <w:sz w:val="20"/>
                <w:szCs w:val="20"/>
                <w:color w:val="auto"/>
              </w:rPr>
            </w:pPr>
            <w:r>
              <w:rPr>
                <w:rFonts w:ascii="Calibri" w:cs="Calibri" w:eastAsia="Calibri" w:hAnsi="Calibri"/>
                <w:sz w:val="18"/>
                <w:szCs w:val="18"/>
                <w:color w:val="auto"/>
              </w:rPr>
              <w:t>Leasehold improvements</w:t>
            </w:r>
          </w:p>
        </w:tc>
        <w:tc>
          <w:tcPr>
            <w:tcW w:w="1440" w:type="dxa"/>
            <w:vAlign w:val="bottom"/>
            <w:gridSpan w:val="2"/>
          </w:tcPr>
          <w:p>
            <w:pPr>
              <w:jc w:val="center"/>
              <w:spacing w:after="0" w:line="215" w:lineRule="exact"/>
              <w:rPr>
                <w:sz w:val="20"/>
                <w:szCs w:val="20"/>
                <w:color w:val="auto"/>
              </w:rPr>
            </w:pPr>
            <w:r>
              <w:rPr>
                <w:rFonts w:ascii="Calibri" w:cs="Calibri" w:eastAsia="Calibri" w:hAnsi="Calibri"/>
                <w:sz w:val="18"/>
                <w:szCs w:val="18"/>
                <w:color w:val="auto"/>
              </w:rPr>
              <w:t>term or estmated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440" w:type="dxa"/>
            <w:vAlign w:val="bottom"/>
            <w:gridSpan w:val="2"/>
          </w:tcPr>
          <w:p>
            <w:pPr>
              <w:jc w:val="center"/>
              <w:spacing w:after="0" w:line="216" w:lineRule="exact"/>
              <w:rPr>
                <w:sz w:val="20"/>
                <w:szCs w:val="20"/>
                <w:color w:val="auto"/>
              </w:rPr>
            </w:pPr>
            <w:r>
              <w:rPr>
                <w:rFonts w:ascii="Calibri" w:cs="Calibri" w:eastAsia="Calibri" w:hAnsi="Calibri"/>
                <w:sz w:val="18"/>
                <w:szCs w:val="18"/>
                <w:color w:val="auto"/>
                <w:w w:val="98"/>
              </w:rPr>
              <w:t>useful life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spacing w:after="0" w:line="216" w:lineRule="exact"/>
              <w:rPr>
                <w:sz w:val="20"/>
                <w:szCs w:val="20"/>
                <w:color w:val="auto"/>
              </w:rPr>
            </w:pPr>
            <w:r>
              <w:rPr>
                <w:rFonts w:ascii="Calibri" w:cs="Calibri" w:eastAsia="Calibri" w:hAnsi="Calibri"/>
                <w:sz w:val="18"/>
                <w:szCs w:val="18"/>
                <w:color w:val="auto"/>
              </w:rPr>
              <w:t>58,021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line="216" w:lineRule="exact"/>
              <w:rPr>
                <w:sz w:val="20"/>
                <w:szCs w:val="20"/>
                <w:color w:val="auto"/>
              </w:rPr>
            </w:pPr>
            <w:r>
              <w:rPr>
                <w:rFonts w:ascii="Calibri" w:cs="Calibri" w:eastAsia="Calibri" w:hAnsi="Calibri"/>
                <w:sz w:val="18"/>
                <w:szCs w:val="18"/>
                <w:color w:val="auto"/>
              </w:rPr>
              <w:t>58,683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7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00" w:type="dxa"/>
            <w:vAlign w:val="bottom"/>
          </w:tcPr>
          <w:p>
            <w:pPr>
              <w:spacing w:after="0"/>
              <w:rPr>
                <w:sz w:val="18"/>
                <w:szCs w:val="18"/>
                <w:color w:val="auto"/>
              </w:rPr>
            </w:pPr>
          </w:p>
        </w:tc>
        <w:tc>
          <w:tcPr>
            <w:tcW w:w="4040" w:type="dxa"/>
            <w:vAlign w:val="bottom"/>
            <w:shd w:val="clear" w:color="auto" w:fill="CCECFF"/>
          </w:tcPr>
          <w:p>
            <w:pPr>
              <w:spacing w:after="0" w:line="215" w:lineRule="exact"/>
              <w:rPr>
                <w:sz w:val="20"/>
                <w:szCs w:val="20"/>
                <w:color w:val="auto"/>
              </w:rPr>
            </w:pPr>
            <w:r>
              <w:rPr>
                <w:rFonts w:ascii="Calibri" w:cs="Calibri" w:eastAsia="Calibri" w:hAnsi="Calibri"/>
                <w:sz w:val="18"/>
                <w:szCs w:val="18"/>
                <w:color w:val="auto"/>
              </w:rPr>
              <w:t>Research and development equipment</w:t>
            </w:r>
          </w:p>
        </w:tc>
        <w:tc>
          <w:tcPr>
            <w:tcW w:w="1040" w:type="dxa"/>
            <w:vAlign w:val="bottom"/>
            <w:shd w:val="clear" w:color="auto" w:fill="CCECFF"/>
          </w:tcPr>
          <w:p>
            <w:pPr>
              <w:jc w:val="center"/>
              <w:ind w:left="390"/>
              <w:spacing w:after="0" w:line="215" w:lineRule="exact"/>
              <w:rPr>
                <w:sz w:val="20"/>
                <w:szCs w:val="20"/>
                <w:color w:val="auto"/>
              </w:rPr>
            </w:pPr>
            <w:r>
              <w:rPr>
                <w:rFonts w:ascii="Calibri" w:cs="Calibri" w:eastAsia="Calibri" w:hAnsi="Calibri"/>
                <w:sz w:val="18"/>
                <w:szCs w:val="18"/>
                <w:color w:val="auto"/>
                <w:w w:val="87"/>
              </w:rPr>
              <w:t>5</w:t>
            </w:r>
          </w:p>
        </w:tc>
        <w:tc>
          <w:tcPr>
            <w:tcW w:w="40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820" w:type="dxa"/>
            <w:vAlign w:val="bottom"/>
            <w:gridSpan w:val="3"/>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60,233</w:t>
            </w:r>
          </w:p>
        </w:tc>
        <w:tc>
          <w:tcPr>
            <w:tcW w:w="20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56,347</w:t>
            </w:r>
          </w:p>
        </w:tc>
        <w:tc>
          <w:tcPr>
            <w:tcW w:w="8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4040" w:type="dxa"/>
            <w:vAlign w:val="bottom"/>
          </w:tcPr>
          <w:p>
            <w:pPr>
              <w:spacing w:after="0" w:line="215" w:lineRule="exact"/>
              <w:rPr>
                <w:sz w:val="20"/>
                <w:szCs w:val="20"/>
                <w:color w:val="auto"/>
              </w:rPr>
            </w:pPr>
            <w:r>
              <w:rPr>
                <w:rFonts w:ascii="Calibri" w:cs="Calibri" w:eastAsia="Calibri" w:hAnsi="Calibri"/>
                <w:sz w:val="18"/>
                <w:szCs w:val="18"/>
                <w:color w:val="auto"/>
              </w:rPr>
              <w:t>Furniture and ofce equipment</w:t>
            </w:r>
          </w:p>
        </w:tc>
        <w:tc>
          <w:tcPr>
            <w:tcW w:w="1040" w:type="dxa"/>
            <w:vAlign w:val="bottom"/>
          </w:tcPr>
          <w:p>
            <w:pPr>
              <w:jc w:val="center"/>
              <w:ind w:left="390"/>
              <w:spacing w:after="0" w:line="215" w:lineRule="exact"/>
              <w:rPr>
                <w:sz w:val="20"/>
                <w:szCs w:val="20"/>
                <w:color w:val="auto"/>
              </w:rPr>
            </w:pPr>
            <w:r>
              <w:rPr>
                <w:rFonts w:ascii="Calibri" w:cs="Calibri" w:eastAsia="Calibri" w:hAnsi="Calibri"/>
                <w:sz w:val="18"/>
                <w:szCs w:val="18"/>
                <w:color w:val="auto"/>
                <w:w w:val="87"/>
              </w:rPr>
              <w:t>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6,475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6,419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4040" w:type="dxa"/>
            <w:vAlign w:val="bottom"/>
            <w:shd w:val="clear" w:color="auto" w:fill="CCECFF"/>
          </w:tcPr>
          <w:p>
            <w:pPr>
              <w:spacing w:after="0" w:line="216" w:lineRule="exact"/>
              <w:rPr>
                <w:sz w:val="20"/>
                <w:szCs w:val="20"/>
                <w:color w:val="auto"/>
              </w:rPr>
            </w:pPr>
            <w:r>
              <w:rPr>
                <w:rFonts w:ascii="Calibri" w:cs="Calibri" w:eastAsia="Calibri" w:hAnsi="Calibri"/>
                <w:sz w:val="18"/>
                <w:szCs w:val="18"/>
                <w:color w:val="auto"/>
              </w:rPr>
              <w:t>Computer equipment and sofware</w:t>
            </w:r>
          </w:p>
        </w:tc>
        <w:tc>
          <w:tcPr>
            <w:tcW w:w="1040" w:type="dxa"/>
            <w:vAlign w:val="bottom"/>
            <w:shd w:val="clear" w:color="auto" w:fill="CCECFF"/>
          </w:tcPr>
          <w:p>
            <w:pPr>
              <w:jc w:val="center"/>
              <w:ind w:left="390"/>
              <w:spacing w:after="0" w:line="216" w:lineRule="exact"/>
              <w:rPr>
                <w:sz w:val="20"/>
                <w:szCs w:val="20"/>
                <w:color w:val="auto"/>
              </w:rPr>
            </w:pPr>
            <w:r>
              <w:rPr>
                <w:rFonts w:ascii="Calibri" w:cs="Calibri" w:eastAsia="Calibri" w:hAnsi="Calibri"/>
                <w:sz w:val="18"/>
                <w:szCs w:val="18"/>
                <w:color w:val="auto"/>
              </w:rPr>
              <w:t>3-5</w:t>
            </w:r>
          </w:p>
        </w:tc>
        <w:tc>
          <w:tcPr>
            <w:tcW w:w="40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820" w:type="dxa"/>
            <w:vAlign w:val="bottom"/>
            <w:gridSpan w:val="3"/>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16,365</w:t>
            </w:r>
          </w:p>
        </w:tc>
        <w:tc>
          <w:tcPr>
            <w:tcW w:w="20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16,196</w:t>
            </w:r>
          </w:p>
        </w:tc>
        <w:tc>
          <w:tcPr>
            <w:tcW w:w="8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4040" w:type="dxa"/>
            <w:vAlign w:val="bottom"/>
          </w:tcPr>
          <w:p>
            <w:pPr>
              <w:spacing w:after="0" w:line="215" w:lineRule="exact"/>
              <w:rPr>
                <w:sz w:val="20"/>
                <w:szCs w:val="20"/>
                <w:color w:val="auto"/>
              </w:rPr>
            </w:pPr>
            <w:r>
              <w:rPr>
                <w:rFonts w:ascii="Calibri" w:cs="Calibri" w:eastAsia="Calibri" w:hAnsi="Calibri"/>
                <w:sz w:val="18"/>
                <w:szCs w:val="18"/>
                <w:color w:val="auto"/>
              </w:rPr>
              <w:t>Manufacturing equipment</w:t>
            </w:r>
          </w:p>
        </w:tc>
        <w:tc>
          <w:tcPr>
            <w:tcW w:w="1040" w:type="dxa"/>
            <w:vAlign w:val="bottom"/>
          </w:tcPr>
          <w:p>
            <w:pPr>
              <w:jc w:val="center"/>
              <w:ind w:left="390"/>
              <w:spacing w:after="0" w:line="215" w:lineRule="exact"/>
              <w:rPr>
                <w:sz w:val="20"/>
                <w:szCs w:val="20"/>
                <w:color w:val="auto"/>
              </w:rPr>
            </w:pPr>
            <w:r>
              <w:rPr>
                <w:rFonts w:ascii="Calibri" w:cs="Calibri" w:eastAsia="Calibri" w:hAnsi="Calibri"/>
                <w:sz w:val="18"/>
                <w:szCs w:val="18"/>
                <w:color w:val="auto"/>
                <w:w w:val="97"/>
              </w:rPr>
              <w:t>5-15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37,332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37,297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4040" w:type="dxa"/>
            <w:vAlign w:val="bottom"/>
            <w:shd w:val="clear" w:color="auto" w:fill="CCECFF"/>
          </w:tcPr>
          <w:p>
            <w:pPr>
              <w:spacing w:after="0" w:line="216" w:lineRule="exact"/>
              <w:rPr>
                <w:sz w:val="20"/>
                <w:szCs w:val="20"/>
                <w:color w:val="auto"/>
              </w:rPr>
            </w:pPr>
            <w:r>
              <w:rPr>
                <w:rFonts w:ascii="Calibri" w:cs="Calibri" w:eastAsia="Calibri" w:hAnsi="Calibri"/>
                <w:sz w:val="18"/>
                <w:szCs w:val="18"/>
                <w:color w:val="auto"/>
              </w:rPr>
              <w:t>Land</w:t>
            </w:r>
          </w:p>
        </w:tc>
        <w:tc>
          <w:tcPr>
            <w:tcW w:w="1440" w:type="dxa"/>
            <w:vAlign w:val="bottom"/>
            <w:gridSpan w:val="2"/>
            <w:shd w:val="clear" w:color="auto" w:fill="CCECFF"/>
          </w:tcPr>
          <w:p>
            <w:pPr>
              <w:jc w:val="center"/>
              <w:spacing w:after="0" w:line="216" w:lineRule="exact"/>
              <w:rPr>
                <w:sz w:val="20"/>
                <w:szCs w:val="20"/>
                <w:color w:val="auto"/>
              </w:rPr>
            </w:pPr>
            <w:r>
              <w:rPr>
                <w:rFonts w:ascii="Calibri" w:cs="Calibri" w:eastAsia="Calibri" w:hAnsi="Calibri"/>
                <w:sz w:val="18"/>
                <w:szCs w:val="18"/>
                <w:color w:val="auto"/>
                <w:w w:val="98"/>
              </w:rPr>
              <w:t>Not applicable</w:t>
            </w:r>
          </w:p>
        </w:tc>
        <w:tc>
          <w:tcPr>
            <w:tcW w:w="8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820" w:type="dxa"/>
            <w:vAlign w:val="bottom"/>
            <w:gridSpan w:val="3"/>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16,619</w:t>
            </w:r>
          </w:p>
        </w:tc>
        <w:tc>
          <w:tcPr>
            <w:tcW w:w="20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16,619</w:t>
            </w:r>
          </w:p>
        </w:tc>
        <w:tc>
          <w:tcPr>
            <w:tcW w:w="8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4040" w:type="dxa"/>
            <w:vAlign w:val="bottom"/>
          </w:tcPr>
          <w:p>
            <w:pPr>
              <w:spacing w:after="0" w:line="215" w:lineRule="exact"/>
              <w:rPr>
                <w:sz w:val="20"/>
                <w:szCs w:val="20"/>
                <w:color w:val="auto"/>
              </w:rPr>
            </w:pPr>
            <w:r>
              <w:rPr>
                <w:rFonts w:ascii="Calibri" w:cs="Calibri" w:eastAsia="Calibri" w:hAnsi="Calibri"/>
                <w:sz w:val="18"/>
                <w:szCs w:val="18"/>
                <w:color w:val="auto"/>
              </w:rPr>
              <w:t>Other</w:t>
            </w:r>
          </w:p>
        </w:tc>
        <w:tc>
          <w:tcPr>
            <w:tcW w:w="1440" w:type="dxa"/>
            <w:vAlign w:val="bottom"/>
            <w:gridSpan w:val="2"/>
          </w:tcPr>
          <w:p>
            <w:pPr>
              <w:jc w:val="center"/>
              <w:spacing w:after="0" w:line="215" w:lineRule="exact"/>
              <w:rPr>
                <w:sz w:val="20"/>
                <w:szCs w:val="20"/>
                <w:color w:val="auto"/>
              </w:rPr>
            </w:pPr>
            <w:r>
              <w:rPr>
                <w:rFonts w:ascii="Calibri" w:cs="Calibri" w:eastAsia="Calibri" w:hAnsi="Calibri"/>
                <w:sz w:val="18"/>
                <w:szCs w:val="18"/>
                <w:color w:val="auto"/>
                <w:w w:val="97"/>
              </w:rPr>
              <w:t>Varies by asset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spacing w:after="0" w:line="215" w:lineRule="exact"/>
              <w:rPr>
                <w:sz w:val="20"/>
                <w:szCs w:val="20"/>
                <w:color w:val="auto"/>
              </w:rPr>
            </w:pPr>
            <w:r>
              <w:rPr>
                <w:rFonts w:ascii="Calibri" w:cs="Calibri" w:eastAsia="Calibri" w:hAnsi="Calibri"/>
                <w:sz w:val="18"/>
                <w:szCs w:val="18"/>
                <w:color w:val="auto"/>
              </w:rPr>
              <w:t>1,790</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4040" w:type="dxa"/>
            <w:vAlign w:val="bottom"/>
            <w:shd w:val="clear" w:color="auto" w:fill="CCEEFF"/>
          </w:tcPr>
          <w:p>
            <w:pPr>
              <w:spacing w:after="0" w:line="210" w:lineRule="exact"/>
              <w:rPr>
                <w:sz w:val="20"/>
                <w:szCs w:val="20"/>
                <w:color w:val="auto"/>
              </w:rPr>
            </w:pPr>
            <w:r>
              <w:rPr>
                <w:rFonts w:ascii="Calibri" w:cs="Calibri" w:eastAsia="Calibri" w:hAnsi="Calibri"/>
                <w:sz w:val="18"/>
                <w:szCs w:val="18"/>
                <w:color w:val="auto"/>
              </w:rPr>
              <w:t>Property, plant, and equipment, gross</w:t>
            </w: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378,411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373,967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4040" w:type="dxa"/>
            <w:vAlign w:val="bottom"/>
          </w:tcPr>
          <w:p>
            <w:pPr>
              <w:spacing w:after="0" w:line="215" w:lineRule="exact"/>
              <w:rPr>
                <w:sz w:val="20"/>
                <w:szCs w:val="20"/>
                <w:color w:val="auto"/>
              </w:rPr>
            </w:pPr>
            <w:r>
              <w:rPr>
                <w:rFonts w:ascii="Calibri" w:cs="Calibri" w:eastAsia="Calibri" w:hAnsi="Calibri"/>
                <w:sz w:val="18"/>
                <w:szCs w:val="18"/>
                <w:color w:val="auto"/>
              </w:rPr>
              <w:t>Less: accumulated depreciaton</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4"/>
          </w:tcPr>
          <w:p>
            <w:pPr>
              <w:jc w:val="right"/>
              <w:ind w:right="120"/>
              <w:spacing w:after="0" w:line="215" w:lineRule="exact"/>
              <w:rPr>
                <w:sz w:val="20"/>
                <w:szCs w:val="20"/>
                <w:color w:val="auto"/>
              </w:rPr>
            </w:pPr>
            <w:r>
              <w:rPr>
                <w:rFonts w:ascii="Calibri" w:cs="Calibri" w:eastAsia="Calibri" w:hAnsi="Calibri"/>
                <w:sz w:val="18"/>
                <w:szCs w:val="18"/>
                <w:color w:val="auto"/>
              </w:rPr>
              <w:t>(112,482 )</w:t>
            </w:r>
          </w:p>
        </w:tc>
        <w:tc>
          <w:tcPr>
            <w:tcW w:w="140" w:type="dxa"/>
            <w:vAlign w:val="bottom"/>
          </w:tcPr>
          <w:p>
            <w:pPr>
              <w:spacing w:after="0"/>
              <w:rPr>
                <w:sz w:val="18"/>
                <w:szCs w:val="18"/>
                <w:color w:val="auto"/>
              </w:rPr>
            </w:pPr>
          </w:p>
        </w:tc>
        <w:tc>
          <w:tcPr>
            <w:tcW w:w="90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(83,401 )</w:t>
            </w:r>
          </w:p>
        </w:tc>
        <w:tc>
          <w:tcPr>
            <w:tcW w:w="0" w:type="dxa"/>
            <w:vAlign w:val="bottom"/>
          </w:tcPr>
          <w:p>
            <w:pPr>
              <w:spacing w:after="0"/>
              <w:rPr>
                <w:sz w:val="1"/>
                <w:szCs w:val="1"/>
                <w:color w:val="auto"/>
              </w:rPr>
            </w:pPr>
          </w:p>
        </w:tc>
      </w:tr>
      <w:tr>
        <w:trPr>
          <w:trHeight w:val="249"/>
        </w:trPr>
        <w:tc>
          <w:tcPr>
            <w:tcW w:w="1700" w:type="dxa"/>
            <w:vAlign w:val="bottom"/>
          </w:tcPr>
          <w:p>
            <w:pPr>
              <w:spacing w:after="0"/>
              <w:rPr>
                <w:sz w:val="21"/>
                <w:szCs w:val="21"/>
                <w:color w:val="auto"/>
              </w:rPr>
            </w:pPr>
          </w:p>
        </w:tc>
        <w:tc>
          <w:tcPr>
            <w:tcW w:w="4040" w:type="dxa"/>
            <w:vAlign w:val="bottom"/>
            <w:tcBorders>
              <w:bottom w:val="single" w:sz="8" w:color="CCEEFF"/>
            </w:tcBorders>
            <w:shd w:val="clear" w:color="auto" w:fill="CCEEFF"/>
          </w:tcPr>
          <w:p>
            <w:pPr>
              <w:ind w:left="180"/>
              <w:spacing w:after="0" w:line="209" w:lineRule="exact"/>
              <w:rPr>
                <w:sz w:val="20"/>
                <w:szCs w:val="20"/>
                <w:color w:val="auto"/>
              </w:rPr>
            </w:pPr>
            <w:r>
              <w:rPr>
                <w:rFonts w:ascii="Calibri" w:cs="Calibri" w:eastAsia="Calibri" w:hAnsi="Calibri"/>
                <w:sz w:val="18"/>
                <w:szCs w:val="18"/>
                <w:color w:val="auto"/>
              </w:rPr>
              <w:t>Property, plant, and equipment, net</w:t>
            </w: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820" w:type="dxa"/>
            <w:vAlign w:val="bottom"/>
            <w:tcBorders>
              <w:top w:val="single" w:sz="8" w:color="auto"/>
              <w:bottom w:val="single" w:sz="8" w:color="auto"/>
            </w:tcBorders>
            <w:gridSpan w:val="3"/>
            <w:shd w:val="clear" w:color="auto" w:fill="CCEEFF"/>
          </w:tcPr>
          <w:p>
            <w:pPr>
              <w:jc w:val="right"/>
              <w:spacing w:after="0" w:line="209" w:lineRule="exact"/>
              <w:rPr>
                <w:sz w:val="20"/>
                <w:szCs w:val="20"/>
                <w:color w:val="auto"/>
              </w:rPr>
            </w:pPr>
            <w:r>
              <w:rPr>
                <w:rFonts w:ascii="Calibri" w:cs="Calibri" w:eastAsia="Calibri" w:hAnsi="Calibri"/>
                <w:sz w:val="18"/>
                <w:szCs w:val="18"/>
                <w:color w:val="auto"/>
              </w:rPr>
              <w:t>265,929</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Calibri" w:cs="Calibri" w:eastAsia="Calibri" w:hAnsi="Calibri"/>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Calibri" w:cs="Calibri" w:eastAsia="Calibri" w:hAnsi="Calibri"/>
                <w:sz w:val="18"/>
                <w:szCs w:val="18"/>
                <w:color w:val="auto"/>
              </w:rPr>
              <w:t>290,566</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-2700020</wp:posOffset>
            </wp:positionV>
            <wp:extent cx="431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8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-2682240</wp:posOffset>
            </wp:positionV>
            <wp:extent cx="431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8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-2700020</wp:posOffset>
            </wp:positionV>
            <wp:extent cx="4318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8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-2682240</wp:posOffset>
            </wp:positionV>
            <wp:extent cx="431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8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5143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-8255</wp:posOffset>
            </wp:positionV>
            <wp:extent cx="5143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5143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9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4"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Depreciaton expense for the years ended December 31, 2024, 2023, and 2022 was $30.1 million, $22.2 million and $15.0 million, respectvely.</w:t>
      </w:r>
    </w:p>
    <w:p>
      <w:pPr>
        <w:spacing w:after="0" w:line="235" w:lineRule="auto"/>
        <w:rPr>
          <w:sz w:val="20"/>
          <w:szCs w:val="20"/>
          <w:color w:val="auto"/>
        </w:rPr>
      </w:pPr>
      <w:r>
        <w:rPr>
          <w:rFonts w:ascii="Calibri" w:cs="Calibri" w:eastAsia="Calibri" w:hAnsi="Calibri"/>
          <w:sz w:val="18"/>
          <w:szCs w:val="18"/>
          <w:color w:val="auto"/>
        </w:rPr>
        <w:t>Amortzaton of leasehold improvements and sofware is included in depreciaton expense.</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Accrued Liabilites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0" w:type="dxa"/>
            <w:vAlign w:val="bottom"/>
          </w:tcPr>
          <w:p>
            <w:pPr>
              <w:spacing w:after="0"/>
              <w:rPr>
                <w:sz w:val="19"/>
                <w:szCs w:val="19"/>
                <w:color w:val="auto"/>
              </w:rPr>
            </w:pPr>
          </w:p>
        </w:tc>
        <w:tc>
          <w:tcPr>
            <w:tcW w:w="6480" w:type="dxa"/>
            <w:vAlign w:val="bottom"/>
            <w:gridSpan w:val="2"/>
          </w:tcPr>
          <w:p>
            <w:pPr>
              <w:ind w:left="180"/>
              <w:spacing w:after="0"/>
              <w:rPr>
                <w:sz w:val="20"/>
                <w:szCs w:val="20"/>
                <w:color w:val="auto"/>
              </w:rPr>
            </w:pPr>
            <w:r>
              <w:rPr>
                <w:rFonts w:ascii="Calibri" w:cs="Calibri" w:eastAsia="Calibri" w:hAnsi="Calibri"/>
                <w:sz w:val="18"/>
                <w:szCs w:val="18"/>
                <w:color w:val="auto"/>
              </w:rPr>
              <w:t>Accrued liabilites consists of the following (in thousands):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24"/>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Calibri" w:cs="Calibri" w:eastAsia="Calibri" w:hAnsi="Calibri"/>
                <w:sz w:val="18"/>
                <w:szCs w:val="18"/>
                <w:b w:val="1"/>
                <w:bCs w:val="1"/>
                <w:color w:val="auto"/>
              </w:rPr>
              <w:t>December 31,</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
        </w:trPr>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9"/>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line="209" w:lineRule="exact"/>
              <w:rPr>
                <w:sz w:val="20"/>
                <w:szCs w:val="20"/>
                <w:color w:val="auto"/>
              </w:rPr>
            </w:pPr>
            <w:r>
              <w:rPr>
                <w:rFonts w:ascii="Calibri" w:cs="Calibri" w:eastAsia="Calibri" w:hAnsi="Calibri"/>
                <w:sz w:val="18"/>
                <w:szCs w:val="18"/>
                <w:b w:val="1"/>
                <w:bCs w:val="1"/>
                <w:color w:val="auto"/>
              </w:rPr>
              <w:t>2024</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0"/>
              <w:spacing w:after="0" w:line="209" w:lineRule="exact"/>
              <w:rPr>
                <w:sz w:val="20"/>
                <w:szCs w:val="20"/>
                <w:color w:val="auto"/>
              </w:rPr>
            </w:pPr>
            <w:r>
              <w:rPr>
                <w:rFonts w:ascii="Calibri" w:cs="Calibri" w:eastAsia="Calibri" w:hAnsi="Calibri"/>
                <w:sz w:val="18"/>
                <w:szCs w:val="18"/>
                <w:b w:val="1"/>
                <w:bCs w:val="1"/>
                <w:color w:val="auto"/>
                <w:w w:val="98"/>
              </w:rPr>
              <w:t>2023</w:t>
            </w:r>
          </w:p>
        </w:tc>
        <w:tc>
          <w:tcPr>
            <w:tcW w:w="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120" w:type="dxa"/>
            <w:vAlign w:val="bottom"/>
            <w:shd w:val="clear" w:color="auto" w:fill="CCECFF"/>
          </w:tcPr>
          <w:p>
            <w:pPr>
              <w:spacing w:after="0" w:line="210" w:lineRule="exact"/>
              <w:rPr>
                <w:sz w:val="20"/>
                <w:szCs w:val="20"/>
                <w:color w:val="auto"/>
              </w:rPr>
            </w:pPr>
            <w:r>
              <w:rPr>
                <w:rFonts w:ascii="Calibri" w:cs="Calibri" w:eastAsia="Calibri" w:hAnsi="Calibri"/>
                <w:sz w:val="18"/>
                <w:szCs w:val="18"/>
                <w:color w:val="auto"/>
              </w:rPr>
              <w:t>Research, clinical study, and manufacturing expenses</w:t>
            </w:r>
          </w:p>
        </w:tc>
        <w:tc>
          <w:tcPr>
            <w:tcW w:w="260" w:type="dxa"/>
            <w:vAlign w:val="bottom"/>
            <w:shd w:val="clear" w:color="auto" w:fill="CCECFF"/>
          </w:tcPr>
          <w:p>
            <w:pPr>
              <w:jc w:val="right"/>
              <w:ind w:right="50"/>
              <w:spacing w:after="0" w:line="210" w:lineRule="exact"/>
              <w:rPr>
                <w:sz w:val="20"/>
                <w:szCs w:val="20"/>
                <w:color w:val="auto"/>
              </w:rPr>
            </w:pPr>
            <w:r>
              <w:rPr>
                <w:rFonts w:ascii="Calibri" w:cs="Calibri" w:eastAsia="Calibri" w:hAnsi="Calibri"/>
                <w:sz w:val="18"/>
                <w:szCs w:val="18"/>
                <w:color w:val="auto"/>
              </w:rPr>
              <w:t>$</w:t>
            </w:r>
          </w:p>
        </w:tc>
        <w:tc>
          <w:tcPr>
            <w:tcW w:w="96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88,133</w:t>
            </w:r>
          </w:p>
        </w:tc>
        <w:tc>
          <w:tcPr>
            <w:tcW w:w="640" w:type="dxa"/>
            <w:vAlign w:val="bottom"/>
            <w:gridSpan w:val="2"/>
            <w:shd w:val="clear" w:color="auto" w:fill="CCECFF"/>
          </w:tcPr>
          <w:p>
            <w:pPr>
              <w:jc w:val="right"/>
              <w:ind w:right="210"/>
              <w:spacing w:after="0" w:line="210" w:lineRule="exact"/>
              <w:rPr>
                <w:sz w:val="20"/>
                <w:szCs w:val="20"/>
                <w:color w:val="auto"/>
              </w:rPr>
            </w:pPr>
            <w:r>
              <w:rPr>
                <w:rFonts w:ascii="Calibri" w:cs="Calibri" w:eastAsia="Calibri" w:hAnsi="Calibri"/>
                <w:sz w:val="18"/>
                <w:szCs w:val="18"/>
                <w:color w:val="auto"/>
              </w:rPr>
              <w:t>$</w:t>
            </w:r>
          </w:p>
        </w:tc>
        <w:tc>
          <w:tcPr>
            <w:tcW w:w="80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65,326</w:t>
            </w:r>
          </w:p>
        </w:tc>
        <w:tc>
          <w:tcPr>
            <w:tcW w:w="80" w:type="dxa"/>
            <w:vAlign w:val="bottom"/>
            <w:shd w:val="clear" w:color="auto" w:fill="CCECFF"/>
          </w:tcPr>
          <w:p>
            <w:pPr>
              <w:spacing w:after="0"/>
              <w:rPr>
                <w:sz w:val="18"/>
                <w:szCs w:val="18"/>
                <w:color w:val="auto"/>
              </w:rPr>
            </w:pPr>
          </w:p>
        </w:tc>
      </w:tr>
      <w:tr>
        <w:trPr>
          <w:trHeight w:val="215"/>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120" w:type="dxa"/>
            <w:vAlign w:val="bottom"/>
          </w:tcPr>
          <w:p>
            <w:pPr>
              <w:spacing w:after="0" w:line="215" w:lineRule="exact"/>
              <w:rPr>
                <w:sz w:val="20"/>
                <w:szCs w:val="20"/>
                <w:color w:val="auto"/>
              </w:rPr>
            </w:pPr>
            <w:r>
              <w:rPr>
                <w:rFonts w:ascii="Calibri" w:cs="Calibri" w:eastAsia="Calibri" w:hAnsi="Calibri"/>
                <w:sz w:val="18"/>
                <w:szCs w:val="18"/>
                <w:color w:val="auto"/>
              </w:rPr>
              <w:t>Payroll and related expenses</w:t>
            </w:r>
          </w:p>
        </w:tc>
        <w:tc>
          <w:tcPr>
            <w:tcW w:w="260" w:type="dxa"/>
            <w:vAlign w:val="bottom"/>
          </w:tcPr>
          <w:p>
            <w:pPr>
              <w:spacing w:after="0"/>
              <w:rPr>
                <w:sz w:val="18"/>
                <w:szCs w:val="18"/>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94,021</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82,936</w:t>
            </w:r>
          </w:p>
        </w:tc>
        <w:tc>
          <w:tcPr>
            <w:tcW w:w="80" w:type="dxa"/>
            <w:vAlign w:val="bottom"/>
          </w:tcPr>
          <w:p>
            <w:pPr>
              <w:spacing w:after="0"/>
              <w:rPr>
                <w:sz w:val="18"/>
                <w:szCs w:val="18"/>
                <w:color w:val="auto"/>
              </w:rPr>
            </w:pPr>
          </w:p>
        </w:tc>
      </w:tr>
      <w:tr>
        <w:trPr>
          <w:trHeight w:val="217"/>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120" w:type="dxa"/>
            <w:vAlign w:val="bottom"/>
            <w:shd w:val="clear" w:color="auto" w:fill="CCECFF"/>
          </w:tcPr>
          <w:p>
            <w:pPr>
              <w:spacing w:after="0" w:line="216" w:lineRule="exact"/>
              <w:rPr>
                <w:sz w:val="20"/>
                <w:szCs w:val="20"/>
                <w:color w:val="auto"/>
              </w:rPr>
            </w:pPr>
            <w:r>
              <w:rPr>
                <w:rFonts w:ascii="Calibri" w:cs="Calibri" w:eastAsia="Calibri" w:hAnsi="Calibri"/>
                <w:sz w:val="18"/>
                <w:szCs w:val="18"/>
                <w:color w:val="auto"/>
              </w:rPr>
              <w:t>Revenue related reserves</w:t>
            </w:r>
          </w:p>
        </w:tc>
        <w:tc>
          <w:tcPr>
            <w:tcW w:w="260" w:type="dxa"/>
            <w:vAlign w:val="bottom"/>
            <w:shd w:val="clear" w:color="auto" w:fill="CCECFF"/>
          </w:tcPr>
          <w:p>
            <w:pPr>
              <w:spacing w:after="0"/>
              <w:rPr>
                <w:sz w:val="18"/>
                <w:szCs w:val="18"/>
                <w:color w:val="auto"/>
              </w:rPr>
            </w:pPr>
          </w:p>
        </w:tc>
        <w:tc>
          <w:tcPr>
            <w:tcW w:w="96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33,344</w:t>
            </w:r>
          </w:p>
        </w:tc>
        <w:tc>
          <w:tcPr>
            <w:tcW w:w="220" w:type="dxa"/>
            <w:vAlign w:val="bottom"/>
            <w:shd w:val="clear" w:color="auto" w:fill="CCECFF"/>
          </w:tcPr>
          <w:p>
            <w:pPr>
              <w:spacing w:after="0"/>
              <w:rPr>
                <w:sz w:val="18"/>
                <w:szCs w:val="18"/>
                <w:color w:val="auto"/>
              </w:rPr>
            </w:pPr>
          </w:p>
        </w:tc>
        <w:tc>
          <w:tcPr>
            <w:tcW w:w="420" w:type="dxa"/>
            <w:vAlign w:val="bottom"/>
            <w:shd w:val="clear" w:color="auto" w:fill="CCECFF"/>
          </w:tcPr>
          <w:p>
            <w:pPr>
              <w:spacing w:after="0"/>
              <w:rPr>
                <w:sz w:val="18"/>
                <w:szCs w:val="18"/>
                <w:color w:val="auto"/>
              </w:rPr>
            </w:pPr>
          </w:p>
        </w:tc>
        <w:tc>
          <w:tcPr>
            <w:tcW w:w="80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17,029</w:t>
            </w:r>
          </w:p>
        </w:tc>
        <w:tc>
          <w:tcPr>
            <w:tcW w:w="80" w:type="dxa"/>
            <w:vAlign w:val="bottom"/>
            <w:shd w:val="clear" w:color="auto" w:fill="CCECFF"/>
          </w:tcPr>
          <w:p>
            <w:pPr>
              <w:spacing w:after="0"/>
              <w:rPr>
                <w:sz w:val="18"/>
                <w:szCs w:val="18"/>
                <w:color w:val="auto"/>
              </w:rPr>
            </w:pPr>
          </w:p>
        </w:tc>
      </w:tr>
      <w:tr>
        <w:trPr>
          <w:trHeight w:val="215"/>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120" w:type="dxa"/>
            <w:vAlign w:val="bottom"/>
          </w:tcPr>
          <w:p>
            <w:pPr>
              <w:spacing w:after="0" w:line="215" w:lineRule="exact"/>
              <w:rPr>
                <w:sz w:val="20"/>
                <w:szCs w:val="20"/>
                <w:color w:val="auto"/>
              </w:rPr>
            </w:pPr>
            <w:r>
              <w:rPr>
                <w:rFonts w:ascii="Calibri" w:cs="Calibri" w:eastAsia="Calibri" w:hAnsi="Calibri"/>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25,475</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31,195</w:t>
            </w:r>
          </w:p>
        </w:tc>
        <w:tc>
          <w:tcPr>
            <w:tcW w:w="80" w:type="dxa"/>
            <w:vAlign w:val="bottom"/>
          </w:tcPr>
          <w:p>
            <w:pPr>
              <w:spacing w:after="0"/>
              <w:rPr>
                <w:sz w:val="18"/>
                <w:szCs w:val="18"/>
                <w:color w:val="auto"/>
              </w:rPr>
            </w:pPr>
          </w:p>
        </w:tc>
      </w:tr>
      <w:tr>
        <w:trPr>
          <w:trHeight w:val="250"/>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120" w:type="dxa"/>
            <w:vAlign w:val="bottom"/>
            <w:tcBorders>
              <w:bottom w:val="single" w:sz="8" w:color="CCECFF"/>
            </w:tcBorders>
            <w:shd w:val="clear" w:color="auto" w:fill="CCECFF"/>
          </w:tcPr>
          <w:p>
            <w:pPr>
              <w:ind w:left="180"/>
              <w:spacing w:after="0" w:line="209" w:lineRule="exact"/>
              <w:rPr>
                <w:sz w:val="20"/>
                <w:szCs w:val="20"/>
                <w:color w:val="auto"/>
              </w:rPr>
            </w:pPr>
            <w:r>
              <w:rPr>
                <w:rFonts w:ascii="Calibri" w:cs="Calibri" w:eastAsia="Calibri" w:hAnsi="Calibri"/>
                <w:sz w:val="18"/>
                <w:szCs w:val="18"/>
                <w:color w:val="auto"/>
              </w:rPr>
              <w:t>Total accrued liabilites</w:t>
            </w:r>
          </w:p>
        </w:tc>
        <w:tc>
          <w:tcPr>
            <w:tcW w:w="260" w:type="dxa"/>
            <w:vAlign w:val="bottom"/>
            <w:tcBorders>
              <w:bottom w:val="single" w:sz="8" w:color="auto"/>
            </w:tcBorders>
            <w:shd w:val="clear" w:color="auto" w:fill="CCECFF"/>
          </w:tcPr>
          <w:p>
            <w:pPr>
              <w:jc w:val="right"/>
              <w:ind w:right="50"/>
              <w:spacing w:after="0" w:line="209" w:lineRule="exact"/>
              <w:rPr>
                <w:sz w:val="20"/>
                <w:szCs w:val="20"/>
                <w:color w:val="auto"/>
              </w:rPr>
            </w:pPr>
            <w:r>
              <w:rPr>
                <w:rFonts w:ascii="Calibri" w:cs="Calibri" w:eastAsia="Calibri" w:hAnsi="Calibri"/>
                <w:sz w:val="18"/>
                <w:szCs w:val="18"/>
                <w:color w:val="auto"/>
              </w:rPr>
              <w:t>$</w:t>
            </w:r>
          </w:p>
        </w:tc>
        <w:tc>
          <w:tcPr>
            <w:tcW w:w="960" w:type="dxa"/>
            <w:vAlign w:val="bottom"/>
            <w:tcBorders>
              <w:bottom w:val="single" w:sz="8" w:color="auto"/>
            </w:tcBorders>
            <w:shd w:val="clear" w:color="auto" w:fill="CCECFF"/>
          </w:tcPr>
          <w:p>
            <w:pPr>
              <w:jc w:val="right"/>
              <w:spacing w:after="0" w:line="209" w:lineRule="exact"/>
              <w:rPr>
                <w:sz w:val="20"/>
                <w:szCs w:val="20"/>
                <w:color w:val="auto"/>
              </w:rPr>
            </w:pPr>
            <w:r>
              <w:rPr>
                <w:rFonts w:ascii="Calibri" w:cs="Calibri" w:eastAsia="Calibri" w:hAnsi="Calibri"/>
                <w:sz w:val="18"/>
                <w:szCs w:val="18"/>
                <w:color w:val="auto"/>
              </w:rPr>
              <w:t>240,973</w:t>
            </w:r>
          </w:p>
        </w:tc>
        <w:tc>
          <w:tcPr>
            <w:tcW w:w="220" w:type="dxa"/>
            <w:vAlign w:val="bottom"/>
            <w:tcBorders>
              <w:bottom w:val="single" w:sz="8" w:color="CCECFF"/>
            </w:tcBorders>
            <w:shd w:val="clear" w:color="auto" w:fill="CCECFF"/>
          </w:tcPr>
          <w:p>
            <w:pPr>
              <w:spacing w:after="0"/>
              <w:rPr>
                <w:sz w:val="21"/>
                <w:szCs w:val="21"/>
                <w:color w:val="auto"/>
              </w:rPr>
            </w:pPr>
          </w:p>
        </w:tc>
        <w:tc>
          <w:tcPr>
            <w:tcW w:w="420" w:type="dxa"/>
            <w:vAlign w:val="bottom"/>
            <w:tcBorders>
              <w:bottom w:val="single" w:sz="8" w:color="auto"/>
            </w:tcBorders>
            <w:shd w:val="clear" w:color="auto" w:fill="CCECFF"/>
          </w:tcPr>
          <w:p>
            <w:pPr>
              <w:jc w:val="right"/>
              <w:ind w:right="210"/>
              <w:spacing w:after="0" w:line="209" w:lineRule="exact"/>
              <w:rPr>
                <w:sz w:val="20"/>
                <w:szCs w:val="20"/>
                <w:color w:val="auto"/>
              </w:rPr>
            </w:pPr>
            <w:r>
              <w:rPr>
                <w:rFonts w:ascii="Calibri" w:cs="Calibri" w:eastAsia="Calibri" w:hAnsi="Calibri"/>
                <w:sz w:val="18"/>
                <w:szCs w:val="18"/>
                <w:color w:val="auto"/>
              </w:rPr>
              <w:t>$</w:t>
            </w:r>
          </w:p>
        </w:tc>
        <w:tc>
          <w:tcPr>
            <w:tcW w:w="800" w:type="dxa"/>
            <w:vAlign w:val="bottom"/>
            <w:tcBorders>
              <w:bottom w:val="single" w:sz="8" w:color="auto"/>
            </w:tcBorders>
            <w:shd w:val="clear" w:color="auto" w:fill="CCECFF"/>
          </w:tcPr>
          <w:p>
            <w:pPr>
              <w:jc w:val="right"/>
              <w:spacing w:after="0" w:line="209" w:lineRule="exact"/>
              <w:rPr>
                <w:sz w:val="20"/>
                <w:szCs w:val="20"/>
                <w:color w:val="auto"/>
              </w:rPr>
            </w:pPr>
            <w:r>
              <w:rPr>
                <w:rFonts w:ascii="Calibri" w:cs="Calibri" w:eastAsia="Calibri" w:hAnsi="Calibri"/>
                <w:sz w:val="18"/>
                <w:szCs w:val="18"/>
                <w:color w:val="auto"/>
              </w:rPr>
              <w:t>196,486</w:t>
            </w:r>
          </w:p>
        </w:tc>
        <w:tc>
          <w:tcPr>
            <w:tcW w:w="80" w:type="dxa"/>
            <w:vAlign w:val="bottom"/>
            <w:tcBorders>
              <w:bottom w:val="single" w:sz="8" w:color="CCECFF"/>
            </w:tcBorders>
            <w:shd w:val="clear" w:color="auto" w:fill="CCECFF"/>
          </w:tcPr>
          <w:p>
            <w:pPr>
              <w:spacing w:after="0"/>
              <w:rPr>
                <w:sz w:val="21"/>
                <w:szCs w:val="21"/>
                <w:color w:val="auto"/>
              </w:rPr>
            </w:pPr>
          </w:p>
        </w:tc>
      </w:tr>
      <w:tr>
        <w:trPr>
          <w:trHeight w:val="430"/>
        </w:trPr>
        <w:tc>
          <w:tcPr>
            <w:tcW w:w="340" w:type="dxa"/>
            <w:vAlign w:val="bottom"/>
          </w:tcPr>
          <w:p>
            <w:pPr>
              <w:jc w:val="right"/>
              <w:ind w:right="110"/>
              <w:spacing w:after="0"/>
              <w:rPr>
                <w:sz w:val="20"/>
                <w:szCs w:val="20"/>
                <w:color w:val="auto"/>
              </w:rPr>
            </w:pPr>
            <w:r>
              <w:rPr>
                <w:rFonts w:ascii="Calibri" w:cs="Calibri" w:eastAsia="Calibri" w:hAnsi="Calibri"/>
                <w:sz w:val="18"/>
                <w:szCs w:val="18"/>
                <w:b w:val="1"/>
                <w:bCs w:val="1"/>
                <w:color w:val="auto"/>
                <w:w w:val="85"/>
              </w:rPr>
              <w:t>5.</w:t>
            </w:r>
          </w:p>
        </w:tc>
        <w:tc>
          <w:tcPr>
            <w:tcW w:w="6480" w:type="dxa"/>
            <w:vAlign w:val="bottom"/>
            <w:gridSpan w:val="2"/>
          </w:tcPr>
          <w:p>
            <w:pPr>
              <w:ind w:left="180"/>
              <w:spacing w:after="0"/>
              <w:rPr>
                <w:sz w:val="20"/>
                <w:szCs w:val="20"/>
                <w:color w:val="auto"/>
              </w:rPr>
            </w:pPr>
            <w:r>
              <w:rPr>
                <w:rFonts w:ascii="Calibri" w:cs="Calibri" w:eastAsia="Calibri" w:hAnsi="Calibri"/>
                <w:sz w:val="18"/>
                <w:szCs w:val="18"/>
                <w:b w:val="1"/>
                <w:bCs w:val="1"/>
                <w:color w:val="auto"/>
              </w:rPr>
              <w:t>Intangible Assets, net</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-310515</wp:posOffset>
            </wp:positionV>
            <wp:extent cx="431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9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-293370</wp:posOffset>
            </wp:positionV>
            <wp:extent cx="431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9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-310515</wp:posOffset>
            </wp:positionV>
            <wp:extent cx="431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9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-293370</wp:posOffset>
            </wp:positionV>
            <wp:extent cx="431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9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Indefnite-lived Intangibles</w:t>
      </w:r>
    </w:p>
    <w:p>
      <w:pPr>
        <w:spacing w:after="0" w:line="82" w:lineRule="exact"/>
        <w:rPr>
          <w:sz w:val="20"/>
          <w:szCs w:val="20"/>
          <w:color w:val="auto"/>
        </w:rPr>
      </w:pPr>
    </w:p>
    <w:p>
      <w:pPr>
        <w:ind w:firstLine="494"/>
        <w:spacing w:after="0" w:line="235" w:lineRule="auto"/>
        <w:rPr>
          <w:sz w:val="20"/>
          <w:szCs w:val="20"/>
          <w:color w:val="auto"/>
        </w:rPr>
      </w:pPr>
      <w:r>
        <w:rPr>
          <w:rFonts w:ascii="Calibri" w:cs="Calibri" w:eastAsia="Calibri" w:hAnsi="Calibri"/>
          <w:sz w:val="18"/>
          <w:szCs w:val="18"/>
          <w:color w:val="auto"/>
        </w:rPr>
        <w:t>As a result of the accountng for our acquisiton of Dimension Therapeutcs, Inc. in November 2017, the Company has IPR&amp;D assets of $129.0 million as of December 31, 2024 and 2023. IPR&amp;D assets represent the fair value of acquired programs to develop an AAV gene therapy for OTC defciency and to develop an AAV gene therapy for glycogen storage disease type Ia. IPR&amp;D assets are considered to be indefnite-life untl the completon or abandonment of the associated research and development eforts.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Finite-lived Intangibles</w:t>
      </w:r>
    </w:p>
    <w:p>
      <w:pPr>
        <w:jc w:val="center"/>
        <w:ind w:right="-99"/>
        <w:spacing w:after="0" w:line="235" w:lineRule="auto"/>
        <w:rPr>
          <w:sz w:val="20"/>
          <w:szCs w:val="20"/>
          <w:color w:val="auto"/>
        </w:rPr>
      </w:pPr>
      <w:r>
        <w:rPr>
          <w:rFonts w:ascii="Calibri" w:cs="Calibri" w:eastAsia="Calibri" w:hAnsi="Calibri"/>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112" w:name="page113"/>
    <w:bookmarkEnd w:id="112"/>
    <w:p>
      <w:pPr>
        <w:ind w:left="384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2" w:lineRule="exact"/>
        <w:rPr>
          <w:sz w:val="20"/>
          <w:szCs w:val="20"/>
          <w:color w:val="auto"/>
        </w:rPr>
      </w:pPr>
    </w:p>
    <w:p>
      <w:pPr>
        <w:ind w:right="300" w:firstLine="494"/>
        <w:spacing w:after="0" w:line="258" w:lineRule="auto"/>
        <w:rPr>
          <w:sz w:val="20"/>
          <w:szCs w:val="20"/>
          <w:color w:val="auto"/>
        </w:rPr>
      </w:pPr>
      <w:r>
        <w:rPr>
          <w:rFonts w:ascii="Calibri" w:cs="Calibri" w:eastAsia="Calibri" w:hAnsi="Calibri"/>
          <w:sz w:val="17"/>
          <w:szCs w:val="17"/>
          <w:color w:val="auto"/>
        </w:rPr>
        <w:t>Subsequent to the FDA approval of Dojolvi for the treatment of LC-FAOD in 2020, the Company recorded $4.8 million for the atainment of various development and commercial milestones as fnite-lived intangible assets which are amortzed over a weighted-average total useful life of 6 years.</w:t>
      </w:r>
    </w:p>
    <w:p>
      <w:pPr>
        <w:spacing w:after="0" w:line="67" w:lineRule="exact"/>
        <w:rPr>
          <w:sz w:val="20"/>
          <w:szCs w:val="20"/>
          <w:color w:val="auto"/>
        </w:rPr>
      </w:pPr>
    </w:p>
    <w:p>
      <w:pPr>
        <w:ind w:right="400" w:firstLine="494"/>
        <w:spacing w:after="0" w:line="235" w:lineRule="auto"/>
        <w:rPr>
          <w:sz w:val="20"/>
          <w:szCs w:val="20"/>
          <w:color w:val="auto"/>
        </w:rPr>
      </w:pPr>
      <w:r>
        <w:rPr>
          <w:rFonts w:ascii="Calibri" w:cs="Calibri" w:eastAsia="Calibri" w:hAnsi="Calibri"/>
          <w:sz w:val="18"/>
          <w:szCs w:val="18"/>
          <w:color w:val="auto"/>
        </w:rPr>
        <w:t>In January 2022, the Company announced a collaboraton with Regeneron to commercialize Evkeeza for HoFH outside of the U.S. Pursuant to the collaboraton agreement, the Company has incurred an upfront payment and regulatory and sales milestones to date totaling $57.5 million. As these payments are for the Company’s use of intellectual property for Evkeeza for HoFH, they were recorded as intangible assets, which are amortzed over a weighted-average total useful life of 9 years.</w:t>
      </w:r>
    </w:p>
    <w:p>
      <w:pPr>
        <w:sectPr>
          <w:pgSz w:w="11900" w:h="16838" w:orient="portrait"/>
          <w:cols w:equalWidth="0" w:num="1">
            <w:col w:w="11240"/>
          </w:cols>
          <w:pgMar w:left="320" w:top="765" w:right="339" w:bottom="1440" w:gutter="0" w:footer="0" w:header="0"/>
        </w:sectPr>
      </w:pPr>
    </w:p>
    <w:p>
      <w:pPr>
        <w:spacing w:after="0" w:line="84" w:lineRule="exact"/>
        <w:rPr>
          <w:sz w:val="20"/>
          <w:szCs w:val="20"/>
          <w:color w:val="auto"/>
        </w:rPr>
      </w:pPr>
    </w:p>
    <w:p>
      <w:pPr>
        <w:ind w:left="500"/>
        <w:spacing w:after="0"/>
        <w:rPr>
          <w:sz w:val="20"/>
          <w:szCs w:val="20"/>
          <w:color w:val="auto"/>
        </w:rPr>
      </w:pPr>
      <w:r>
        <w:rPr>
          <w:rFonts w:ascii="Calibri" w:cs="Calibri" w:eastAsia="Calibri" w:hAnsi="Calibri"/>
          <w:sz w:val="17"/>
          <w:szCs w:val="17"/>
          <w:color w:val="auto"/>
        </w:rPr>
        <w:t>The Company's intangible assets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Indefnite-lived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-130175</wp:posOffset>
            </wp:positionV>
            <wp:extent cx="3343275" cy="15430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96">
                      <a:extLst>
                        <a:ext uri="{28A0092B-C50C-407E-A947-70E740481C1C}"/>
                      </a:extLst>
                    </a:blip>
                    <a:srcRect/>
                    <a:stretch>
                      <a:fillRect/>
                    </a:stretch>
                  </pic:blipFill>
                  <pic:spPr bwMode="auto">
                    <a:xfrm>
                      <a:off x="0" y="0"/>
                      <a:ext cx="3343275" cy="154305"/>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Finite-lived intangibles</w:t>
      </w:r>
    </w:p>
    <w:p>
      <w:pPr>
        <w:spacing w:after="0" w:line="23" w:lineRule="exact"/>
        <w:rPr>
          <w:sz w:val="20"/>
          <w:szCs w:val="20"/>
          <w:color w:val="auto"/>
        </w:rPr>
      </w:pPr>
    </w:p>
    <w:p>
      <w:pPr>
        <w:ind w:left="1240"/>
        <w:spacing w:after="0"/>
        <w:rPr>
          <w:sz w:val="20"/>
          <w:szCs w:val="20"/>
          <w:color w:val="auto"/>
        </w:rPr>
      </w:pPr>
      <w:r>
        <w:rPr>
          <w:rFonts w:ascii="Calibri" w:cs="Calibri" w:eastAsia="Calibri" w:hAnsi="Calibri"/>
          <w:sz w:val="18"/>
          <w:szCs w:val="18"/>
          <w:color w:val="auto"/>
        </w:rPr>
        <w:t>Total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-130175</wp:posOffset>
            </wp:positionV>
            <wp:extent cx="3343275" cy="16319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97">
                      <a:extLst>
                        <a:ext uri="{28A0092B-C50C-407E-A947-70E740481C1C}"/>
                      </a:extLst>
                    </a:blip>
                    <a:srcRect/>
                    <a:stretch>
                      <a:fillRect/>
                    </a:stretch>
                  </pic:blipFill>
                  <pic:spPr bwMode="auto">
                    <a:xfrm>
                      <a:off x="0" y="0"/>
                      <a:ext cx="334327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Indefnite-lived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-130175</wp:posOffset>
            </wp:positionV>
            <wp:extent cx="3343275" cy="15430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98">
                      <a:extLst>
                        <a:ext uri="{28A0092B-C50C-407E-A947-70E740481C1C}"/>
                      </a:extLst>
                    </a:blip>
                    <a:srcRect/>
                    <a:stretch>
                      <a:fillRect/>
                    </a:stretch>
                  </pic:blipFill>
                  <pic:spPr bwMode="auto">
                    <a:xfrm>
                      <a:off x="0" y="0"/>
                      <a:ext cx="3343275" cy="154305"/>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Finite-lived intangibles</w:t>
      </w:r>
    </w:p>
    <w:p>
      <w:pPr>
        <w:spacing w:after="0" w:line="23" w:lineRule="exact"/>
        <w:rPr>
          <w:sz w:val="20"/>
          <w:szCs w:val="20"/>
          <w:color w:val="auto"/>
        </w:rPr>
      </w:pPr>
    </w:p>
    <w:p>
      <w:pPr>
        <w:ind w:left="1240"/>
        <w:spacing w:after="0"/>
        <w:rPr>
          <w:sz w:val="20"/>
          <w:szCs w:val="20"/>
          <w:color w:val="auto"/>
        </w:rPr>
      </w:pPr>
      <w:r>
        <w:rPr>
          <w:rFonts w:ascii="Calibri" w:cs="Calibri" w:eastAsia="Calibri" w:hAnsi="Calibri"/>
          <w:sz w:val="18"/>
          <w:szCs w:val="18"/>
          <w:color w:val="auto"/>
        </w:rPr>
        <w:t>Total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-130175</wp:posOffset>
            </wp:positionV>
            <wp:extent cx="3343275" cy="16319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99">
                      <a:extLst>
                        <a:ext uri="{28A0092B-C50C-407E-A947-70E740481C1C}"/>
                      </a:extLst>
                    </a:blip>
                    <a:srcRect/>
                    <a:stretch>
                      <a:fillRect/>
                    </a:stretch>
                  </pic:blipFill>
                  <pic:spPr bwMode="auto">
                    <a:xfrm>
                      <a:off x="0" y="0"/>
                      <a:ext cx="334327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ind w:left="1920"/>
        <w:spacing w:after="0"/>
        <w:rPr>
          <w:sz w:val="20"/>
          <w:szCs w:val="20"/>
          <w:color w:val="auto"/>
        </w:rPr>
      </w:pPr>
      <w:r>
        <w:rPr>
          <w:rFonts w:ascii="Calibri" w:cs="Calibri" w:eastAsia="Calibri" w:hAnsi="Calibri"/>
          <w:sz w:val="18"/>
          <w:szCs w:val="18"/>
          <w:b w:val="1"/>
          <w:bCs w:val="1"/>
          <w:color w:val="auto"/>
        </w:rPr>
        <w:t>December 31, 2024</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vMerge w:val="restart"/>
          </w:tcPr>
          <w:p>
            <w:pPr>
              <w:jc w:val="center"/>
              <w:ind w:right="90"/>
              <w:spacing w:after="0"/>
              <w:rPr>
                <w:sz w:val="20"/>
                <w:szCs w:val="20"/>
                <w:color w:val="auto"/>
              </w:rPr>
            </w:pPr>
            <w:r>
              <w:rPr>
                <w:rFonts w:ascii="Calibri" w:cs="Calibri" w:eastAsia="Calibri" w:hAnsi="Calibri"/>
                <w:sz w:val="18"/>
                <w:szCs w:val="18"/>
                <w:b w:val="1"/>
                <w:bCs w:val="1"/>
                <w:color w:val="auto"/>
                <w:w w:val="97"/>
              </w:rPr>
              <w:t>Gross Carrying</w:t>
            </w: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spacing w:after="0" w:line="207" w:lineRule="exact"/>
              <w:rPr>
                <w:sz w:val="20"/>
                <w:szCs w:val="20"/>
                <w:color w:val="auto"/>
              </w:rPr>
            </w:pPr>
            <w:r>
              <w:rPr>
                <w:rFonts w:ascii="Calibri" w:cs="Calibri" w:eastAsia="Calibri" w:hAnsi="Calibri"/>
                <w:sz w:val="18"/>
                <w:szCs w:val="18"/>
                <w:b w:val="1"/>
                <w:bCs w:val="1"/>
                <w:color w:val="auto"/>
                <w:w w:val="96"/>
              </w:rPr>
              <w:t>Weighted-</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3"/>
            <w:vMerge w:val="restart"/>
          </w:tcPr>
          <w:p>
            <w:pPr>
              <w:ind w:left="20"/>
              <w:spacing w:after="0"/>
              <w:rPr>
                <w:sz w:val="20"/>
                <w:szCs w:val="20"/>
                <w:color w:val="auto"/>
              </w:rPr>
            </w:pPr>
            <w:r>
              <w:rPr>
                <w:rFonts w:ascii="Calibri" w:cs="Calibri" w:eastAsia="Calibri" w:hAnsi="Calibri"/>
                <w:sz w:val="18"/>
                <w:szCs w:val="18"/>
                <w:b w:val="1"/>
                <w:bCs w:val="1"/>
                <w:color w:val="auto"/>
              </w:rPr>
              <w:t>Accumulated</w:t>
            </w:r>
          </w:p>
        </w:tc>
        <w:tc>
          <w:tcPr>
            <w:tcW w:w="1060" w:type="dxa"/>
            <w:vAlign w:val="bottom"/>
            <w:tcBorders>
              <w:top w:val="single" w:sz="8" w:color="auto"/>
            </w:tcBorders>
            <w:gridSpan w:val="2"/>
            <w:vMerge w:val="restart"/>
          </w:tcPr>
          <w:p>
            <w:pPr>
              <w:jc w:val="center"/>
              <w:spacing w:after="0"/>
              <w:rPr>
                <w:sz w:val="20"/>
                <w:szCs w:val="20"/>
                <w:color w:val="auto"/>
              </w:rPr>
            </w:pPr>
            <w:r>
              <w:rPr>
                <w:rFonts w:ascii="Calibri" w:cs="Calibri" w:eastAsia="Calibri" w:hAnsi="Calibri"/>
                <w:sz w:val="18"/>
                <w:szCs w:val="18"/>
                <w:b w:val="1"/>
                <w:bCs w:val="1"/>
                <w:color w:val="auto"/>
                <w:w w:val="98"/>
              </w:rPr>
              <w:t>Net Carrying</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12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vMerge w:val="restart"/>
          </w:tcPr>
          <w:p>
            <w:pPr>
              <w:jc w:val="center"/>
              <w:spacing w:after="0" w:line="215" w:lineRule="exact"/>
              <w:rPr>
                <w:sz w:val="20"/>
                <w:szCs w:val="20"/>
                <w:color w:val="auto"/>
              </w:rPr>
            </w:pPr>
            <w:r>
              <w:rPr>
                <w:rFonts w:ascii="Calibri" w:cs="Calibri" w:eastAsia="Calibri" w:hAnsi="Calibri"/>
                <w:sz w:val="18"/>
                <w:szCs w:val="18"/>
                <w:b w:val="1"/>
                <w:bCs w:val="1"/>
                <w:color w:val="auto"/>
                <w:w w:val="97"/>
              </w:rPr>
              <w:t>Average Life</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1320" w:type="dxa"/>
            <w:vAlign w:val="bottom"/>
            <w:vMerge w:val="restart"/>
          </w:tcPr>
          <w:p>
            <w:pPr>
              <w:jc w:val="center"/>
              <w:ind w:right="70"/>
              <w:spacing w:after="0" w:line="216" w:lineRule="exact"/>
              <w:rPr>
                <w:sz w:val="20"/>
                <w:szCs w:val="20"/>
                <w:color w:val="auto"/>
              </w:rPr>
            </w:pPr>
            <w:r>
              <w:rPr>
                <w:rFonts w:ascii="Calibri" w:cs="Calibri" w:eastAsia="Calibri" w:hAnsi="Calibri"/>
                <w:sz w:val="18"/>
                <w:szCs w:val="18"/>
                <w:b w:val="1"/>
                <w:bCs w:val="1"/>
                <w:color w:val="auto"/>
                <w:w w:val="98"/>
              </w:rPr>
              <w:t>Amount</w:t>
            </w:r>
          </w:p>
        </w:tc>
        <w:tc>
          <w:tcPr>
            <w:tcW w:w="20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3"/>
            <w:vMerge w:val="restart"/>
          </w:tcPr>
          <w:p>
            <w:pPr>
              <w:ind w:left="40"/>
              <w:spacing w:after="0" w:line="216" w:lineRule="exact"/>
              <w:rPr>
                <w:sz w:val="20"/>
                <w:szCs w:val="20"/>
                <w:color w:val="auto"/>
              </w:rPr>
            </w:pPr>
            <w:r>
              <w:rPr>
                <w:rFonts w:ascii="Calibri" w:cs="Calibri" w:eastAsia="Calibri" w:hAnsi="Calibri"/>
                <w:sz w:val="18"/>
                <w:szCs w:val="18"/>
                <w:b w:val="1"/>
                <w:bCs w:val="1"/>
                <w:color w:val="auto"/>
              </w:rPr>
              <w:t>Amortzaton</w:t>
            </w:r>
          </w:p>
        </w:tc>
        <w:tc>
          <w:tcPr>
            <w:tcW w:w="160" w:type="dxa"/>
            <w:vAlign w:val="bottom"/>
          </w:tcPr>
          <w:p>
            <w:pPr>
              <w:spacing w:after="0"/>
              <w:rPr>
                <w:sz w:val="9"/>
                <w:szCs w:val="9"/>
                <w:color w:val="auto"/>
              </w:rPr>
            </w:pPr>
          </w:p>
        </w:tc>
        <w:tc>
          <w:tcPr>
            <w:tcW w:w="900" w:type="dxa"/>
            <w:vAlign w:val="bottom"/>
            <w:vMerge w:val="restart"/>
          </w:tcPr>
          <w:p>
            <w:pPr>
              <w:jc w:val="center"/>
              <w:ind w:right="90"/>
              <w:spacing w:after="0" w:line="216" w:lineRule="exact"/>
              <w:rPr>
                <w:sz w:val="20"/>
                <w:szCs w:val="20"/>
                <w:color w:val="auto"/>
              </w:rPr>
            </w:pPr>
            <w:r>
              <w:rPr>
                <w:rFonts w:ascii="Calibri" w:cs="Calibri" w:eastAsia="Calibri" w:hAnsi="Calibri"/>
                <w:sz w:val="18"/>
                <w:szCs w:val="18"/>
                <w:b w:val="1"/>
                <w:bCs w:val="1"/>
                <w:color w:val="auto"/>
                <w:w w:val="98"/>
              </w:rPr>
              <w:t>Amount</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vMerge w:val="restart"/>
          </w:tcPr>
          <w:p>
            <w:pPr>
              <w:jc w:val="center"/>
              <w:spacing w:after="0" w:line="216" w:lineRule="exact"/>
              <w:rPr>
                <w:sz w:val="20"/>
                <w:szCs w:val="20"/>
                <w:color w:val="auto"/>
              </w:rPr>
            </w:pPr>
            <w:r>
              <w:rPr>
                <w:rFonts w:ascii="Calibri" w:cs="Calibri" w:eastAsia="Calibri" w:hAnsi="Calibri"/>
                <w:sz w:val="18"/>
                <w:szCs w:val="18"/>
                <w:b w:val="1"/>
                <w:bCs w:val="1"/>
                <w:color w:val="auto"/>
                <w:w w:val="95"/>
              </w:rPr>
              <w:t>(Years)</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20" w:type="dxa"/>
            <w:vAlign w:val="bottom"/>
          </w:tcPr>
          <w:p>
            <w:pPr>
              <w:jc w:val="right"/>
              <w:spacing w:after="0" w:line="213" w:lineRule="exact"/>
              <w:rPr>
                <w:sz w:val="20"/>
                <w:szCs w:val="20"/>
                <w:color w:val="auto"/>
              </w:rPr>
            </w:pPr>
            <w:r>
              <w:rPr>
                <w:rFonts w:ascii="Calibri" w:cs="Calibri" w:eastAsia="Calibri" w:hAnsi="Calibri"/>
                <w:sz w:val="18"/>
                <w:szCs w:val="18"/>
                <w:color w:val="auto"/>
                <w:w w:val="87"/>
              </w:rPr>
              <w:t>$</w:t>
            </w:r>
          </w:p>
        </w:tc>
        <w:tc>
          <w:tcPr>
            <w:tcW w:w="1320" w:type="dxa"/>
            <w:vAlign w:val="bottom"/>
          </w:tcPr>
          <w:p>
            <w:pPr>
              <w:jc w:val="right"/>
              <w:spacing w:after="0" w:line="213" w:lineRule="exact"/>
              <w:rPr>
                <w:sz w:val="20"/>
                <w:szCs w:val="20"/>
                <w:color w:val="auto"/>
              </w:rPr>
            </w:pPr>
            <w:r>
              <w:rPr>
                <w:rFonts w:ascii="Calibri" w:cs="Calibri" w:eastAsia="Calibri" w:hAnsi="Calibri"/>
                <w:sz w:val="18"/>
                <w:szCs w:val="18"/>
                <w:color w:val="auto"/>
              </w:rPr>
              <w:t>129,000</w:t>
            </w:r>
          </w:p>
        </w:tc>
        <w:tc>
          <w:tcPr>
            <w:tcW w:w="200" w:type="dxa"/>
            <w:vAlign w:val="bottom"/>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CFF"/>
            </w:tcBorders>
            <w:shd w:val="clear" w:color="auto" w:fill="CCECFF"/>
          </w:tcPr>
          <w:p>
            <w:pPr>
              <w:spacing w:after="0"/>
              <w:rPr>
                <w:sz w:val="18"/>
                <w:szCs w:val="18"/>
                <w:color w:val="auto"/>
              </w:rPr>
            </w:pPr>
          </w:p>
        </w:tc>
        <w:tc>
          <w:tcPr>
            <w:tcW w:w="460" w:type="dxa"/>
            <w:vAlign w:val="bottom"/>
            <w:tcBorders>
              <w:bottom w:val="single" w:sz="8" w:color="CCECFF"/>
            </w:tcBorders>
            <w:shd w:val="clear" w:color="auto" w:fill="CCECFF"/>
          </w:tcPr>
          <w:p>
            <w:pPr>
              <w:ind w:left="20"/>
              <w:spacing w:after="0" w:line="213" w:lineRule="exact"/>
              <w:rPr>
                <w:sz w:val="20"/>
                <w:szCs w:val="20"/>
                <w:color w:val="auto"/>
              </w:rPr>
            </w:pPr>
            <w:r>
              <w:rPr>
                <w:rFonts w:ascii="Calibri" w:cs="Calibri" w:eastAsia="Calibri" w:hAnsi="Calibri"/>
                <w:sz w:val="18"/>
                <w:szCs w:val="18"/>
                <w:color w:val="auto"/>
              </w:rPr>
              <w:t>$</w:t>
            </w:r>
          </w:p>
        </w:tc>
        <w:tc>
          <w:tcPr>
            <w:tcW w:w="600" w:type="dxa"/>
            <w:vAlign w:val="bottom"/>
            <w:tcBorders>
              <w:bottom w:val="single" w:sz="8" w:color="CCECFF"/>
            </w:tcBorders>
            <w:shd w:val="clear" w:color="auto" w:fill="CCECFF"/>
          </w:tcPr>
          <w:p>
            <w:pPr>
              <w:jc w:val="right"/>
              <w:spacing w:after="0" w:line="213"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CECFF"/>
            </w:tcBorders>
            <w:shd w:val="clear" w:color="auto" w:fill="CCECFF"/>
          </w:tcPr>
          <w:p>
            <w:pPr>
              <w:spacing w:after="0"/>
              <w:rPr>
                <w:sz w:val="18"/>
                <w:szCs w:val="18"/>
                <w:color w:val="auto"/>
              </w:rPr>
            </w:pPr>
          </w:p>
        </w:tc>
        <w:tc>
          <w:tcPr>
            <w:tcW w:w="160" w:type="dxa"/>
            <w:vAlign w:val="bottom"/>
            <w:tcBorders>
              <w:bottom w:val="single" w:sz="8" w:color="CCECFF"/>
            </w:tcBorders>
            <w:shd w:val="clear" w:color="auto" w:fill="CCECFF"/>
          </w:tcPr>
          <w:p>
            <w:pPr>
              <w:jc w:val="right"/>
              <w:spacing w:after="0" w:line="213" w:lineRule="exact"/>
              <w:rPr>
                <w:sz w:val="20"/>
                <w:szCs w:val="20"/>
                <w:color w:val="auto"/>
              </w:rPr>
            </w:pPr>
            <w:r>
              <w:rPr>
                <w:rFonts w:ascii="Calibri" w:cs="Calibri" w:eastAsia="Calibri" w:hAnsi="Calibri"/>
                <w:sz w:val="18"/>
                <w:szCs w:val="18"/>
                <w:color w:val="auto"/>
                <w:w w:val="87"/>
              </w:rPr>
              <w:t>$</w:t>
            </w:r>
          </w:p>
        </w:tc>
        <w:tc>
          <w:tcPr>
            <w:tcW w:w="900" w:type="dxa"/>
            <w:vAlign w:val="bottom"/>
            <w:tcBorders>
              <w:bottom w:val="single" w:sz="8" w:color="CCECFF"/>
            </w:tcBorders>
            <w:shd w:val="clear" w:color="auto" w:fill="CCECFF"/>
          </w:tcPr>
          <w:p>
            <w:pPr>
              <w:jc w:val="right"/>
              <w:spacing w:after="0" w:line="213" w:lineRule="exact"/>
              <w:rPr>
                <w:sz w:val="20"/>
                <w:szCs w:val="20"/>
                <w:color w:val="auto"/>
              </w:rPr>
            </w:pPr>
            <w:r>
              <w:rPr>
                <w:rFonts w:ascii="Calibri" w:cs="Calibri" w:eastAsia="Calibri" w:hAnsi="Calibri"/>
                <w:sz w:val="18"/>
                <w:szCs w:val="18"/>
                <w:color w:val="auto"/>
              </w:rPr>
              <w:t>129,000</w:t>
            </w:r>
          </w:p>
        </w:tc>
        <w:tc>
          <w:tcPr>
            <w:tcW w:w="8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320" w:type="dxa"/>
            <w:vAlign w:val="bottom"/>
          </w:tcPr>
          <w:p>
            <w:pPr>
              <w:jc w:val="right"/>
              <w:spacing w:after="0" w:line="206" w:lineRule="exact"/>
              <w:rPr>
                <w:sz w:val="20"/>
                <w:szCs w:val="20"/>
                <w:color w:val="auto"/>
              </w:rPr>
            </w:pPr>
            <w:r>
              <w:rPr>
                <w:rFonts w:ascii="Calibri" w:cs="Calibri" w:eastAsia="Calibri" w:hAnsi="Calibri"/>
                <w:sz w:val="18"/>
                <w:szCs w:val="18"/>
                <w:color w:val="auto"/>
              </w:rPr>
              <w:t>62,275</w:t>
            </w:r>
          </w:p>
        </w:tc>
        <w:tc>
          <w:tcPr>
            <w:tcW w:w="2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gridSpan w:val="2"/>
          </w:tcPr>
          <w:p>
            <w:pPr>
              <w:jc w:val="right"/>
              <w:ind w:right="90"/>
              <w:spacing w:after="0" w:line="215" w:lineRule="exact"/>
              <w:rPr>
                <w:sz w:val="20"/>
                <w:szCs w:val="20"/>
                <w:color w:val="auto"/>
              </w:rPr>
            </w:pPr>
            <w:r>
              <w:rPr>
                <w:rFonts w:ascii="Calibri" w:cs="Calibri" w:eastAsia="Calibri" w:hAnsi="Calibri"/>
                <w:sz w:val="18"/>
                <w:szCs w:val="18"/>
                <w:color w:val="auto"/>
                <w:w w:val="98"/>
              </w:rPr>
              <w:t>(12,961 )</w:t>
            </w:r>
          </w:p>
        </w:tc>
        <w:tc>
          <w:tcPr>
            <w:tcW w:w="160" w:type="dxa"/>
            <w:vAlign w:val="bottom"/>
          </w:tcPr>
          <w:p>
            <w:pPr>
              <w:spacing w:after="0"/>
              <w:rPr>
                <w:sz w:val="19"/>
                <w:szCs w:val="19"/>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49,314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1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3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191,275</w:t>
            </w:r>
          </w:p>
        </w:tc>
        <w:tc>
          <w:tcPr>
            <w:tcW w:w="200" w:type="dxa"/>
            <w:vAlign w:val="bottom"/>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CFF"/>
            </w:tcBorders>
            <w:shd w:val="clear" w:color="auto" w:fill="CCECFF"/>
          </w:tcPr>
          <w:p>
            <w:pPr>
              <w:spacing w:after="0"/>
              <w:rPr>
                <w:sz w:val="22"/>
                <w:szCs w:val="22"/>
                <w:color w:val="auto"/>
              </w:rPr>
            </w:pPr>
          </w:p>
        </w:tc>
        <w:tc>
          <w:tcPr>
            <w:tcW w:w="460" w:type="dxa"/>
            <w:vAlign w:val="bottom"/>
            <w:tcBorders>
              <w:top w:val="single" w:sz="8" w:color="auto"/>
              <w:bottom w:val="single" w:sz="8" w:color="auto"/>
            </w:tcBorders>
            <w:shd w:val="clear" w:color="auto" w:fill="CCECFF"/>
          </w:tcPr>
          <w:p>
            <w:pPr>
              <w:ind w:left="20"/>
              <w:spacing w:after="0" w:line="215" w:lineRule="exact"/>
              <w:rPr>
                <w:sz w:val="20"/>
                <w:szCs w:val="20"/>
                <w:color w:val="auto"/>
              </w:rPr>
            </w:pPr>
            <w:r>
              <w:rPr>
                <w:rFonts w:ascii="Calibri" w:cs="Calibri" w:eastAsia="Calibri" w:hAnsi="Calibri"/>
                <w:sz w:val="18"/>
                <w:szCs w:val="18"/>
                <w:color w:val="auto"/>
              </w:rPr>
              <w:t>$</w:t>
            </w:r>
          </w:p>
        </w:tc>
        <w:tc>
          <w:tcPr>
            <w:tcW w:w="600" w:type="dxa"/>
            <w:vAlign w:val="bottom"/>
            <w:tcBorders>
              <w:top w:val="single" w:sz="8" w:color="auto"/>
              <w:bottom w:val="single" w:sz="8" w:color="auto"/>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(12,961</w:t>
            </w:r>
          </w:p>
        </w:tc>
        <w:tc>
          <w:tcPr>
            <w:tcW w:w="240" w:type="dxa"/>
            <w:vAlign w:val="bottom"/>
            <w:tcBorders>
              <w:bottom w:val="single" w:sz="8" w:color="CCECFF"/>
            </w:tcBorders>
            <w:shd w:val="clear" w:color="auto" w:fill="CCECFF"/>
          </w:tcPr>
          <w:p>
            <w:pPr>
              <w:jc w:val="right"/>
              <w:ind w:right="90"/>
              <w:spacing w:after="0" w:line="215" w:lineRule="exact"/>
              <w:rPr>
                <w:sz w:val="20"/>
                <w:szCs w:val="20"/>
                <w:color w:val="auto"/>
              </w:rPr>
            </w:pPr>
            <w:r>
              <w:rPr>
                <w:rFonts w:ascii="Calibri" w:cs="Calibri" w:eastAsia="Calibri" w:hAnsi="Calibri"/>
                <w:sz w:val="18"/>
                <w:szCs w:val="18"/>
                <w:color w:val="auto"/>
                <w:w w:val="72"/>
              </w:rPr>
              <w:t>)</w:t>
            </w:r>
          </w:p>
        </w:tc>
        <w:tc>
          <w:tcPr>
            <w:tcW w:w="160" w:type="dxa"/>
            <w:vAlign w:val="bottom"/>
            <w:tcBorders>
              <w:top w:val="single" w:sz="8" w:color="auto"/>
              <w:bottom w:val="single" w:sz="8" w:color="auto"/>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tcBorders>
              <w:top w:val="single" w:sz="8" w:color="auto"/>
              <w:bottom w:val="single" w:sz="8" w:color="auto"/>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178,314</w:t>
            </w:r>
          </w:p>
        </w:tc>
        <w:tc>
          <w:tcPr>
            <w:tcW w:w="80" w:type="dxa"/>
            <w:vAlign w:val="bottom"/>
            <w:tcBorders>
              <w:bottom w:val="single" w:sz="8" w:color="CCECFF"/>
            </w:tcBorders>
            <w:shd w:val="clear" w:color="auto" w:fill="CCECFF"/>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40" w:type="dxa"/>
            <w:vAlign w:val="bottom"/>
            <w:gridSpan w:val="4"/>
          </w:tcPr>
          <w:p>
            <w:pPr>
              <w:ind w:left="280"/>
              <w:spacing w:after="0"/>
              <w:rPr>
                <w:sz w:val="20"/>
                <w:szCs w:val="20"/>
                <w:color w:val="auto"/>
              </w:rPr>
            </w:pPr>
            <w:r>
              <w:rPr>
                <w:rFonts w:ascii="Calibri" w:cs="Calibri" w:eastAsia="Calibri" w:hAnsi="Calibri"/>
                <w:sz w:val="18"/>
                <w:szCs w:val="18"/>
                <w:b w:val="1"/>
                <w:bCs w:val="1"/>
                <w:color w:val="auto"/>
                <w:w w:val="99"/>
              </w:rPr>
              <w:t>December 31, 2023</w:t>
            </w: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1320" w:type="dxa"/>
            <w:vAlign w:val="bottom"/>
            <w:vMerge w:val="restart"/>
          </w:tcPr>
          <w:p>
            <w:pPr>
              <w:jc w:val="center"/>
              <w:ind w:right="90"/>
              <w:spacing w:after="0"/>
              <w:rPr>
                <w:sz w:val="20"/>
                <w:szCs w:val="20"/>
                <w:color w:val="auto"/>
              </w:rPr>
            </w:pPr>
            <w:r>
              <w:rPr>
                <w:rFonts w:ascii="Calibri" w:cs="Calibri" w:eastAsia="Calibri" w:hAnsi="Calibri"/>
                <w:sz w:val="18"/>
                <w:szCs w:val="18"/>
                <w:b w:val="1"/>
                <w:bCs w:val="1"/>
                <w:color w:val="auto"/>
                <w:w w:val="97"/>
              </w:rPr>
              <w:t>Gross Carrying</w:t>
            </w:r>
          </w:p>
        </w:tc>
        <w:tc>
          <w:tcPr>
            <w:tcW w:w="200" w:type="dxa"/>
            <w:vAlign w:val="bottom"/>
          </w:tcPr>
          <w:p>
            <w:pPr>
              <w:spacing w:after="0"/>
              <w:rPr>
                <w:sz w:val="16"/>
                <w:szCs w:val="16"/>
                <w:color w:val="auto"/>
              </w:rPr>
            </w:pPr>
          </w:p>
        </w:tc>
        <w:tc>
          <w:tcPr>
            <w:tcW w:w="1040" w:type="dxa"/>
            <w:vAlign w:val="bottom"/>
          </w:tcPr>
          <w:p>
            <w:pPr>
              <w:jc w:val="center"/>
              <w:spacing w:after="0" w:line="187" w:lineRule="exact"/>
              <w:rPr>
                <w:sz w:val="20"/>
                <w:szCs w:val="20"/>
                <w:color w:val="auto"/>
              </w:rPr>
            </w:pPr>
            <w:r>
              <w:rPr>
                <w:rFonts w:ascii="Calibri" w:cs="Calibri" w:eastAsia="Calibri" w:hAnsi="Calibri"/>
                <w:sz w:val="18"/>
                <w:szCs w:val="18"/>
                <w:b w:val="1"/>
                <w:bCs w:val="1"/>
                <w:color w:val="auto"/>
                <w:w w:val="96"/>
              </w:rPr>
              <w:t>Weighted-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3"/>
            <w:vMerge w:val="restart"/>
          </w:tcPr>
          <w:p>
            <w:pPr>
              <w:ind w:left="20"/>
              <w:spacing w:after="0"/>
              <w:rPr>
                <w:sz w:val="20"/>
                <w:szCs w:val="20"/>
                <w:color w:val="auto"/>
              </w:rPr>
            </w:pPr>
            <w:r>
              <w:rPr>
                <w:rFonts w:ascii="Calibri" w:cs="Calibri" w:eastAsia="Calibri" w:hAnsi="Calibri"/>
                <w:sz w:val="18"/>
                <w:szCs w:val="18"/>
                <w:b w:val="1"/>
                <w:bCs w:val="1"/>
                <w:color w:val="auto"/>
              </w:rPr>
              <w:t>Accumulated</w:t>
            </w:r>
          </w:p>
        </w:tc>
        <w:tc>
          <w:tcPr>
            <w:tcW w:w="1060" w:type="dxa"/>
            <w:vAlign w:val="bottom"/>
            <w:gridSpan w:val="2"/>
            <w:vMerge w:val="restart"/>
          </w:tcPr>
          <w:p>
            <w:pPr>
              <w:jc w:val="center"/>
              <w:spacing w:after="0"/>
              <w:rPr>
                <w:sz w:val="20"/>
                <w:szCs w:val="20"/>
                <w:color w:val="auto"/>
              </w:rPr>
            </w:pPr>
            <w:r>
              <w:rPr>
                <w:rFonts w:ascii="Calibri" w:cs="Calibri" w:eastAsia="Calibri" w:hAnsi="Calibri"/>
                <w:sz w:val="18"/>
                <w:szCs w:val="18"/>
                <w:b w:val="1"/>
                <w:bCs w:val="1"/>
                <w:color w:val="auto"/>
                <w:w w:val="98"/>
              </w:rPr>
              <w:t>Net Carrying</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12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vMerge w:val="restart"/>
          </w:tcPr>
          <w:p>
            <w:pPr>
              <w:jc w:val="center"/>
              <w:spacing w:after="0" w:line="215" w:lineRule="exact"/>
              <w:rPr>
                <w:sz w:val="20"/>
                <w:szCs w:val="20"/>
                <w:color w:val="auto"/>
              </w:rPr>
            </w:pPr>
            <w:r>
              <w:rPr>
                <w:rFonts w:ascii="Calibri" w:cs="Calibri" w:eastAsia="Calibri" w:hAnsi="Calibri"/>
                <w:sz w:val="18"/>
                <w:szCs w:val="18"/>
                <w:b w:val="1"/>
                <w:bCs w:val="1"/>
                <w:color w:val="auto"/>
                <w:w w:val="97"/>
              </w:rPr>
              <w:t>Average Life</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1320" w:type="dxa"/>
            <w:vAlign w:val="bottom"/>
            <w:vMerge w:val="restart"/>
          </w:tcPr>
          <w:p>
            <w:pPr>
              <w:jc w:val="center"/>
              <w:ind w:right="70"/>
              <w:spacing w:after="0" w:line="216" w:lineRule="exact"/>
              <w:rPr>
                <w:sz w:val="20"/>
                <w:szCs w:val="20"/>
                <w:color w:val="auto"/>
              </w:rPr>
            </w:pPr>
            <w:r>
              <w:rPr>
                <w:rFonts w:ascii="Calibri" w:cs="Calibri" w:eastAsia="Calibri" w:hAnsi="Calibri"/>
                <w:sz w:val="18"/>
                <w:szCs w:val="18"/>
                <w:b w:val="1"/>
                <w:bCs w:val="1"/>
                <w:color w:val="auto"/>
                <w:w w:val="98"/>
              </w:rPr>
              <w:t>Amount</w:t>
            </w:r>
          </w:p>
        </w:tc>
        <w:tc>
          <w:tcPr>
            <w:tcW w:w="20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3"/>
            <w:vMerge w:val="restart"/>
          </w:tcPr>
          <w:p>
            <w:pPr>
              <w:ind w:left="40"/>
              <w:spacing w:after="0" w:line="216" w:lineRule="exact"/>
              <w:rPr>
                <w:sz w:val="20"/>
                <w:szCs w:val="20"/>
                <w:color w:val="auto"/>
              </w:rPr>
            </w:pPr>
            <w:r>
              <w:rPr>
                <w:rFonts w:ascii="Calibri" w:cs="Calibri" w:eastAsia="Calibri" w:hAnsi="Calibri"/>
                <w:sz w:val="18"/>
                <w:szCs w:val="18"/>
                <w:b w:val="1"/>
                <w:bCs w:val="1"/>
                <w:color w:val="auto"/>
              </w:rPr>
              <w:t>Amortzaton</w:t>
            </w:r>
          </w:p>
        </w:tc>
        <w:tc>
          <w:tcPr>
            <w:tcW w:w="160" w:type="dxa"/>
            <w:vAlign w:val="bottom"/>
          </w:tcPr>
          <w:p>
            <w:pPr>
              <w:spacing w:after="0"/>
              <w:rPr>
                <w:sz w:val="9"/>
                <w:szCs w:val="9"/>
                <w:color w:val="auto"/>
              </w:rPr>
            </w:pPr>
          </w:p>
        </w:tc>
        <w:tc>
          <w:tcPr>
            <w:tcW w:w="900" w:type="dxa"/>
            <w:vAlign w:val="bottom"/>
            <w:vMerge w:val="restart"/>
          </w:tcPr>
          <w:p>
            <w:pPr>
              <w:jc w:val="center"/>
              <w:ind w:right="90"/>
              <w:spacing w:after="0" w:line="216" w:lineRule="exact"/>
              <w:rPr>
                <w:sz w:val="20"/>
                <w:szCs w:val="20"/>
                <w:color w:val="auto"/>
              </w:rPr>
            </w:pPr>
            <w:r>
              <w:rPr>
                <w:rFonts w:ascii="Calibri" w:cs="Calibri" w:eastAsia="Calibri" w:hAnsi="Calibri"/>
                <w:sz w:val="18"/>
                <w:szCs w:val="18"/>
                <w:b w:val="1"/>
                <w:bCs w:val="1"/>
                <w:color w:val="auto"/>
                <w:w w:val="98"/>
              </w:rPr>
              <w:t>Amount</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vMerge w:val="restart"/>
          </w:tcPr>
          <w:p>
            <w:pPr>
              <w:jc w:val="center"/>
              <w:spacing w:after="0" w:line="216" w:lineRule="exact"/>
              <w:rPr>
                <w:sz w:val="20"/>
                <w:szCs w:val="20"/>
                <w:color w:val="auto"/>
              </w:rPr>
            </w:pPr>
            <w:r>
              <w:rPr>
                <w:rFonts w:ascii="Calibri" w:cs="Calibri" w:eastAsia="Calibri" w:hAnsi="Calibri"/>
                <w:sz w:val="18"/>
                <w:szCs w:val="18"/>
                <w:b w:val="1"/>
                <w:bCs w:val="1"/>
                <w:color w:val="auto"/>
                <w:w w:val="95"/>
              </w:rPr>
              <w:t>(Years)</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2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w w:val="87"/>
              </w:rPr>
              <w:t>$</w:t>
            </w:r>
          </w:p>
        </w:tc>
        <w:tc>
          <w:tcPr>
            <w:tcW w:w="1320" w:type="dxa"/>
            <w:vAlign w:val="bottom"/>
            <w:tcBorders>
              <w:top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129,000</w:t>
            </w:r>
          </w:p>
        </w:tc>
        <w:tc>
          <w:tcPr>
            <w:tcW w:w="200" w:type="dxa"/>
            <w:vAlign w:val="bottom"/>
          </w:tcPr>
          <w:p>
            <w:pPr>
              <w:spacing w:after="0"/>
              <w:rPr>
                <w:sz w:val="18"/>
                <w:szCs w:val="18"/>
                <w:color w:val="auto"/>
              </w:rPr>
            </w:pPr>
          </w:p>
        </w:tc>
        <w:tc>
          <w:tcPr>
            <w:tcW w:w="1040" w:type="dxa"/>
            <w:vAlign w:val="bottom"/>
            <w:tcBorders>
              <w:top w:val="single" w:sz="8" w:color="auto"/>
              <w:bottom w:val="single" w:sz="8" w:color="CCEEFF"/>
            </w:tcBorders>
            <w:shd w:val="clear" w:color="auto" w:fill="CCEEFF"/>
          </w:tcPr>
          <w:p>
            <w:pPr>
              <w:jc w:val="right"/>
              <w:spacing w:after="0" w:line="213" w:lineRule="exact"/>
              <w:rPr>
                <w:sz w:val="20"/>
                <w:szCs w:val="20"/>
                <w:color w:val="auto"/>
              </w:rPr>
            </w:pPr>
            <w:r>
              <w:rPr>
                <w:rFonts w:ascii="Calibri" w:cs="Calibri" w:eastAsia="Calibri" w:hAnsi="Calibri"/>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CFF"/>
            </w:tcBorders>
            <w:shd w:val="clear" w:color="auto" w:fill="CCECFF"/>
          </w:tcPr>
          <w:p>
            <w:pPr>
              <w:spacing w:after="0"/>
              <w:rPr>
                <w:sz w:val="18"/>
                <w:szCs w:val="18"/>
                <w:color w:val="auto"/>
              </w:rPr>
            </w:pPr>
          </w:p>
        </w:tc>
        <w:tc>
          <w:tcPr>
            <w:tcW w:w="460" w:type="dxa"/>
            <w:vAlign w:val="bottom"/>
            <w:tcBorders>
              <w:top w:val="single" w:sz="8" w:color="auto"/>
              <w:bottom w:val="single" w:sz="8" w:color="CCECFF"/>
            </w:tcBorders>
            <w:shd w:val="clear" w:color="auto" w:fill="CCECFF"/>
          </w:tcPr>
          <w:p>
            <w:pPr>
              <w:ind w:left="20"/>
              <w:spacing w:after="0" w:line="213" w:lineRule="exact"/>
              <w:rPr>
                <w:sz w:val="20"/>
                <w:szCs w:val="20"/>
                <w:color w:val="auto"/>
              </w:rPr>
            </w:pPr>
            <w:r>
              <w:rPr>
                <w:rFonts w:ascii="Calibri" w:cs="Calibri" w:eastAsia="Calibri" w:hAnsi="Calibri"/>
                <w:sz w:val="18"/>
                <w:szCs w:val="18"/>
                <w:color w:val="auto"/>
              </w:rPr>
              <w:t>$</w:t>
            </w:r>
          </w:p>
        </w:tc>
        <w:tc>
          <w:tcPr>
            <w:tcW w:w="600" w:type="dxa"/>
            <w:vAlign w:val="bottom"/>
            <w:tcBorders>
              <w:top w:val="single" w:sz="8" w:color="auto"/>
              <w:bottom w:val="single" w:sz="8" w:color="CCECFF"/>
            </w:tcBorders>
            <w:shd w:val="clear" w:color="auto" w:fill="CCECFF"/>
          </w:tcPr>
          <w:p>
            <w:pPr>
              <w:jc w:val="right"/>
              <w:spacing w:after="0" w:line="213"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CECFF"/>
            </w:tcBorders>
            <w:shd w:val="clear" w:color="auto" w:fill="CCECFF"/>
          </w:tcPr>
          <w:p>
            <w:pPr>
              <w:spacing w:after="0"/>
              <w:rPr>
                <w:sz w:val="18"/>
                <w:szCs w:val="18"/>
                <w:color w:val="auto"/>
              </w:rPr>
            </w:pPr>
          </w:p>
        </w:tc>
        <w:tc>
          <w:tcPr>
            <w:tcW w:w="160" w:type="dxa"/>
            <w:vAlign w:val="bottom"/>
            <w:tcBorders>
              <w:top w:val="single" w:sz="8" w:color="auto"/>
              <w:bottom w:val="single" w:sz="8" w:color="CCECFF"/>
            </w:tcBorders>
            <w:shd w:val="clear" w:color="auto" w:fill="CCECFF"/>
          </w:tcPr>
          <w:p>
            <w:pPr>
              <w:jc w:val="right"/>
              <w:spacing w:after="0" w:line="213" w:lineRule="exact"/>
              <w:rPr>
                <w:sz w:val="20"/>
                <w:szCs w:val="20"/>
                <w:color w:val="auto"/>
              </w:rPr>
            </w:pPr>
            <w:r>
              <w:rPr>
                <w:rFonts w:ascii="Calibri" w:cs="Calibri" w:eastAsia="Calibri" w:hAnsi="Calibri"/>
                <w:sz w:val="18"/>
                <w:szCs w:val="18"/>
                <w:color w:val="auto"/>
                <w:w w:val="87"/>
              </w:rPr>
              <w:t>$</w:t>
            </w:r>
          </w:p>
        </w:tc>
        <w:tc>
          <w:tcPr>
            <w:tcW w:w="900" w:type="dxa"/>
            <w:vAlign w:val="bottom"/>
            <w:tcBorders>
              <w:top w:val="single" w:sz="8" w:color="auto"/>
              <w:bottom w:val="single" w:sz="8" w:color="CCECFF"/>
            </w:tcBorders>
            <w:shd w:val="clear" w:color="auto" w:fill="CCECFF"/>
          </w:tcPr>
          <w:p>
            <w:pPr>
              <w:jc w:val="right"/>
              <w:spacing w:after="0" w:line="213" w:lineRule="exact"/>
              <w:rPr>
                <w:sz w:val="20"/>
                <w:szCs w:val="20"/>
                <w:color w:val="auto"/>
              </w:rPr>
            </w:pPr>
            <w:r>
              <w:rPr>
                <w:rFonts w:ascii="Calibri" w:cs="Calibri" w:eastAsia="Calibri" w:hAnsi="Calibri"/>
                <w:sz w:val="18"/>
                <w:szCs w:val="18"/>
                <w:color w:val="auto"/>
              </w:rPr>
              <w:t>129,000</w:t>
            </w:r>
          </w:p>
        </w:tc>
        <w:tc>
          <w:tcPr>
            <w:tcW w:w="8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320" w:type="dxa"/>
            <w:vAlign w:val="bottom"/>
          </w:tcPr>
          <w:p>
            <w:pPr>
              <w:jc w:val="right"/>
              <w:spacing w:after="0" w:line="206" w:lineRule="exact"/>
              <w:rPr>
                <w:sz w:val="20"/>
                <w:szCs w:val="20"/>
                <w:color w:val="auto"/>
              </w:rPr>
            </w:pPr>
            <w:r>
              <w:rPr>
                <w:rFonts w:ascii="Calibri" w:cs="Calibri" w:eastAsia="Calibri" w:hAnsi="Calibri"/>
                <w:sz w:val="18"/>
                <w:szCs w:val="18"/>
                <w:color w:val="auto"/>
              </w:rPr>
              <w:t>44,775</w:t>
            </w:r>
          </w:p>
        </w:tc>
        <w:tc>
          <w:tcPr>
            <w:tcW w:w="200" w:type="dxa"/>
            <w:vAlign w:val="bottom"/>
          </w:tcPr>
          <w:p>
            <w:pPr>
              <w:spacing w:after="0"/>
              <w:rPr>
                <w:sz w:val="19"/>
                <w:szCs w:val="19"/>
                <w:color w:val="auto"/>
              </w:rPr>
            </w:pP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gridSpan w:val="2"/>
          </w:tcPr>
          <w:p>
            <w:pPr>
              <w:jc w:val="right"/>
              <w:ind w:right="90"/>
              <w:spacing w:after="0" w:line="215" w:lineRule="exact"/>
              <w:rPr>
                <w:sz w:val="20"/>
                <w:szCs w:val="20"/>
                <w:color w:val="auto"/>
              </w:rPr>
            </w:pPr>
            <w:r>
              <w:rPr>
                <w:rFonts w:ascii="Calibri" w:cs="Calibri" w:eastAsia="Calibri" w:hAnsi="Calibri"/>
                <w:sz w:val="18"/>
                <w:szCs w:val="18"/>
                <w:color w:val="auto"/>
              </w:rPr>
              <w:t>(7,504 )</w:t>
            </w:r>
          </w:p>
        </w:tc>
        <w:tc>
          <w:tcPr>
            <w:tcW w:w="160" w:type="dxa"/>
            <w:vAlign w:val="bottom"/>
          </w:tcPr>
          <w:p>
            <w:pPr>
              <w:spacing w:after="0"/>
              <w:rPr>
                <w:sz w:val="19"/>
                <w:szCs w:val="19"/>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37,271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1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320" w:type="dxa"/>
            <w:vAlign w:val="bottom"/>
            <w:tcBorders>
              <w:top w:val="single" w:sz="8" w:color="auto"/>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173,775</w:t>
            </w:r>
          </w:p>
        </w:tc>
        <w:tc>
          <w:tcPr>
            <w:tcW w:w="200" w:type="dxa"/>
            <w:vAlign w:val="bottom"/>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CFF"/>
            </w:tcBorders>
            <w:shd w:val="clear" w:color="auto" w:fill="CCECFF"/>
          </w:tcPr>
          <w:p>
            <w:pPr>
              <w:spacing w:after="0"/>
              <w:rPr>
                <w:sz w:val="22"/>
                <w:szCs w:val="22"/>
                <w:color w:val="auto"/>
              </w:rPr>
            </w:pPr>
          </w:p>
        </w:tc>
        <w:tc>
          <w:tcPr>
            <w:tcW w:w="460" w:type="dxa"/>
            <w:vAlign w:val="bottom"/>
            <w:tcBorders>
              <w:top w:val="single" w:sz="8" w:color="auto"/>
              <w:bottom w:val="single" w:sz="8" w:color="auto"/>
            </w:tcBorders>
            <w:shd w:val="clear" w:color="auto" w:fill="CCECFF"/>
          </w:tcPr>
          <w:p>
            <w:pPr>
              <w:ind w:left="20"/>
              <w:spacing w:after="0" w:line="215" w:lineRule="exact"/>
              <w:rPr>
                <w:sz w:val="20"/>
                <w:szCs w:val="20"/>
                <w:color w:val="auto"/>
              </w:rPr>
            </w:pPr>
            <w:r>
              <w:rPr>
                <w:rFonts w:ascii="Calibri" w:cs="Calibri" w:eastAsia="Calibri" w:hAnsi="Calibri"/>
                <w:sz w:val="18"/>
                <w:szCs w:val="18"/>
                <w:color w:val="auto"/>
              </w:rPr>
              <w:t>$</w:t>
            </w:r>
          </w:p>
        </w:tc>
        <w:tc>
          <w:tcPr>
            <w:tcW w:w="600" w:type="dxa"/>
            <w:vAlign w:val="bottom"/>
            <w:tcBorders>
              <w:top w:val="single" w:sz="8" w:color="auto"/>
              <w:bottom w:val="single" w:sz="8" w:color="auto"/>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(7,504</w:t>
            </w:r>
          </w:p>
        </w:tc>
        <w:tc>
          <w:tcPr>
            <w:tcW w:w="240" w:type="dxa"/>
            <w:vAlign w:val="bottom"/>
            <w:tcBorders>
              <w:bottom w:val="single" w:sz="8" w:color="CCECFF"/>
            </w:tcBorders>
            <w:shd w:val="clear" w:color="auto" w:fill="CCECFF"/>
          </w:tcPr>
          <w:p>
            <w:pPr>
              <w:jc w:val="right"/>
              <w:ind w:right="90"/>
              <w:spacing w:after="0" w:line="215" w:lineRule="exact"/>
              <w:rPr>
                <w:sz w:val="20"/>
                <w:szCs w:val="20"/>
                <w:color w:val="auto"/>
              </w:rPr>
            </w:pPr>
            <w:r>
              <w:rPr>
                <w:rFonts w:ascii="Calibri" w:cs="Calibri" w:eastAsia="Calibri" w:hAnsi="Calibri"/>
                <w:sz w:val="18"/>
                <w:szCs w:val="18"/>
                <w:color w:val="auto"/>
                <w:w w:val="72"/>
              </w:rPr>
              <w:t>)</w:t>
            </w:r>
          </w:p>
        </w:tc>
        <w:tc>
          <w:tcPr>
            <w:tcW w:w="160" w:type="dxa"/>
            <w:vAlign w:val="bottom"/>
            <w:tcBorders>
              <w:top w:val="single" w:sz="8" w:color="auto"/>
              <w:bottom w:val="single" w:sz="8" w:color="auto"/>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tcBorders>
              <w:top w:val="single" w:sz="8" w:color="auto"/>
              <w:bottom w:val="single" w:sz="8" w:color="auto"/>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166,271</w:t>
            </w:r>
          </w:p>
        </w:tc>
        <w:tc>
          <w:tcPr>
            <w:tcW w:w="80" w:type="dxa"/>
            <w:vAlign w:val="bottom"/>
            <w:tcBorders>
              <w:bottom w:val="single" w:sz="8" w:color="CCECFF"/>
            </w:tcBorders>
            <w:shd w:val="clear" w:color="auto" w:fill="CCECF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1705610</wp:posOffset>
            </wp:positionH>
            <wp:positionV relativeFrom="paragraph">
              <wp:posOffset>-1122045</wp:posOffset>
            </wp:positionV>
            <wp:extent cx="5143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5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1705610</wp:posOffset>
            </wp:positionH>
            <wp:positionV relativeFrom="paragraph">
              <wp:posOffset>-1105535</wp:posOffset>
            </wp:positionV>
            <wp:extent cx="5143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5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2528570</wp:posOffset>
            </wp:positionH>
            <wp:positionV relativeFrom="paragraph">
              <wp:posOffset>-1122045</wp:posOffset>
            </wp:positionV>
            <wp:extent cx="5143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5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2528570</wp:posOffset>
            </wp:positionH>
            <wp:positionV relativeFrom="paragraph">
              <wp:posOffset>-1105535</wp:posOffset>
            </wp:positionV>
            <wp:extent cx="5143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5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3351530</wp:posOffset>
            </wp:positionH>
            <wp:positionV relativeFrom="paragraph">
              <wp:posOffset>-1122045</wp:posOffset>
            </wp:positionV>
            <wp:extent cx="5143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5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3351530</wp:posOffset>
            </wp:positionH>
            <wp:positionV relativeFrom="paragraph">
              <wp:posOffset>-1105535</wp:posOffset>
            </wp:positionV>
            <wp:extent cx="5143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5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1705610</wp:posOffset>
            </wp:positionH>
            <wp:positionV relativeFrom="paragraph">
              <wp:posOffset>-25400</wp:posOffset>
            </wp:positionV>
            <wp:extent cx="5143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5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1705610</wp:posOffset>
            </wp:positionH>
            <wp:positionV relativeFrom="paragraph">
              <wp:posOffset>-8255</wp:posOffset>
            </wp:positionV>
            <wp:extent cx="5143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5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2528570</wp:posOffset>
            </wp:positionH>
            <wp:positionV relativeFrom="paragraph">
              <wp:posOffset>-25400</wp:posOffset>
            </wp:positionV>
            <wp:extent cx="5143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5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2528570</wp:posOffset>
            </wp:positionH>
            <wp:positionV relativeFrom="paragraph">
              <wp:posOffset>-8255</wp:posOffset>
            </wp:positionV>
            <wp:extent cx="5143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50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3351530</wp:posOffset>
            </wp:positionH>
            <wp:positionV relativeFrom="paragraph">
              <wp:posOffset>-25400</wp:posOffset>
            </wp:positionV>
            <wp:extent cx="5143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5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3351530</wp:posOffset>
            </wp:positionH>
            <wp:positionV relativeFrom="paragraph">
              <wp:posOffset>-8255</wp:posOffset>
            </wp:positionV>
            <wp:extent cx="5143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51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4040" w:space="720"/>
            <w:col w:w="6480"/>
          </w:cols>
          <w:pgMar w:left="320" w:top="765" w:right="339" w:bottom="1440" w:gutter="0" w:footer="0" w:header="0"/>
          <w:type w:val="continuous"/>
        </w:sectPr>
      </w:pPr>
    </w:p>
    <w:p>
      <w:pPr>
        <w:ind w:right="820" w:firstLine="494"/>
        <w:spacing w:after="0" w:line="235" w:lineRule="auto"/>
        <w:rPr>
          <w:sz w:val="20"/>
          <w:szCs w:val="20"/>
          <w:color w:val="auto"/>
        </w:rPr>
      </w:pPr>
      <w:r>
        <w:rPr>
          <w:rFonts w:ascii="Calibri" w:cs="Calibri" w:eastAsia="Calibri" w:hAnsi="Calibri"/>
          <w:sz w:val="18"/>
          <w:szCs w:val="18"/>
          <w:color w:val="auto"/>
        </w:rPr>
        <w:t>The Company recorded costs of sales of $5.5 million, $3.8 million and $3.2 million for the years ended December 31, 2024, 2023, and 2022, respectvely, related to the amortzaton of the intangible assets.</w:t>
      </w:r>
    </w:p>
    <w:p>
      <w:pPr>
        <w:spacing w:after="0" w:line="78"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expected amortzaton of the intangible assets, as of December 31, 2024, for each of the next fve years and thereafer is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260" w:type="dxa"/>
            <w:vAlign w:val="bottom"/>
          </w:tcPr>
          <w:p>
            <w:pPr>
              <w:spacing w:after="0"/>
              <w:rPr>
                <w:sz w:val="19"/>
                <w:szCs w:val="19"/>
                <w:color w:val="auto"/>
              </w:rPr>
            </w:pPr>
          </w:p>
        </w:tc>
        <w:tc>
          <w:tcPr>
            <w:tcW w:w="1980" w:type="dxa"/>
            <w:vAlign w:val="bottom"/>
            <w:shd w:val="clear" w:color="auto" w:fill="CCECFF"/>
          </w:tcPr>
          <w:p>
            <w:pPr>
              <w:spacing w:after="0"/>
              <w:rPr>
                <w:sz w:val="20"/>
                <w:szCs w:val="20"/>
                <w:color w:val="auto"/>
              </w:rPr>
            </w:pPr>
            <w:r>
              <w:rPr>
                <w:rFonts w:ascii="Calibri" w:cs="Calibri" w:eastAsia="Calibri" w:hAnsi="Calibri"/>
                <w:sz w:val="18"/>
                <w:szCs w:val="18"/>
                <w:color w:val="auto"/>
              </w:rPr>
              <w:t>2025</w:t>
            </w:r>
          </w:p>
        </w:tc>
        <w:tc>
          <w:tcPr>
            <w:tcW w:w="3420" w:type="dxa"/>
            <w:vAlign w:val="bottom"/>
            <w:gridSpan w:val="2"/>
            <w:shd w:val="clear" w:color="auto" w:fill="CCECFF"/>
          </w:tcPr>
          <w:p>
            <w:pPr>
              <w:jc w:val="right"/>
              <w:ind w:right="670"/>
              <w:spacing w:after="0"/>
              <w:rPr>
                <w:sz w:val="20"/>
                <w:szCs w:val="20"/>
                <w:color w:val="auto"/>
              </w:rPr>
            </w:pPr>
            <w:r>
              <w:rPr>
                <w:rFonts w:ascii="Calibri" w:cs="Calibri" w:eastAsia="Calibri" w:hAnsi="Calibri"/>
                <w:sz w:val="18"/>
                <w:szCs w:val="18"/>
                <w:color w:val="auto"/>
              </w:rPr>
              <w:t>$</w:t>
            </w:r>
          </w:p>
        </w:tc>
        <w:tc>
          <w:tcPr>
            <w:tcW w:w="1340" w:type="dxa"/>
            <w:vAlign w:val="bottom"/>
            <w:tcBorders>
              <w:right w:val="single" w:sz="8" w:color="CCECFF"/>
            </w:tcBorders>
            <w:shd w:val="clear" w:color="auto" w:fill="CCECFF"/>
          </w:tcPr>
          <w:p>
            <w:pPr>
              <w:jc w:val="right"/>
              <w:ind w:right="10"/>
              <w:spacing w:after="0"/>
              <w:rPr>
                <w:sz w:val="20"/>
                <w:szCs w:val="20"/>
                <w:color w:val="auto"/>
              </w:rPr>
            </w:pPr>
            <w:r>
              <w:rPr>
                <w:rFonts w:ascii="Calibri" w:cs="Calibri" w:eastAsia="Calibri" w:hAnsi="Calibri"/>
                <w:sz w:val="18"/>
                <w:szCs w:val="18"/>
                <w:color w:val="auto"/>
              </w:rPr>
              <w:t>7,162</w:t>
            </w:r>
          </w:p>
        </w:tc>
        <w:tc>
          <w:tcPr>
            <w:tcW w:w="2240" w:type="dxa"/>
            <w:vAlign w:val="bottom"/>
          </w:tcPr>
          <w:p>
            <w:pPr>
              <w:spacing w:after="0"/>
              <w:rPr>
                <w:sz w:val="19"/>
                <w:szCs w:val="19"/>
                <w:color w:val="auto"/>
              </w:rPr>
            </w:pPr>
          </w:p>
        </w:tc>
      </w:tr>
      <w:tr>
        <w:trPr>
          <w:trHeight w:val="215"/>
        </w:trPr>
        <w:tc>
          <w:tcPr>
            <w:tcW w:w="2260" w:type="dxa"/>
            <w:vAlign w:val="bottom"/>
          </w:tcPr>
          <w:p>
            <w:pPr>
              <w:spacing w:after="0"/>
              <w:rPr>
                <w:sz w:val="18"/>
                <w:szCs w:val="18"/>
                <w:color w:val="auto"/>
              </w:rPr>
            </w:pPr>
          </w:p>
        </w:tc>
        <w:tc>
          <w:tcPr>
            <w:tcW w:w="1980" w:type="dxa"/>
            <w:vAlign w:val="bottom"/>
          </w:tcPr>
          <w:p>
            <w:pPr>
              <w:spacing w:after="0" w:line="215" w:lineRule="exact"/>
              <w:rPr>
                <w:sz w:val="20"/>
                <w:szCs w:val="20"/>
                <w:color w:val="auto"/>
              </w:rPr>
            </w:pPr>
            <w:r>
              <w:rPr>
                <w:rFonts w:ascii="Calibri" w:cs="Calibri" w:eastAsia="Calibri" w:hAnsi="Calibri"/>
                <w:sz w:val="18"/>
                <w:szCs w:val="18"/>
                <w:color w:val="auto"/>
              </w:rPr>
              <w:t>2026</w:t>
            </w:r>
          </w:p>
        </w:tc>
        <w:tc>
          <w:tcPr>
            <w:tcW w:w="2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7,162</w:t>
            </w:r>
          </w:p>
        </w:tc>
        <w:tc>
          <w:tcPr>
            <w:tcW w:w="2240" w:type="dxa"/>
            <w:vAlign w:val="bottom"/>
          </w:tcPr>
          <w:p>
            <w:pPr>
              <w:spacing w:after="0"/>
              <w:rPr>
                <w:sz w:val="18"/>
                <w:szCs w:val="18"/>
                <w:color w:val="auto"/>
              </w:rPr>
            </w:pPr>
          </w:p>
        </w:tc>
      </w:tr>
      <w:tr>
        <w:trPr>
          <w:trHeight w:val="217"/>
        </w:trPr>
        <w:tc>
          <w:tcPr>
            <w:tcW w:w="2260" w:type="dxa"/>
            <w:vAlign w:val="bottom"/>
          </w:tcPr>
          <w:p>
            <w:pPr>
              <w:spacing w:after="0"/>
              <w:rPr>
                <w:sz w:val="18"/>
                <w:szCs w:val="18"/>
                <w:color w:val="auto"/>
              </w:rPr>
            </w:pPr>
          </w:p>
        </w:tc>
        <w:tc>
          <w:tcPr>
            <w:tcW w:w="1980" w:type="dxa"/>
            <w:vAlign w:val="bottom"/>
            <w:shd w:val="clear" w:color="auto" w:fill="CCECFF"/>
          </w:tcPr>
          <w:p>
            <w:pPr>
              <w:spacing w:after="0" w:line="216" w:lineRule="exact"/>
              <w:rPr>
                <w:sz w:val="20"/>
                <w:szCs w:val="20"/>
                <w:color w:val="auto"/>
              </w:rPr>
            </w:pPr>
            <w:r>
              <w:rPr>
                <w:rFonts w:ascii="Calibri" w:cs="Calibri" w:eastAsia="Calibri" w:hAnsi="Calibri"/>
                <w:sz w:val="18"/>
                <w:szCs w:val="18"/>
                <w:color w:val="auto"/>
              </w:rPr>
              <w:t>2027</w:t>
            </w:r>
          </w:p>
        </w:tc>
        <w:tc>
          <w:tcPr>
            <w:tcW w:w="256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1340" w:type="dxa"/>
            <w:vAlign w:val="bottom"/>
            <w:tcBorders>
              <w:right w:val="single" w:sz="8" w:color="CCECFF"/>
            </w:tcBorders>
            <w:shd w:val="clear" w:color="auto" w:fill="CCECFF"/>
          </w:tcPr>
          <w:p>
            <w:pPr>
              <w:jc w:val="right"/>
              <w:ind w:right="10"/>
              <w:spacing w:after="0" w:line="216" w:lineRule="exact"/>
              <w:rPr>
                <w:sz w:val="20"/>
                <w:szCs w:val="20"/>
                <w:color w:val="auto"/>
              </w:rPr>
            </w:pPr>
            <w:r>
              <w:rPr>
                <w:rFonts w:ascii="Calibri" w:cs="Calibri" w:eastAsia="Calibri" w:hAnsi="Calibri"/>
                <w:sz w:val="18"/>
                <w:szCs w:val="18"/>
                <w:color w:val="auto"/>
              </w:rPr>
              <w:t>6,722</w:t>
            </w:r>
          </w:p>
        </w:tc>
        <w:tc>
          <w:tcPr>
            <w:tcW w:w="2240" w:type="dxa"/>
            <w:vAlign w:val="bottom"/>
          </w:tcPr>
          <w:p>
            <w:pPr>
              <w:spacing w:after="0"/>
              <w:rPr>
                <w:sz w:val="18"/>
                <w:szCs w:val="18"/>
                <w:color w:val="auto"/>
              </w:rPr>
            </w:pPr>
          </w:p>
        </w:tc>
      </w:tr>
      <w:tr>
        <w:trPr>
          <w:trHeight w:val="215"/>
        </w:trPr>
        <w:tc>
          <w:tcPr>
            <w:tcW w:w="2260" w:type="dxa"/>
            <w:vAlign w:val="bottom"/>
          </w:tcPr>
          <w:p>
            <w:pPr>
              <w:spacing w:after="0"/>
              <w:rPr>
                <w:sz w:val="18"/>
                <w:szCs w:val="18"/>
                <w:color w:val="auto"/>
              </w:rPr>
            </w:pPr>
          </w:p>
        </w:tc>
        <w:tc>
          <w:tcPr>
            <w:tcW w:w="1980" w:type="dxa"/>
            <w:vAlign w:val="bottom"/>
          </w:tcPr>
          <w:p>
            <w:pPr>
              <w:spacing w:after="0" w:line="215" w:lineRule="exact"/>
              <w:rPr>
                <w:sz w:val="20"/>
                <w:szCs w:val="20"/>
                <w:color w:val="auto"/>
              </w:rPr>
            </w:pPr>
            <w:r>
              <w:rPr>
                <w:rFonts w:ascii="Calibri" w:cs="Calibri" w:eastAsia="Calibri" w:hAnsi="Calibri"/>
                <w:sz w:val="18"/>
                <w:szCs w:val="18"/>
                <w:color w:val="auto"/>
              </w:rPr>
              <w:t>2028</w:t>
            </w:r>
          </w:p>
        </w:tc>
        <w:tc>
          <w:tcPr>
            <w:tcW w:w="2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6,282</w:t>
            </w:r>
          </w:p>
        </w:tc>
        <w:tc>
          <w:tcPr>
            <w:tcW w:w="2240" w:type="dxa"/>
            <w:vAlign w:val="bottom"/>
          </w:tcPr>
          <w:p>
            <w:pPr>
              <w:spacing w:after="0"/>
              <w:rPr>
                <w:sz w:val="18"/>
                <w:szCs w:val="18"/>
                <w:color w:val="auto"/>
              </w:rPr>
            </w:pPr>
          </w:p>
        </w:tc>
      </w:tr>
      <w:tr>
        <w:trPr>
          <w:trHeight w:val="217"/>
        </w:trPr>
        <w:tc>
          <w:tcPr>
            <w:tcW w:w="2260" w:type="dxa"/>
            <w:vAlign w:val="bottom"/>
          </w:tcPr>
          <w:p>
            <w:pPr>
              <w:spacing w:after="0"/>
              <w:rPr>
                <w:sz w:val="18"/>
                <w:szCs w:val="18"/>
                <w:color w:val="auto"/>
              </w:rPr>
            </w:pPr>
          </w:p>
        </w:tc>
        <w:tc>
          <w:tcPr>
            <w:tcW w:w="1980" w:type="dxa"/>
            <w:vAlign w:val="bottom"/>
            <w:shd w:val="clear" w:color="auto" w:fill="CCECFF"/>
          </w:tcPr>
          <w:p>
            <w:pPr>
              <w:spacing w:after="0" w:line="216" w:lineRule="exact"/>
              <w:rPr>
                <w:sz w:val="20"/>
                <w:szCs w:val="20"/>
                <w:color w:val="auto"/>
              </w:rPr>
            </w:pPr>
            <w:r>
              <w:rPr>
                <w:rFonts w:ascii="Calibri" w:cs="Calibri" w:eastAsia="Calibri" w:hAnsi="Calibri"/>
                <w:sz w:val="18"/>
                <w:szCs w:val="18"/>
                <w:color w:val="auto"/>
              </w:rPr>
              <w:t>2029</w:t>
            </w:r>
          </w:p>
        </w:tc>
        <w:tc>
          <w:tcPr>
            <w:tcW w:w="2560" w:type="dxa"/>
            <w:vAlign w:val="bottom"/>
            <w:shd w:val="clear" w:color="auto" w:fill="CCECFF"/>
          </w:tcPr>
          <w:p>
            <w:pPr>
              <w:spacing w:after="0"/>
              <w:rPr>
                <w:sz w:val="18"/>
                <w:szCs w:val="18"/>
                <w:color w:val="auto"/>
              </w:rPr>
            </w:pPr>
          </w:p>
        </w:tc>
        <w:tc>
          <w:tcPr>
            <w:tcW w:w="860" w:type="dxa"/>
            <w:vAlign w:val="bottom"/>
            <w:shd w:val="clear" w:color="auto" w:fill="CCECFF"/>
          </w:tcPr>
          <w:p>
            <w:pPr>
              <w:spacing w:after="0"/>
              <w:rPr>
                <w:sz w:val="18"/>
                <w:szCs w:val="18"/>
                <w:color w:val="auto"/>
              </w:rPr>
            </w:pPr>
          </w:p>
        </w:tc>
        <w:tc>
          <w:tcPr>
            <w:tcW w:w="1340" w:type="dxa"/>
            <w:vAlign w:val="bottom"/>
            <w:tcBorders>
              <w:right w:val="single" w:sz="8" w:color="CCECFF"/>
            </w:tcBorders>
            <w:shd w:val="clear" w:color="auto" w:fill="CCECFF"/>
          </w:tcPr>
          <w:p>
            <w:pPr>
              <w:jc w:val="right"/>
              <w:ind w:right="10"/>
              <w:spacing w:after="0" w:line="216" w:lineRule="exact"/>
              <w:rPr>
                <w:sz w:val="20"/>
                <w:szCs w:val="20"/>
                <w:color w:val="auto"/>
              </w:rPr>
            </w:pPr>
            <w:r>
              <w:rPr>
                <w:rFonts w:ascii="Calibri" w:cs="Calibri" w:eastAsia="Calibri" w:hAnsi="Calibri"/>
                <w:sz w:val="18"/>
                <w:szCs w:val="18"/>
                <w:color w:val="auto"/>
              </w:rPr>
              <w:t>6,282</w:t>
            </w:r>
          </w:p>
        </w:tc>
        <w:tc>
          <w:tcPr>
            <w:tcW w:w="2240" w:type="dxa"/>
            <w:vAlign w:val="bottom"/>
          </w:tcPr>
          <w:p>
            <w:pPr>
              <w:spacing w:after="0"/>
              <w:rPr>
                <w:sz w:val="18"/>
                <w:szCs w:val="18"/>
                <w:color w:val="auto"/>
              </w:rPr>
            </w:pPr>
          </w:p>
        </w:tc>
      </w:tr>
      <w:tr>
        <w:trPr>
          <w:trHeight w:val="215"/>
        </w:trPr>
        <w:tc>
          <w:tcPr>
            <w:tcW w:w="2260" w:type="dxa"/>
            <w:vAlign w:val="bottom"/>
          </w:tcPr>
          <w:p>
            <w:pPr>
              <w:spacing w:after="0"/>
              <w:rPr>
                <w:sz w:val="18"/>
                <w:szCs w:val="18"/>
                <w:color w:val="auto"/>
              </w:rPr>
            </w:pPr>
          </w:p>
        </w:tc>
        <w:tc>
          <w:tcPr>
            <w:tcW w:w="1980" w:type="dxa"/>
            <w:vAlign w:val="bottom"/>
          </w:tcPr>
          <w:p>
            <w:pPr>
              <w:spacing w:after="0" w:line="215" w:lineRule="exact"/>
              <w:rPr>
                <w:sz w:val="20"/>
                <w:szCs w:val="20"/>
                <w:color w:val="auto"/>
              </w:rPr>
            </w:pPr>
            <w:r>
              <w:rPr>
                <w:rFonts w:ascii="Calibri" w:cs="Calibri" w:eastAsia="Calibri" w:hAnsi="Calibri"/>
                <w:sz w:val="18"/>
                <w:szCs w:val="18"/>
                <w:color w:val="auto"/>
              </w:rPr>
              <w:t>Thereafer</w:t>
            </w:r>
          </w:p>
        </w:tc>
        <w:tc>
          <w:tcPr>
            <w:tcW w:w="25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15,704</w:t>
            </w:r>
          </w:p>
        </w:tc>
        <w:tc>
          <w:tcPr>
            <w:tcW w:w="2240" w:type="dxa"/>
            <w:vAlign w:val="bottom"/>
          </w:tcPr>
          <w:p>
            <w:pPr>
              <w:spacing w:after="0"/>
              <w:rPr>
                <w:sz w:val="18"/>
                <w:szCs w:val="18"/>
                <w:color w:val="auto"/>
              </w:rPr>
            </w:pPr>
          </w:p>
        </w:tc>
      </w:tr>
      <w:tr>
        <w:trPr>
          <w:trHeight w:val="250"/>
        </w:trPr>
        <w:tc>
          <w:tcPr>
            <w:tcW w:w="2260" w:type="dxa"/>
            <w:vAlign w:val="bottom"/>
          </w:tcPr>
          <w:p>
            <w:pPr>
              <w:spacing w:after="0"/>
              <w:rPr>
                <w:sz w:val="21"/>
                <w:szCs w:val="21"/>
                <w:color w:val="auto"/>
              </w:rPr>
            </w:pPr>
          </w:p>
        </w:tc>
        <w:tc>
          <w:tcPr>
            <w:tcW w:w="1980" w:type="dxa"/>
            <w:vAlign w:val="bottom"/>
            <w:tcBorders>
              <w:bottom w:val="single" w:sz="8" w:color="CCECFF"/>
            </w:tcBorders>
            <w:shd w:val="clear" w:color="auto" w:fill="CCECFF"/>
          </w:tcPr>
          <w:p>
            <w:pPr>
              <w:spacing w:after="0" w:line="209" w:lineRule="exact"/>
              <w:rPr>
                <w:sz w:val="20"/>
                <w:szCs w:val="20"/>
                <w:color w:val="auto"/>
              </w:rPr>
            </w:pPr>
            <w:r>
              <w:rPr>
                <w:rFonts w:ascii="Calibri" w:cs="Calibri" w:eastAsia="Calibri" w:hAnsi="Calibri"/>
                <w:sz w:val="18"/>
                <w:szCs w:val="18"/>
                <w:color w:val="auto"/>
              </w:rPr>
              <w:t>Total</w:t>
            </w:r>
          </w:p>
        </w:tc>
        <w:tc>
          <w:tcPr>
            <w:tcW w:w="2560" w:type="dxa"/>
            <w:vAlign w:val="bottom"/>
            <w:tcBorders>
              <w:bottom w:val="single" w:sz="8" w:color="CCECFF"/>
            </w:tcBorders>
            <w:shd w:val="clear" w:color="auto" w:fill="CCECFF"/>
          </w:tcPr>
          <w:p>
            <w:pPr>
              <w:spacing w:after="0"/>
              <w:rPr>
                <w:sz w:val="21"/>
                <w:szCs w:val="21"/>
                <w:color w:val="auto"/>
              </w:rPr>
            </w:pPr>
          </w:p>
        </w:tc>
        <w:tc>
          <w:tcPr>
            <w:tcW w:w="860" w:type="dxa"/>
            <w:vAlign w:val="bottom"/>
            <w:tcBorders>
              <w:bottom w:val="single" w:sz="8" w:color="auto"/>
            </w:tcBorders>
            <w:shd w:val="clear" w:color="auto" w:fill="CCECFF"/>
          </w:tcPr>
          <w:p>
            <w:pPr>
              <w:jc w:val="right"/>
              <w:ind w:right="670"/>
              <w:spacing w:after="0" w:line="209" w:lineRule="exact"/>
              <w:rPr>
                <w:sz w:val="20"/>
                <w:szCs w:val="20"/>
                <w:color w:val="auto"/>
              </w:rPr>
            </w:pPr>
            <w:r>
              <w:rPr>
                <w:rFonts w:ascii="Calibri" w:cs="Calibri" w:eastAsia="Calibri" w:hAnsi="Calibri"/>
                <w:sz w:val="18"/>
                <w:szCs w:val="18"/>
                <w:color w:val="auto"/>
                <w:w w:val="87"/>
              </w:rPr>
              <w:t>$</w:t>
            </w:r>
          </w:p>
        </w:tc>
        <w:tc>
          <w:tcPr>
            <w:tcW w:w="1340" w:type="dxa"/>
            <w:vAlign w:val="bottom"/>
            <w:tcBorders>
              <w:bottom w:val="single" w:sz="8" w:color="auto"/>
              <w:right w:val="single" w:sz="8" w:color="CCECFF"/>
            </w:tcBorders>
            <w:shd w:val="clear" w:color="auto" w:fill="CCECFF"/>
          </w:tcPr>
          <w:p>
            <w:pPr>
              <w:jc w:val="right"/>
              <w:ind w:right="10"/>
              <w:spacing w:after="0" w:line="209" w:lineRule="exact"/>
              <w:rPr>
                <w:sz w:val="20"/>
                <w:szCs w:val="20"/>
                <w:color w:val="auto"/>
              </w:rPr>
            </w:pPr>
            <w:r>
              <w:rPr>
                <w:rFonts w:ascii="Calibri" w:cs="Calibri" w:eastAsia="Calibri" w:hAnsi="Calibri"/>
                <w:sz w:val="18"/>
                <w:szCs w:val="18"/>
                <w:color w:val="auto"/>
              </w:rPr>
              <w:t>49,314</w:t>
            </w:r>
          </w:p>
        </w:tc>
        <w:tc>
          <w:tcPr>
            <w:tcW w:w="2240" w:type="dxa"/>
            <w:vAlign w:val="bottom"/>
          </w:tcPr>
          <w:p>
            <w:pPr>
              <w:spacing w:after="0"/>
              <w:rPr>
                <w:sz w:val="21"/>
                <w:szCs w:val="21"/>
                <w:color w:val="auto"/>
              </w:rPr>
            </w:pPr>
          </w:p>
        </w:tc>
      </w:tr>
      <w:tr>
        <w:trPr>
          <w:trHeight w:val="390"/>
        </w:trPr>
        <w:tc>
          <w:tcPr>
            <w:tcW w:w="2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420" w:type="dxa"/>
            <w:vAlign w:val="bottom"/>
            <w:gridSpan w:val="2"/>
          </w:tcPr>
          <w:p>
            <w:pPr>
              <w:jc w:val="right"/>
              <w:ind w:right="1790"/>
              <w:spacing w:after="0"/>
              <w:rPr>
                <w:sz w:val="20"/>
                <w:szCs w:val="20"/>
                <w:color w:val="auto"/>
              </w:rPr>
            </w:pPr>
            <w:r>
              <w:rPr>
                <w:rFonts w:ascii="Calibri" w:cs="Calibri" w:eastAsia="Calibri" w:hAnsi="Calibri"/>
                <w:sz w:val="18"/>
                <w:szCs w:val="18"/>
                <w:color w:val="auto"/>
              </w:rPr>
              <w:t>F-19</w:t>
            </w:r>
          </w:p>
        </w:tc>
        <w:tc>
          <w:tcPr>
            <w:tcW w:w="13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786"/>
        </w:trPr>
        <w:tc>
          <w:tcPr>
            <w:tcW w:w="22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-796290</wp:posOffset>
            </wp:positionV>
            <wp:extent cx="4318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51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-779145</wp:posOffset>
            </wp:positionV>
            <wp:extent cx="4318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51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5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5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13" w:name="page114"/>
    <w:bookmarkEnd w:id="113"/>
    <w:p>
      <w:pPr>
        <w:ind w:left="384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9" w:lineRule="exact"/>
        <w:rPr>
          <w:sz w:val="20"/>
          <w:szCs w:val="20"/>
          <w:color w:val="auto"/>
        </w:rPr>
      </w:pPr>
    </w:p>
    <w:p>
      <w:pPr>
        <w:ind w:left="520" w:hanging="512"/>
        <w:spacing w:after="0"/>
        <w:tabs>
          <w:tab w:leader="none" w:pos="520" w:val="left"/>
        </w:tabs>
        <w:numPr>
          <w:ilvl w:val="0"/>
          <w:numId w:val="45"/>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Revenue</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following table disaggregates total revenues from external customers by product sales, royalty revenue, and collaboraton and license revenue (in thousands):</w:t>
      </w:r>
    </w:p>
    <w:p>
      <w:pPr>
        <w:spacing w:after="0" w:line="78" w:lineRule="exact"/>
        <w:rPr>
          <w:sz w:val="20"/>
          <w:szCs w:val="20"/>
          <w:color w:val="auto"/>
        </w:rPr>
      </w:pPr>
    </w:p>
    <w:tbl>
      <w:tblPr>
        <w:tblLayout w:type="fixed"/>
        <w:tblInd w:w="520" w:type="dxa"/>
        <w:tblCellMar>
          <w:top w:w="0" w:type="dxa"/>
          <w:left w:w="0" w:type="dxa"/>
          <w:bottom w:w="0" w:type="dxa"/>
          <w:right w:w="0" w:type="dxa"/>
        </w:tblCellMar>
      </w:tblPr>
      <w:tr>
        <w:trPr>
          <w:trHeight w:val="220"/>
        </w:trPr>
        <w:tc>
          <w:tcPr>
            <w:tcW w:w="6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40" w:type="dxa"/>
            <w:vAlign w:val="bottom"/>
            <w:gridSpan w:val="6"/>
          </w:tcPr>
          <w:p>
            <w:pPr>
              <w:jc w:val="right"/>
              <w:ind w:right="220"/>
              <w:spacing w:after="0"/>
              <w:rPr>
                <w:sz w:val="20"/>
                <w:szCs w:val="20"/>
                <w:color w:val="auto"/>
              </w:rPr>
            </w:pPr>
            <w:r>
              <w:rPr>
                <w:rFonts w:ascii="Calibri" w:cs="Calibri" w:eastAsia="Calibri" w:hAnsi="Calibri"/>
                <w:sz w:val="18"/>
                <w:szCs w:val="18"/>
                <w:b w:val="1"/>
                <w:bCs w:val="1"/>
                <w:color w:val="auto"/>
              </w:rPr>
              <w:t>Year Ended December 31,</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
        </w:trPr>
        <w:tc>
          <w:tcPr>
            <w:tcW w:w="6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9"/>
        </w:trPr>
        <w:tc>
          <w:tcPr>
            <w:tcW w:w="6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line="209" w:lineRule="exact"/>
              <w:rPr>
                <w:sz w:val="20"/>
                <w:szCs w:val="20"/>
                <w:color w:val="auto"/>
              </w:rPr>
            </w:pPr>
            <w:r>
              <w:rPr>
                <w:rFonts w:ascii="Calibri" w:cs="Calibri" w:eastAsia="Calibri" w:hAnsi="Calibri"/>
                <w:sz w:val="18"/>
                <w:szCs w:val="18"/>
                <w:b w:val="1"/>
                <w:bCs w:val="1"/>
                <w:color w:val="auto"/>
              </w:rPr>
              <w:t>2024</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line="209" w:lineRule="exact"/>
              <w:rPr>
                <w:sz w:val="20"/>
                <w:szCs w:val="20"/>
                <w:color w:val="auto"/>
              </w:rPr>
            </w:pPr>
            <w:r>
              <w:rPr>
                <w:rFonts w:ascii="Calibri" w:cs="Calibri" w:eastAsia="Calibri" w:hAnsi="Calibri"/>
                <w:sz w:val="18"/>
                <w:szCs w:val="18"/>
                <w:b w:val="1"/>
                <w:bCs w:val="1"/>
                <w:color w:val="auto"/>
              </w:rPr>
              <w:t>2023</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line="209" w:lineRule="exact"/>
              <w:rPr>
                <w:sz w:val="20"/>
                <w:szCs w:val="20"/>
                <w:color w:val="auto"/>
              </w:rPr>
            </w:pPr>
            <w:r>
              <w:rPr>
                <w:rFonts w:ascii="Calibri" w:cs="Calibri" w:eastAsia="Calibri" w:hAnsi="Calibri"/>
                <w:sz w:val="18"/>
                <w:szCs w:val="18"/>
                <w:b w:val="1"/>
                <w:bCs w:val="1"/>
                <w:color w:val="auto"/>
              </w:rPr>
              <w:t>2022</w:t>
            </w:r>
          </w:p>
        </w:tc>
        <w:tc>
          <w:tcPr>
            <w:tcW w:w="80" w:type="dxa"/>
            <w:vAlign w:val="bottom"/>
          </w:tcPr>
          <w:p>
            <w:pPr>
              <w:spacing w:after="0"/>
              <w:rPr>
                <w:sz w:val="18"/>
                <w:szCs w:val="18"/>
                <w:color w:val="auto"/>
              </w:rPr>
            </w:pPr>
          </w:p>
        </w:tc>
      </w:tr>
      <w:tr>
        <w:trPr>
          <w:trHeight w:val="210"/>
        </w:trPr>
        <w:tc>
          <w:tcPr>
            <w:tcW w:w="620" w:type="dxa"/>
            <w:vAlign w:val="bottom"/>
          </w:tcPr>
          <w:p>
            <w:pPr>
              <w:spacing w:after="0"/>
              <w:rPr>
                <w:sz w:val="18"/>
                <w:szCs w:val="18"/>
                <w:color w:val="auto"/>
              </w:rPr>
            </w:pPr>
          </w:p>
        </w:tc>
        <w:tc>
          <w:tcPr>
            <w:tcW w:w="4800" w:type="dxa"/>
            <w:vAlign w:val="bottom"/>
            <w:shd w:val="clear" w:color="auto" w:fill="CCECFF"/>
          </w:tcPr>
          <w:p>
            <w:pPr>
              <w:spacing w:after="0" w:line="210" w:lineRule="exact"/>
              <w:rPr>
                <w:sz w:val="20"/>
                <w:szCs w:val="20"/>
                <w:color w:val="auto"/>
              </w:rPr>
            </w:pPr>
            <w:r>
              <w:rPr>
                <w:rFonts w:ascii="Calibri" w:cs="Calibri" w:eastAsia="Calibri" w:hAnsi="Calibri"/>
                <w:sz w:val="18"/>
                <w:szCs w:val="18"/>
                <w:color w:val="auto"/>
              </w:rPr>
              <w:t>Product sales:</w:t>
            </w:r>
          </w:p>
        </w:tc>
        <w:tc>
          <w:tcPr>
            <w:tcW w:w="260" w:type="dxa"/>
            <w:vAlign w:val="bottom"/>
            <w:shd w:val="clear" w:color="auto" w:fill="CCECFF"/>
          </w:tcPr>
          <w:p>
            <w:pPr>
              <w:spacing w:after="0"/>
              <w:rPr>
                <w:sz w:val="18"/>
                <w:szCs w:val="18"/>
                <w:color w:val="auto"/>
              </w:rPr>
            </w:pPr>
          </w:p>
        </w:tc>
        <w:tc>
          <w:tcPr>
            <w:tcW w:w="94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4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90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r>
      <w:tr>
        <w:trPr>
          <w:trHeight w:val="215"/>
        </w:trPr>
        <w:tc>
          <w:tcPr>
            <w:tcW w:w="620" w:type="dxa"/>
            <w:vAlign w:val="bottom"/>
          </w:tcPr>
          <w:p>
            <w:pPr>
              <w:spacing w:after="0"/>
              <w:rPr>
                <w:sz w:val="18"/>
                <w:szCs w:val="18"/>
                <w:color w:val="auto"/>
              </w:rPr>
            </w:pPr>
          </w:p>
        </w:tc>
        <w:tc>
          <w:tcPr>
            <w:tcW w:w="4800" w:type="dxa"/>
            <w:vAlign w:val="bottom"/>
          </w:tcPr>
          <w:p>
            <w:pPr>
              <w:ind w:left="100"/>
              <w:spacing w:after="0" w:line="215" w:lineRule="exact"/>
              <w:rPr>
                <w:sz w:val="20"/>
                <w:szCs w:val="20"/>
                <w:color w:val="auto"/>
              </w:rPr>
            </w:pPr>
            <w:r>
              <w:rPr>
                <w:rFonts w:ascii="Calibri" w:cs="Calibri" w:eastAsia="Calibri" w:hAnsi="Calibri"/>
                <w:sz w:val="18"/>
                <w:szCs w:val="18"/>
                <w:color w:val="auto"/>
              </w:rPr>
              <w:t>Crysvita</w:t>
            </w: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134,709</w:t>
            </w:r>
          </w:p>
        </w:tc>
        <w:tc>
          <w:tcPr>
            <w:tcW w:w="280" w:type="dxa"/>
            <w:vAlign w:val="bottom"/>
          </w:tcPr>
          <w:p>
            <w:pPr>
              <w:spacing w:after="0"/>
              <w:rPr>
                <w:sz w:val="18"/>
                <w:szCs w:val="18"/>
                <w:color w:val="auto"/>
              </w:rPr>
            </w:pP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75,697</w:t>
            </w:r>
          </w:p>
        </w:tc>
        <w:tc>
          <w:tcPr>
            <w:tcW w:w="52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42,678</w:t>
            </w:r>
          </w:p>
        </w:tc>
        <w:tc>
          <w:tcPr>
            <w:tcW w:w="80" w:type="dxa"/>
            <w:vAlign w:val="bottom"/>
          </w:tcPr>
          <w:p>
            <w:pPr>
              <w:spacing w:after="0"/>
              <w:rPr>
                <w:sz w:val="18"/>
                <w:szCs w:val="18"/>
                <w:color w:val="auto"/>
              </w:rPr>
            </w:pPr>
          </w:p>
        </w:tc>
      </w:tr>
      <w:tr>
        <w:trPr>
          <w:trHeight w:val="217"/>
        </w:trPr>
        <w:tc>
          <w:tcPr>
            <w:tcW w:w="620" w:type="dxa"/>
            <w:vAlign w:val="bottom"/>
          </w:tcPr>
          <w:p>
            <w:pPr>
              <w:spacing w:after="0"/>
              <w:rPr>
                <w:sz w:val="18"/>
                <w:szCs w:val="18"/>
                <w:color w:val="auto"/>
              </w:rPr>
            </w:pPr>
          </w:p>
        </w:tc>
        <w:tc>
          <w:tcPr>
            <w:tcW w:w="4800" w:type="dxa"/>
            <w:vAlign w:val="bottom"/>
            <w:shd w:val="clear" w:color="auto" w:fill="CCEEFF"/>
          </w:tcPr>
          <w:p>
            <w:pPr>
              <w:ind w:left="100"/>
              <w:spacing w:after="0" w:line="216" w:lineRule="exact"/>
              <w:rPr>
                <w:sz w:val="20"/>
                <w:szCs w:val="20"/>
                <w:color w:val="auto"/>
              </w:rPr>
            </w:pPr>
            <w:r>
              <w:rPr>
                <w:rFonts w:ascii="Calibri" w:cs="Calibri" w:eastAsia="Calibri" w:hAnsi="Calibri"/>
                <w:sz w:val="18"/>
                <w:szCs w:val="18"/>
                <w:color w:val="auto"/>
              </w:rPr>
              <w:t>Dojolvi</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88,194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70,633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55,612</w:t>
            </w:r>
          </w:p>
        </w:tc>
        <w:tc>
          <w:tcPr>
            <w:tcW w:w="80" w:type="dxa"/>
            <w:vAlign w:val="bottom"/>
            <w:shd w:val="clear" w:color="auto" w:fill="CCEEFF"/>
          </w:tcPr>
          <w:p>
            <w:pPr>
              <w:spacing w:after="0"/>
              <w:rPr>
                <w:sz w:val="18"/>
                <w:szCs w:val="18"/>
                <w:color w:val="auto"/>
              </w:rPr>
            </w:pPr>
          </w:p>
        </w:tc>
      </w:tr>
      <w:tr>
        <w:trPr>
          <w:trHeight w:val="215"/>
        </w:trPr>
        <w:tc>
          <w:tcPr>
            <w:tcW w:w="620" w:type="dxa"/>
            <w:vAlign w:val="bottom"/>
          </w:tcPr>
          <w:p>
            <w:pPr>
              <w:spacing w:after="0"/>
              <w:rPr>
                <w:sz w:val="18"/>
                <w:szCs w:val="18"/>
                <w:color w:val="auto"/>
              </w:rPr>
            </w:pPr>
          </w:p>
        </w:tc>
        <w:tc>
          <w:tcPr>
            <w:tcW w:w="4800" w:type="dxa"/>
            <w:vAlign w:val="bottom"/>
          </w:tcPr>
          <w:p>
            <w:pPr>
              <w:ind w:left="100"/>
              <w:spacing w:after="0" w:line="215" w:lineRule="exact"/>
              <w:rPr>
                <w:sz w:val="20"/>
                <w:szCs w:val="20"/>
                <w:color w:val="auto"/>
              </w:rPr>
            </w:pPr>
            <w:r>
              <w:rPr>
                <w:rFonts w:ascii="Calibri" w:cs="Calibri" w:eastAsia="Calibri" w:hAnsi="Calibri"/>
                <w:sz w:val="18"/>
                <w:szCs w:val="18"/>
                <w:color w:val="auto"/>
              </w:rPr>
              <w:t>Evkeeza</w:t>
            </w:r>
          </w:p>
        </w:tc>
        <w:tc>
          <w:tcPr>
            <w:tcW w:w="26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32,162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3,642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w:t>
            </w:r>
          </w:p>
        </w:tc>
      </w:tr>
      <w:tr>
        <w:trPr>
          <w:trHeight w:val="216"/>
        </w:trPr>
        <w:tc>
          <w:tcPr>
            <w:tcW w:w="620" w:type="dxa"/>
            <w:vAlign w:val="bottom"/>
          </w:tcPr>
          <w:p>
            <w:pPr>
              <w:spacing w:after="0"/>
              <w:rPr>
                <w:sz w:val="18"/>
                <w:szCs w:val="18"/>
                <w:color w:val="auto"/>
              </w:rPr>
            </w:pPr>
          </w:p>
        </w:tc>
        <w:tc>
          <w:tcPr>
            <w:tcW w:w="4800" w:type="dxa"/>
            <w:vAlign w:val="bottom"/>
            <w:tcBorders>
              <w:bottom w:val="single" w:sz="8" w:color="CCEEFF"/>
            </w:tcBorders>
            <w:shd w:val="clear" w:color="auto" w:fill="CCEEFF"/>
          </w:tcPr>
          <w:p>
            <w:pPr>
              <w:ind w:left="100"/>
              <w:spacing w:after="0" w:line="216" w:lineRule="exact"/>
              <w:rPr>
                <w:sz w:val="20"/>
                <w:szCs w:val="20"/>
                <w:color w:val="auto"/>
              </w:rPr>
            </w:pPr>
            <w:r>
              <w:rPr>
                <w:rFonts w:ascii="Calibri" w:cs="Calibri" w:eastAsia="Calibri" w:hAnsi="Calibri"/>
                <w:sz w:val="18"/>
                <w:szCs w:val="18"/>
                <w:color w:val="auto"/>
              </w:rPr>
              <w:t>Mepsevii</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30,350</w:t>
            </w:r>
          </w:p>
        </w:tc>
        <w:tc>
          <w:tcPr>
            <w:tcW w:w="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30,441</w:t>
            </w: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20,637</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620" w:type="dxa"/>
            <w:vAlign w:val="bottom"/>
          </w:tcPr>
          <w:p>
            <w:pPr>
              <w:spacing w:after="0"/>
              <w:rPr>
                <w:sz w:val="18"/>
                <w:szCs w:val="18"/>
                <w:color w:val="auto"/>
              </w:rPr>
            </w:pPr>
          </w:p>
        </w:tc>
        <w:tc>
          <w:tcPr>
            <w:tcW w:w="4800" w:type="dxa"/>
            <w:vAlign w:val="bottom"/>
          </w:tcPr>
          <w:p>
            <w:pPr>
              <w:ind w:left="180"/>
              <w:spacing w:after="0" w:line="209" w:lineRule="exact"/>
              <w:rPr>
                <w:sz w:val="20"/>
                <w:szCs w:val="20"/>
                <w:color w:val="auto"/>
              </w:rPr>
            </w:pPr>
            <w:r>
              <w:rPr>
                <w:rFonts w:ascii="Calibri" w:cs="Calibri" w:eastAsia="Calibri" w:hAnsi="Calibri"/>
                <w:sz w:val="18"/>
                <w:szCs w:val="18"/>
                <w:color w:val="auto"/>
              </w:rPr>
              <w:t>Total product sales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285,415</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180,413</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118,927</w:t>
            </w:r>
          </w:p>
        </w:tc>
        <w:tc>
          <w:tcPr>
            <w:tcW w:w="80" w:type="dxa"/>
            <w:vAlign w:val="bottom"/>
          </w:tcPr>
          <w:p>
            <w:pPr>
              <w:spacing w:after="0"/>
              <w:rPr>
                <w:sz w:val="18"/>
                <w:szCs w:val="18"/>
                <w:color w:val="auto"/>
              </w:rPr>
            </w:pPr>
          </w:p>
        </w:tc>
      </w:tr>
      <w:tr>
        <w:trPr>
          <w:trHeight w:val="210"/>
        </w:trPr>
        <w:tc>
          <w:tcPr>
            <w:tcW w:w="620" w:type="dxa"/>
            <w:vAlign w:val="bottom"/>
          </w:tcPr>
          <w:p>
            <w:pPr>
              <w:spacing w:after="0"/>
              <w:rPr>
                <w:sz w:val="18"/>
                <w:szCs w:val="18"/>
                <w:color w:val="auto"/>
              </w:rPr>
            </w:pPr>
          </w:p>
        </w:tc>
        <w:tc>
          <w:tcPr>
            <w:tcW w:w="4800" w:type="dxa"/>
            <w:vAlign w:val="bottom"/>
            <w:tcBorders>
              <w:bottom w:val="single" w:sz="8" w:color="CCECFF"/>
            </w:tcBorders>
            <w:shd w:val="clear" w:color="auto" w:fill="CCECFF"/>
          </w:tcPr>
          <w:p>
            <w:pPr>
              <w:spacing w:after="0" w:line="209" w:lineRule="exact"/>
              <w:rPr>
                <w:sz w:val="20"/>
                <w:szCs w:val="20"/>
                <w:color w:val="auto"/>
              </w:rPr>
            </w:pPr>
            <w:r>
              <w:rPr>
                <w:rFonts w:ascii="Calibri" w:cs="Calibri" w:eastAsia="Calibri" w:hAnsi="Calibri"/>
                <w:sz w:val="18"/>
                <w:szCs w:val="18"/>
                <w:color w:val="auto"/>
              </w:rPr>
              <w:t>Crysvita royalty revenue</w:t>
            </w:r>
          </w:p>
        </w:tc>
        <w:tc>
          <w:tcPr>
            <w:tcW w:w="260" w:type="dxa"/>
            <w:vAlign w:val="bottom"/>
            <w:tcBorders>
              <w:bottom w:val="single" w:sz="8" w:color="auto"/>
            </w:tcBorders>
            <w:shd w:val="clear" w:color="auto" w:fill="CCECFF"/>
          </w:tcPr>
          <w:p>
            <w:pPr>
              <w:spacing w:after="0"/>
              <w:rPr>
                <w:sz w:val="18"/>
                <w:szCs w:val="18"/>
                <w:color w:val="auto"/>
              </w:rPr>
            </w:pPr>
          </w:p>
        </w:tc>
        <w:tc>
          <w:tcPr>
            <w:tcW w:w="940" w:type="dxa"/>
            <w:vAlign w:val="bottom"/>
            <w:tcBorders>
              <w:bottom w:val="single" w:sz="8" w:color="auto"/>
            </w:tcBorders>
            <w:shd w:val="clear" w:color="auto" w:fill="CCECFF"/>
          </w:tcPr>
          <w:p>
            <w:pPr>
              <w:jc w:val="right"/>
              <w:spacing w:after="0" w:line="209" w:lineRule="exact"/>
              <w:rPr>
                <w:sz w:val="20"/>
                <w:szCs w:val="20"/>
                <w:color w:val="auto"/>
              </w:rPr>
            </w:pPr>
            <w:r>
              <w:rPr>
                <w:rFonts w:ascii="Calibri" w:cs="Calibri" w:eastAsia="Calibri" w:hAnsi="Calibri"/>
                <w:sz w:val="18"/>
                <w:szCs w:val="18"/>
                <w:color w:val="auto"/>
              </w:rPr>
              <w:t>274,815</w:t>
            </w:r>
          </w:p>
        </w:tc>
        <w:tc>
          <w:tcPr>
            <w:tcW w:w="28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spacing w:after="0"/>
              <w:rPr>
                <w:sz w:val="18"/>
                <w:szCs w:val="18"/>
                <w:color w:val="auto"/>
              </w:rPr>
            </w:pPr>
          </w:p>
        </w:tc>
        <w:tc>
          <w:tcPr>
            <w:tcW w:w="940" w:type="dxa"/>
            <w:vAlign w:val="bottom"/>
            <w:tcBorders>
              <w:bottom w:val="single" w:sz="8" w:color="auto"/>
            </w:tcBorders>
            <w:shd w:val="clear" w:color="auto" w:fill="CCECFF"/>
          </w:tcPr>
          <w:p>
            <w:pPr>
              <w:jc w:val="right"/>
              <w:spacing w:after="0" w:line="209" w:lineRule="exact"/>
              <w:rPr>
                <w:sz w:val="20"/>
                <w:szCs w:val="20"/>
                <w:color w:val="auto"/>
              </w:rPr>
            </w:pPr>
            <w:r>
              <w:rPr>
                <w:rFonts w:ascii="Calibri" w:cs="Calibri" w:eastAsia="Calibri" w:hAnsi="Calibri"/>
                <w:sz w:val="18"/>
                <w:szCs w:val="18"/>
                <w:color w:val="auto"/>
              </w:rPr>
              <w:t>182,652</w:t>
            </w:r>
          </w:p>
        </w:tc>
        <w:tc>
          <w:tcPr>
            <w:tcW w:w="28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spacing w:after="0"/>
              <w:rPr>
                <w:sz w:val="18"/>
                <w:szCs w:val="18"/>
                <w:color w:val="auto"/>
              </w:rPr>
            </w:pPr>
          </w:p>
        </w:tc>
        <w:tc>
          <w:tcPr>
            <w:tcW w:w="900" w:type="dxa"/>
            <w:vAlign w:val="bottom"/>
            <w:tcBorders>
              <w:bottom w:val="single" w:sz="8" w:color="auto"/>
            </w:tcBorders>
            <w:shd w:val="clear" w:color="auto" w:fill="CCECFF"/>
          </w:tcPr>
          <w:p>
            <w:pPr>
              <w:jc w:val="right"/>
              <w:spacing w:after="0" w:line="209" w:lineRule="exact"/>
              <w:rPr>
                <w:sz w:val="20"/>
                <w:szCs w:val="20"/>
                <w:color w:val="auto"/>
              </w:rPr>
            </w:pPr>
            <w:r>
              <w:rPr>
                <w:rFonts w:ascii="Calibri" w:cs="Calibri" w:eastAsia="Calibri" w:hAnsi="Calibri"/>
                <w:sz w:val="18"/>
                <w:szCs w:val="18"/>
                <w:color w:val="auto"/>
              </w:rPr>
              <w:t>21,692</w:t>
            </w:r>
          </w:p>
        </w:tc>
        <w:tc>
          <w:tcPr>
            <w:tcW w:w="80" w:type="dxa"/>
            <w:vAlign w:val="bottom"/>
            <w:tcBorders>
              <w:bottom w:val="single" w:sz="8" w:color="CCECFF"/>
            </w:tcBorders>
            <w:shd w:val="clear" w:color="auto" w:fill="CCECFF"/>
          </w:tcPr>
          <w:p>
            <w:pPr>
              <w:spacing w:after="0"/>
              <w:rPr>
                <w:sz w:val="18"/>
                <w:szCs w:val="18"/>
                <w:color w:val="auto"/>
              </w:rPr>
            </w:pPr>
          </w:p>
        </w:tc>
      </w:tr>
      <w:tr>
        <w:trPr>
          <w:trHeight w:val="209"/>
        </w:trPr>
        <w:tc>
          <w:tcPr>
            <w:tcW w:w="620" w:type="dxa"/>
            <w:vAlign w:val="bottom"/>
          </w:tcPr>
          <w:p>
            <w:pPr>
              <w:spacing w:after="0"/>
              <w:rPr>
                <w:sz w:val="18"/>
                <w:szCs w:val="18"/>
                <w:color w:val="auto"/>
              </w:rPr>
            </w:pPr>
          </w:p>
        </w:tc>
        <w:tc>
          <w:tcPr>
            <w:tcW w:w="4800" w:type="dxa"/>
            <w:vAlign w:val="bottom"/>
          </w:tcPr>
          <w:p>
            <w:pPr>
              <w:spacing w:after="0" w:line="209" w:lineRule="exact"/>
              <w:rPr>
                <w:sz w:val="20"/>
                <w:szCs w:val="20"/>
                <w:color w:val="auto"/>
              </w:rPr>
            </w:pPr>
            <w:r>
              <w:rPr>
                <w:rFonts w:ascii="Calibri" w:cs="Calibri" w:eastAsia="Calibri" w:hAnsi="Calibri"/>
                <w:sz w:val="18"/>
                <w:szCs w:val="18"/>
                <w:color w:val="auto"/>
              </w:rPr>
              <w:t>Collaboraton and license revenue:</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7"/>
        </w:trPr>
        <w:tc>
          <w:tcPr>
            <w:tcW w:w="620" w:type="dxa"/>
            <w:vAlign w:val="bottom"/>
          </w:tcPr>
          <w:p>
            <w:pPr>
              <w:spacing w:after="0"/>
              <w:rPr>
                <w:sz w:val="18"/>
                <w:szCs w:val="18"/>
                <w:color w:val="auto"/>
              </w:rPr>
            </w:pPr>
          </w:p>
        </w:tc>
        <w:tc>
          <w:tcPr>
            <w:tcW w:w="4800" w:type="dxa"/>
            <w:vAlign w:val="bottom"/>
            <w:shd w:val="clear" w:color="auto" w:fill="CCECFF"/>
          </w:tcPr>
          <w:p>
            <w:pPr>
              <w:ind w:left="100"/>
              <w:spacing w:after="0" w:line="216" w:lineRule="exact"/>
              <w:rPr>
                <w:sz w:val="20"/>
                <w:szCs w:val="20"/>
                <w:color w:val="auto"/>
              </w:rPr>
            </w:pPr>
            <w:r>
              <w:rPr>
                <w:rFonts w:ascii="Calibri" w:cs="Calibri" w:eastAsia="Calibri" w:hAnsi="Calibri"/>
                <w:sz w:val="18"/>
                <w:szCs w:val="18"/>
                <w:color w:val="auto"/>
              </w:rPr>
              <w:t>Crysvita collaboraton revenue in Proft-Share Territory</w:t>
            </w:r>
          </w:p>
        </w:tc>
        <w:tc>
          <w:tcPr>
            <w:tcW w:w="260" w:type="dxa"/>
            <w:vAlign w:val="bottom"/>
            <w:shd w:val="clear" w:color="auto" w:fill="CCECFF"/>
          </w:tcPr>
          <w:p>
            <w:pPr>
              <w:spacing w:after="0"/>
              <w:rPr>
                <w:sz w:val="18"/>
                <w:szCs w:val="18"/>
                <w:color w:val="auto"/>
              </w:rPr>
            </w:pPr>
          </w:p>
        </w:tc>
        <w:tc>
          <w:tcPr>
            <w:tcW w:w="1220" w:type="dxa"/>
            <w:vAlign w:val="bottom"/>
            <w:gridSpan w:val="2"/>
            <w:shd w:val="clear" w:color="auto" w:fill="CCECFF"/>
          </w:tcPr>
          <w:p>
            <w:pPr>
              <w:jc w:val="right"/>
              <w:ind w:right="300"/>
              <w:spacing w:after="0" w:line="216" w:lineRule="exact"/>
              <w:rPr>
                <w:sz w:val="20"/>
                <w:szCs w:val="20"/>
                <w:color w:val="auto"/>
              </w:rPr>
            </w:pPr>
            <w:r>
              <w:rPr>
                <w:rFonts w:ascii="Calibri" w:cs="Calibri" w:eastAsia="Calibri" w:hAnsi="Calibri"/>
                <w:sz w:val="18"/>
                <w:szCs w:val="18"/>
                <w:color w:val="auto"/>
              </w:rPr>
              <w:t>—</w:t>
            </w:r>
          </w:p>
        </w:tc>
        <w:tc>
          <w:tcPr>
            <w:tcW w:w="260" w:type="dxa"/>
            <w:vAlign w:val="bottom"/>
            <w:shd w:val="clear" w:color="auto" w:fill="CCECFF"/>
          </w:tcPr>
          <w:p>
            <w:pPr>
              <w:spacing w:after="0"/>
              <w:rPr>
                <w:sz w:val="18"/>
                <w:szCs w:val="18"/>
                <w:color w:val="auto"/>
              </w:rPr>
            </w:pPr>
          </w:p>
        </w:tc>
        <w:tc>
          <w:tcPr>
            <w:tcW w:w="94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69,705</w:t>
            </w:r>
          </w:p>
        </w:tc>
        <w:tc>
          <w:tcPr>
            <w:tcW w:w="28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215,024</w:t>
            </w:r>
          </w:p>
        </w:tc>
        <w:tc>
          <w:tcPr>
            <w:tcW w:w="80" w:type="dxa"/>
            <w:vAlign w:val="bottom"/>
            <w:shd w:val="clear" w:color="auto" w:fill="CCECFF"/>
          </w:tcPr>
          <w:p>
            <w:pPr>
              <w:spacing w:after="0"/>
              <w:rPr>
                <w:sz w:val="18"/>
                <w:szCs w:val="18"/>
                <w:color w:val="auto"/>
              </w:rPr>
            </w:pPr>
          </w:p>
        </w:tc>
      </w:tr>
      <w:tr>
        <w:trPr>
          <w:trHeight w:val="215"/>
        </w:trPr>
        <w:tc>
          <w:tcPr>
            <w:tcW w:w="620" w:type="dxa"/>
            <w:vAlign w:val="bottom"/>
          </w:tcPr>
          <w:p>
            <w:pPr>
              <w:spacing w:after="0"/>
              <w:rPr>
                <w:sz w:val="18"/>
                <w:szCs w:val="18"/>
                <w:color w:val="auto"/>
              </w:rPr>
            </w:pPr>
          </w:p>
        </w:tc>
        <w:tc>
          <w:tcPr>
            <w:tcW w:w="4800" w:type="dxa"/>
            <w:vAlign w:val="bottom"/>
          </w:tcPr>
          <w:p>
            <w:pPr>
              <w:ind w:left="100"/>
              <w:spacing w:after="0" w:line="215" w:lineRule="exact"/>
              <w:rPr>
                <w:sz w:val="20"/>
                <w:szCs w:val="20"/>
                <w:color w:val="auto"/>
              </w:rPr>
            </w:pPr>
            <w:r>
              <w:rPr>
                <w:rFonts w:ascii="Calibri" w:cs="Calibri" w:eastAsia="Calibri" w:hAnsi="Calibri"/>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1,479</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7,686</w:t>
            </w:r>
          </w:p>
        </w:tc>
        <w:tc>
          <w:tcPr>
            <w:tcW w:w="80" w:type="dxa"/>
            <w:vAlign w:val="bottom"/>
          </w:tcPr>
          <w:p>
            <w:pPr>
              <w:spacing w:after="0"/>
              <w:rPr>
                <w:sz w:val="18"/>
                <w:szCs w:val="18"/>
                <w:color w:val="auto"/>
              </w:rPr>
            </w:pPr>
          </w:p>
        </w:tc>
      </w:tr>
      <w:tr>
        <w:trPr>
          <w:trHeight w:val="209"/>
        </w:trPr>
        <w:tc>
          <w:tcPr>
            <w:tcW w:w="620" w:type="dxa"/>
            <w:vAlign w:val="bottom"/>
          </w:tcPr>
          <w:p>
            <w:pPr>
              <w:spacing w:after="0"/>
              <w:rPr>
                <w:sz w:val="18"/>
                <w:szCs w:val="18"/>
                <w:color w:val="auto"/>
              </w:rPr>
            </w:pPr>
          </w:p>
        </w:tc>
        <w:tc>
          <w:tcPr>
            <w:tcW w:w="4800" w:type="dxa"/>
            <w:vAlign w:val="bottom"/>
            <w:tcBorders>
              <w:bottom w:val="single" w:sz="8" w:color="CCEEFF"/>
            </w:tcBorders>
            <w:shd w:val="clear" w:color="auto" w:fill="CCEEFF"/>
          </w:tcPr>
          <w:p>
            <w:pPr>
              <w:ind w:left="180"/>
              <w:spacing w:after="0" w:line="209" w:lineRule="exact"/>
              <w:rPr>
                <w:sz w:val="20"/>
                <w:szCs w:val="20"/>
                <w:color w:val="auto"/>
              </w:rPr>
            </w:pPr>
            <w:r>
              <w:rPr>
                <w:rFonts w:ascii="Calibri" w:cs="Calibri" w:eastAsia="Calibri" w:hAnsi="Calibri"/>
                <w:sz w:val="18"/>
                <w:szCs w:val="18"/>
                <w:color w:val="auto"/>
              </w:rPr>
              <w:t>Total collaboraton and license revenue</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line="209" w:lineRule="exact"/>
              <w:rPr>
                <w:sz w:val="20"/>
                <w:szCs w:val="20"/>
                <w:color w:val="auto"/>
              </w:rPr>
            </w:pPr>
            <w:r>
              <w:rPr>
                <w:rFonts w:ascii="Calibri" w:cs="Calibri" w:eastAsia="Calibri" w:hAnsi="Calibri"/>
                <w:sz w:val="18"/>
                <w:szCs w:val="18"/>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line="209" w:lineRule="exact"/>
              <w:rPr>
                <w:sz w:val="20"/>
                <w:szCs w:val="20"/>
                <w:color w:val="auto"/>
              </w:rPr>
            </w:pPr>
            <w:r>
              <w:rPr>
                <w:rFonts w:ascii="Calibri" w:cs="Calibri" w:eastAsia="Calibri" w:hAnsi="Calibri"/>
                <w:sz w:val="18"/>
                <w:szCs w:val="18"/>
                <w:color w:val="auto"/>
              </w:rPr>
              <w:t>71,184</w:t>
            </w: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line="209" w:lineRule="exact"/>
              <w:rPr>
                <w:sz w:val="20"/>
                <w:szCs w:val="20"/>
                <w:color w:val="auto"/>
              </w:rPr>
            </w:pPr>
            <w:r>
              <w:rPr>
                <w:rFonts w:ascii="Calibri" w:cs="Calibri" w:eastAsia="Calibri" w:hAnsi="Calibri"/>
                <w:sz w:val="18"/>
                <w:szCs w:val="18"/>
                <w:color w:val="auto"/>
              </w:rPr>
              <w:t>222,710</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620" w:type="dxa"/>
            <w:vAlign w:val="bottom"/>
          </w:tcPr>
          <w:p>
            <w:pPr>
              <w:spacing w:after="0"/>
              <w:rPr>
                <w:sz w:val="18"/>
                <w:szCs w:val="18"/>
                <w:color w:val="auto"/>
              </w:rPr>
            </w:pPr>
          </w:p>
        </w:tc>
        <w:tc>
          <w:tcPr>
            <w:tcW w:w="4800" w:type="dxa"/>
            <w:vAlign w:val="bottom"/>
          </w:tcPr>
          <w:p>
            <w:pPr>
              <w:ind w:left="360"/>
              <w:spacing w:after="0" w:line="210" w:lineRule="exact"/>
              <w:rPr>
                <w:sz w:val="20"/>
                <w:szCs w:val="20"/>
                <w:color w:val="auto"/>
              </w:rPr>
            </w:pPr>
            <w:r>
              <w:rPr>
                <w:rFonts w:ascii="Calibri" w:cs="Calibri" w:eastAsia="Calibri" w:hAnsi="Calibri"/>
                <w:sz w:val="18"/>
                <w:szCs w:val="18"/>
                <w:color w:val="auto"/>
              </w:rPr>
              <w:t>Total revenues</w:t>
            </w:r>
          </w:p>
        </w:tc>
        <w:tc>
          <w:tcPr>
            <w:tcW w:w="260" w:type="dxa"/>
            <w:vAlign w:val="bottom"/>
          </w:tcPr>
          <w:p>
            <w:pPr>
              <w:jc w:val="right"/>
              <w:ind w:right="70"/>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tcPr>
          <w:p>
            <w:pPr>
              <w:jc w:val="right"/>
              <w:spacing w:after="0" w:line="210" w:lineRule="exact"/>
              <w:rPr>
                <w:sz w:val="20"/>
                <w:szCs w:val="20"/>
                <w:color w:val="auto"/>
              </w:rPr>
            </w:pPr>
            <w:r>
              <w:rPr>
                <w:rFonts w:ascii="Calibri" w:cs="Calibri" w:eastAsia="Calibri" w:hAnsi="Calibri"/>
                <w:sz w:val="18"/>
                <w:szCs w:val="18"/>
                <w:color w:val="auto"/>
              </w:rPr>
              <w:t>560,230</w:t>
            </w:r>
          </w:p>
        </w:tc>
        <w:tc>
          <w:tcPr>
            <w:tcW w:w="280" w:type="dxa"/>
            <w:vAlign w:val="bottom"/>
          </w:tcPr>
          <w:p>
            <w:pPr>
              <w:spacing w:after="0"/>
              <w:rPr>
                <w:sz w:val="18"/>
                <w:szCs w:val="18"/>
                <w:color w:val="auto"/>
              </w:rPr>
            </w:pPr>
          </w:p>
        </w:tc>
        <w:tc>
          <w:tcPr>
            <w:tcW w:w="260" w:type="dxa"/>
            <w:vAlign w:val="bottom"/>
          </w:tcPr>
          <w:p>
            <w:pPr>
              <w:jc w:val="right"/>
              <w:ind w:right="70"/>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tcPr>
          <w:p>
            <w:pPr>
              <w:jc w:val="right"/>
              <w:spacing w:after="0" w:line="210" w:lineRule="exact"/>
              <w:rPr>
                <w:sz w:val="20"/>
                <w:szCs w:val="20"/>
                <w:color w:val="auto"/>
              </w:rPr>
            </w:pPr>
            <w:r>
              <w:rPr>
                <w:rFonts w:ascii="Calibri" w:cs="Calibri" w:eastAsia="Calibri" w:hAnsi="Calibri"/>
                <w:sz w:val="18"/>
                <w:szCs w:val="18"/>
                <w:color w:val="auto"/>
              </w:rPr>
              <w:t>434,249</w:t>
            </w:r>
          </w:p>
        </w:tc>
        <w:tc>
          <w:tcPr>
            <w:tcW w:w="52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color w:val="auto"/>
              </w:rPr>
              <w:t>$</w:t>
            </w:r>
          </w:p>
        </w:tc>
        <w:tc>
          <w:tcPr>
            <w:tcW w:w="900" w:type="dxa"/>
            <w:vAlign w:val="bottom"/>
          </w:tcPr>
          <w:p>
            <w:pPr>
              <w:jc w:val="right"/>
              <w:spacing w:after="0" w:line="210" w:lineRule="exact"/>
              <w:rPr>
                <w:sz w:val="20"/>
                <w:szCs w:val="20"/>
                <w:color w:val="auto"/>
              </w:rPr>
            </w:pPr>
            <w:r>
              <w:rPr>
                <w:rFonts w:ascii="Calibri" w:cs="Calibri" w:eastAsia="Calibri" w:hAnsi="Calibri"/>
                <w:sz w:val="18"/>
                <w:szCs w:val="18"/>
                <w:color w:val="auto"/>
              </w:rPr>
              <w:t>363,329</w:t>
            </w:r>
          </w:p>
        </w:tc>
        <w:tc>
          <w:tcPr>
            <w:tcW w:w="80" w:type="dxa"/>
            <w:vAlign w:val="bottom"/>
          </w:tcPr>
          <w:p>
            <w:pPr>
              <w:spacing w:after="0"/>
              <w:rPr>
                <w:sz w:val="18"/>
                <w:szCs w:val="18"/>
                <w:color w:val="auto"/>
              </w:rPr>
            </w:pPr>
          </w:p>
        </w:tc>
      </w:tr>
      <w:tr>
        <w:trPr>
          <w:trHeight w:val="20"/>
        </w:trPr>
        <w:tc>
          <w:tcPr>
            <w:tcW w:w="5420" w:type="dxa"/>
            <w:vAlign w:val="bottom"/>
            <w:gridSpan w:val="2"/>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4"/>
        </w:trPr>
        <w:tc>
          <w:tcPr>
            <w:tcW w:w="6900" w:type="dxa"/>
            <w:vAlign w:val="bottom"/>
            <w:gridSpan w:val="5"/>
          </w:tcPr>
          <w:p>
            <w:pPr>
              <w:spacing w:after="0"/>
              <w:rPr>
                <w:sz w:val="20"/>
                <w:szCs w:val="20"/>
                <w:color w:val="auto"/>
              </w:rPr>
            </w:pPr>
            <w:r>
              <w:rPr>
                <w:rFonts w:ascii="Calibri" w:cs="Calibri" w:eastAsia="Calibri" w:hAnsi="Calibri"/>
                <w:sz w:val="18"/>
                <w:szCs w:val="18"/>
                <w:color w:val="auto"/>
              </w:rPr>
              <w:t>The following table disaggregates total revenues based on geographic locaton (in thousands):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97"/>
        </w:trPr>
        <w:tc>
          <w:tcPr>
            <w:tcW w:w="6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40" w:type="dxa"/>
            <w:vAlign w:val="bottom"/>
            <w:gridSpan w:val="6"/>
          </w:tcPr>
          <w:p>
            <w:pPr>
              <w:jc w:val="right"/>
              <w:ind w:right="220"/>
              <w:spacing w:after="0"/>
              <w:rPr>
                <w:sz w:val="20"/>
                <w:szCs w:val="20"/>
                <w:color w:val="auto"/>
              </w:rPr>
            </w:pPr>
            <w:r>
              <w:rPr>
                <w:rFonts w:ascii="Calibri" w:cs="Calibri" w:eastAsia="Calibri" w:hAnsi="Calibri"/>
                <w:sz w:val="18"/>
                <w:szCs w:val="18"/>
                <w:b w:val="1"/>
                <w:bCs w:val="1"/>
                <w:color w:val="auto"/>
              </w:rPr>
              <w:t>Year Ended December 31,</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
        </w:trPr>
        <w:tc>
          <w:tcPr>
            <w:tcW w:w="6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9"/>
        </w:trPr>
        <w:tc>
          <w:tcPr>
            <w:tcW w:w="6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line="209" w:lineRule="exact"/>
              <w:rPr>
                <w:sz w:val="20"/>
                <w:szCs w:val="20"/>
                <w:color w:val="auto"/>
              </w:rPr>
            </w:pPr>
            <w:r>
              <w:rPr>
                <w:rFonts w:ascii="Calibri" w:cs="Calibri" w:eastAsia="Calibri" w:hAnsi="Calibri"/>
                <w:sz w:val="18"/>
                <w:szCs w:val="18"/>
                <w:b w:val="1"/>
                <w:bCs w:val="1"/>
                <w:color w:val="auto"/>
              </w:rPr>
              <w:t>2024</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line="209" w:lineRule="exact"/>
              <w:rPr>
                <w:sz w:val="20"/>
                <w:szCs w:val="20"/>
                <w:color w:val="auto"/>
              </w:rPr>
            </w:pPr>
            <w:r>
              <w:rPr>
                <w:rFonts w:ascii="Calibri" w:cs="Calibri" w:eastAsia="Calibri" w:hAnsi="Calibri"/>
                <w:sz w:val="18"/>
                <w:szCs w:val="18"/>
                <w:b w:val="1"/>
                <w:bCs w:val="1"/>
                <w:color w:val="auto"/>
              </w:rPr>
              <w:t>2023</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line="209" w:lineRule="exact"/>
              <w:rPr>
                <w:sz w:val="20"/>
                <w:szCs w:val="20"/>
                <w:color w:val="auto"/>
              </w:rPr>
            </w:pPr>
            <w:r>
              <w:rPr>
                <w:rFonts w:ascii="Calibri" w:cs="Calibri" w:eastAsia="Calibri" w:hAnsi="Calibri"/>
                <w:sz w:val="18"/>
                <w:szCs w:val="18"/>
                <w:b w:val="1"/>
                <w:bCs w:val="1"/>
                <w:color w:val="auto"/>
              </w:rPr>
              <w:t>2022</w:t>
            </w:r>
          </w:p>
        </w:tc>
        <w:tc>
          <w:tcPr>
            <w:tcW w:w="80" w:type="dxa"/>
            <w:vAlign w:val="bottom"/>
          </w:tcPr>
          <w:p>
            <w:pPr>
              <w:spacing w:after="0"/>
              <w:rPr>
                <w:sz w:val="18"/>
                <w:szCs w:val="18"/>
                <w:color w:val="auto"/>
              </w:rPr>
            </w:pPr>
          </w:p>
        </w:tc>
      </w:tr>
      <w:tr>
        <w:trPr>
          <w:trHeight w:val="210"/>
        </w:trPr>
        <w:tc>
          <w:tcPr>
            <w:tcW w:w="620" w:type="dxa"/>
            <w:vAlign w:val="bottom"/>
          </w:tcPr>
          <w:p>
            <w:pPr>
              <w:spacing w:after="0"/>
              <w:rPr>
                <w:sz w:val="18"/>
                <w:szCs w:val="18"/>
                <w:color w:val="auto"/>
              </w:rPr>
            </w:pPr>
          </w:p>
        </w:tc>
        <w:tc>
          <w:tcPr>
            <w:tcW w:w="4800" w:type="dxa"/>
            <w:vAlign w:val="bottom"/>
            <w:shd w:val="clear" w:color="auto" w:fill="CCECFF"/>
          </w:tcPr>
          <w:p>
            <w:pPr>
              <w:spacing w:after="0" w:line="210" w:lineRule="exact"/>
              <w:rPr>
                <w:sz w:val="20"/>
                <w:szCs w:val="20"/>
                <w:color w:val="auto"/>
              </w:rPr>
            </w:pPr>
            <w:r>
              <w:rPr>
                <w:rFonts w:ascii="Calibri" w:cs="Calibri" w:eastAsia="Calibri" w:hAnsi="Calibri"/>
                <w:sz w:val="18"/>
                <w:szCs w:val="18"/>
                <w:color w:val="auto"/>
              </w:rPr>
              <w:t>North America</w:t>
            </w:r>
          </w:p>
        </w:tc>
        <w:tc>
          <w:tcPr>
            <w:tcW w:w="260" w:type="dxa"/>
            <w:vAlign w:val="bottom"/>
            <w:shd w:val="clear" w:color="auto" w:fill="CCECFF"/>
          </w:tcPr>
          <w:p>
            <w:pPr>
              <w:jc w:val="right"/>
              <w:ind w:right="70"/>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340,463</w:t>
            </w:r>
          </w:p>
        </w:tc>
        <w:tc>
          <w:tcPr>
            <w:tcW w:w="280" w:type="dxa"/>
            <w:vAlign w:val="bottom"/>
            <w:shd w:val="clear" w:color="auto" w:fill="CCECFF"/>
          </w:tcPr>
          <w:p>
            <w:pPr>
              <w:spacing w:after="0"/>
              <w:rPr>
                <w:sz w:val="18"/>
                <w:szCs w:val="18"/>
                <w:color w:val="auto"/>
              </w:rPr>
            </w:pPr>
          </w:p>
        </w:tc>
        <w:tc>
          <w:tcPr>
            <w:tcW w:w="260" w:type="dxa"/>
            <w:vAlign w:val="bottom"/>
            <w:shd w:val="clear" w:color="auto" w:fill="CCECFF"/>
          </w:tcPr>
          <w:p>
            <w:pPr>
              <w:jc w:val="right"/>
              <w:ind w:right="70"/>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307,149</w:t>
            </w:r>
          </w:p>
        </w:tc>
        <w:tc>
          <w:tcPr>
            <w:tcW w:w="520" w:type="dxa"/>
            <w:vAlign w:val="bottom"/>
            <w:gridSpan w:val="2"/>
            <w:shd w:val="clear" w:color="auto" w:fill="CCECFF"/>
          </w:tcPr>
          <w:p>
            <w:pPr>
              <w:jc w:val="right"/>
              <w:ind w:right="160"/>
              <w:spacing w:after="0" w:line="210" w:lineRule="exact"/>
              <w:rPr>
                <w:sz w:val="20"/>
                <w:szCs w:val="20"/>
                <w:color w:val="auto"/>
              </w:rPr>
            </w:pPr>
            <w:r>
              <w:rPr>
                <w:rFonts w:ascii="Calibri" w:cs="Calibri" w:eastAsia="Calibri" w:hAnsi="Calibri"/>
                <w:sz w:val="18"/>
                <w:szCs w:val="18"/>
                <w:color w:val="auto"/>
              </w:rPr>
              <w:t>$</w:t>
            </w:r>
          </w:p>
        </w:tc>
        <w:tc>
          <w:tcPr>
            <w:tcW w:w="90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281,088</w:t>
            </w:r>
          </w:p>
        </w:tc>
        <w:tc>
          <w:tcPr>
            <w:tcW w:w="80" w:type="dxa"/>
            <w:vAlign w:val="bottom"/>
            <w:shd w:val="clear" w:color="auto" w:fill="CCECFF"/>
          </w:tcPr>
          <w:p>
            <w:pPr>
              <w:spacing w:after="0"/>
              <w:rPr>
                <w:sz w:val="18"/>
                <w:szCs w:val="18"/>
                <w:color w:val="auto"/>
              </w:rPr>
            </w:pPr>
          </w:p>
        </w:tc>
      </w:tr>
      <w:tr>
        <w:trPr>
          <w:trHeight w:val="215"/>
        </w:trPr>
        <w:tc>
          <w:tcPr>
            <w:tcW w:w="620" w:type="dxa"/>
            <w:vAlign w:val="bottom"/>
          </w:tcPr>
          <w:p>
            <w:pPr>
              <w:spacing w:after="0"/>
              <w:rPr>
                <w:sz w:val="18"/>
                <w:szCs w:val="18"/>
                <w:color w:val="auto"/>
              </w:rPr>
            </w:pPr>
          </w:p>
        </w:tc>
        <w:tc>
          <w:tcPr>
            <w:tcW w:w="4800" w:type="dxa"/>
            <w:vAlign w:val="bottom"/>
          </w:tcPr>
          <w:p>
            <w:pPr>
              <w:spacing w:after="0" w:line="215" w:lineRule="exact"/>
              <w:rPr>
                <w:sz w:val="20"/>
                <w:szCs w:val="20"/>
                <w:color w:val="auto"/>
              </w:rPr>
            </w:pPr>
            <w:r>
              <w:rPr>
                <w:rFonts w:ascii="Calibri" w:cs="Calibri" w:eastAsia="Calibri" w:hAnsi="Calibri"/>
                <w:sz w:val="18"/>
                <w:szCs w:val="18"/>
                <w:color w:val="auto"/>
              </w:rPr>
              <w:t>Latn America</w:t>
            </w:r>
          </w:p>
        </w:tc>
        <w:tc>
          <w:tcPr>
            <w:tcW w:w="26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130,713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77,342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44,711</w:t>
            </w:r>
          </w:p>
        </w:tc>
        <w:tc>
          <w:tcPr>
            <w:tcW w:w="80" w:type="dxa"/>
            <w:vAlign w:val="bottom"/>
          </w:tcPr>
          <w:p>
            <w:pPr>
              <w:spacing w:after="0"/>
              <w:rPr>
                <w:sz w:val="18"/>
                <w:szCs w:val="18"/>
                <w:color w:val="auto"/>
              </w:rPr>
            </w:pPr>
          </w:p>
        </w:tc>
      </w:tr>
      <w:tr>
        <w:trPr>
          <w:trHeight w:val="217"/>
        </w:trPr>
        <w:tc>
          <w:tcPr>
            <w:tcW w:w="620" w:type="dxa"/>
            <w:vAlign w:val="bottom"/>
          </w:tcPr>
          <w:p>
            <w:pPr>
              <w:spacing w:after="0"/>
              <w:rPr>
                <w:sz w:val="18"/>
                <w:szCs w:val="18"/>
                <w:color w:val="auto"/>
              </w:rPr>
            </w:pPr>
          </w:p>
        </w:tc>
        <w:tc>
          <w:tcPr>
            <w:tcW w:w="4800" w:type="dxa"/>
            <w:vAlign w:val="bottom"/>
            <w:shd w:val="clear" w:color="auto" w:fill="CCECFF"/>
          </w:tcPr>
          <w:p>
            <w:pPr>
              <w:spacing w:after="0" w:line="216" w:lineRule="exact"/>
              <w:rPr>
                <w:sz w:val="20"/>
                <w:szCs w:val="20"/>
                <w:color w:val="auto"/>
              </w:rPr>
            </w:pPr>
            <w:r>
              <w:rPr>
                <w:rFonts w:ascii="Calibri" w:cs="Calibri" w:eastAsia="Calibri" w:hAnsi="Calibri"/>
                <w:sz w:val="18"/>
                <w:szCs w:val="18"/>
                <w:color w:val="auto"/>
              </w:rPr>
              <w:t>Europe, Middle East, and Africa</w:t>
            </w:r>
          </w:p>
        </w:tc>
        <w:tc>
          <w:tcPr>
            <w:tcW w:w="260" w:type="dxa"/>
            <w:vAlign w:val="bottom"/>
            <w:shd w:val="clear" w:color="auto" w:fill="CCECFF"/>
          </w:tcPr>
          <w:p>
            <w:pPr>
              <w:spacing w:after="0"/>
              <w:rPr>
                <w:sz w:val="18"/>
                <w:szCs w:val="18"/>
                <w:color w:val="auto"/>
              </w:rPr>
            </w:pPr>
          </w:p>
        </w:tc>
        <w:tc>
          <w:tcPr>
            <w:tcW w:w="94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80,124</w:t>
            </w:r>
          </w:p>
        </w:tc>
        <w:tc>
          <w:tcPr>
            <w:tcW w:w="28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4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47,534</w:t>
            </w:r>
          </w:p>
        </w:tc>
        <w:tc>
          <w:tcPr>
            <w:tcW w:w="28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36,369</w:t>
            </w:r>
          </w:p>
        </w:tc>
        <w:tc>
          <w:tcPr>
            <w:tcW w:w="80" w:type="dxa"/>
            <w:vAlign w:val="bottom"/>
            <w:shd w:val="clear" w:color="auto" w:fill="CCECFF"/>
          </w:tcPr>
          <w:p>
            <w:pPr>
              <w:spacing w:after="0"/>
              <w:rPr>
                <w:sz w:val="18"/>
                <w:szCs w:val="18"/>
                <w:color w:val="auto"/>
              </w:rPr>
            </w:pPr>
          </w:p>
        </w:tc>
      </w:tr>
      <w:tr>
        <w:trPr>
          <w:trHeight w:val="215"/>
        </w:trPr>
        <w:tc>
          <w:tcPr>
            <w:tcW w:w="620" w:type="dxa"/>
            <w:vAlign w:val="bottom"/>
          </w:tcPr>
          <w:p>
            <w:pPr>
              <w:spacing w:after="0"/>
              <w:rPr>
                <w:sz w:val="18"/>
                <w:szCs w:val="18"/>
                <w:color w:val="auto"/>
              </w:rPr>
            </w:pPr>
          </w:p>
        </w:tc>
        <w:tc>
          <w:tcPr>
            <w:tcW w:w="4800" w:type="dxa"/>
            <w:vAlign w:val="bottom"/>
          </w:tcPr>
          <w:p>
            <w:pPr>
              <w:spacing w:after="0" w:line="215" w:lineRule="exact"/>
              <w:rPr>
                <w:sz w:val="20"/>
                <w:szCs w:val="20"/>
                <w:color w:val="auto"/>
              </w:rPr>
            </w:pPr>
            <w:r>
              <w:rPr>
                <w:rFonts w:ascii="Calibri" w:cs="Calibri" w:eastAsia="Calibri" w:hAnsi="Calibri"/>
                <w:sz w:val="18"/>
                <w:szCs w:val="18"/>
                <w:color w:val="auto"/>
              </w:rPr>
              <w:t>Asia-Pacifc</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8,930</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2,224</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1,161</w:t>
            </w:r>
          </w:p>
        </w:tc>
        <w:tc>
          <w:tcPr>
            <w:tcW w:w="80" w:type="dxa"/>
            <w:vAlign w:val="bottom"/>
          </w:tcPr>
          <w:p>
            <w:pPr>
              <w:spacing w:after="0"/>
              <w:rPr>
                <w:sz w:val="18"/>
                <w:szCs w:val="18"/>
                <w:color w:val="auto"/>
              </w:rPr>
            </w:pPr>
          </w:p>
        </w:tc>
      </w:tr>
      <w:tr>
        <w:trPr>
          <w:trHeight w:val="229"/>
        </w:trPr>
        <w:tc>
          <w:tcPr>
            <w:tcW w:w="620" w:type="dxa"/>
            <w:vAlign w:val="bottom"/>
          </w:tcPr>
          <w:p>
            <w:pPr>
              <w:spacing w:after="0"/>
              <w:rPr>
                <w:sz w:val="19"/>
                <w:szCs w:val="19"/>
                <w:color w:val="auto"/>
              </w:rPr>
            </w:pPr>
          </w:p>
        </w:tc>
        <w:tc>
          <w:tcPr>
            <w:tcW w:w="4800" w:type="dxa"/>
            <w:vAlign w:val="bottom"/>
            <w:shd w:val="clear" w:color="auto" w:fill="CCECFF"/>
          </w:tcPr>
          <w:p>
            <w:pPr>
              <w:ind w:left="180"/>
              <w:spacing w:after="0" w:line="209" w:lineRule="exact"/>
              <w:rPr>
                <w:sz w:val="20"/>
                <w:szCs w:val="20"/>
                <w:color w:val="auto"/>
              </w:rPr>
            </w:pPr>
            <w:r>
              <w:rPr>
                <w:rFonts w:ascii="Calibri" w:cs="Calibri" w:eastAsia="Calibri" w:hAnsi="Calibri"/>
                <w:sz w:val="18"/>
                <w:szCs w:val="18"/>
                <w:color w:val="auto"/>
              </w:rPr>
              <w:t>Total revenues</w:t>
            </w:r>
          </w:p>
        </w:tc>
        <w:tc>
          <w:tcPr>
            <w:tcW w:w="260" w:type="dxa"/>
            <w:vAlign w:val="bottom"/>
            <w:shd w:val="clear" w:color="auto" w:fill="CCECFF"/>
          </w:tcPr>
          <w:p>
            <w:pPr>
              <w:jc w:val="right"/>
              <w:ind w:right="70"/>
              <w:spacing w:after="0" w:line="209" w:lineRule="exact"/>
              <w:rPr>
                <w:sz w:val="20"/>
                <w:szCs w:val="20"/>
                <w:color w:val="auto"/>
              </w:rPr>
            </w:pPr>
            <w:r>
              <w:rPr>
                <w:rFonts w:ascii="Calibri" w:cs="Calibri" w:eastAsia="Calibri" w:hAnsi="Calibri"/>
                <w:sz w:val="18"/>
                <w:szCs w:val="18"/>
                <w:color w:val="auto"/>
                <w:w w:val="87"/>
              </w:rPr>
              <w:t>$</w:t>
            </w:r>
          </w:p>
        </w:tc>
        <w:tc>
          <w:tcPr>
            <w:tcW w:w="940" w:type="dxa"/>
            <w:vAlign w:val="bottom"/>
            <w:shd w:val="clear" w:color="auto" w:fill="CCECFF"/>
          </w:tcPr>
          <w:p>
            <w:pPr>
              <w:jc w:val="right"/>
              <w:spacing w:after="0" w:line="209" w:lineRule="exact"/>
              <w:rPr>
                <w:sz w:val="20"/>
                <w:szCs w:val="20"/>
                <w:color w:val="auto"/>
              </w:rPr>
            </w:pPr>
            <w:r>
              <w:rPr>
                <w:rFonts w:ascii="Calibri" w:cs="Calibri" w:eastAsia="Calibri" w:hAnsi="Calibri"/>
                <w:sz w:val="18"/>
                <w:szCs w:val="18"/>
                <w:color w:val="auto"/>
              </w:rPr>
              <w:t>560,230</w:t>
            </w:r>
          </w:p>
        </w:tc>
        <w:tc>
          <w:tcPr>
            <w:tcW w:w="280" w:type="dxa"/>
            <w:vAlign w:val="bottom"/>
            <w:shd w:val="clear" w:color="auto" w:fill="CCECFF"/>
          </w:tcPr>
          <w:p>
            <w:pPr>
              <w:spacing w:after="0"/>
              <w:rPr>
                <w:sz w:val="19"/>
                <w:szCs w:val="19"/>
                <w:color w:val="auto"/>
              </w:rPr>
            </w:pPr>
          </w:p>
        </w:tc>
        <w:tc>
          <w:tcPr>
            <w:tcW w:w="260" w:type="dxa"/>
            <w:vAlign w:val="bottom"/>
            <w:shd w:val="clear" w:color="auto" w:fill="CCECFF"/>
          </w:tcPr>
          <w:p>
            <w:pPr>
              <w:jc w:val="right"/>
              <w:ind w:right="70"/>
              <w:spacing w:after="0" w:line="209" w:lineRule="exact"/>
              <w:rPr>
                <w:sz w:val="20"/>
                <w:szCs w:val="20"/>
                <w:color w:val="auto"/>
              </w:rPr>
            </w:pPr>
            <w:r>
              <w:rPr>
                <w:rFonts w:ascii="Calibri" w:cs="Calibri" w:eastAsia="Calibri" w:hAnsi="Calibri"/>
                <w:sz w:val="18"/>
                <w:szCs w:val="18"/>
                <w:color w:val="auto"/>
                <w:w w:val="87"/>
              </w:rPr>
              <w:t>$</w:t>
            </w:r>
          </w:p>
        </w:tc>
        <w:tc>
          <w:tcPr>
            <w:tcW w:w="940" w:type="dxa"/>
            <w:vAlign w:val="bottom"/>
            <w:shd w:val="clear" w:color="auto" w:fill="CCECFF"/>
          </w:tcPr>
          <w:p>
            <w:pPr>
              <w:jc w:val="right"/>
              <w:spacing w:after="0" w:line="209" w:lineRule="exact"/>
              <w:rPr>
                <w:sz w:val="20"/>
                <w:szCs w:val="20"/>
                <w:color w:val="auto"/>
              </w:rPr>
            </w:pPr>
            <w:r>
              <w:rPr>
                <w:rFonts w:ascii="Calibri" w:cs="Calibri" w:eastAsia="Calibri" w:hAnsi="Calibri"/>
                <w:sz w:val="18"/>
                <w:szCs w:val="18"/>
                <w:color w:val="auto"/>
              </w:rPr>
              <w:t>434,249</w:t>
            </w:r>
          </w:p>
        </w:tc>
        <w:tc>
          <w:tcPr>
            <w:tcW w:w="520" w:type="dxa"/>
            <w:vAlign w:val="bottom"/>
            <w:gridSpan w:val="2"/>
            <w:shd w:val="clear" w:color="auto" w:fill="CCECFF"/>
          </w:tcPr>
          <w:p>
            <w:pPr>
              <w:jc w:val="right"/>
              <w:ind w:right="160"/>
              <w:spacing w:after="0" w:line="209" w:lineRule="exact"/>
              <w:rPr>
                <w:sz w:val="20"/>
                <w:szCs w:val="20"/>
                <w:color w:val="auto"/>
              </w:rPr>
            </w:pPr>
            <w:r>
              <w:rPr>
                <w:rFonts w:ascii="Calibri" w:cs="Calibri" w:eastAsia="Calibri" w:hAnsi="Calibri"/>
                <w:sz w:val="18"/>
                <w:szCs w:val="18"/>
                <w:color w:val="auto"/>
              </w:rPr>
              <w:t>$</w:t>
            </w:r>
          </w:p>
        </w:tc>
        <w:tc>
          <w:tcPr>
            <w:tcW w:w="900" w:type="dxa"/>
            <w:vAlign w:val="bottom"/>
            <w:shd w:val="clear" w:color="auto" w:fill="CCECFF"/>
          </w:tcPr>
          <w:p>
            <w:pPr>
              <w:jc w:val="right"/>
              <w:spacing w:after="0" w:line="209" w:lineRule="exact"/>
              <w:rPr>
                <w:sz w:val="20"/>
                <w:szCs w:val="20"/>
                <w:color w:val="auto"/>
              </w:rPr>
            </w:pPr>
            <w:r>
              <w:rPr>
                <w:rFonts w:ascii="Calibri" w:cs="Calibri" w:eastAsia="Calibri" w:hAnsi="Calibri"/>
                <w:sz w:val="18"/>
                <w:szCs w:val="18"/>
                <w:color w:val="auto"/>
              </w:rPr>
              <w:t>363,329</w:t>
            </w:r>
          </w:p>
        </w:tc>
        <w:tc>
          <w:tcPr>
            <w:tcW w:w="80" w:type="dxa"/>
            <w:vAlign w:val="bottom"/>
            <w:shd w:val="clear" w:color="auto" w:fill="CCECFF"/>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4800" w:type="dxa"/>
            <w:vAlign w:val="bottom"/>
            <w:tcBorders>
              <w:top w:val="single" w:sz="8" w:color="CCECFF"/>
            </w:tcBorders>
            <w:shd w:val="clear" w:color="auto" w:fill="CCEC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CFF"/>
            </w:tcBorders>
            <w:shd w:val="clear" w:color="auto" w:fill="CCEC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-2279650</wp:posOffset>
            </wp:positionV>
            <wp:extent cx="5143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5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-2279650</wp:posOffset>
            </wp:positionV>
            <wp:extent cx="5143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5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-2279650</wp:posOffset>
            </wp:positionV>
            <wp:extent cx="5143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5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-1988185</wp:posOffset>
            </wp:positionV>
            <wp:extent cx="5143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5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-1988185</wp:posOffset>
            </wp:positionV>
            <wp:extent cx="5143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5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-1988185</wp:posOffset>
            </wp:positionV>
            <wp:extent cx="5143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5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-1422400</wp:posOffset>
            </wp:positionV>
            <wp:extent cx="5143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5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-1422400</wp:posOffset>
            </wp:positionV>
            <wp:extent cx="5143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5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-1422400</wp:posOffset>
            </wp:positionV>
            <wp:extent cx="5143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5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-24765</wp:posOffset>
            </wp:positionV>
            <wp:extent cx="5143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5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-7620</wp:posOffset>
            </wp:positionV>
            <wp:extent cx="5143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5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5143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5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5143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5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5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53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4"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presents the actvity and ending balances for product sales related accruals and allowances (in thousands):</w:t>
      </w:r>
    </w:p>
    <w:p>
      <w:pPr>
        <w:spacing w:after="0" w:line="77"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4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40" w:type="dxa"/>
            <w:vAlign w:val="bottom"/>
            <w:gridSpan w:val="6"/>
          </w:tcPr>
          <w:p>
            <w:pPr>
              <w:jc w:val="right"/>
              <w:ind w:right="141"/>
              <w:spacing w:after="0"/>
              <w:rPr>
                <w:sz w:val="20"/>
                <w:szCs w:val="20"/>
                <w:color w:val="auto"/>
              </w:rPr>
            </w:pPr>
            <w:r>
              <w:rPr>
                <w:rFonts w:ascii="Calibri" w:cs="Calibri" w:eastAsia="Calibri" w:hAnsi="Calibri"/>
                <w:sz w:val="18"/>
                <w:szCs w:val="18"/>
                <w:b w:val="1"/>
                <w:bCs w:val="1"/>
                <w:color w:val="auto"/>
              </w:rPr>
              <w:t>Year Ended December 31,</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
        </w:trPr>
        <w:tc>
          <w:tcPr>
            <w:tcW w:w="4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9"/>
        </w:trPr>
        <w:tc>
          <w:tcPr>
            <w:tcW w:w="4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line="209" w:lineRule="exact"/>
              <w:rPr>
                <w:sz w:val="20"/>
                <w:szCs w:val="20"/>
                <w:color w:val="auto"/>
              </w:rPr>
            </w:pPr>
            <w:r>
              <w:rPr>
                <w:rFonts w:ascii="Calibri" w:cs="Calibri" w:eastAsia="Calibri" w:hAnsi="Calibri"/>
                <w:sz w:val="18"/>
                <w:szCs w:val="18"/>
                <w:b w:val="1"/>
                <w:bCs w:val="1"/>
                <w:color w:val="auto"/>
              </w:rPr>
              <w:t>2024</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line="209" w:lineRule="exact"/>
              <w:rPr>
                <w:sz w:val="20"/>
                <w:szCs w:val="20"/>
                <w:color w:val="auto"/>
              </w:rPr>
            </w:pPr>
            <w:r>
              <w:rPr>
                <w:rFonts w:ascii="Calibri" w:cs="Calibri" w:eastAsia="Calibri" w:hAnsi="Calibri"/>
                <w:sz w:val="18"/>
                <w:szCs w:val="18"/>
                <w:b w:val="1"/>
                <w:bCs w:val="1"/>
                <w:color w:val="auto"/>
              </w:rPr>
              <w:t>2023</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line="209" w:lineRule="exact"/>
              <w:rPr>
                <w:sz w:val="20"/>
                <w:szCs w:val="20"/>
                <w:color w:val="auto"/>
              </w:rPr>
            </w:pPr>
            <w:r>
              <w:rPr>
                <w:rFonts w:ascii="Calibri" w:cs="Calibri" w:eastAsia="Calibri" w:hAnsi="Calibri"/>
                <w:sz w:val="18"/>
                <w:szCs w:val="18"/>
                <w:b w:val="1"/>
                <w:bCs w:val="1"/>
                <w:color w:val="auto"/>
              </w:rPr>
              <w:t>2022</w:t>
            </w:r>
          </w:p>
        </w:tc>
        <w:tc>
          <w:tcPr>
            <w:tcW w:w="80" w:type="dxa"/>
            <w:vAlign w:val="bottom"/>
          </w:tcPr>
          <w:p>
            <w:pPr>
              <w:spacing w:after="0"/>
              <w:rPr>
                <w:sz w:val="18"/>
                <w:szCs w:val="18"/>
                <w:color w:val="auto"/>
              </w:rPr>
            </w:pPr>
          </w:p>
        </w:tc>
      </w:tr>
      <w:tr>
        <w:trPr>
          <w:trHeight w:val="210"/>
        </w:trPr>
        <w:tc>
          <w:tcPr>
            <w:tcW w:w="4800" w:type="dxa"/>
            <w:vAlign w:val="bottom"/>
            <w:shd w:val="clear" w:color="auto" w:fill="CCECFF"/>
          </w:tcPr>
          <w:p>
            <w:pPr>
              <w:spacing w:after="0" w:line="210" w:lineRule="exact"/>
              <w:rPr>
                <w:sz w:val="20"/>
                <w:szCs w:val="20"/>
                <w:color w:val="auto"/>
              </w:rPr>
            </w:pPr>
            <w:r>
              <w:rPr>
                <w:rFonts w:ascii="Calibri" w:cs="Calibri" w:eastAsia="Calibri" w:hAnsi="Calibri"/>
                <w:sz w:val="18"/>
                <w:szCs w:val="18"/>
                <w:color w:val="auto"/>
              </w:rPr>
              <w:t>Balance of product sales reserve at beginning of year</w:t>
            </w:r>
          </w:p>
        </w:tc>
        <w:tc>
          <w:tcPr>
            <w:tcW w:w="260" w:type="dxa"/>
            <w:vAlign w:val="bottom"/>
            <w:shd w:val="clear" w:color="auto" w:fill="CCECFF"/>
          </w:tcPr>
          <w:p>
            <w:pPr>
              <w:jc w:val="right"/>
              <w:ind w:right="70"/>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17,029</w:t>
            </w:r>
          </w:p>
        </w:tc>
        <w:tc>
          <w:tcPr>
            <w:tcW w:w="280" w:type="dxa"/>
            <w:vAlign w:val="bottom"/>
            <w:shd w:val="clear" w:color="auto" w:fill="CCECFF"/>
          </w:tcPr>
          <w:p>
            <w:pPr>
              <w:spacing w:after="0"/>
              <w:rPr>
                <w:sz w:val="18"/>
                <w:szCs w:val="18"/>
                <w:color w:val="auto"/>
              </w:rPr>
            </w:pPr>
          </w:p>
        </w:tc>
        <w:tc>
          <w:tcPr>
            <w:tcW w:w="260" w:type="dxa"/>
            <w:vAlign w:val="bottom"/>
            <w:shd w:val="clear" w:color="auto" w:fill="CCECFF"/>
          </w:tcPr>
          <w:p>
            <w:pPr>
              <w:jc w:val="right"/>
              <w:ind w:right="70"/>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11,487</w:t>
            </w:r>
          </w:p>
        </w:tc>
        <w:tc>
          <w:tcPr>
            <w:tcW w:w="280" w:type="dxa"/>
            <w:vAlign w:val="bottom"/>
            <w:shd w:val="clear" w:color="auto" w:fill="CCECFF"/>
          </w:tcPr>
          <w:p>
            <w:pPr>
              <w:spacing w:after="0"/>
              <w:rPr>
                <w:sz w:val="18"/>
                <w:szCs w:val="18"/>
                <w:color w:val="auto"/>
              </w:rPr>
            </w:pPr>
          </w:p>
        </w:tc>
        <w:tc>
          <w:tcPr>
            <w:tcW w:w="240" w:type="dxa"/>
            <w:vAlign w:val="bottom"/>
            <w:shd w:val="clear" w:color="auto" w:fill="CCECFF"/>
          </w:tcPr>
          <w:p>
            <w:pPr>
              <w:jc w:val="right"/>
              <w:ind w:right="81"/>
              <w:spacing w:after="0"/>
              <w:rPr>
                <w:sz w:val="20"/>
                <w:szCs w:val="20"/>
                <w:color w:val="auto"/>
              </w:rPr>
            </w:pPr>
            <w:r>
              <w:rPr>
                <w:rFonts w:ascii="Calibri" w:cs="Calibri" w:eastAsia="Calibri" w:hAnsi="Calibri"/>
                <w:sz w:val="16"/>
                <w:szCs w:val="16"/>
                <w:color w:val="auto"/>
                <w:w w:val="73"/>
              </w:rPr>
              <w:t>$</w:t>
            </w:r>
          </w:p>
        </w:tc>
        <w:tc>
          <w:tcPr>
            <w:tcW w:w="90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7,181</w:t>
            </w:r>
          </w:p>
        </w:tc>
        <w:tc>
          <w:tcPr>
            <w:tcW w:w="80" w:type="dxa"/>
            <w:vAlign w:val="bottom"/>
            <w:shd w:val="clear" w:color="auto" w:fill="CCECFF"/>
          </w:tcPr>
          <w:p>
            <w:pPr>
              <w:spacing w:after="0"/>
              <w:rPr>
                <w:sz w:val="18"/>
                <w:szCs w:val="18"/>
                <w:color w:val="auto"/>
              </w:rPr>
            </w:pPr>
          </w:p>
        </w:tc>
      </w:tr>
      <w:tr>
        <w:trPr>
          <w:trHeight w:val="215"/>
        </w:trPr>
        <w:tc>
          <w:tcPr>
            <w:tcW w:w="4800" w:type="dxa"/>
            <w:vAlign w:val="bottom"/>
          </w:tcPr>
          <w:p>
            <w:pPr>
              <w:ind w:left="100"/>
              <w:spacing w:after="0" w:line="215" w:lineRule="exact"/>
              <w:rPr>
                <w:sz w:val="20"/>
                <w:szCs w:val="20"/>
                <w:color w:val="auto"/>
              </w:rPr>
            </w:pPr>
            <w:r>
              <w:rPr>
                <w:rFonts w:ascii="Calibri" w:cs="Calibri" w:eastAsia="Calibri" w:hAnsi="Calibri"/>
                <w:sz w:val="18"/>
                <w:szCs w:val="18"/>
                <w:color w:val="auto"/>
              </w:rPr>
              <w:t>Provisions</w:t>
            </w:r>
          </w:p>
        </w:tc>
        <w:tc>
          <w:tcPr>
            <w:tcW w:w="26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38,102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18,761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13,525</w:t>
            </w:r>
          </w:p>
        </w:tc>
        <w:tc>
          <w:tcPr>
            <w:tcW w:w="80" w:type="dxa"/>
            <w:vAlign w:val="bottom"/>
          </w:tcPr>
          <w:p>
            <w:pPr>
              <w:spacing w:after="0"/>
              <w:rPr>
                <w:sz w:val="18"/>
                <w:szCs w:val="18"/>
                <w:color w:val="auto"/>
              </w:rPr>
            </w:pPr>
          </w:p>
        </w:tc>
      </w:tr>
      <w:tr>
        <w:trPr>
          <w:trHeight w:val="217"/>
        </w:trPr>
        <w:tc>
          <w:tcPr>
            <w:tcW w:w="4800" w:type="dxa"/>
            <w:vAlign w:val="bottom"/>
            <w:shd w:val="clear" w:color="auto" w:fill="CCECFF"/>
          </w:tcPr>
          <w:p>
            <w:pPr>
              <w:ind w:left="100"/>
              <w:spacing w:after="0" w:line="216" w:lineRule="exact"/>
              <w:rPr>
                <w:sz w:val="20"/>
                <w:szCs w:val="20"/>
                <w:color w:val="auto"/>
              </w:rPr>
            </w:pPr>
            <w:r>
              <w:rPr>
                <w:rFonts w:ascii="Calibri" w:cs="Calibri" w:eastAsia="Calibri" w:hAnsi="Calibri"/>
                <w:sz w:val="18"/>
                <w:szCs w:val="18"/>
                <w:color w:val="auto"/>
              </w:rPr>
              <w:t>Payments</w:t>
            </w:r>
          </w:p>
        </w:tc>
        <w:tc>
          <w:tcPr>
            <w:tcW w:w="260" w:type="dxa"/>
            <w:vAlign w:val="bottom"/>
            <w:shd w:val="clear" w:color="auto" w:fill="CCECFF"/>
          </w:tcPr>
          <w:p>
            <w:pPr>
              <w:spacing w:after="0"/>
              <w:rPr>
                <w:sz w:val="18"/>
                <w:szCs w:val="18"/>
                <w:color w:val="auto"/>
              </w:rPr>
            </w:pPr>
          </w:p>
        </w:tc>
        <w:tc>
          <w:tcPr>
            <w:tcW w:w="1220" w:type="dxa"/>
            <w:vAlign w:val="bottom"/>
            <w:gridSpan w:val="2"/>
            <w:shd w:val="clear" w:color="auto" w:fill="CCECFF"/>
          </w:tcPr>
          <w:p>
            <w:pPr>
              <w:jc w:val="right"/>
              <w:ind w:right="200"/>
              <w:spacing w:after="0" w:line="216" w:lineRule="exact"/>
              <w:rPr>
                <w:sz w:val="20"/>
                <w:szCs w:val="20"/>
                <w:color w:val="auto"/>
              </w:rPr>
            </w:pPr>
            <w:r>
              <w:rPr>
                <w:rFonts w:ascii="Calibri" w:cs="Calibri" w:eastAsia="Calibri" w:hAnsi="Calibri"/>
                <w:sz w:val="18"/>
                <w:szCs w:val="18"/>
                <w:color w:val="auto"/>
              </w:rPr>
              <w:t>(21,391 )</w:t>
            </w:r>
          </w:p>
        </w:tc>
        <w:tc>
          <w:tcPr>
            <w:tcW w:w="260" w:type="dxa"/>
            <w:vAlign w:val="bottom"/>
            <w:shd w:val="clear" w:color="auto" w:fill="CCECFF"/>
          </w:tcPr>
          <w:p>
            <w:pPr>
              <w:spacing w:after="0"/>
              <w:rPr>
                <w:sz w:val="18"/>
                <w:szCs w:val="18"/>
                <w:color w:val="auto"/>
              </w:rPr>
            </w:pPr>
          </w:p>
        </w:tc>
        <w:tc>
          <w:tcPr>
            <w:tcW w:w="1220" w:type="dxa"/>
            <w:vAlign w:val="bottom"/>
            <w:gridSpan w:val="2"/>
            <w:shd w:val="clear" w:color="auto" w:fill="CCECFF"/>
          </w:tcPr>
          <w:p>
            <w:pPr>
              <w:jc w:val="right"/>
              <w:ind w:right="220"/>
              <w:spacing w:after="0" w:line="216" w:lineRule="exact"/>
              <w:rPr>
                <w:sz w:val="20"/>
                <w:szCs w:val="20"/>
                <w:color w:val="auto"/>
              </w:rPr>
            </w:pPr>
            <w:r>
              <w:rPr>
                <w:rFonts w:ascii="Calibri" w:cs="Calibri" w:eastAsia="Calibri" w:hAnsi="Calibri"/>
                <w:sz w:val="18"/>
                <w:szCs w:val="18"/>
                <w:color w:val="auto"/>
              </w:rPr>
              <w:t>(12,746 )</w:t>
            </w:r>
          </w:p>
        </w:tc>
        <w:tc>
          <w:tcPr>
            <w:tcW w:w="240" w:type="dxa"/>
            <w:vAlign w:val="bottom"/>
            <w:shd w:val="clear" w:color="auto" w:fill="CCECFF"/>
          </w:tcPr>
          <w:p>
            <w:pPr>
              <w:spacing w:after="0"/>
              <w:rPr>
                <w:sz w:val="18"/>
                <w:szCs w:val="18"/>
                <w:color w:val="auto"/>
              </w:rPr>
            </w:pPr>
          </w:p>
        </w:tc>
        <w:tc>
          <w:tcPr>
            <w:tcW w:w="980" w:type="dxa"/>
            <w:vAlign w:val="bottom"/>
            <w:gridSpan w:val="2"/>
            <w:shd w:val="clear" w:color="auto" w:fill="CCECFF"/>
          </w:tcPr>
          <w:p>
            <w:pPr>
              <w:jc w:val="right"/>
              <w:ind w:right="20"/>
              <w:spacing w:after="0" w:line="216" w:lineRule="exact"/>
              <w:rPr>
                <w:sz w:val="20"/>
                <w:szCs w:val="20"/>
                <w:color w:val="auto"/>
              </w:rPr>
            </w:pPr>
            <w:r>
              <w:rPr>
                <w:rFonts w:ascii="Calibri" w:cs="Calibri" w:eastAsia="Calibri" w:hAnsi="Calibri"/>
                <w:sz w:val="18"/>
                <w:szCs w:val="18"/>
                <w:color w:val="auto"/>
              </w:rPr>
              <w:t>(9,613 )</w:t>
            </w:r>
          </w:p>
        </w:tc>
      </w:tr>
      <w:tr>
        <w:trPr>
          <w:trHeight w:val="215"/>
        </w:trPr>
        <w:tc>
          <w:tcPr>
            <w:tcW w:w="4800" w:type="dxa"/>
            <w:vAlign w:val="bottom"/>
          </w:tcPr>
          <w:p>
            <w:pPr>
              <w:ind w:left="100"/>
              <w:spacing w:after="0" w:line="215" w:lineRule="exact"/>
              <w:rPr>
                <w:sz w:val="20"/>
                <w:szCs w:val="20"/>
                <w:color w:val="auto"/>
              </w:rPr>
            </w:pPr>
            <w:r>
              <w:rPr>
                <w:rFonts w:ascii="Calibri" w:cs="Calibri" w:eastAsia="Calibri" w:hAnsi="Calibri"/>
                <w:sz w:val="18"/>
                <w:szCs w:val="18"/>
                <w:color w:val="auto"/>
              </w:rPr>
              <w:t>Adjustments</w:t>
            </w:r>
          </w:p>
        </w:tc>
        <w:tc>
          <w:tcPr>
            <w:tcW w:w="260" w:type="dxa"/>
            <w:vAlign w:val="bottom"/>
          </w:tcPr>
          <w:p>
            <w:pPr>
              <w:spacing w:after="0"/>
              <w:rPr>
                <w:sz w:val="18"/>
                <w:szCs w:val="18"/>
                <w:color w:val="auto"/>
              </w:rPr>
            </w:pPr>
          </w:p>
        </w:tc>
        <w:tc>
          <w:tcPr>
            <w:tcW w:w="12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(434 )</w:t>
            </w:r>
          </w:p>
        </w:tc>
        <w:tc>
          <w:tcPr>
            <w:tcW w:w="260" w:type="dxa"/>
            <w:vAlign w:val="bottom"/>
          </w:tcPr>
          <w:p>
            <w:pPr>
              <w:spacing w:after="0"/>
              <w:rPr>
                <w:sz w:val="18"/>
                <w:szCs w:val="18"/>
                <w:color w:val="auto"/>
              </w:rPr>
            </w:pPr>
          </w:p>
        </w:tc>
        <w:tc>
          <w:tcPr>
            <w:tcW w:w="122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(473 )</w:t>
            </w:r>
          </w:p>
        </w:tc>
        <w:tc>
          <w:tcPr>
            <w:tcW w:w="24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394</w:t>
            </w:r>
          </w:p>
        </w:tc>
        <w:tc>
          <w:tcPr>
            <w:tcW w:w="80" w:type="dxa"/>
            <w:vAlign w:val="bottom"/>
          </w:tcPr>
          <w:p>
            <w:pPr>
              <w:spacing w:after="0"/>
              <w:rPr>
                <w:sz w:val="18"/>
                <w:szCs w:val="18"/>
                <w:color w:val="auto"/>
              </w:rPr>
            </w:pPr>
          </w:p>
        </w:tc>
      </w:tr>
      <w:tr>
        <w:trPr>
          <w:trHeight w:val="250"/>
        </w:trPr>
        <w:tc>
          <w:tcPr>
            <w:tcW w:w="4800" w:type="dxa"/>
            <w:vAlign w:val="bottom"/>
            <w:tcBorders>
              <w:bottom w:val="single" w:sz="8" w:color="CCECFF"/>
            </w:tcBorders>
            <w:shd w:val="clear" w:color="auto" w:fill="CCECFF"/>
          </w:tcPr>
          <w:p>
            <w:pPr>
              <w:spacing w:after="0" w:line="210" w:lineRule="exact"/>
              <w:rPr>
                <w:sz w:val="20"/>
                <w:szCs w:val="20"/>
                <w:color w:val="auto"/>
              </w:rPr>
            </w:pPr>
            <w:r>
              <w:rPr>
                <w:rFonts w:ascii="Calibri" w:cs="Calibri" w:eastAsia="Calibri" w:hAnsi="Calibri"/>
                <w:sz w:val="18"/>
                <w:szCs w:val="18"/>
                <w:color w:val="auto"/>
              </w:rPr>
              <w:t>Balance of product sales reserve at end of year</w:t>
            </w:r>
          </w:p>
        </w:tc>
        <w:tc>
          <w:tcPr>
            <w:tcW w:w="260" w:type="dxa"/>
            <w:vAlign w:val="bottom"/>
            <w:tcBorders>
              <w:top w:val="single" w:sz="8" w:color="auto"/>
              <w:bottom w:val="single" w:sz="8" w:color="auto"/>
            </w:tcBorders>
            <w:shd w:val="clear" w:color="auto" w:fill="CCECFF"/>
          </w:tcPr>
          <w:p>
            <w:pPr>
              <w:jc w:val="right"/>
              <w:ind w:right="70"/>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tcBorders>
              <w:top w:val="single" w:sz="8" w:color="auto"/>
              <w:bottom w:val="single" w:sz="8" w:color="auto"/>
            </w:tcBorders>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33,306</w:t>
            </w:r>
          </w:p>
        </w:tc>
        <w:tc>
          <w:tcPr>
            <w:tcW w:w="28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top w:val="single" w:sz="8" w:color="auto"/>
              <w:bottom w:val="single" w:sz="8" w:color="auto"/>
            </w:tcBorders>
            <w:shd w:val="clear" w:color="auto" w:fill="CCECFF"/>
          </w:tcPr>
          <w:p>
            <w:pPr>
              <w:jc w:val="right"/>
              <w:ind w:right="70"/>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tcBorders>
              <w:top w:val="single" w:sz="8" w:color="auto"/>
              <w:bottom w:val="single" w:sz="8" w:color="auto"/>
            </w:tcBorders>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17,029</w:t>
            </w:r>
          </w:p>
        </w:tc>
        <w:tc>
          <w:tcPr>
            <w:tcW w:w="28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top w:val="single" w:sz="8" w:color="auto"/>
              <w:bottom w:val="single" w:sz="8" w:color="auto"/>
            </w:tcBorders>
            <w:shd w:val="clear" w:color="auto" w:fill="CCECFF"/>
          </w:tcPr>
          <w:p>
            <w:pPr>
              <w:jc w:val="right"/>
              <w:ind w:right="81"/>
              <w:spacing w:after="0"/>
              <w:rPr>
                <w:sz w:val="20"/>
                <w:szCs w:val="20"/>
                <w:color w:val="auto"/>
              </w:rPr>
            </w:pPr>
            <w:r>
              <w:rPr>
                <w:rFonts w:ascii="Calibri" w:cs="Calibri" w:eastAsia="Calibri" w:hAnsi="Calibri"/>
                <w:sz w:val="16"/>
                <w:szCs w:val="16"/>
                <w:color w:val="auto"/>
                <w:w w:val="73"/>
              </w:rPr>
              <w:t>$</w:t>
            </w:r>
          </w:p>
        </w:tc>
        <w:tc>
          <w:tcPr>
            <w:tcW w:w="900" w:type="dxa"/>
            <w:vAlign w:val="bottom"/>
            <w:tcBorders>
              <w:top w:val="single" w:sz="8" w:color="auto"/>
              <w:bottom w:val="single" w:sz="8" w:color="auto"/>
            </w:tcBorders>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11,487</w:t>
            </w:r>
          </w:p>
        </w:tc>
        <w:tc>
          <w:tcPr>
            <w:tcW w:w="80" w:type="dxa"/>
            <w:vAlign w:val="bottom"/>
            <w:tcBorders>
              <w:bottom w:val="single" w:sz="8" w:color="CCECFF"/>
            </w:tcBorders>
            <w:shd w:val="clear" w:color="auto" w:fill="CCEC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-24765</wp:posOffset>
            </wp:positionV>
            <wp:extent cx="5143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5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-7620</wp:posOffset>
            </wp:positionV>
            <wp:extent cx="5143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5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5143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5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5143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5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5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53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4"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presents changes in the contract liabilites for the years ended December 31, 2023 (in thousands):</w:t>
      </w:r>
    </w:p>
    <w:p>
      <w:pPr>
        <w:spacing w:after="0" w:line="77" w:lineRule="exact"/>
        <w:rPr>
          <w:sz w:val="20"/>
          <w:szCs w:val="20"/>
          <w:color w:val="auto"/>
        </w:rPr>
      </w:pPr>
    </w:p>
    <w:tbl>
      <w:tblPr>
        <w:tblLayout w:type="fixed"/>
        <w:tblInd w:w="2260" w:type="dxa"/>
        <w:tblCellMar>
          <w:top w:w="0" w:type="dxa"/>
          <w:left w:w="0" w:type="dxa"/>
          <w:bottom w:w="0" w:type="dxa"/>
          <w:right w:w="0" w:type="dxa"/>
        </w:tblCellMar>
      </w:tblPr>
      <w:tr>
        <w:trPr>
          <w:trHeight w:val="220"/>
        </w:trPr>
        <w:tc>
          <w:tcPr>
            <w:tcW w:w="4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gridSpan w:val="2"/>
          </w:tcPr>
          <w:p>
            <w:pPr>
              <w:jc w:val="right"/>
              <w:ind w:right="600"/>
              <w:spacing w:after="0"/>
              <w:rPr>
                <w:sz w:val="20"/>
                <w:szCs w:val="20"/>
                <w:color w:val="auto"/>
              </w:rPr>
            </w:pPr>
            <w:r>
              <w:rPr>
                <w:rFonts w:ascii="Calibri" w:cs="Calibri" w:eastAsia="Calibri" w:hAnsi="Calibri"/>
                <w:sz w:val="18"/>
                <w:szCs w:val="18"/>
                <w:b w:val="1"/>
                <w:bCs w:val="1"/>
                <w:color w:val="auto"/>
              </w:rPr>
              <w:t>December 31,</w:t>
            </w:r>
          </w:p>
        </w:tc>
      </w:tr>
      <w:tr>
        <w:trPr>
          <w:trHeight w:val="216"/>
        </w:trPr>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jc w:val="right"/>
              <w:ind w:right="770"/>
              <w:spacing w:after="0" w:line="216" w:lineRule="exact"/>
              <w:rPr>
                <w:sz w:val="20"/>
                <w:szCs w:val="20"/>
                <w:color w:val="auto"/>
              </w:rPr>
            </w:pPr>
            <w:r>
              <w:rPr>
                <w:rFonts w:ascii="Calibri" w:cs="Calibri" w:eastAsia="Calibri" w:hAnsi="Calibri"/>
                <w:sz w:val="18"/>
                <w:szCs w:val="18"/>
                <w:b w:val="1"/>
                <w:bCs w:val="1"/>
                <w:color w:val="auto"/>
              </w:rPr>
              <w:t>2023</w:t>
            </w:r>
          </w:p>
        </w:tc>
        <w:tc>
          <w:tcPr>
            <w:tcW w:w="80" w:type="dxa"/>
            <w:vAlign w:val="bottom"/>
          </w:tcPr>
          <w:p>
            <w:pPr>
              <w:spacing w:after="0"/>
              <w:rPr>
                <w:sz w:val="18"/>
                <w:szCs w:val="18"/>
                <w:color w:val="auto"/>
              </w:rPr>
            </w:pPr>
          </w:p>
        </w:tc>
      </w:tr>
      <w:tr>
        <w:trPr>
          <w:trHeight w:val="23"/>
        </w:trPr>
        <w:tc>
          <w:tcPr>
            <w:tcW w:w="4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10"/>
        </w:trPr>
        <w:tc>
          <w:tcPr>
            <w:tcW w:w="4620" w:type="dxa"/>
            <w:vAlign w:val="bottom"/>
            <w:shd w:val="clear" w:color="auto" w:fill="CCECFF"/>
          </w:tcPr>
          <w:p>
            <w:pPr>
              <w:spacing w:after="0" w:line="209" w:lineRule="exact"/>
              <w:rPr>
                <w:sz w:val="20"/>
                <w:szCs w:val="20"/>
                <w:color w:val="auto"/>
              </w:rPr>
            </w:pPr>
            <w:r>
              <w:rPr>
                <w:rFonts w:ascii="Calibri" w:cs="Calibri" w:eastAsia="Calibri" w:hAnsi="Calibri"/>
                <w:sz w:val="18"/>
                <w:szCs w:val="18"/>
                <w:color w:val="auto"/>
              </w:rPr>
              <w:t>Balance of contract liabilites at beginning of period</w:t>
            </w:r>
          </w:p>
        </w:tc>
        <w:tc>
          <w:tcPr>
            <w:tcW w:w="300" w:type="dxa"/>
            <w:vAlign w:val="bottom"/>
            <w:shd w:val="clear" w:color="auto" w:fill="CCECFF"/>
          </w:tcPr>
          <w:p>
            <w:pPr>
              <w:jc w:val="right"/>
              <w:ind w:right="110"/>
              <w:spacing w:after="0" w:line="209" w:lineRule="exact"/>
              <w:rPr>
                <w:sz w:val="20"/>
                <w:szCs w:val="20"/>
                <w:color w:val="auto"/>
              </w:rPr>
            </w:pPr>
            <w:r>
              <w:rPr>
                <w:rFonts w:ascii="Calibri" w:cs="Calibri" w:eastAsia="Calibri" w:hAnsi="Calibri"/>
                <w:sz w:val="18"/>
                <w:szCs w:val="18"/>
                <w:color w:val="auto"/>
                <w:w w:val="87"/>
              </w:rPr>
              <w:t>$</w:t>
            </w:r>
          </w:p>
        </w:tc>
        <w:tc>
          <w:tcPr>
            <w:tcW w:w="1740" w:type="dxa"/>
            <w:vAlign w:val="bottom"/>
            <w:shd w:val="clear" w:color="auto" w:fill="CCECFF"/>
          </w:tcPr>
          <w:p>
            <w:pPr>
              <w:jc w:val="right"/>
              <w:spacing w:after="0" w:line="209" w:lineRule="exact"/>
              <w:rPr>
                <w:sz w:val="20"/>
                <w:szCs w:val="20"/>
                <w:color w:val="auto"/>
              </w:rPr>
            </w:pPr>
            <w:r>
              <w:rPr>
                <w:rFonts w:ascii="Calibri" w:cs="Calibri" w:eastAsia="Calibri" w:hAnsi="Calibri"/>
                <w:sz w:val="18"/>
                <w:szCs w:val="18"/>
                <w:color w:val="auto"/>
              </w:rPr>
              <w:t>1,479</w:t>
            </w:r>
          </w:p>
        </w:tc>
        <w:tc>
          <w:tcPr>
            <w:tcW w:w="80" w:type="dxa"/>
            <w:vAlign w:val="bottom"/>
            <w:shd w:val="clear" w:color="auto" w:fill="CCECFF"/>
          </w:tcPr>
          <w:p>
            <w:pPr>
              <w:spacing w:after="0"/>
              <w:rPr>
                <w:sz w:val="18"/>
                <w:szCs w:val="18"/>
                <w:color w:val="auto"/>
              </w:rPr>
            </w:pPr>
          </w:p>
        </w:tc>
      </w:tr>
      <w:tr>
        <w:trPr>
          <w:trHeight w:val="215"/>
        </w:trPr>
        <w:tc>
          <w:tcPr>
            <w:tcW w:w="4620" w:type="dxa"/>
            <w:vAlign w:val="bottom"/>
          </w:tcPr>
          <w:p>
            <w:pPr>
              <w:ind w:left="100"/>
              <w:spacing w:after="0" w:line="215" w:lineRule="exact"/>
              <w:rPr>
                <w:sz w:val="20"/>
                <w:szCs w:val="20"/>
                <w:color w:val="auto"/>
              </w:rPr>
            </w:pPr>
            <w:r>
              <w:rPr>
                <w:rFonts w:ascii="Calibri" w:cs="Calibri" w:eastAsia="Calibri" w:hAnsi="Calibri"/>
                <w:sz w:val="18"/>
                <w:szCs w:val="18"/>
                <w:color w:val="auto"/>
              </w:rPr>
              <w:t>Additons</w:t>
            </w:r>
          </w:p>
        </w:tc>
        <w:tc>
          <w:tcPr>
            <w:tcW w:w="300" w:type="dxa"/>
            <w:vAlign w:val="bottom"/>
          </w:tcPr>
          <w:p>
            <w:pPr>
              <w:spacing w:after="0"/>
              <w:rPr>
                <w:sz w:val="18"/>
                <w:szCs w:val="18"/>
                <w:color w:val="auto"/>
              </w:rPr>
            </w:pPr>
          </w:p>
        </w:tc>
        <w:tc>
          <w:tcPr>
            <w:tcW w:w="182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w:t>
            </w:r>
          </w:p>
        </w:tc>
      </w:tr>
      <w:tr>
        <w:trPr>
          <w:trHeight w:val="216"/>
        </w:trPr>
        <w:tc>
          <w:tcPr>
            <w:tcW w:w="4620" w:type="dxa"/>
            <w:vAlign w:val="bottom"/>
            <w:shd w:val="clear" w:color="auto" w:fill="CCECFF"/>
          </w:tcPr>
          <w:p>
            <w:pPr>
              <w:ind w:left="100"/>
              <w:spacing w:after="0" w:line="216" w:lineRule="exact"/>
              <w:rPr>
                <w:sz w:val="20"/>
                <w:szCs w:val="20"/>
                <w:color w:val="auto"/>
              </w:rPr>
            </w:pPr>
            <w:r>
              <w:rPr>
                <w:rFonts w:ascii="Calibri" w:cs="Calibri" w:eastAsia="Calibri" w:hAnsi="Calibri"/>
                <w:sz w:val="18"/>
                <w:szCs w:val="18"/>
                <w:color w:val="auto"/>
              </w:rPr>
              <w:t>Deductons</w:t>
            </w:r>
          </w:p>
        </w:tc>
        <w:tc>
          <w:tcPr>
            <w:tcW w:w="300" w:type="dxa"/>
            <w:vAlign w:val="bottom"/>
            <w:shd w:val="clear" w:color="auto" w:fill="CCECFF"/>
          </w:tcPr>
          <w:p>
            <w:pPr>
              <w:spacing w:after="0"/>
              <w:rPr>
                <w:sz w:val="18"/>
                <w:szCs w:val="18"/>
                <w:color w:val="auto"/>
              </w:rPr>
            </w:pPr>
          </w:p>
        </w:tc>
        <w:tc>
          <w:tcPr>
            <w:tcW w:w="1820" w:type="dxa"/>
            <w:vAlign w:val="bottom"/>
            <w:gridSpan w:val="2"/>
            <w:shd w:val="clear" w:color="auto" w:fill="CCECFF"/>
          </w:tcPr>
          <w:p>
            <w:pPr>
              <w:jc w:val="right"/>
              <w:ind w:right="20"/>
              <w:spacing w:after="0" w:line="216" w:lineRule="exact"/>
              <w:rPr>
                <w:sz w:val="20"/>
                <w:szCs w:val="20"/>
                <w:color w:val="auto"/>
              </w:rPr>
            </w:pPr>
            <w:r>
              <w:rPr>
                <w:rFonts w:ascii="Calibri" w:cs="Calibri" w:eastAsia="Calibri" w:hAnsi="Calibri"/>
                <w:sz w:val="18"/>
                <w:szCs w:val="18"/>
                <w:color w:val="auto"/>
              </w:rPr>
              <w:t>(1,479 )</w:t>
            </w:r>
          </w:p>
        </w:tc>
      </w:tr>
      <w:tr>
        <w:trPr>
          <w:trHeight w:val="210"/>
        </w:trPr>
        <w:tc>
          <w:tcPr>
            <w:tcW w:w="4620" w:type="dxa"/>
            <w:vAlign w:val="bottom"/>
            <w:tcBorders>
              <w:top w:val="single" w:sz="8" w:color="CCECFF"/>
            </w:tcBorders>
          </w:tcPr>
          <w:p>
            <w:pPr>
              <w:spacing w:after="0" w:line="209" w:lineRule="exact"/>
              <w:rPr>
                <w:sz w:val="20"/>
                <w:szCs w:val="20"/>
                <w:color w:val="auto"/>
              </w:rPr>
            </w:pPr>
            <w:r>
              <w:rPr>
                <w:rFonts w:ascii="Calibri" w:cs="Calibri" w:eastAsia="Calibri" w:hAnsi="Calibri"/>
                <w:sz w:val="18"/>
                <w:szCs w:val="18"/>
                <w:color w:val="auto"/>
              </w:rPr>
              <w:t>Balance of contract liabilites at end of period, net</w:t>
            </w:r>
          </w:p>
        </w:tc>
        <w:tc>
          <w:tcPr>
            <w:tcW w:w="300" w:type="dxa"/>
            <w:vAlign w:val="bottom"/>
            <w:tcBorders>
              <w:top w:val="single" w:sz="8" w:color="auto"/>
              <w:bottom w:val="single" w:sz="8" w:color="auto"/>
            </w:tcBorders>
          </w:tcPr>
          <w:p>
            <w:pPr>
              <w:jc w:val="right"/>
              <w:ind w:right="110"/>
              <w:spacing w:after="0" w:line="209" w:lineRule="exact"/>
              <w:rPr>
                <w:sz w:val="20"/>
                <w:szCs w:val="20"/>
                <w:color w:val="auto"/>
              </w:rPr>
            </w:pPr>
            <w:r>
              <w:rPr>
                <w:rFonts w:ascii="Calibri" w:cs="Calibri" w:eastAsia="Calibri" w:hAnsi="Calibri"/>
                <w:sz w:val="18"/>
                <w:szCs w:val="18"/>
                <w:color w:val="auto"/>
                <w:w w:val="87"/>
              </w:rPr>
              <w:t>$</w:t>
            </w:r>
          </w:p>
        </w:tc>
        <w:tc>
          <w:tcPr>
            <w:tcW w:w="174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w:t>
            </w:r>
          </w:p>
        </w:tc>
        <w:tc>
          <w:tcPr>
            <w:tcW w:w="80" w:type="dxa"/>
            <w:vAlign w:val="bottom"/>
            <w:tcBorders>
              <w:top w:val="single" w:sz="8" w:color="CCECFF"/>
            </w:tcBorders>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-170815</wp:posOffset>
            </wp:positionV>
            <wp:extent cx="5143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53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4"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See “Note 9. License and Research Agreements” for additonal details on contract liabilites actvites.</w:t>
      </w:r>
    </w:p>
    <w:p>
      <w:pPr>
        <w:spacing w:after="0" w:line="82" w:lineRule="exact"/>
        <w:rPr>
          <w:sz w:val="20"/>
          <w:szCs w:val="20"/>
          <w:color w:val="auto"/>
        </w:rPr>
      </w:pPr>
    </w:p>
    <w:p>
      <w:pPr>
        <w:ind w:firstLine="40"/>
        <w:spacing w:after="0" w:line="235" w:lineRule="auto"/>
        <w:rPr>
          <w:sz w:val="20"/>
          <w:szCs w:val="20"/>
          <w:color w:val="auto"/>
        </w:rPr>
      </w:pPr>
      <w:r>
        <w:rPr>
          <w:rFonts w:ascii="Calibri" w:cs="Calibri" w:eastAsia="Calibri" w:hAnsi="Calibri"/>
          <w:sz w:val="18"/>
          <w:szCs w:val="18"/>
          <w:color w:val="auto"/>
        </w:rPr>
        <w:t>The Company’s largest accounts receivable balance was from a collaboraton partner, KKC, and was 70% and 53% of the total accounts receivable balance as of December 31, 2024 and 2023, respectvely.</w:t>
      </w:r>
    </w:p>
    <w:p>
      <w:pPr>
        <w:spacing w:after="0" w:line="240" w:lineRule="exact"/>
        <w:rPr>
          <w:sz w:val="20"/>
          <w:szCs w:val="20"/>
          <w:color w:val="auto"/>
        </w:rPr>
      </w:pPr>
    </w:p>
    <w:p>
      <w:pPr>
        <w:ind w:left="520" w:hanging="512"/>
        <w:spacing w:after="0"/>
        <w:tabs>
          <w:tab w:leader="none" w:pos="520" w:val="left"/>
        </w:tabs>
        <w:numPr>
          <w:ilvl w:val="0"/>
          <w:numId w:val="46"/>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Investment in Amlogenyx. Inc.</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July 2024, the Company contributed certain intellectual property rights to Amlogenyx Inc., or Amlogenyx, a subsidiary of the Company, and received 9.0 million shares of common stock of Amlogenyx. A third-party investor along with one of its afliated enttes, and the Company, each contributed $7.0 million to Amlogenyx and in exchange, each received approximately 1.6 million</w:t>
      </w:r>
    </w:p>
    <w:p>
      <w:pPr>
        <w:jc w:val="center"/>
        <w:ind w:right="-39"/>
        <w:spacing w:after="0" w:line="237" w:lineRule="auto"/>
        <w:rPr>
          <w:sz w:val="20"/>
          <w:szCs w:val="20"/>
          <w:color w:val="auto"/>
        </w:rPr>
      </w:pPr>
      <w:r>
        <w:rPr>
          <w:rFonts w:ascii="Calibri" w:cs="Calibri" w:eastAsia="Calibri" w:hAnsi="Calibri"/>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14" w:name="page115"/>
    <w:bookmarkEnd w:id="114"/>
    <w:p>
      <w:pPr>
        <w:ind w:left="384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2"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shares of series seed preferred stock of Amlogenyx. The purpose of Amlogenyx is to pursue the applicaton of the Company’s novel adeno-associated virus, or AAV, gene therapy to treat beta-amyloid disorders and related neurodegeneratve diseases.</w:t>
      </w:r>
    </w:p>
    <w:p>
      <w:pPr>
        <w:spacing w:after="0" w:line="83"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Amlogenyx was determined to be a VIE and the Company is the primary benefciary as it has the power to direct the actvites that would most signifcantly impact the economic performance of Amlogenyx, including the performance of R&amp;D actvites relatng to its sole product candidate. As the primary benefciary, the Company has consolidated the fnancial positon, results of operatons and cash fows of Amlogenyx in its fnancial statements and all intercompany balances have been eliminated in consolidaton. Upon inital consolidaton, the non-controlling interest of the third-party investor was recorded at its estmated fair value of $7.0 million, which is equal to their original investment.</w:t>
      </w:r>
    </w:p>
    <w:p>
      <w:pPr>
        <w:spacing w:after="0" w:line="85"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As of December 31, 2024, total assets and liabilites included on the Consolidated Balance Sheets for Amlogenyx were $13.5 million and $0.1 million, respectvely. The assets primarily consisted of cash and cash equivalents which may only be used to setle obligatons of Amlogenyx.</w:t>
      </w:r>
    </w:p>
    <w:p>
      <w:pPr>
        <w:spacing w:after="0" w:line="78"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Noncontrolling interest related to the third-party investment in Amlogenyx is reported on the Consolidated Balance Sheets in mezzanine equity.</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Changes in the carrying value of noncontrolling interest for the year ended December 31, 2024, were as follows:</w:t>
      </w:r>
    </w:p>
    <w:p>
      <w:pPr>
        <w:spacing w:after="0" w:line="77" w:lineRule="exact"/>
        <w:rPr>
          <w:sz w:val="20"/>
          <w:szCs w:val="20"/>
          <w:color w:val="auto"/>
        </w:rPr>
      </w:pPr>
    </w:p>
    <w:tbl>
      <w:tblPr>
        <w:tblLayout w:type="fixed"/>
        <w:tblInd w:w="1700" w:type="dxa"/>
        <w:tblCellMar>
          <w:top w:w="0" w:type="dxa"/>
          <w:left w:w="0" w:type="dxa"/>
          <w:bottom w:w="0" w:type="dxa"/>
          <w:right w:w="0" w:type="dxa"/>
        </w:tblCellMar>
      </w:tblPr>
      <w:tr>
        <w:trPr>
          <w:trHeight w:val="220"/>
        </w:trPr>
        <w:tc>
          <w:tcPr>
            <w:tcW w:w="5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gridSpan w:val="2"/>
          </w:tcPr>
          <w:p>
            <w:pPr>
              <w:ind w:left="20"/>
              <w:spacing w:after="0"/>
              <w:rPr>
                <w:sz w:val="20"/>
                <w:szCs w:val="20"/>
                <w:color w:val="auto"/>
              </w:rPr>
            </w:pPr>
            <w:r>
              <w:rPr>
                <w:rFonts w:ascii="Calibri" w:cs="Calibri" w:eastAsia="Calibri" w:hAnsi="Calibri"/>
                <w:sz w:val="18"/>
                <w:szCs w:val="18"/>
                <w:b w:val="1"/>
                <w:bCs w:val="1"/>
                <w:color w:val="auto"/>
              </w:rPr>
              <w:t>Noncontrolling Interest</w:t>
            </w:r>
          </w:p>
        </w:tc>
      </w:tr>
      <w:tr>
        <w:trPr>
          <w:trHeight w:val="23"/>
        </w:trPr>
        <w:tc>
          <w:tcPr>
            <w:tcW w:w="58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10"/>
        </w:trPr>
        <w:tc>
          <w:tcPr>
            <w:tcW w:w="5800" w:type="dxa"/>
            <w:vAlign w:val="bottom"/>
            <w:shd w:val="clear" w:color="auto" w:fill="CCECFF"/>
          </w:tcPr>
          <w:p>
            <w:pPr>
              <w:spacing w:after="0" w:line="209" w:lineRule="exact"/>
              <w:rPr>
                <w:sz w:val="20"/>
                <w:szCs w:val="20"/>
                <w:color w:val="auto"/>
              </w:rPr>
            </w:pPr>
            <w:r>
              <w:rPr>
                <w:rFonts w:ascii="Calibri" w:cs="Calibri" w:eastAsia="Calibri" w:hAnsi="Calibri"/>
                <w:sz w:val="18"/>
                <w:szCs w:val="18"/>
                <w:color w:val="auto"/>
              </w:rPr>
              <w:t>As of December 31, 2023</w:t>
            </w:r>
          </w:p>
        </w:tc>
        <w:tc>
          <w:tcPr>
            <w:tcW w:w="120" w:type="dxa"/>
            <w:vAlign w:val="bottom"/>
            <w:shd w:val="clear" w:color="auto" w:fill="CCECFF"/>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940" w:type="dxa"/>
            <w:vAlign w:val="bottom"/>
            <w:gridSpan w:val="2"/>
            <w:shd w:val="clear" w:color="auto" w:fill="CCECFF"/>
          </w:tcPr>
          <w:p>
            <w:pPr>
              <w:jc w:val="right"/>
              <w:ind w:right="100"/>
              <w:spacing w:after="0" w:line="209" w:lineRule="exact"/>
              <w:rPr>
                <w:sz w:val="20"/>
                <w:szCs w:val="20"/>
                <w:color w:val="auto"/>
              </w:rPr>
            </w:pPr>
            <w:r>
              <w:rPr>
                <w:rFonts w:ascii="Calibri" w:cs="Calibri" w:eastAsia="Calibri" w:hAnsi="Calibri"/>
                <w:sz w:val="18"/>
                <w:szCs w:val="18"/>
                <w:color w:val="auto"/>
              </w:rPr>
              <w:t>—</w:t>
            </w:r>
          </w:p>
        </w:tc>
      </w:tr>
      <w:tr>
        <w:trPr>
          <w:trHeight w:val="215"/>
        </w:trPr>
        <w:tc>
          <w:tcPr>
            <w:tcW w:w="5800" w:type="dxa"/>
            <w:vAlign w:val="bottom"/>
          </w:tcPr>
          <w:p>
            <w:pPr>
              <w:ind w:left="100"/>
              <w:spacing w:after="0" w:line="215" w:lineRule="exact"/>
              <w:rPr>
                <w:sz w:val="20"/>
                <w:szCs w:val="20"/>
                <w:color w:val="auto"/>
              </w:rPr>
            </w:pPr>
            <w:r>
              <w:rPr>
                <w:rFonts w:ascii="Calibri" w:cs="Calibri" w:eastAsia="Calibri" w:hAnsi="Calibri"/>
                <w:sz w:val="18"/>
                <w:szCs w:val="18"/>
                <w:color w:val="auto"/>
              </w:rPr>
              <w:t>Issuance of equity from noncontrolling interest</w:t>
            </w:r>
          </w:p>
        </w:tc>
        <w:tc>
          <w:tcPr>
            <w:tcW w:w="1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7,000</w:t>
            </w:r>
          </w:p>
        </w:tc>
        <w:tc>
          <w:tcPr>
            <w:tcW w:w="80" w:type="dxa"/>
            <w:vAlign w:val="bottom"/>
          </w:tcPr>
          <w:p>
            <w:pPr>
              <w:spacing w:after="0"/>
              <w:rPr>
                <w:sz w:val="18"/>
                <w:szCs w:val="18"/>
                <w:color w:val="auto"/>
              </w:rPr>
            </w:pPr>
          </w:p>
        </w:tc>
      </w:tr>
      <w:tr>
        <w:trPr>
          <w:trHeight w:val="249"/>
        </w:trPr>
        <w:tc>
          <w:tcPr>
            <w:tcW w:w="5800" w:type="dxa"/>
            <w:vAlign w:val="bottom"/>
            <w:tcBorders>
              <w:bottom w:val="single" w:sz="8" w:color="CCECFF"/>
            </w:tcBorders>
            <w:shd w:val="clear" w:color="auto" w:fill="CCECFF"/>
          </w:tcPr>
          <w:p>
            <w:pPr>
              <w:spacing w:after="0" w:line="209" w:lineRule="exact"/>
              <w:rPr>
                <w:sz w:val="20"/>
                <w:szCs w:val="20"/>
                <w:color w:val="auto"/>
              </w:rPr>
            </w:pPr>
            <w:r>
              <w:rPr>
                <w:rFonts w:ascii="Calibri" w:cs="Calibri" w:eastAsia="Calibri" w:hAnsi="Calibri"/>
                <w:sz w:val="18"/>
                <w:szCs w:val="18"/>
                <w:color w:val="auto"/>
              </w:rPr>
              <w:t>As of December 31, 2024</w:t>
            </w:r>
          </w:p>
        </w:tc>
        <w:tc>
          <w:tcPr>
            <w:tcW w:w="120" w:type="dxa"/>
            <w:vAlign w:val="bottom"/>
            <w:tcBorders>
              <w:bottom w:val="single" w:sz="8" w:color="auto"/>
            </w:tcBorders>
            <w:shd w:val="clear" w:color="auto" w:fill="CCECFF"/>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860" w:type="dxa"/>
            <w:vAlign w:val="bottom"/>
            <w:tcBorders>
              <w:bottom w:val="single" w:sz="8" w:color="auto"/>
            </w:tcBorders>
            <w:shd w:val="clear" w:color="auto" w:fill="CCECFF"/>
          </w:tcPr>
          <w:p>
            <w:pPr>
              <w:jc w:val="right"/>
              <w:spacing w:after="0" w:line="209" w:lineRule="exact"/>
              <w:rPr>
                <w:sz w:val="20"/>
                <w:szCs w:val="20"/>
                <w:color w:val="auto"/>
              </w:rPr>
            </w:pPr>
            <w:r>
              <w:rPr>
                <w:rFonts w:ascii="Calibri" w:cs="Calibri" w:eastAsia="Calibri" w:hAnsi="Calibri"/>
                <w:sz w:val="18"/>
                <w:szCs w:val="18"/>
                <w:color w:val="auto"/>
              </w:rPr>
              <w:t>7,000</w:t>
            </w:r>
          </w:p>
        </w:tc>
        <w:tc>
          <w:tcPr>
            <w:tcW w:w="80" w:type="dxa"/>
            <w:vAlign w:val="bottom"/>
            <w:tcBorders>
              <w:bottom w:val="single" w:sz="8" w:color="CCECFF"/>
            </w:tcBorders>
            <w:shd w:val="clear" w:color="auto" w:fill="CCEC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3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4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9"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In October 2024, Amlogenyx granted 778,500 stock optons to its employees from its 2024 Equity Incentve Plan, which authorizes 1,358,060 shares for issuance. For the year ended December 31, 2024, stock-based compensaton related to these awards was immaterial.</w:t>
      </w:r>
    </w:p>
    <w:p>
      <w:pPr>
        <w:spacing w:after="0" w:line="240" w:lineRule="exact"/>
        <w:rPr>
          <w:sz w:val="20"/>
          <w:szCs w:val="20"/>
          <w:color w:val="auto"/>
        </w:rPr>
      </w:pPr>
    </w:p>
    <w:p>
      <w:pPr>
        <w:ind w:left="520" w:hanging="512"/>
        <w:spacing w:after="0"/>
        <w:tabs>
          <w:tab w:leader="none" w:pos="520" w:val="left"/>
        </w:tabs>
        <w:numPr>
          <w:ilvl w:val="0"/>
          <w:numId w:val="47"/>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GeneTx Acquisiton</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In August 2019, the Company entered into a Program Agreement and a Unitholder Opton Agreement with GeneTx Biotherapeutcs LLC, or GeneTx, to collaborate on the development of GeneTx’s GTX-102, an ASO for the treatment of Angelman syndrome. In July 2022, pursuant to the terms of the Unitholder Opton Agreement, as amended, the Company exercised the opton to acquire GeneTx and entered into a Unit Purchase Agreement, or the Purchase Agreement, pursuant to which the Company purchased all the outstanding units of GeneTx. In accordance with the terms of the Purchase Agreement, the Company paid the opton exercise price of $75.0 million and an additonal $15.6 million to acquire the outstanding cash of GeneTx, and adjustments for working capital and transacton expenses of $0.6 million, for a total purchase consideraton of $91.2 million. During the year ended December 31, 2024, the Company achieved a $30.0 million regulatory milestone upon the initaton of the Phase 3 </w:t>
      </w:r>
      <w:r>
        <w:rPr>
          <w:rFonts w:ascii="Calibri" w:cs="Calibri" w:eastAsia="Calibri" w:hAnsi="Calibri"/>
          <w:sz w:val="18"/>
          <w:szCs w:val="18"/>
          <w:i w:val="1"/>
          <w:iCs w:val="1"/>
          <w:color w:val="auto"/>
        </w:rPr>
        <w:t>Aspire</w:t>
      </w:r>
      <w:r>
        <w:rPr>
          <w:rFonts w:ascii="Calibri" w:cs="Calibri" w:eastAsia="Calibri" w:hAnsi="Calibri"/>
          <w:sz w:val="18"/>
          <w:szCs w:val="18"/>
          <w:color w:val="auto"/>
        </w:rPr>
        <w:t xml:space="preserve"> clinical study for GTX-102. The Company is obligated to pay up to $85.0 million in additonal regulatory approval milestones for the achievement of U.S. and EU product approvals, and up to $75.0 million in commercial milestone payments based on annual worldwide net product sales, contngent upon the achievement of the milestones. The Company will also pay tered mid- to high single-digit percentage royaltes based on licensed product annual net sales. If the Company receives and resells an FDA priority review voucher, or PRV, in connecton with a new drug applicaton approval, GeneTx unitholders are enttled to receive a porton of proceeds from the sale or a cash payment from the Company if the Company choses to retain the PRV.</w:t>
      </w:r>
    </w:p>
    <w:p>
      <w:pPr>
        <w:spacing w:after="0" w:line="91"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As part of the Company's acquisiton of GeneTx, the Company assumed a License Agreement with Texas A&amp;M University, or TAMU. To date, the Company recognized an aggregate of $0.5 million for clinical milestones under the TAMU agreement, and have in aggregate up to $23.0 million of future obligatons for various future milestones and a nominal annual license fee that may increase up to a maximum of $2.0 million. The Company will also pay mid-single-digit percentage royaltes based on licensed product annual net sales. As of December 31, 2024 and 2023, the Company had $0.5 million and nil, respectvely, in collaboraton payables under this arrangement.</w:t>
      </w:r>
    </w:p>
    <w:p>
      <w:pPr>
        <w:spacing w:after="0" w:line="72" w:lineRule="exact"/>
        <w:rPr>
          <w:sz w:val="20"/>
          <w:szCs w:val="20"/>
          <w:color w:val="auto"/>
        </w:rPr>
      </w:pPr>
    </w:p>
    <w:p>
      <w:pPr>
        <w:ind w:right="40" w:firstLine="509"/>
        <w:spacing w:after="0" w:line="249" w:lineRule="auto"/>
        <w:rPr>
          <w:sz w:val="20"/>
          <w:szCs w:val="20"/>
          <w:color w:val="auto"/>
        </w:rPr>
      </w:pPr>
      <w:r>
        <w:rPr>
          <w:rFonts w:ascii="Calibri" w:cs="Calibri" w:eastAsia="Calibri" w:hAnsi="Calibri"/>
          <w:sz w:val="17"/>
          <w:szCs w:val="17"/>
          <w:color w:val="auto"/>
        </w:rPr>
        <w:t>The transacton was accounted as an asset acquisiton, as substantally all of the fair value of the gross assets acquired was concentrated in a single identfable in-process research and development intangible asset. Prior to the achievement of certain development and regulatory milestones, the acquired in-process research and development intangible asset has not yet reached technological feasibility and has no alternatve future use. Accordingly, to date, amounts paid to acquire GeneTx, net of cash and working capital acquired, were classifed as in-process research and development expense.</w:t>
      </w:r>
    </w:p>
    <w:p>
      <w:pPr>
        <w:jc w:val="center"/>
        <w:ind w:right="-39"/>
        <w:spacing w:after="0" w:line="237" w:lineRule="auto"/>
        <w:rPr>
          <w:sz w:val="20"/>
          <w:szCs w:val="20"/>
          <w:color w:val="auto"/>
        </w:rPr>
      </w:pPr>
      <w:r>
        <w:rPr>
          <w:rFonts w:ascii="Calibri" w:cs="Calibri" w:eastAsia="Calibri" w:hAnsi="Calibri"/>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15" w:name="page116"/>
    <w:bookmarkEnd w:id="115"/>
    <w:p>
      <w:pPr>
        <w:ind w:left="384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24" w:lineRule="exact"/>
        <w:rPr>
          <w:sz w:val="20"/>
          <w:szCs w:val="20"/>
          <w:color w:val="auto"/>
        </w:rPr>
      </w:pPr>
    </w:p>
    <w:p>
      <w:pPr>
        <w:ind w:right="8240" w:firstLine="8"/>
        <w:spacing w:after="0" w:line="317" w:lineRule="auto"/>
        <w:tabs>
          <w:tab w:leader="none" w:pos="509" w:val="left"/>
        </w:tabs>
        <w:numPr>
          <w:ilvl w:val="0"/>
          <w:numId w:val="48"/>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License and Research Agreements Kyowa Kirin Co., Ltd.</w:t>
      </w:r>
    </w:p>
    <w:p>
      <w:pPr>
        <w:ind w:right="240" w:firstLine="509"/>
        <w:spacing w:after="0" w:line="235" w:lineRule="auto"/>
        <w:rPr>
          <w:sz w:val="20"/>
          <w:szCs w:val="20"/>
          <w:color w:val="auto"/>
        </w:rPr>
      </w:pPr>
      <w:r>
        <w:rPr>
          <w:rFonts w:ascii="Calibri" w:cs="Calibri" w:eastAsia="Calibri" w:hAnsi="Calibri"/>
          <w:sz w:val="18"/>
          <w:szCs w:val="18"/>
          <w:color w:val="auto"/>
        </w:rPr>
        <w:t>In August 2013, the Company entered into a collaboraton and license agreement with Kyowa Kirin Co., Ltd., or KKC. Under the terms of this collaboraton and license agreement, as amended, the Company and KKC collaborate on the development and commercializaton of Crysvita in the feld of orphan diseases in the U.S. and Canada, or the Proft-Share Territory, and in the European Union, UK, and Switzerland, or the European Territory, and the Company has the right to develop and commercialize such products in the feld of orphan diseases in Mexico and Central and South America, or Latn America.</w:t>
      </w:r>
    </w:p>
    <w:p>
      <w:pPr>
        <w:spacing w:after="0" w:line="85" w:lineRule="exact"/>
        <w:rPr>
          <w:sz w:val="20"/>
          <w:szCs w:val="20"/>
          <w:color w:val="auto"/>
        </w:rPr>
      </w:pPr>
    </w:p>
    <w:p>
      <w:pPr>
        <w:ind w:right="900" w:firstLine="509"/>
        <w:spacing w:after="0" w:line="235" w:lineRule="auto"/>
        <w:rPr>
          <w:sz w:val="20"/>
          <w:szCs w:val="20"/>
          <w:color w:val="auto"/>
        </w:rPr>
      </w:pPr>
      <w:r>
        <w:rPr>
          <w:rFonts w:ascii="Calibri" w:cs="Calibri" w:eastAsia="Calibri" w:hAnsi="Calibri"/>
          <w:sz w:val="18"/>
          <w:szCs w:val="18"/>
          <w:color w:val="auto"/>
        </w:rPr>
        <w:t>The collaboraton and license agreements are within the scope of ASC 808, which provides guidance on the presentaton and disclosure of collaboratve arrangements.</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Product Sales Revenue for Latn America and Turkey</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 is responsible for commercializing Crysvita in Latn America and Turkey. The Company is considered the principal in these territories as the Company controls the product before it is transferred to the customer. Accordingly, the Company records revenue on a gross basis for the sale of Crysvita once the product is delivered and the risk and ttle of the product is transferred to the distributor. In Turkey, KKC has the opton to assume responsibility for commercializaton eforts.</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Transfer Price and Royaltes on Product Sales Revenue</w:t>
      </w:r>
    </w:p>
    <w:p>
      <w:pPr>
        <w:spacing w:after="0" w:line="82"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Under the collaboraton agreement, KKC manufactures and supplies Crysvita, which is purchased by the Company for sales in Latn America and Turkey, and charges the Company a transfer price of 30% of net sales. The transfer price on these sales was 35% prior to December 31, 2022. The Company also pays to KKC a low single-digit royalty on net sales in Latn America.</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Collaboraton and Royalty Revenue for Sales in the Proft-Share Territory</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 and KKC shared commercial responsibilites and profts in the Proft-Share Territory untl April 2023. Under the collaboraton agreement, KKC manufactured and supplied Crysvita for commercial use in the Proft-Share Territory and charged the Company a transfer price of 30% of net sales in 2023, and 35% prior to December 31, 2022. The remaining proft or loss afer supply costs from commercializing products in the Proft-Share Territory was shared between the Company and KKC on a 50/50 basis untl April 2023. In April 2023, commercializaton responsibilites for Crysvita in the Proft-Share Territory transitoned to KKC. Thereafer, the Company is enttled to receive a tered double-digit revenue share from the mid-20% range up to a maximum rate of 30%.</w:t>
      </w:r>
    </w:p>
    <w:p>
      <w:pPr>
        <w:spacing w:after="0" w:line="86"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The partes subsequently agreed that the Company would have the right to contnue to support KKC in commercial feld actvites in the U.S. through January 31, 2025, as amended. Afer January 31, 2025, the Company’s rights to promote Crysvita in the U.S. are limited to medical genetcists and the Company solely bears its expenses for the promoton of Crysvita in the Proft-Share Territory.</w:t>
      </w:r>
    </w:p>
    <w:p>
      <w:pPr>
        <w:spacing w:after="0" w:line="84"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During the prior proft-share period, as KKC was the principal in the sale transacton with the customer, the Company recognized a pro-rata share of collaboraton revenue, net of transfer pricing, in the period the sale occurred. The Company concluded that its porton of KKC’s sales in the Proft-Share Territory prior to April 2023 was analogous to a royalty and therefore recorded its share as collaboraton revenue, similar to a royalty. Startng in April 2023, the Company began to record as royalty revenue in the period the underlying sales occurred.</w:t>
      </w:r>
    </w:p>
    <w:p>
      <w:pPr>
        <w:spacing w:after="0" w:line="84"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In July 2022, the Company sold to OMERS its right to receive 30% of the future royalty payments due to the Company based on net sales of Crysvita in the U.S. and Canada, subject to a cap, beginning in April 2023, as further described in “Note 11. Liabilites for Sales of Future Royaltes.”</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Royalty Revenue for Sales in the European Territory</w:t>
      </w:r>
    </w:p>
    <w:p>
      <w:pPr>
        <w:spacing w:after="0" w:line="82"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KKC has the commercial responsibility for Crysvita in the European Territory. In December 2019, the Company sold its right to receive royalty payments based on sales in the European Territory to Royalty Pharma, efectve January 1, 2020, as further described in “Note 11. Liabilites for Sales of Future Royaltes.” Prior to the Company’s sale of the royalty, the Company received a royalty of up to 10% on net sales in the European Territory, which was recognized as the underlying sales occur. Beginning in 2020, the Company records the royalty revenue as non-cash royalty revenues. The Company records this revenue as royalty revenue.</w:t>
      </w:r>
    </w:p>
    <w:p>
      <w:pPr>
        <w:spacing w:after="0" w:line="80"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Total Crysvita revenue was as follows (in thousands):</w:t>
      </w:r>
    </w:p>
    <w:p>
      <w:pPr>
        <w:spacing w:after="0" w:line="7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6" w:name="page117"/>
    <w:bookmarkEnd w:id="116"/>
    <w:p>
      <w:pPr>
        <w:ind w:left="384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76"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4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80" w:type="dxa"/>
            <w:vAlign w:val="bottom"/>
            <w:gridSpan w:val="6"/>
          </w:tcPr>
          <w:p>
            <w:pPr>
              <w:jc w:val="right"/>
              <w:ind w:right="50"/>
              <w:spacing w:after="0"/>
              <w:rPr>
                <w:sz w:val="20"/>
                <w:szCs w:val="20"/>
                <w:color w:val="auto"/>
              </w:rPr>
            </w:pPr>
            <w:r>
              <w:rPr>
                <w:rFonts w:ascii="Calibri" w:cs="Calibri" w:eastAsia="Calibri" w:hAnsi="Calibri"/>
                <w:sz w:val="18"/>
                <w:szCs w:val="18"/>
                <w:b w:val="1"/>
                <w:bCs w:val="1"/>
                <w:color w:val="auto"/>
              </w:rPr>
              <w:t>Year Ended December 31,</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
        </w:trPr>
        <w:tc>
          <w:tcPr>
            <w:tcW w:w="4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8"/>
        </w:trPr>
        <w:tc>
          <w:tcPr>
            <w:tcW w:w="4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line="208" w:lineRule="exact"/>
              <w:rPr>
                <w:sz w:val="20"/>
                <w:szCs w:val="20"/>
                <w:color w:val="auto"/>
              </w:rPr>
            </w:pPr>
            <w:r>
              <w:rPr>
                <w:rFonts w:ascii="Calibri" w:cs="Calibri" w:eastAsia="Calibri" w:hAnsi="Calibri"/>
                <w:sz w:val="18"/>
                <w:szCs w:val="18"/>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0"/>
              <w:spacing w:after="0" w:line="208" w:lineRule="exact"/>
              <w:rPr>
                <w:sz w:val="20"/>
                <w:szCs w:val="20"/>
                <w:color w:val="auto"/>
              </w:rPr>
            </w:pPr>
            <w:r>
              <w:rPr>
                <w:rFonts w:ascii="Calibri" w:cs="Calibri" w:eastAsia="Calibri" w:hAnsi="Calibri"/>
                <w:sz w:val="18"/>
                <w:szCs w:val="18"/>
                <w:b w:val="1"/>
                <w:bCs w:val="1"/>
                <w:color w:val="auto"/>
              </w:rPr>
              <w:t>2023</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line="208" w:lineRule="exact"/>
              <w:rPr>
                <w:sz w:val="20"/>
                <w:szCs w:val="20"/>
                <w:color w:val="auto"/>
              </w:rPr>
            </w:pPr>
            <w:r>
              <w:rPr>
                <w:rFonts w:ascii="Calibri" w:cs="Calibri" w:eastAsia="Calibri" w:hAnsi="Calibri"/>
                <w:sz w:val="18"/>
                <w:szCs w:val="18"/>
                <w:b w:val="1"/>
                <w:bCs w:val="1"/>
                <w:color w:val="auto"/>
              </w:rPr>
              <w:t>2022</w:t>
            </w:r>
          </w:p>
        </w:tc>
        <w:tc>
          <w:tcPr>
            <w:tcW w:w="80" w:type="dxa"/>
            <w:vAlign w:val="bottom"/>
          </w:tcPr>
          <w:p>
            <w:pPr>
              <w:spacing w:after="0"/>
              <w:rPr>
                <w:sz w:val="18"/>
                <w:szCs w:val="18"/>
                <w:color w:val="auto"/>
              </w:rPr>
            </w:pPr>
          </w:p>
        </w:tc>
      </w:tr>
      <w:tr>
        <w:trPr>
          <w:trHeight w:val="210"/>
        </w:trPr>
        <w:tc>
          <w:tcPr>
            <w:tcW w:w="4980" w:type="dxa"/>
            <w:vAlign w:val="bottom"/>
          </w:tcPr>
          <w:p>
            <w:pPr>
              <w:spacing w:after="0" w:line="195" w:lineRule="exact"/>
              <w:rPr>
                <w:sz w:val="20"/>
                <w:szCs w:val="20"/>
                <w:color w:val="auto"/>
              </w:rPr>
            </w:pPr>
            <w:r>
              <w:rPr>
                <w:rFonts w:ascii="Calibri" w:cs="Calibri" w:eastAsia="Calibri" w:hAnsi="Calibri"/>
                <w:sz w:val="18"/>
                <w:szCs w:val="18"/>
                <w:color w:val="auto"/>
              </w:rPr>
              <w:t>Product sales</w:t>
            </w:r>
          </w:p>
        </w:tc>
        <w:tc>
          <w:tcPr>
            <w:tcW w:w="240" w:type="dxa"/>
            <w:vAlign w:val="bottom"/>
          </w:tcPr>
          <w:p>
            <w:pPr>
              <w:jc w:val="right"/>
              <w:ind w:right="50"/>
              <w:spacing w:after="0" w:line="210" w:lineRule="exact"/>
              <w:rPr>
                <w:sz w:val="20"/>
                <w:szCs w:val="20"/>
                <w:color w:val="auto"/>
              </w:rPr>
            </w:pPr>
            <w:r>
              <w:rPr>
                <w:rFonts w:ascii="Calibri" w:cs="Calibri" w:eastAsia="Calibri" w:hAnsi="Calibri"/>
                <w:sz w:val="18"/>
                <w:szCs w:val="18"/>
                <w:color w:val="auto"/>
                <w:w w:val="87"/>
              </w:rPr>
              <w:t>$</w:t>
            </w:r>
          </w:p>
        </w:tc>
        <w:tc>
          <w:tcPr>
            <w:tcW w:w="920" w:type="dxa"/>
            <w:vAlign w:val="bottom"/>
          </w:tcPr>
          <w:p>
            <w:pPr>
              <w:jc w:val="right"/>
              <w:spacing w:after="0" w:line="210" w:lineRule="exact"/>
              <w:rPr>
                <w:sz w:val="20"/>
                <w:szCs w:val="20"/>
                <w:color w:val="auto"/>
              </w:rPr>
            </w:pPr>
            <w:r>
              <w:rPr>
                <w:rFonts w:ascii="Calibri" w:cs="Calibri" w:eastAsia="Calibri" w:hAnsi="Calibri"/>
                <w:sz w:val="18"/>
                <w:szCs w:val="18"/>
                <w:color w:val="auto"/>
              </w:rPr>
              <w:t>134,709</w:t>
            </w:r>
          </w:p>
        </w:tc>
        <w:tc>
          <w:tcPr>
            <w:tcW w:w="220" w:type="dxa"/>
            <w:vAlign w:val="bottom"/>
          </w:tcPr>
          <w:p>
            <w:pPr>
              <w:spacing w:after="0"/>
              <w:rPr>
                <w:sz w:val="18"/>
                <w:szCs w:val="18"/>
                <w:color w:val="auto"/>
              </w:rPr>
            </w:pPr>
          </w:p>
        </w:tc>
        <w:tc>
          <w:tcPr>
            <w:tcW w:w="240" w:type="dxa"/>
            <w:vAlign w:val="bottom"/>
          </w:tcPr>
          <w:p>
            <w:pPr>
              <w:jc w:val="right"/>
              <w:ind w:right="50"/>
              <w:spacing w:after="0" w:line="210" w:lineRule="exact"/>
              <w:rPr>
                <w:sz w:val="20"/>
                <w:szCs w:val="20"/>
                <w:color w:val="auto"/>
              </w:rPr>
            </w:pPr>
            <w:r>
              <w:rPr>
                <w:rFonts w:ascii="Calibri" w:cs="Calibri" w:eastAsia="Calibri" w:hAnsi="Calibri"/>
                <w:sz w:val="18"/>
                <w:szCs w:val="18"/>
                <w:color w:val="auto"/>
                <w:w w:val="87"/>
              </w:rPr>
              <w:t>$</w:t>
            </w:r>
          </w:p>
        </w:tc>
        <w:tc>
          <w:tcPr>
            <w:tcW w:w="920" w:type="dxa"/>
            <w:vAlign w:val="bottom"/>
          </w:tcPr>
          <w:p>
            <w:pPr>
              <w:jc w:val="right"/>
              <w:spacing w:after="0" w:line="210" w:lineRule="exact"/>
              <w:rPr>
                <w:sz w:val="20"/>
                <w:szCs w:val="20"/>
                <w:color w:val="auto"/>
              </w:rPr>
            </w:pPr>
            <w:r>
              <w:rPr>
                <w:rFonts w:ascii="Calibri" w:cs="Calibri" w:eastAsia="Calibri" w:hAnsi="Calibri"/>
                <w:sz w:val="18"/>
                <w:szCs w:val="18"/>
                <w:color w:val="auto"/>
              </w:rPr>
              <w:t>75,697</w:t>
            </w:r>
          </w:p>
        </w:tc>
        <w:tc>
          <w:tcPr>
            <w:tcW w:w="220" w:type="dxa"/>
            <w:vAlign w:val="bottom"/>
          </w:tcPr>
          <w:p>
            <w:pPr>
              <w:spacing w:after="0"/>
              <w:rPr>
                <w:sz w:val="18"/>
                <w:szCs w:val="18"/>
                <w:color w:val="auto"/>
              </w:rPr>
            </w:pPr>
          </w:p>
        </w:tc>
        <w:tc>
          <w:tcPr>
            <w:tcW w:w="260" w:type="dxa"/>
            <w:vAlign w:val="bottom"/>
          </w:tcPr>
          <w:p>
            <w:pPr>
              <w:jc w:val="right"/>
              <w:ind w:right="70"/>
              <w:spacing w:after="0" w:line="210" w:lineRule="exact"/>
              <w:rPr>
                <w:sz w:val="20"/>
                <w:szCs w:val="20"/>
                <w:color w:val="auto"/>
              </w:rPr>
            </w:pPr>
            <w:r>
              <w:rPr>
                <w:rFonts w:ascii="Calibri" w:cs="Calibri" w:eastAsia="Calibri" w:hAnsi="Calibri"/>
                <w:sz w:val="18"/>
                <w:szCs w:val="18"/>
                <w:color w:val="auto"/>
                <w:w w:val="87"/>
              </w:rPr>
              <w:t>$</w:t>
            </w:r>
          </w:p>
        </w:tc>
        <w:tc>
          <w:tcPr>
            <w:tcW w:w="900" w:type="dxa"/>
            <w:vAlign w:val="bottom"/>
          </w:tcPr>
          <w:p>
            <w:pPr>
              <w:jc w:val="right"/>
              <w:spacing w:after="0" w:line="210" w:lineRule="exact"/>
              <w:rPr>
                <w:sz w:val="20"/>
                <w:szCs w:val="20"/>
                <w:color w:val="auto"/>
              </w:rPr>
            </w:pPr>
            <w:r>
              <w:rPr>
                <w:rFonts w:ascii="Calibri" w:cs="Calibri" w:eastAsia="Calibri" w:hAnsi="Calibri"/>
                <w:sz w:val="18"/>
                <w:szCs w:val="18"/>
                <w:color w:val="auto"/>
              </w:rPr>
              <w:t>42,678</w:t>
            </w:r>
          </w:p>
        </w:tc>
        <w:tc>
          <w:tcPr>
            <w:tcW w:w="80" w:type="dxa"/>
            <w:vAlign w:val="bottom"/>
          </w:tcPr>
          <w:p>
            <w:pPr>
              <w:spacing w:after="0"/>
              <w:rPr>
                <w:sz w:val="18"/>
                <w:szCs w:val="18"/>
                <w:color w:val="auto"/>
              </w:rPr>
            </w:pPr>
          </w:p>
        </w:tc>
      </w:tr>
      <w:tr>
        <w:trPr>
          <w:trHeight w:val="217"/>
        </w:trPr>
        <w:tc>
          <w:tcPr>
            <w:tcW w:w="4980" w:type="dxa"/>
            <w:vAlign w:val="bottom"/>
            <w:shd w:val="clear" w:color="auto" w:fill="CCECFF"/>
          </w:tcPr>
          <w:p>
            <w:pPr>
              <w:spacing w:after="0" w:line="216" w:lineRule="exact"/>
              <w:rPr>
                <w:sz w:val="20"/>
                <w:szCs w:val="20"/>
                <w:color w:val="auto"/>
              </w:rPr>
            </w:pPr>
            <w:r>
              <w:rPr>
                <w:rFonts w:ascii="Calibri" w:cs="Calibri" w:eastAsia="Calibri" w:hAnsi="Calibri"/>
                <w:sz w:val="18"/>
                <w:szCs w:val="18"/>
                <w:color w:val="auto"/>
              </w:rPr>
              <w:t>Revenue in proft-share territory:</w:t>
            </w:r>
          </w:p>
        </w:tc>
        <w:tc>
          <w:tcPr>
            <w:tcW w:w="24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r>
      <w:tr>
        <w:trPr>
          <w:trHeight w:val="215"/>
        </w:trPr>
        <w:tc>
          <w:tcPr>
            <w:tcW w:w="4980" w:type="dxa"/>
            <w:vAlign w:val="bottom"/>
          </w:tcPr>
          <w:p>
            <w:pPr>
              <w:ind w:left="100"/>
              <w:spacing w:after="0" w:line="215" w:lineRule="exact"/>
              <w:rPr>
                <w:sz w:val="20"/>
                <w:szCs w:val="20"/>
                <w:color w:val="auto"/>
              </w:rPr>
            </w:pPr>
            <w:r>
              <w:rPr>
                <w:rFonts w:ascii="Calibri" w:cs="Calibri" w:eastAsia="Calibri" w:hAnsi="Calibri"/>
                <w:sz w:val="18"/>
                <w:szCs w:val="18"/>
                <w:color w:val="auto"/>
              </w:rPr>
              <w:t>Royalty revenue</w:t>
            </w:r>
          </w:p>
        </w:tc>
        <w:tc>
          <w:tcPr>
            <w:tcW w:w="24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174,276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113,288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w:t>
            </w:r>
          </w:p>
        </w:tc>
      </w:tr>
      <w:tr>
        <w:trPr>
          <w:trHeight w:val="217"/>
        </w:trPr>
        <w:tc>
          <w:tcPr>
            <w:tcW w:w="4980" w:type="dxa"/>
            <w:vAlign w:val="bottom"/>
            <w:shd w:val="clear" w:color="auto" w:fill="CCEEFF"/>
          </w:tcPr>
          <w:p>
            <w:pPr>
              <w:ind w:left="100"/>
              <w:spacing w:after="0" w:line="216" w:lineRule="exact"/>
              <w:rPr>
                <w:sz w:val="20"/>
                <w:szCs w:val="20"/>
                <w:color w:val="auto"/>
              </w:rPr>
            </w:pPr>
            <w:r>
              <w:rPr>
                <w:rFonts w:ascii="Calibri" w:cs="Calibri" w:eastAsia="Calibri" w:hAnsi="Calibri"/>
                <w:sz w:val="18"/>
                <w:szCs w:val="18"/>
                <w:color w:val="auto"/>
              </w:rPr>
              <w:t>Non-cash royalty revenue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74,690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48,581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line="216" w:lineRule="exact"/>
              <w:rPr>
                <w:sz w:val="20"/>
                <w:szCs w:val="20"/>
                <w:color w:val="auto"/>
              </w:rPr>
            </w:pPr>
            <w:r>
              <w:rPr>
                <w:rFonts w:ascii="Calibri" w:cs="Calibri" w:eastAsia="Calibri" w:hAnsi="Calibri"/>
                <w:sz w:val="18"/>
                <w:szCs w:val="18"/>
                <w:color w:val="auto"/>
              </w:rPr>
              <w:t>—</w:t>
            </w:r>
          </w:p>
        </w:tc>
      </w:tr>
      <w:tr>
        <w:trPr>
          <w:trHeight w:val="215"/>
        </w:trPr>
        <w:tc>
          <w:tcPr>
            <w:tcW w:w="4980" w:type="dxa"/>
            <w:vAlign w:val="bottom"/>
          </w:tcPr>
          <w:p>
            <w:pPr>
              <w:ind w:left="100"/>
              <w:spacing w:after="0" w:line="215" w:lineRule="exact"/>
              <w:rPr>
                <w:sz w:val="20"/>
                <w:szCs w:val="20"/>
                <w:color w:val="auto"/>
              </w:rPr>
            </w:pPr>
            <w:r>
              <w:rPr>
                <w:rFonts w:ascii="Calibri" w:cs="Calibri" w:eastAsia="Calibri" w:hAnsi="Calibri"/>
                <w:sz w:val="18"/>
                <w:szCs w:val="18"/>
                <w:color w:val="auto"/>
              </w:rPr>
              <w:t>Collaboraton revenue</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69,705</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215,024</w:t>
            </w:r>
          </w:p>
        </w:tc>
        <w:tc>
          <w:tcPr>
            <w:tcW w:w="80" w:type="dxa"/>
            <w:vAlign w:val="bottom"/>
          </w:tcPr>
          <w:p>
            <w:pPr>
              <w:spacing w:after="0"/>
              <w:rPr>
                <w:sz w:val="18"/>
                <w:szCs w:val="18"/>
                <w:color w:val="auto"/>
              </w:rPr>
            </w:pPr>
          </w:p>
        </w:tc>
      </w:tr>
      <w:tr>
        <w:trPr>
          <w:trHeight w:val="210"/>
        </w:trPr>
        <w:tc>
          <w:tcPr>
            <w:tcW w:w="4980" w:type="dxa"/>
            <w:vAlign w:val="bottom"/>
            <w:shd w:val="clear" w:color="auto" w:fill="CCECFF"/>
          </w:tcPr>
          <w:p>
            <w:pPr>
              <w:ind w:left="180"/>
              <w:spacing w:after="0" w:line="210" w:lineRule="exact"/>
              <w:rPr>
                <w:sz w:val="20"/>
                <w:szCs w:val="20"/>
                <w:color w:val="auto"/>
              </w:rPr>
            </w:pPr>
            <w:r>
              <w:rPr>
                <w:rFonts w:ascii="Calibri" w:cs="Calibri" w:eastAsia="Calibri" w:hAnsi="Calibri"/>
                <w:sz w:val="18"/>
                <w:szCs w:val="18"/>
                <w:color w:val="auto"/>
              </w:rPr>
              <w:t>Total revenue in Proft-Share Territory</w:t>
            </w:r>
          </w:p>
        </w:tc>
        <w:tc>
          <w:tcPr>
            <w:tcW w:w="24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248,966</w:t>
            </w:r>
          </w:p>
        </w:tc>
        <w:tc>
          <w:tcPr>
            <w:tcW w:w="2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231,574</w:t>
            </w:r>
          </w:p>
        </w:tc>
        <w:tc>
          <w:tcPr>
            <w:tcW w:w="2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215,024</w:t>
            </w:r>
          </w:p>
        </w:tc>
        <w:tc>
          <w:tcPr>
            <w:tcW w:w="80" w:type="dxa"/>
            <w:vAlign w:val="bottom"/>
            <w:shd w:val="clear" w:color="auto" w:fill="CCECFF"/>
          </w:tcPr>
          <w:p>
            <w:pPr>
              <w:spacing w:after="0"/>
              <w:rPr>
                <w:sz w:val="18"/>
                <w:szCs w:val="18"/>
                <w:color w:val="auto"/>
              </w:rPr>
            </w:pPr>
          </w:p>
        </w:tc>
      </w:tr>
      <w:tr>
        <w:trPr>
          <w:trHeight w:val="215"/>
        </w:trPr>
        <w:tc>
          <w:tcPr>
            <w:tcW w:w="4980" w:type="dxa"/>
            <w:vAlign w:val="bottom"/>
          </w:tcPr>
          <w:p>
            <w:pPr>
              <w:spacing w:after="0" w:line="215" w:lineRule="exact"/>
              <w:rPr>
                <w:sz w:val="20"/>
                <w:szCs w:val="20"/>
                <w:color w:val="auto"/>
              </w:rPr>
            </w:pPr>
            <w:r>
              <w:rPr>
                <w:rFonts w:ascii="Calibri" w:cs="Calibri" w:eastAsia="Calibri" w:hAnsi="Calibri"/>
                <w:sz w:val="18"/>
                <w:szCs w:val="18"/>
                <w:color w:val="auto"/>
              </w:rPr>
              <w:t>Non-cash royalty revenue in European Territory</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25,849</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20,783</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21,692</w:t>
            </w:r>
          </w:p>
        </w:tc>
        <w:tc>
          <w:tcPr>
            <w:tcW w:w="80" w:type="dxa"/>
            <w:vAlign w:val="bottom"/>
          </w:tcPr>
          <w:p>
            <w:pPr>
              <w:spacing w:after="0"/>
              <w:rPr>
                <w:sz w:val="18"/>
                <w:szCs w:val="18"/>
                <w:color w:val="auto"/>
              </w:rPr>
            </w:pPr>
          </w:p>
        </w:tc>
      </w:tr>
      <w:tr>
        <w:trPr>
          <w:trHeight w:val="249"/>
        </w:trPr>
        <w:tc>
          <w:tcPr>
            <w:tcW w:w="4980" w:type="dxa"/>
            <w:vAlign w:val="bottom"/>
            <w:tcBorders>
              <w:bottom w:val="single" w:sz="8" w:color="CCEEFF"/>
            </w:tcBorders>
            <w:shd w:val="clear" w:color="auto" w:fill="CCEEFF"/>
          </w:tcPr>
          <w:p>
            <w:pPr>
              <w:ind w:left="280"/>
              <w:spacing w:after="0" w:line="209" w:lineRule="exact"/>
              <w:rPr>
                <w:sz w:val="20"/>
                <w:szCs w:val="20"/>
                <w:color w:val="auto"/>
              </w:rPr>
            </w:pPr>
            <w:r>
              <w:rPr>
                <w:rFonts w:ascii="Calibri" w:cs="Calibri" w:eastAsia="Calibri" w:hAnsi="Calibri"/>
                <w:sz w:val="18"/>
                <w:szCs w:val="18"/>
                <w:color w:val="auto"/>
              </w:rPr>
              <w:t>Total Crysvita revenue</w:t>
            </w:r>
          </w:p>
        </w:tc>
        <w:tc>
          <w:tcPr>
            <w:tcW w:w="240" w:type="dxa"/>
            <w:vAlign w:val="bottom"/>
            <w:tcBorders>
              <w:bottom w:val="single" w:sz="8" w:color="auto"/>
            </w:tcBorders>
            <w:shd w:val="clear" w:color="auto" w:fill="CCEEFF"/>
          </w:tcPr>
          <w:p>
            <w:pPr>
              <w:jc w:val="right"/>
              <w:ind w:right="50"/>
              <w:spacing w:after="0" w:line="209" w:lineRule="exact"/>
              <w:rPr>
                <w:sz w:val="20"/>
                <w:szCs w:val="20"/>
                <w:color w:val="auto"/>
              </w:rPr>
            </w:pPr>
            <w:r>
              <w:rPr>
                <w:rFonts w:ascii="Calibri" w:cs="Calibri" w:eastAsia="Calibri" w:hAnsi="Calibri"/>
                <w:sz w:val="18"/>
                <w:szCs w:val="18"/>
                <w:color w:val="auto"/>
                <w:w w:val="87"/>
              </w:rPr>
              <w:t>$</w:t>
            </w:r>
          </w:p>
        </w:tc>
        <w:tc>
          <w:tcPr>
            <w:tcW w:w="920" w:type="dxa"/>
            <w:vAlign w:val="bottom"/>
            <w:tcBorders>
              <w:bottom w:val="single" w:sz="8" w:color="auto"/>
            </w:tcBorders>
            <w:shd w:val="clear" w:color="auto" w:fill="CCEEFF"/>
          </w:tcPr>
          <w:p>
            <w:pPr>
              <w:jc w:val="right"/>
              <w:spacing w:after="0" w:line="209" w:lineRule="exact"/>
              <w:rPr>
                <w:sz w:val="20"/>
                <w:szCs w:val="20"/>
                <w:color w:val="auto"/>
              </w:rPr>
            </w:pPr>
            <w:r>
              <w:rPr>
                <w:rFonts w:ascii="Calibri" w:cs="Calibri" w:eastAsia="Calibri" w:hAnsi="Calibri"/>
                <w:sz w:val="18"/>
                <w:szCs w:val="18"/>
                <w:color w:val="auto"/>
              </w:rPr>
              <w:t>409,524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line="209" w:lineRule="exact"/>
              <w:rPr>
                <w:sz w:val="20"/>
                <w:szCs w:val="20"/>
                <w:color w:val="auto"/>
              </w:rPr>
            </w:pPr>
            <w:r>
              <w:rPr>
                <w:rFonts w:ascii="Calibri" w:cs="Calibri" w:eastAsia="Calibri" w:hAnsi="Calibri"/>
                <w:sz w:val="18"/>
                <w:szCs w:val="18"/>
                <w:color w:val="auto"/>
                <w:w w:val="87"/>
              </w:rPr>
              <w:t>$</w:t>
            </w:r>
          </w:p>
        </w:tc>
        <w:tc>
          <w:tcPr>
            <w:tcW w:w="920" w:type="dxa"/>
            <w:vAlign w:val="bottom"/>
            <w:tcBorders>
              <w:bottom w:val="single" w:sz="8" w:color="auto"/>
            </w:tcBorders>
            <w:shd w:val="clear" w:color="auto" w:fill="CCEEFF"/>
          </w:tcPr>
          <w:p>
            <w:pPr>
              <w:jc w:val="right"/>
              <w:spacing w:after="0" w:line="209" w:lineRule="exact"/>
              <w:rPr>
                <w:sz w:val="20"/>
                <w:szCs w:val="20"/>
                <w:color w:val="auto"/>
              </w:rPr>
            </w:pPr>
            <w:r>
              <w:rPr>
                <w:rFonts w:ascii="Calibri" w:cs="Calibri" w:eastAsia="Calibri" w:hAnsi="Calibri"/>
                <w:sz w:val="18"/>
                <w:szCs w:val="18"/>
                <w:color w:val="auto"/>
              </w:rPr>
              <w:t>328,054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line="209" w:lineRule="exact"/>
              <w:rPr>
                <w:sz w:val="20"/>
                <w:szCs w:val="20"/>
                <w:color w:val="auto"/>
              </w:rPr>
            </w:pPr>
            <w:r>
              <w:rPr>
                <w:rFonts w:ascii="Calibri" w:cs="Calibri" w:eastAsia="Calibri" w:hAnsi="Calibri"/>
                <w:sz w:val="18"/>
                <w:szCs w:val="18"/>
                <w:color w:val="auto"/>
                <w:w w:val="87"/>
              </w:rPr>
              <w:t>$</w:t>
            </w:r>
          </w:p>
        </w:tc>
        <w:tc>
          <w:tcPr>
            <w:tcW w:w="900" w:type="dxa"/>
            <w:vAlign w:val="bottom"/>
            <w:tcBorders>
              <w:bottom w:val="single" w:sz="8" w:color="auto"/>
            </w:tcBorders>
            <w:shd w:val="clear" w:color="auto" w:fill="CCEEFF"/>
          </w:tcPr>
          <w:p>
            <w:pPr>
              <w:jc w:val="right"/>
              <w:spacing w:after="0" w:line="209" w:lineRule="exact"/>
              <w:rPr>
                <w:sz w:val="20"/>
                <w:szCs w:val="20"/>
                <w:color w:val="auto"/>
              </w:rPr>
            </w:pPr>
            <w:r>
              <w:rPr>
                <w:rFonts w:ascii="Calibri" w:cs="Calibri" w:eastAsia="Calibri" w:hAnsi="Calibri"/>
                <w:sz w:val="18"/>
                <w:szCs w:val="18"/>
                <w:color w:val="auto"/>
              </w:rPr>
              <w:t>279,394</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-24765</wp:posOffset>
            </wp:positionV>
            <wp:extent cx="5143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-7620</wp:posOffset>
            </wp:positionV>
            <wp:extent cx="5143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-24765</wp:posOffset>
            </wp:positionV>
            <wp:extent cx="5143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5143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4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Development Actvites</w:t>
      </w:r>
    </w:p>
    <w:p>
      <w:pPr>
        <w:spacing w:after="0" w:line="8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In the feld of orphan diseases, except for ongoing studies being conducted by KKC, the Company was the lead party for development actvites in the Proft-Share Territory and in the European Territory untl the applicable transiton date. The Company shared the costs for development actvites in the Proft-Share Territory and the European Territory conducted pursuant to the development plan before the applicable transiton date equally with KKC. In April 2023, which was the transiton date for the Proft-Share Territory, KKC became the lead party and became responsible for the costs of the subsequent development actvites. However, the Company will contnue to equally share in the costs of the studies with KKC that commenced prior to the applicable transiton date.</w:t>
      </w:r>
    </w:p>
    <w:p>
      <w:pPr>
        <w:spacing w:after="0" w:line="24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Collaboraton Cost Sharing and Payments</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Under the collaboraton agreement, KKC and the Company share certain development and commercializaton costs, and as a result, the Company was reimbursed for these costs and operatng expenses were reduced. KKC also receives a transfer price and royalty on net product sales revenue which is recorded in cost of sales. These amounts were recognized in the Company’s Statements of Operatons in connecton with the collaboraton agreement with KKC as follows (in thousands):</w:t>
      </w:r>
    </w:p>
    <w:p>
      <w:pPr>
        <w:spacing w:after="0" w:line="66"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4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00" w:type="dxa"/>
            <w:vAlign w:val="bottom"/>
            <w:gridSpan w:val="6"/>
          </w:tcPr>
          <w:p>
            <w:pPr>
              <w:jc w:val="right"/>
              <w:ind w:right="90"/>
              <w:spacing w:after="0"/>
              <w:rPr>
                <w:sz w:val="20"/>
                <w:szCs w:val="20"/>
                <w:color w:val="auto"/>
              </w:rPr>
            </w:pPr>
            <w:r>
              <w:rPr>
                <w:rFonts w:ascii="Calibri" w:cs="Calibri" w:eastAsia="Calibri" w:hAnsi="Calibri"/>
                <w:sz w:val="18"/>
                <w:szCs w:val="18"/>
                <w:b w:val="1"/>
                <w:bCs w:val="1"/>
                <w:color w:val="auto"/>
              </w:rPr>
              <w:t>Year Ended December 31,</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
        </w:trPr>
        <w:tc>
          <w:tcPr>
            <w:tcW w:w="4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9"/>
        </w:trPr>
        <w:tc>
          <w:tcPr>
            <w:tcW w:w="4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0"/>
              <w:spacing w:after="0" w:line="209" w:lineRule="exact"/>
              <w:rPr>
                <w:sz w:val="20"/>
                <w:szCs w:val="20"/>
                <w:color w:val="auto"/>
              </w:rPr>
            </w:pPr>
            <w:r>
              <w:rPr>
                <w:rFonts w:ascii="Calibri" w:cs="Calibri" w:eastAsia="Calibri" w:hAnsi="Calibri"/>
                <w:sz w:val="18"/>
                <w:szCs w:val="18"/>
                <w:b w:val="1"/>
                <w:bCs w:val="1"/>
                <w:color w:val="auto"/>
              </w:rPr>
              <w:t>2024</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line="209" w:lineRule="exact"/>
              <w:rPr>
                <w:sz w:val="20"/>
                <w:szCs w:val="20"/>
                <w:color w:val="auto"/>
              </w:rPr>
            </w:pPr>
            <w:r>
              <w:rPr>
                <w:rFonts w:ascii="Calibri" w:cs="Calibri" w:eastAsia="Calibri" w:hAnsi="Calibri"/>
                <w:sz w:val="18"/>
                <w:szCs w:val="18"/>
                <w:b w:val="1"/>
                <w:bCs w:val="1"/>
                <w:color w:val="auto"/>
              </w:rPr>
              <w:t>2023</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0"/>
              <w:spacing w:after="0" w:line="209" w:lineRule="exact"/>
              <w:rPr>
                <w:sz w:val="20"/>
                <w:szCs w:val="20"/>
                <w:color w:val="auto"/>
              </w:rPr>
            </w:pPr>
            <w:r>
              <w:rPr>
                <w:rFonts w:ascii="Calibri" w:cs="Calibri" w:eastAsia="Calibri" w:hAnsi="Calibri"/>
                <w:sz w:val="18"/>
                <w:szCs w:val="18"/>
                <w:b w:val="1"/>
                <w:bCs w:val="1"/>
                <w:color w:val="auto"/>
              </w:rPr>
              <w:t>2022</w:t>
            </w:r>
          </w:p>
        </w:tc>
        <w:tc>
          <w:tcPr>
            <w:tcW w:w="80" w:type="dxa"/>
            <w:vAlign w:val="bottom"/>
          </w:tcPr>
          <w:p>
            <w:pPr>
              <w:spacing w:after="0"/>
              <w:rPr>
                <w:sz w:val="18"/>
                <w:szCs w:val="18"/>
                <w:color w:val="auto"/>
              </w:rPr>
            </w:pPr>
          </w:p>
        </w:tc>
      </w:tr>
      <w:tr>
        <w:trPr>
          <w:trHeight w:val="210"/>
        </w:trPr>
        <w:tc>
          <w:tcPr>
            <w:tcW w:w="4840" w:type="dxa"/>
            <w:vAlign w:val="bottom"/>
            <w:shd w:val="clear" w:color="auto" w:fill="CCEEFF"/>
          </w:tcPr>
          <w:p>
            <w:pPr>
              <w:spacing w:after="0" w:line="210" w:lineRule="exact"/>
              <w:rPr>
                <w:sz w:val="20"/>
                <w:szCs w:val="20"/>
                <w:color w:val="auto"/>
              </w:rPr>
            </w:pPr>
            <w:r>
              <w:rPr>
                <w:rFonts w:ascii="Calibri" w:cs="Calibri" w:eastAsia="Calibri" w:hAnsi="Calibri"/>
                <w:sz w:val="18"/>
                <w:szCs w:val="18"/>
                <w:color w:val="auto"/>
              </w:rPr>
              <w:t>Research and development</w:t>
            </w:r>
          </w:p>
        </w:tc>
        <w:tc>
          <w:tcPr>
            <w:tcW w:w="240" w:type="dxa"/>
            <w:vAlign w:val="bottom"/>
            <w:shd w:val="clear" w:color="auto" w:fill="CCEEFF"/>
          </w:tcPr>
          <w:p>
            <w:pPr>
              <w:jc w:val="right"/>
              <w:ind w:right="50"/>
              <w:spacing w:after="0" w:line="210" w:lineRule="exact"/>
              <w:rPr>
                <w:sz w:val="20"/>
                <w:szCs w:val="20"/>
                <w:color w:val="auto"/>
              </w:rPr>
            </w:pPr>
            <w:r>
              <w:rPr>
                <w:rFonts w:ascii="Calibri" w:cs="Calibri" w:eastAsia="Calibri" w:hAnsi="Calibri"/>
                <w:sz w:val="18"/>
                <w:szCs w:val="18"/>
                <w:color w:val="auto"/>
                <w:w w:val="87"/>
              </w:rPr>
              <w:t>$</w:t>
            </w:r>
          </w:p>
        </w:tc>
        <w:tc>
          <w:tcPr>
            <w:tcW w:w="1200" w:type="dxa"/>
            <w:vAlign w:val="bottom"/>
            <w:gridSpan w:val="2"/>
            <w:shd w:val="clear" w:color="auto" w:fill="CCEEFF"/>
          </w:tcPr>
          <w:p>
            <w:pPr>
              <w:jc w:val="right"/>
              <w:ind w:right="200"/>
              <w:spacing w:after="0" w:line="210" w:lineRule="exact"/>
              <w:rPr>
                <w:sz w:val="20"/>
                <w:szCs w:val="20"/>
                <w:color w:val="auto"/>
              </w:rPr>
            </w:pPr>
            <w:r>
              <w:rPr>
                <w:rFonts w:ascii="Calibri" w:cs="Calibri" w:eastAsia="Calibri" w:hAnsi="Calibri"/>
                <w:sz w:val="18"/>
                <w:szCs w:val="18"/>
                <w:color w:val="auto"/>
              </w:rPr>
              <w:t>(3,670 )</w:t>
            </w:r>
          </w:p>
        </w:tc>
        <w:tc>
          <w:tcPr>
            <w:tcW w:w="240" w:type="dxa"/>
            <w:vAlign w:val="bottom"/>
            <w:shd w:val="clear" w:color="auto" w:fill="CCEEFF"/>
          </w:tcPr>
          <w:p>
            <w:pPr>
              <w:jc w:val="right"/>
              <w:ind w:right="50"/>
              <w:spacing w:after="0" w:line="210" w:lineRule="exact"/>
              <w:rPr>
                <w:sz w:val="20"/>
                <w:szCs w:val="20"/>
                <w:color w:val="auto"/>
              </w:rPr>
            </w:pPr>
            <w:r>
              <w:rPr>
                <w:rFonts w:ascii="Calibri" w:cs="Calibri" w:eastAsia="Calibri" w:hAnsi="Calibri"/>
                <w:sz w:val="18"/>
                <w:szCs w:val="18"/>
                <w:color w:val="auto"/>
                <w:w w:val="87"/>
              </w:rPr>
              <w:t>$</w:t>
            </w:r>
          </w:p>
        </w:tc>
        <w:tc>
          <w:tcPr>
            <w:tcW w:w="1200" w:type="dxa"/>
            <w:vAlign w:val="bottom"/>
            <w:gridSpan w:val="2"/>
            <w:shd w:val="clear" w:color="auto" w:fill="CCEEFF"/>
          </w:tcPr>
          <w:p>
            <w:pPr>
              <w:jc w:val="right"/>
              <w:ind w:right="200"/>
              <w:spacing w:after="0" w:line="210" w:lineRule="exact"/>
              <w:rPr>
                <w:sz w:val="20"/>
                <w:szCs w:val="20"/>
                <w:color w:val="auto"/>
              </w:rPr>
            </w:pPr>
            <w:r>
              <w:rPr>
                <w:rFonts w:ascii="Calibri" w:cs="Calibri" w:eastAsia="Calibri" w:hAnsi="Calibri"/>
                <w:sz w:val="18"/>
                <w:szCs w:val="18"/>
                <w:color w:val="auto"/>
              </w:rPr>
              <w:t>(6,510 )</w:t>
            </w:r>
          </w:p>
        </w:tc>
        <w:tc>
          <w:tcPr>
            <w:tcW w:w="260" w:type="dxa"/>
            <w:vAlign w:val="bottom"/>
            <w:shd w:val="clear" w:color="auto" w:fill="CCEEFF"/>
          </w:tcPr>
          <w:p>
            <w:pPr>
              <w:jc w:val="right"/>
              <w:ind w:right="70"/>
              <w:spacing w:after="0" w:line="210" w:lineRule="exact"/>
              <w:rPr>
                <w:sz w:val="20"/>
                <w:szCs w:val="20"/>
                <w:color w:val="auto"/>
              </w:rPr>
            </w:pPr>
            <w:r>
              <w:rPr>
                <w:rFonts w:ascii="Calibri" w:cs="Calibri" w:eastAsia="Calibri" w:hAnsi="Calibri"/>
                <w:sz w:val="18"/>
                <w:szCs w:val="18"/>
                <w:color w:val="auto"/>
                <w:w w:val="87"/>
              </w:rPr>
              <w:t>$</w:t>
            </w:r>
          </w:p>
        </w:tc>
        <w:tc>
          <w:tcPr>
            <w:tcW w:w="1000" w:type="dxa"/>
            <w:vAlign w:val="bottom"/>
            <w:gridSpan w:val="2"/>
            <w:shd w:val="clear" w:color="auto" w:fill="CCEEFF"/>
          </w:tcPr>
          <w:p>
            <w:pPr>
              <w:jc w:val="right"/>
              <w:ind w:right="20"/>
              <w:spacing w:after="0" w:line="210" w:lineRule="exact"/>
              <w:rPr>
                <w:sz w:val="20"/>
                <w:szCs w:val="20"/>
                <w:color w:val="auto"/>
              </w:rPr>
            </w:pPr>
            <w:r>
              <w:rPr>
                <w:rFonts w:ascii="Calibri" w:cs="Calibri" w:eastAsia="Calibri" w:hAnsi="Calibri"/>
                <w:sz w:val="18"/>
                <w:szCs w:val="18"/>
                <w:color w:val="auto"/>
              </w:rPr>
              <w:t>(15,974 )</w:t>
            </w:r>
          </w:p>
        </w:tc>
      </w:tr>
      <w:tr>
        <w:trPr>
          <w:trHeight w:val="215"/>
        </w:trPr>
        <w:tc>
          <w:tcPr>
            <w:tcW w:w="4840" w:type="dxa"/>
            <w:vAlign w:val="bottom"/>
          </w:tcPr>
          <w:p>
            <w:pPr>
              <w:spacing w:after="0" w:line="215" w:lineRule="exact"/>
              <w:rPr>
                <w:sz w:val="20"/>
                <w:szCs w:val="20"/>
                <w:color w:val="auto"/>
              </w:rPr>
            </w:pPr>
            <w:r>
              <w:rPr>
                <w:rFonts w:ascii="Calibri" w:cs="Calibri" w:eastAsia="Calibri" w:hAnsi="Calibri"/>
                <w:sz w:val="18"/>
                <w:szCs w:val="18"/>
                <w:color w:val="auto"/>
              </w:rPr>
              <w:t>Selling, general and administratve</w:t>
            </w: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2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(4,082 )</w:t>
            </w: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20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(17,199 )</w:t>
            </w: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100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(37,217 )</w:t>
            </w:r>
          </w:p>
        </w:tc>
      </w:tr>
      <w:tr>
        <w:trPr>
          <w:trHeight w:val="217"/>
        </w:trPr>
        <w:tc>
          <w:tcPr>
            <w:tcW w:w="4840" w:type="dxa"/>
            <w:vAlign w:val="bottom"/>
            <w:shd w:val="clear" w:color="auto" w:fill="CCEEFF"/>
          </w:tcPr>
          <w:p>
            <w:pPr>
              <w:spacing w:after="0" w:line="216" w:lineRule="exact"/>
              <w:rPr>
                <w:sz w:val="20"/>
                <w:szCs w:val="20"/>
                <w:color w:val="auto"/>
              </w:rPr>
            </w:pPr>
            <w:r>
              <w:rPr>
                <w:rFonts w:ascii="Calibri" w:cs="Calibri" w:eastAsia="Calibri" w:hAnsi="Calibri"/>
                <w:sz w:val="18"/>
                <w:szCs w:val="18"/>
                <w:color w:val="auto"/>
              </w:rPr>
              <w:t>Cost of sales</w:t>
            </w:r>
          </w:p>
        </w:tc>
        <w:tc>
          <w:tcPr>
            <w:tcW w:w="240" w:type="dxa"/>
            <w:vAlign w:val="bottom"/>
            <w:shd w:val="clear" w:color="auto" w:fill="CCEEFF"/>
          </w:tcPr>
          <w:p>
            <w:pPr>
              <w:jc w:val="right"/>
              <w:ind w:right="50"/>
              <w:spacing w:after="0" w:line="216" w:lineRule="exact"/>
              <w:rPr>
                <w:sz w:val="20"/>
                <w:szCs w:val="20"/>
                <w:color w:val="auto"/>
              </w:rPr>
            </w:pPr>
            <w:r>
              <w:rPr>
                <w:rFonts w:ascii="Calibri" w:cs="Calibri" w:eastAsia="Calibri" w:hAnsi="Calibri"/>
                <w:sz w:val="18"/>
                <w:szCs w:val="18"/>
                <w:color w:val="auto"/>
                <w:w w:val="87"/>
              </w:rPr>
              <w:t>$</w:t>
            </w:r>
          </w:p>
        </w:tc>
        <w:tc>
          <w:tcPr>
            <w:tcW w:w="92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46,027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line="216" w:lineRule="exact"/>
              <w:rPr>
                <w:sz w:val="20"/>
                <w:szCs w:val="20"/>
                <w:color w:val="auto"/>
              </w:rPr>
            </w:pPr>
            <w:r>
              <w:rPr>
                <w:rFonts w:ascii="Calibri" w:cs="Calibri" w:eastAsia="Calibri" w:hAnsi="Calibri"/>
                <w:sz w:val="18"/>
                <w:szCs w:val="18"/>
                <w:color w:val="auto"/>
                <w:w w:val="87"/>
              </w:rPr>
              <w:t>$</w:t>
            </w:r>
          </w:p>
        </w:tc>
        <w:tc>
          <w:tcPr>
            <w:tcW w:w="94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18,476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line="216" w:lineRule="exact"/>
              <w:rPr>
                <w:sz w:val="20"/>
                <w:szCs w:val="20"/>
                <w:color w:val="auto"/>
              </w:rPr>
            </w:pPr>
            <w:r>
              <w:rPr>
                <w:rFonts w:ascii="Calibri" w:cs="Calibri" w:eastAsia="Calibri" w:hAnsi="Calibri"/>
                <w:sz w:val="18"/>
                <w:szCs w:val="18"/>
                <w:color w:val="auto"/>
                <w:w w:val="87"/>
              </w:rPr>
              <w:t>$</w:t>
            </w:r>
          </w:p>
        </w:tc>
        <w:tc>
          <w:tcPr>
            <w:tcW w:w="92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13,250</w:t>
            </w:r>
          </w:p>
        </w:tc>
        <w:tc>
          <w:tcPr>
            <w:tcW w:w="80" w:type="dxa"/>
            <w:vAlign w:val="bottom"/>
            <w:shd w:val="clear" w:color="auto" w:fill="CCEEFF"/>
          </w:tcPr>
          <w:p>
            <w:pPr>
              <w:spacing w:after="0"/>
              <w:rPr>
                <w:sz w:val="18"/>
                <w:szCs w:val="18"/>
                <w:color w:val="auto"/>
              </w:rPr>
            </w:pPr>
          </w:p>
        </w:tc>
      </w:tr>
    </w:tbl>
    <w:p>
      <w:pPr>
        <w:spacing w:after="0" w:line="21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Collaboraton Receivable and Payable</w:t>
      </w:r>
    </w:p>
    <w:p>
      <w:pPr>
        <w:spacing w:after="0" w:line="82" w:lineRule="exact"/>
        <w:rPr>
          <w:sz w:val="20"/>
          <w:szCs w:val="20"/>
          <w:color w:val="auto"/>
        </w:rPr>
      </w:pPr>
    </w:p>
    <w:p>
      <w:pPr>
        <w:jc w:val="both"/>
        <w:ind w:right="200" w:firstLine="509"/>
        <w:spacing w:after="0" w:line="235" w:lineRule="auto"/>
        <w:rPr>
          <w:sz w:val="20"/>
          <w:szCs w:val="20"/>
          <w:color w:val="auto"/>
        </w:rPr>
      </w:pPr>
      <w:r>
        <w:rPr>
          <w:rFonts w:ascii="Calibri" w:cs="Calibri" w:eastAsia="Calibri" w:hAnsi="Calibri"/>
          <w:sz w:val="18"/>
          <w:szCs w:val="18"/>
          <w:color w:val="auto"/>
        </w:rPr>
        <w:t>The Company had accounts receivable from KKC in the amount of $85.4 million and $39.2 million from proft-share revenue and royaltes and other receivables recorded in other current assets of $1.8 million and $1.1 million and accrued liabilites of $7.1 million and $5.3 million from amounts owed for transfer price and royaltes as well as commercial and development actvity reimbursements, as of December 31, 2024 and 2023, respectvely.</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Baylor Research Insttute</w:t>
      </w:r>
    </w:p>
    <w:p>
      <w:pPr>
        <w:spacing w:after="0" w:line="82" w:lineRule="exact"/>
        <w:rPr>
          <w:sz w:val="20"/>
          <w:szCs w:val="20"/>
          <w:color w:val="auto"/>
        </w:rPr>
      </w:pPr>
    </w:p>
    <w:p>
      <w:pPr>
        <w:ind w:right="60" w:firstLine="509"/>
        <w:spacing w:after="0" w:line="258" w:lineRule="auto"/>
        <w:rPr>
          <w:sz w:val="20"/>
          <w:szCs w:val="20"/>
          <w:color w:val="auto"/>
        </w:rPr>
      </w:pPr>
      <w:r>
        <w:rPr>
          <w:rFonts w:ascii="Calibri" w:cs="Calibri" w:eastAsia="Calibri" w:hAnsi="Calibri"/>
          <w:sz w:val="17"/>
          <w:szCs w:val="17"/>
          <w:color w:val="auto"/>
        </w:rPr>
        <w:t>In September 2012, the Company entered into a license agreement with Baylor Research Insttute, or BRI. Under the terms of this license agreement, as amended, BRI exclusively licensed to the Company its territories for certain intellectual property related to Dojolvi for the treatment of LC-FAOD.</w:t>
      </w:r>
    </w:p>
    <w:p>
      <w:pPr>
        <w:spacing w:after="0" w:line="6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During the year ended December 31, 2022, the Company recorded $2.5 million for the atainment of a commercial milestone as a fnite-lived intangible asset. The Company is obligated to make additonal future payments of up to $7.5 million contngent upon atainment of various development and commercial milestones. Additonally, the Company pays BRI a mid- single-digit royalty on net sales of the licensed product in the licensed territories.</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Regeneron</w:t>
      </w:r>
    </w:p>
    <w:p>
      <w:pPr>
        <w:spacing w:after="0" w:line="8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In January 2022, the Company announced a collaboraton with Regeneron to commercialize Evkeeza for HoFH outside of the U.S. Pursuant to the terms of the agreement, the Company received the rights to develop, commercialize and distribute the product for HoFH in countries outside of the U.S. The Company paid Regeneron a $30.0 million upfront payment. As of December 31, 2024 the Company has recognized an aggregate of $27.5 million for regulatory and sales milestones under the agreement, of which $15.0</w:t>
      </w:r>
    </w:p>
    <w:p>
      <w:pPr>
        <w:jc w:val="center"/>
        <w:ind w:right="-19"/>
        <w:spacing w:after="0" w:line="238" w:lineRule="auto"/>
        <w:rPr>
          <w:sz w:val="20"/>
          <w:szCs w:val="20"/>
          <w:color w:val="auto"/>
        </w:rPr>
      </w:pPr>
      <w:r>
        <w:rPr>
          <w:rFonts w:ascii="Calibri" w:cs="Calibri" w:eastAsia="Calibri" w:hAnsi="Calibri"/>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17" w:name="page118"/>
    <w:bookmarkEnd w:id="117"/>
    <w:p>
      <w:pPr>
        <w:ind w:left="384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49" w:lineRule="exact"/>
        <w:rPr>
          <w:sz w:val="20"/>
          <w:szCs w:val="20"/>
          <w:color w:val="auto"/>
        </w:rPr>
      </w:pPr>
    </w:p>
    <w:p>
      <w:pPr>
        <w:ind w:right="20" w:firstLine="40"/>
        <w:spacing w:after="0" w:line="235" w:lineRule="auto"/>
        <w:rPr>
          <w:sz w:val="20"/>
          <w:szCs w:val="20"/>
          <w:color w:val="auto"/>
        </w:rPr>
      </w:pPr>
      <w:r>
        <w:rPr>
          <w:rFonts w:ascii="Calibri" w:cs="Calibri" w:eastAsia="Calibri" w:hAnsi="Calibri"/>
          <w:sz w:val="18"/>
          <w:szCs w:val="18"/>
          <w:color w:val="auto"/>
        </w:rPr>
        <w:t>million was achieved during the year ended December 31, 2024. As these payments are for the Company’s use of intellectual property for Evkeeza for HoFH, they were recorded as intangible assets. See "Note 5. Intangible Assets, net" for additonal details. Going forward, the Company is obligated to pay Regeneron up to an aggregate of $35.5 million of future obligatons for additonal regulatory and sales milestones, if achieved. The Company may share in certain costs for global trials led by Regeneron and also received the right to opt into other potental indicatons. Additonally, the Company pays Regeneron a transfer price fee and royaltes on certain revenues.</w:t>
      </w:r>
    </w:p>
    <w:p>
      <w:pPr>
        <w:spacing w:after="0" w:line="85"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The collaboraton agreement is within the scope of ASC 808 which provides guidance on the presentaton and disclosure of collaboratve arrangements. As the Company is the principal in sales transactons with the customer, the Company recognizes product sales and cost of sales in the period the related sales occur and the related revenue recogniton criteria are met. Under the collaboraton agreement, Regeneron supplies the product and charges the Company a transfer price from the low 20% range up to 40% on net sales, which is recognized as cost of sales in the Company’s Statement of Operatons.</w:t>
      </w:r>
    </w:p>
    <w:p>
      <w:pPr>
        <w:spacing w:after="0" w:line="85"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Under the collaboraton agreement, Regeneron and the Company share certain development and commercializaton costs. Regeneron also receives a transfer price and royalty on net product sales revenue which is recorded in cost of sales. These amounts were recognized in the Company’s Statements of Operatons in connecton with the collaboraton agreement with Regeneron as follows (in thousands):</w:t>
      </w:r>
    </w:p>
    <w:p>
      <w:pPr>
        <w:spacing w:after="0" w:line="79"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4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00" w:type="dxa"/>
            <w:vAlign w:val="bottom"/>
            <w:gridSpan w:val="6"/>
          </w:tcPr>
          <w:p>
            <w:pPr>
              <w:jc w:val="right"/>
              <w:ind w:right="180"/>
              <w:spacing w:after="0"/>
              <w:rPr>
                <w:sz w:val="20"/>
                <w:szCs w:val="20"/>
                <w:color w:val="auto"/>
              </w:rPr>
            </w:pPr>
            <w:r>
              <w:rPr>
                <w:rFonts w:ascii="Calibri" w:cs="Calibri" w:eastAsia="Calibri" w:hAnsi="Calibri"/>
                <w:sz w:val="18"/>
                <w:szCs w:val="18"/>
                <w:b w:val="1"/>
                <w:bCs w:val="1"/>
                <w:color w:val="auto"/>
              </w:rPr>
              <w:t>Year Ended December 31,</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
        </w:trPr>
        <w:tc>
          <w:tcPr>
            <w:tcW w:w="4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9"/>
        </w:trPr>
        <w:tc>
          <w:tcPr>
            <w:tcW w:w="4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0"/>
              <w:spacing w:after="0" w:line="209" w:lineRule="exact"/>
              <w:rPr>
                <w:sz w:val="20"/>
                <w:szCs w:val="20"/>
                <w:color w:val="auto"/>
              </w:rPr>
            </w:pPr>
            <w:r>
              <w:rPr>
                <w:rFonts w:ascii="Calibri" w:cs="Calibri" w:eastAsia="Calibri" w:hAnsi="Calibri"/>
                <w:sz w:val="18"/>
                <w:szCs w:val="18"/>
                <w:b w:val="1"/>
                <w:bCs w:val="1"/>
                <w:color w:val="auto"/>
              </w:rPr>
              <w:t>2024</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line="209" w:lineRule="exact"/>
              <w:rPr>
                <w:sz w:val="20"/>
                <w:szCs w:val="20"/>
                <w:color w:val="auto"/>
              </w:rPr>
            </w:pPr>
            <w:r>
              <w:rPr>
                <w:rFonts w:ascii="Calibri" w:cs="Calibri" w:eastAsia="Calibri" w:hAnsi="Calibri"/>
                <w:sz w:val="18"/>
                <w:szCs w:val="18"/>
                <w:b w:val="1"/>
                <w:bCs w:val="1"/>
                <w:color w:val="auto"/>
              </w:rPr>
              <w:t>2023</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0"/>
              <w:spacing w:after="0" w:line="209" w:lineRule="exact"/>
              <w:rPr>
                <w:sz w:val="20"/>
                <w:szCs w:val="20"/>
                <w:color w:val="auto"/>
              </w:rPr>
            </w:pPr>
            <w:r>
              <w:rPr>
                <w:rFonts w:ascii="Calibri" w:cs="Calibri" w:eastAsia="Calibri" w:hAnsi="Calibri"/>
                <w:sz w:val="18"/>
                <w:szCs w:val="18"/>
                <w:b w:val="1"/>
                <w:bCs w:val="1"/>
                <w:color w:val="auto"/>
              </w:rPr>
              <w:t>2022</w:t>
            </w:r>
          </w:p>
        </w:tc>
        <w:tc>
          <w:tcPr>
            <w:tcW w:w="80" w:type="dxa"/>
            <w:vAlign w:val="bottom"/>
          </w:tcPr>
          <w:p>
            <w:pPr>
              <w:spacing w:after="0"/>
              <w:rPr>
                <w:sz w:val="18"/>
                <w:szCs w:val="18"/>
                <w:color w:val="auto"/>
              </w:rPr>
            </w:pPr>
          </w:p>
        </w:tc>
      </w:tr>
      <w:tr>
        <w:trPr>
          <w:trHeight w:val="210"/>
        </w:trPr>
        <w:tc>
          <w:tcPr>
            <w:tcW w:w="4840" w:type="dxa"/>
            <w:vAlign w:val="bottom"/>
            <w:shd w:val="clear" w:color="auto" w:fill="CCEEFF"/>
          </w:tcPr>
          <w:p>
            <w:pPr>
              <w:spacing w:after="0" w:line="210" w:lineRule="exact"/>
              <w:rPr>
                <w:sz w:val="20"/>
                <w:szCs w:val="20"/>
                <w:color w:val="auto"/>
              </w:rPr>
            </w:pPr>
            <w:r>
              <w:rPr>
                <w:rFonts w:ascii="Calibri" w:cs="Calibri" w:eastAsia="Calibri" w:hAnsi="Calibri"/>
                <w:sz w:val="18"/>
                <w:szCs w:val="18"/>
                <w:color w:val="auto"/>
              </w:rPr>
              <w:t>Research and development</w:t>
            </w:r>
          </w:p>
        </w:tc>
        <w:tc>
          <w:tcPr>
            <w:tcW w:w="240" w:type="dxa"/>
            <w:vAlign w:val="bottom"/>
            <w:shd w:val="clear" w:color="auto" w:fill="CCEEFF"/>
          </w:tcPr>
          <w:p>
            <w:pPr>
              <w:jc w:val="right"/>
              <w:ind w:right="50"/>
              <w:spacing w:after="0" w:line="210" w:lineRule="exact"/>
              <w:rPr>
                <w:sz w:val="20"/>
                <w:szCs w:val="20"/>
                <w:color w:val="auto"/>
              </w:rPr>
            </w:pPr>
            <w:r>
              <w:rPr>
                <w:rFonts w:ascii="Calibri" w:cs="Calibri" w:eastAsia="Calibri" w:hAnsi="Calibri"/>
                <w:sz w:val="18"/>
                <w:szCs w:val="18"/>
                <w:color w:val="auto"/>
                <w:w w:val="87"/>
              </w:rPr>
              <w:t>$</w:t>
            </w:r>
          </w:p>
        </w:tc>
        <w:tc>
          <w:tcPr>
            <w:tcW w:w="1200" w:type="dxa"/>
            <w:vAlign w:val="bottom"/>
            <w:gridSpan w:val="2"/>
            <w:shd w:val="clear" w:color="auto" w:fill="CCEEFF"/>
          </w:tcPr>
          <w:p>
            <w:pPr>
              <w:jc w:val="right"/>
              <w:ind w:right="200"/>
              <w:spacing w:after="0" w:line="210" w:lineRule="exact"/>
              <w:rPr>
                <w:sz w:val="20"/>
                <w:szCs w:val="20"/>
                <w:color w:val="auto"/>
              </w:rPr>
            </w:pPr>
            <w:r>
              <w:rPr>
                <w:rFonts w:ascii="Calibri" w:cs="Calibri" w:eastAsia="Calibri" w:hAnsi="Calibri"/>
                <w:sz w:val="18"/>
                <w:szCs w:val="18"/>
                <w:color w:val="auto"/>
              </w:rPr>
              <w:t>(2,842 )</w:t>
            </w:r>
          </w:p>
        </w:tc>
        <w:tc>
          <w:tcPr>
            <w:tcW w:w="240" w:type="dxa"/>
            <w:vAlign w:val="bottom"/>
            <w:shd w:val="clear" w:color="auto" w:fill="CCEEFF"/>
          </w:tcPr>
          <w:p>
            <w:pPr>
              <w:jc w:val="right"/>
              <w:ind w:right="50"/>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7,629</w:t>
            </w:r>
          </w:p>
        </w:tc>
        <w:tc>
          <w:tcPr>
            <w:tcW w:w="520" w:type="dxa"/>
            <w:vAlign w:val="bottom"/>
            <w:gridSpan w:val="2"/>
            <w:shd w:val="clear" w:color="auto" w:fill="CCEEFF"/>
          </w:tcPr>
          <w:p>
            <w:pPr>
              <w:jc w:val="right"/>
              <w:ind w:right="160"/>
              <w:spacing w:after="0" w:line="210"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7,258</w:t>
            </w:r>
          </w:p>
        </w:tc>
        <w:tc>
          <w:tcPr>
            <w:tcW w:w="80" w:type="dxa"/>
            <w:vAlign w:val="bottom"/>
            <w:shd w:val="clear" w:color="auto" w:fill="CCEEFF"/>
          </w:tcPr>
          <w:p>
            <w:pPr>
              <w:spacing w:after="0"/>
              <w:rPr>
                <w:sz w:val="18"/>
                <w:szCs w:val="18"/>
                <w:color w:val="auto"/>
              </w:rPr>
            </w:pPr>
          </w:p>
        </w:tc>
      </w:tr>
      <w:tr>
        <w:trPr>
          <w:trHeight w:val="215"/>
        </w:trPr>
        <w:tc>
          <w:tcPr>
            <w:tcW w:w="4840" w:type="dxa"/>
            <w:vAlign w:val="bottom"/>
          </w:tcPr>
          <w:p>
            <w:pPr>
              <w:spacing w:after="0" w:line="215" w:lineRule="exact"/>
              <w:rPr>
                <w:sz w:val="20"/>
                <w:szCs w:val="20"/>
                <w:color w:val="auto"/>
              </w:rPr>
            </w:pPr>
            <w:r>
              <w:rPr>
                <w:rFonts w:ascii="Calibri" w:cs="Calibri" w:eastAsia="Calibri" w:hAnsi="Calibri"/>
                <w:sz w:val="18"/>
                <w:szCs w:val="18"/>
                <w:color w:val="auto"/>
              </w:rPr>
              <w:t>Cost of sales</w:t>
            </w: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8,030</w:t>
            </w:r>
          </w:p>
        </w:tc>
        <w:tc>
          <w:tcPr>
            <w:tcW w:w="280" w:type="dxa"/>
            <w:vAlign w:val="bottom"/>
          </w:tcPr>
          <w:p>
            <w:pPr>
              <w:spacing w:after="0"/>
              <w:rPr>
                <w:sz w:val="18"/>
                <w:szCs w:val="18"/>
                <w:color w:val="auto"/>
              </w:rPr>
            </w:pP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684</w:t>
            </w:r>
          </w:p>
        </w:tc>
        <w:tc>
          <w:tcPr>
            <w:tcW w:w="52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w:t>
            </w:r>
          </w:p>
        </w:tc>
      </w:tr>
    </w:tbl>
    <w:p>
      <w:pPr>
        <w:spacing w:after="0" w:line="60"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The Company had collaboraton payables for this arrangement included in accrued liabilites on the Consolidated Balance Sheets of $17.8 million and $10.6 million as of December 31, 2024 and December 31, 2023, respectvely.</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Saint Louis University</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In November 2010, the Company entered into a license agreement with Saint Louis University, or SLU. Under the terms of this license agreement, SLU granted the Company an exclusive worldwide license to make, have made, use, import, ofer for sale, and sell therapeutcs related to SLU’s beta-glucuronidase product for use in the treatment of human diseases.</w:t>
      </w:r>
    </w:p>
    <w:p>
      <w:pPr>
        <w:spacing w:after="0" w:line="84" w:lineRule="exact"/>
        <w:rPr>
          <w:sz w:val="20"/>
          <w:szCs w:val="20"/>
          <w:color w:val="auto"/>
        </w:rPr>
      </w:pPr>
    </w:p>
    <w:p>
      <w:pPr>
        <w:ind w:right="300" w:firstLine="509"/>
        <w:spacing w:after="0" w:line="235" w:lineRule="auto"/>
        <w:rPr>
          <w:sz w:val="20"/>
          <w:szCs w:val="20"/>
          <w:color w:val="auto"/>
        </w:rPr>
      </w:pPr>
      <w:r>
        <w:rPr>
          <w:rFonts w:ascii="Calibri" w:cs="Calibri" w:eastAsia="Calibri" w:hAnsi="Calibri"/>
          <w:sz w:val="18"/>
          <w:szCs w:val="18"/>
          <w:color w:val="auto"/>
        </w:rPr>
        <w:t>Under the license agreement, the Company is obligated to pay to SLU a low single-digit royalty on net sales of the licensed products in Europe and Japan, subject to certain potental deductons. The Company's obligaton to pay royaltes to SLU in these territories contnues untl the expiraton of any orphan drug exclusivity.</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Abeona</w:t>
      </w:r>
    </w:p>
    <w:p>
      <w:pPr>
        <w:spacing w:after="0" w:line="82" w:lineRule="exact"/>
        <w:rPr>
          <w:sz w:val="20"/>
          <w:szCs w:val="20"/>
          <w:color w:val="auto"/>
        </w:rPr>
      </w:pPr>
    </w:p>
    <w:p>
      <w:pPr>
        <w:jc w:val="both"/>
        <w:ind w:right="220" w:firstLine="509"/>
        <w:spacing w:after="0" w:line="249" w:lineRule="auto"/>
        <w:rPr>
          <w:sz w:val="20"/>
          <w:szCs w:val="20"/>
          <w:color w:val="auto"/>
        </w:rPr>
      </w:pPr>
      <w:r>
        <w:rPr>
          <w:rFonts w:ascii="Calibri" w:cs="Calibri" w:eastAsia="Calibri" w:hAnsi="Calibri"/>
          <w:sz w:val="17"/>
          <w:szCs w:val="17"/>
          <w:color w:val="auto"/>
        </w:rPr>
        <w:t>In May 2022, the Company announced an exclusive License Agreement for the AAV gene therapy for UX111 with Abeona for the treatment of MPS IIIA. Under the terms of the agreement, the Company assumed responsibility for the UX111 program and in return, the Company is obligated to pay tered royaltes of up to 10% on net sales and commercial milestone payments of up to $30.0 million contngent upon regulatory approval of the product.</w:t>
      </w:r>
    </w:p>
    <w:p>
      <w:pPr>
        <w:spacing w:after="0" w:line="2"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Additonally, the Company entered into an Assignment and Assumpton Agreement with Abeona to transfer and assign to the Company the exclusive license agreement between Natonwide Children’s Hospital, or NCH, and Abeona for certain rights related to UX111. Under this agreement, the Company is obligated to pay up to $1.0 million contngent upon achievement of development and regulatory milestones as well as royaltes in the low single-digits of net sales.</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 paid Abeona $3.1 million for prior development and transiton costs which were recorded as research and development expense for the year ended December 31, 2022.</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Mereo</w:t>
      </w:r>
    </w:p>
    <w:p>
      <w:pPr>
        <w:spacing w:after="0" w:line="8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In December 2020, the Company entered into a License and Collaboraton Agreement with Mereo to collaborate on the development of setrusumab. Under the terms of the agreement, as amended, the Company will lead future global development of setrusumab in both pediatric and adult patents with OI. The Company was granted an exclusive license to develop and commercialize setrusumab in the U.S., Turkey, and the rest of the world, or the Ultragenyx Territory, excluding the EEA, UK, and Switzerland, or the Mereo Territory, where Mereo retains commercial rights. Each party will be responsible for post-marketng</w:t>
      </w:r>
    </w:p>
    <w:p>
      <w:pPr>
        <w:jc w:val="center"/>
        <w:ind w:right="-19"/>
        <w:spacing w:after="0"/>
        <w:rPr>
          <w:sz w:val="20"/>
          <w:szCs w:val="20"/>
          <w:color w:val="auto"/>
        </w:rPr>
      </w:pPr>
      <w:r>
        <w:rPr>
          <w:rFonts w:ascii="Calibri" w:cs="Calibri" w:eastAsia="Calibri" w:hAnsi="Calibri"/>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18" w:name="page119"/>
    <w:bookmarkEnd w:id="118"/>
    <w:p>
      <w:pPr>
        <w:ind w:left="384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2" w:lineRule="exact"/>
        <w:rPr>
          <w:sz w:val="20"/>
          <w:szCs w:val="20"/>
          <w:color w:val="auto"/>
        </w:rPr>
      </w:pPr>
    </w:p>
    <w:p>
      <w:pPr>
        <w:spacing w:after="0"/>
        <w:rPr>
          <w:sz w:val="20"/>
          <w:szCs w:val="20"/>
          <w:color w:val="auto"/>
        </w:rPr>
      </w:pPr>
      <w:r>
        <w:rPr>
          <w:rFonts w:ascii="Calibri" w:cs="Calibri" w:eastAsia="Calibri" w:hAnsi="Calibri"/>
          <w:sz w:val="17"/>
          <w:szCs w:val="17"/>
          <w:color w:val="auto"/>
        </w:rPr>
        <w:t>commitments in their respectve territories and Ultragenyx will be responsible for commercial supply in both the Ultragenyx Territory and Mereo Territory.</w:t>
      </w:r>
    </w:p>
    <w:p>
      <w:pPr>
        <w:spacing w:after="0" w:line="89"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Upon the closing of the transactons under the License and Collaboraton Agreement with Mereo in January 2021, the Company made a payment of $50.0 million to Mereo. To date, the Company has made payments totaling $9.0 million for regulatory milestones achieved. The Company is obligated to pay Mereo up to $245.0 million in future milestone payments, contngent upon the achievement of certain regulatory and commercial milestones. The Company pays for all global development costs and will pay a tered double-digit percentage royaltes to Mereo on net sales in the Ultragenyx Territory. Mereo will pay the Company a fxed double-digit percentage royalty on net sales in the Mereo Territory. If the Company receives and resells an FDA PRV in connecton with a new drug applicaton approval, Mereo is enttled to receive a porton of proceeds from the sale of the PRV or a cash payment from the Company, in the event the Company chooses to retain the PRV.</w:t>
      </w:r>
    </w:p>
    <w:p>
      <w:pPr>
        <w:spacing w:after="0" w:line="87"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In December 2024, the Company entered into a manufacturing and supply agreement with Mereo where it is responsible for the supply of setrusumab to Mereo in the Mereo territory. Mereo is responsible to reimburse us for a porton of the manufacturing process development costs as well as future commercial supply costs.</w:t>
      </w:r>
    </w:p>
    <w:p>
      <w:pPr>
        <w:spacing w:after="0" w:line="84"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Although Mereo is a VIE, the Company is not the primary benefciary as it does not have the power to direct the actvites that would most signifcantly impact the economic performance of Mereo. Prior to the achievement of certain development milestones, all consideraton paid to Mereo represents rights to potental future benefts associated with Mereo’s in-process research and development actvites, which have not reached technological feasibility and have no alternatve future use.</w:t>
      </w:r>
    </w:p>
    <w:p>
      <w:pPr>
        <w:spacing w:after="0" w:line="84"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For the year ended December 31, 2024, the Company recorded an ofset to research and development expense of $0.9 million. For the year ended December 31, 2023, the Company recorded development costs of $9.0 million for the achievement of a clinical milestone recorded in research and development expense.</w:t>
      </w:r>
    </w:p>
    <w:p>
      <w:pPr>
        <w:spacing w:after="0" w:line="24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University of Pennsylvania</w:t>
      </w:r>
    </w:p>
    <w:p>
      <w:pPr>
        <w:spacing w:after="0" w:line="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Company has a research, collaboraton, and license agreement with University of Pennsylvania School of Medicine, or Penn, which provides the terms for the Company and Penn to collaborate with respect to the pre-clinical development of gene therapy products for the treatment of certain indicatons. Under the agreement, Penn granted the Company an exclusive, worldwide license to certain patent rights arising out of the research program, subject to certain retained rights, and a non-exclusive, worldwide license to certain Penn intellectual property, in each case to research, develop, make, have made, use, sell, ofer for sale, commercialize and import licensed products in each indicaton for the term of the agreement. The Company will fund the cost of the research program in accordance with a mutually agreed-upon research budget and will be responsible for clinical development, manufacturing and commercializaton of each indicaton. The Company is obligated to make milestone payments of up to $5.0 million for each indicaton, if certain development milestones are achieved. The Company is also obligated to make milestone payments of up to $25.0 million per approved product, if certain commercial milestones are achieved, as well as low to mid- single-digit royaltes on net sales of each licensed product.</w:t>
      </w:r>
    </w:p>
    <w:p>
      <w:pPr>
        <w:spacing w:after="0" w:line="24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REGENXBIO, Inc.</w:t>
      </w:r>
    </w:p>
    <w:p>
      <w:pPr>
        <w:spacing w:after="0" w:line="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The Company has a license agreement with REGENXBIO, Inc., or REGENX, for an exclusive, sublicensable, worldwide commercial license under certain intellectual property for preclinical and clinical research and development, and commercializaton of drug therapies using REGENX's licensed patents for the treatment of OTC defciency and GSD1a. The Company will pay an annual fee and certain milestone fees per disease indicaton, low to mid- single-digit royalty percentages on net sales of licensed products, and milestone and sublicense fees owed by REGENX to its licensors, which are contngent upon the atainment of certain development actvites as outlined in the agreement.</w:t>
      </w:r>
    </w:p>
    <w:p>
      <w:pPr>
        <w:spacing w:after="0" w:line="85"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 also has an opton and license agreement with REGENX under which the Company has an exclusive, sublicensable, worldwide license to make, have made, use, import, sell, and ofer for sale licensed products to treat Wilson disease and CDKL5 defciency. For each disease indicaton, the Company is obligated to pay a nominal annual maintenance fee and up to $9.0 million upon achievement of various milestones, as well as mid- to high single-digit royaltes on net sales of licensed products and mid- single-digit to low double-digit percentage sublicenses fees, if any.</w:t>
      </w:r>
    </w:p>
    <w:p>
      <w:pPr>
        <w:spacing w:after="0" w:line="84"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In March 2020, the Company entered into a license agreement with REGENX, for an exclusive, sublicensable, worldwide license to REGENX’s NAV AAV8 and AAV9 vectors for the development and commercializaton of gene therapy treatments for a rare metabolic disorder. In return for these rights, the Company made an upfront payment of $7.0 million. The Company is obligated to pay nominal annual fees, milestone payments of up to $14.0 million contngent upon achievement, and royaltes on any net sales of products incorporatng the licensed intellectual property that range from a high single-digit to low double-digit royalty.</w:t>
      </w:r>
    </w:p>
    <w:p>
      <w:pPr>
        <w:jc w:val="center"/>
        <w:ind w:right="-19"/>
        <w:spacing w:after="0"/>
        <w:rPr>
          <w:sz w:val="20"/>
          <w:szCs w:val="20"/>
          <w:color w:val="auto"/>
        </w:rPr>
      </w:pPr>
      <w:r>
        <w:rPr>
          <w:rFonts w:ascii="Calibri" w:cs="Calibri" w:eastAsia="Calibri" w:hAnsi="Calibri"/>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9" w:name="page120"/>
    <w:bookmarkEnd w:id="119"/>
    <w:p>
      <w:pPr>
        <w:ind w:left="384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Solid Biosciences, Inc.</w:t>
      </w:r>
    </w:p>
    <w:p>
      <w:pPr>
        <w:spacing w:after="0" w:line="8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In October 2020, the Company entered into a strategic Collaboraton and License Agreement with Solid Biosciences Inc., or Solid, and received an exclusive license for any pharmaceutcal product that expresses Solid’s proprietary microdystrophin construct from AAV8 and variants thereof in clade E for use in the treatment of Duchenne muscular dystrophy and other diseases resultng from lack of functonal dystrophin, including Becker muscular dystrophy. The Company is collaboratng to develop products that combine Solid’s diferentated microdystrophin construct, the Company’s Pinnacle PCL Platorm, and the Company’s AAV8 variants. Solid is providing development support and was granted an exclusive opton to co-invest in products the Company develops for proft-share partcipaton in certain territories. On a product-by-product basis, the Company is obligated to make development milestone payments of up to $25.0 million, regulatory milestone payments of up to $65.0 million, and commercial milestone payments of up to $165.0 million, if such milestones are achieved, as well as royaltes on any net sales of products incorporatng the licensed intellectual property that range from a low to mid-double-digit percentage. The royalty rate changes to mid- to high double-digit percentage if Solid decides to co-invest in the product.</w:t>
      </w:r>
    </w:p>
    <w:p>
      <w:pPr>
        <w:spacing w:after="0" w:line="89" w:lineRule="exact"/>
        <w:rPr>
          <w:sz w:val="20"/>
          <w:szCs w:val="20"/>
          <w:color w:val="auto"/>
        </w:rPr>
      </w:pPr>
    </w:p>
    <w:p>
      <w:pPr>
        <w:jc w:val="both"/>
        <w:ind w:right="180" w:firstLine="509"/>
        <w:spacing w:after="0" w:line="254" w:lineRule="auto"/>
        <w:rPr>
          <w:sz w:val="20"/>
          <w:szCs w:val="20"/>
          <w:color w:val="auto"/>
        </w:rPr>
      </w:pPr>
      <w:r>
        <w:rPr>
          <w:rFonts w:ascii="Calibri" w:cs="Calibri" w:eastAsia="Calibri" w:hAnsi="Calibri"/>
          <w:sz w:val="17"/>
          <w:szCs w:val="17"/>
          <w:color w:val="auto"/>
        </w:rPr>
        <w:t>The Company also entered into a Stock Purchase Agreement and the Investor Agreement with Solid, pursuant to which the Company holds 521,719 shares of Solid's common stock. The Company’s investment in Solid is being accounted at fair value, as the fair value is readily determinable. The Company recorded the common stock investment at $26.8 million on the transacton date, which was based on the quoted market price on the closing date.</w:t>
      </w:r>
    </w:p>
    <w:p>
      <w:pPr>
        <w:spacing w:after="0" w:line="7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Although Solid is a VIE, the Company is not the primary benefciary as it does not have the power to direct the actvites that would most signifcantly impact the economic performance of Solid. Prior to the achievement of certain development milestones, all consideraton paid to Solid represents rights to potental future benefts associated with Solid’s in-process research and development actvites, which have not reached technological feasibility and have no alternatve future use. Accordingly, the remaining $13.2 million of the total $40.0 million paid as consideraton was atributed to the license rights obtained and was recorded as in-process research and development expense during the year ended December 31, 2020.</w:t>
      </w:r>
    </w:p>
    <w:p>
      <w:pPr>
        <w:spacing w:after="0" w:line="6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changes in the fair value of the Company’s investment in Solid’s common stock were as follows (in thousands):</w:t>
      </w:r>
    </w:p>
    <w:p>
      <w:pPr>
        <w:spacing w:after="0" w:line="77" w:lineRule="exact"/>
        <w:rPr>
          <w:sz w:val="20"/>
          <w:szCs w:val="20"/>
          <w:color w:val="auto"/>
        </w:rPr>
      </w:pPr>
    </w:p>
    <w:tbl>
      <w:tblPr>
        <w:tblLayout w:type="fixed"/>
        <w:tblInd w:w="1700" w:type="dxa"/>
        <w:tblCellMar>
          <w:top w:w="0" w:type="dxa"/>
          <w:left w:w="0" w:type="dxa"/>
          <w:bottom w:w="0" w:type="dxa"/>
          <w:right w:w="0" w:type="dxa"/>
        </w:tblCellMar>
      </w:tblPr>
      <w:tr>
        <w:trPr>
          <w:trHeight w:val="220"/>
        </w:trPr>
        <w:tc>
          <w:tcPr>
            <w:tcW w:w="5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gridSpan w:val="2"/>
          </w:tcPr>
          <w:p>
            <w:pPr>
              <w:jc w:val="right"/>
              <w:ind w:right="580"/>
              <w:spacing w:after="0"/>
              <w:rPr>
                <w:sz w:val="20"/>
                <w:szCs w:val="20"/>
                <w:color w:val="auto"/>
              </w:rPr>
            </w:pPr>
            <w:r>
              <w:rPr>
                <w:rFonts w:ascii="Calibri" w:cs="Calibri" w:eastAsia="Calibri" w:hAnsi="Calibri"/>
                <w:sz w:val="18"/>
                <w:szCs w:val="18"/>
                <w:b w:val="1"/>
                <w:bCs w:val="1"/>
                <w:color w:val="auto"/>
              </w:rPr>
              <w:t>Solid Common Stock</w:t>
            </w:r>
          </w:p>
        </w:tc>
      </w:tr>
      <w:tr>
        <w:trPr>
          <w:trHeight w:val="23"/>
        </w:trPr>
        <w:tc>
          <w:tcPr>
            <w:tcW w:w="5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9"/>
        </w:trPr>
        <w:tc>
          <w:tcPr>
            <w:tcW w:w="5300" w:type="dxa"/>
            <w:vAlign w:val="bottom"/>
            <w:shd w:val="clear" w:color="auto" w:fill="CCEEFF"/>
          </w:tcPr>
          <w:p>
            <w:pPr>
              <w:spacing w:after="0" w:line="209" w:lineRule="exact"/>
              <w:rPr>
                <w:sz w:val="20"/>
                <w:szCs w:val="20"/>
                <w:color w:val="auto"/>
              </w:rPr>
            </w:pPr>
            <w:r>
              <w:rPr>
                <w:rFonts w:ascii="Calibri" w:cs="Calibri" w:eastAsia="Calibri" w:hAnsi="Calibri"/>
                <w:sz w:val="18"/>
                <w:szCs w:val="18"/>
                <w:color w:val="auto"/>
              </w:rPr>
              <w:t>December 31, 2022</w:t>
            </w:r>
          </w:p>
        </w:tc>
        <w:tc>
          <w:tcPr>
            <w:tcW w:w="300" w:type="dxa"/>
            <w:vAlign w:val="bottom"/>
            <w:shd w:val="clear" w:color="auto" w:fill="CCECFF"/>
          </w:tcPr>
          <w:p>
            <w:pPr>
              <w:jc w:val="right"/>
              <w:ind w:right="110"/>
              <w:spacing w:after="0" w:line="209" w:lineRule="exact"/>
              <w:rPr>
                <w:sz w:val="20"/>
                <w:szCs w:val="20"/>
                <w:color w:val="auto"/>
              </w:rPr>
            </w:pPr>
            <w:r>
              <w:rPr>
                <w:rFonts w:ascii="Calibri" w:cs="Calibri" w:eastAsia="Calibri" w:hAnsi="Calibri"/>
                <w:sz w:val="18"/>
                <w:szCs w:val="18"/>
                <w:color w:val="auto"/>
                <w:w w:val="87"/>
              </w:rPr>
              <w:t>$</w:t>
            </w:r>
          </w:p>
        </w:tc>
        <w:tc>
          <w:tcPr>
            <w:tcW w:w="2180" w:type="dxa"/>
            <w:vAlign w:val="bottom"/>
            <w:shd w:val="clear" w:color="auto" w:fill="CCECFF"/>
          </w:tcPr>
          <w:p>
            <w:pPr>
              <w:jc w:val="right"/>
              <w:spacing w:after="0" w:line="209" w:lineRule="exact"/>
              <w:rPr>
                <w:sz w:val="20"/>
                <w:szCs w:val="20"/>
                <w:color w:val="auto"/>
              </w:rPr>
            </w:pPr>
            <w:r>
              <w:rPr>
                <w:rFonts w:ascii="Calibri" w:cs="Calibri" w:eastAsia="Calibri" w:hAnsi="Calibri"/>
                <w:sz w:val="18"/>
                <w:szCs w:val="18"/>
                <w:color w:val="auto"/>
              </w:rPr>
              <w:t>2,807</w:t>
            </w:r>
          </w:p>
        </w:tc>
        <w:tc>
          <w:tcPr>
            <w:tcW w:w="80" w:type="dxa"/>
            <w:vAlign w:val="bottom"/>
            <w:shd w:val="clear" w:color="auto" w:fill="CCECFF"/>
          </w:tcPr>
          <w:p>
            <w:pPr>
              <w:spacing w:after="0"/>
              <w:rPr>
                <w:sz w:val="18"/>
                <w:szCs w:val="18"/>
                <w:color w:val="auto"/>
              </w:rPr>
            </w:pPr>
          </w:p>
        </w:tc>
      </w:tr>
      <w:tr>
        <w:trPr>
          <w:trHeight w:val="215"/>
        </w:trPr>
        <w:tc>
          <w:tcPr>
            <w:tcW w:w="5300" w:type="dxa"/>
            <w:vAlign w:val="bottom"/>
          </w:tcPr>
          <w:p>
            <w:pPr>
              <w:ind w:left="100"/>
              <w:spacing w:after="0" w:line="215" w:lineRule="exact"/>
              <w:rPr>
                <w:sz w:val="20"/>
                <w:szCs w:val="20"/>
                <w:color w:val="auto"/>
              </w:rPr>
            </w:pPr>
            <w:r>
              <w:rPr>
                <w:rFonts w:ascii="Calibri" w:cs="Calibri" w:eastAsia="Calibri" w:hAnsi="Calibri"/>
                <w:sz w:val="18"/>
                <w:szCs w:val="18"/>
                <w:color w:val="auto"/>
              </w:rPr>
              <w:t>Change in fair value</w:t>
            </w:r>
          </w:p>
        </w:tc>
        <w:tc>
          <w:tcPr>
            <w:tcW w:w="3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397</w:t>
            </w:r>
          </w:p>
        </w:tc>
        <w:tc>
          <w:tcPr>
            <w:tcW w:w="80" w:type="dxa"/>
            <w:vAlign w:val="bottom"/>
          </w:tcPr>
          <w:p>
            <w:pPr>
              <w:spacing w:after="0"/>
              <w:rPr>
                <w:sz w:val="18"/>
                <w:szCs w:val="18"/>
                <w:color w:val="auto"/>
              </w:rPr>
            </w:pPr>
          </w:p>
        </w:tc>
      </w:tr>
      <w:tr>
        <w:trPr>
          <w:trHeight w:val="210"/>
        </w:trPr>
        <w:tc>
          <w:tcPr>
            <w:tcW w:w="5300" w:type="dxa"/>
            <w:vAlign w:val="bottom"/>
            <w:shd w:val="clear" w:color="auto" w:fill="CCEEFF"/>
          </w:tcPr>
          <w:p>
            <w:pPr>
              <w:spacing w:after="0" w:line="210" w:lineRule="exact"/>
              <w:rPr>
                <w:sz w:val="20"/>
                <w:szCs w:val="20"/>
                <w:color w:val="auto"/>
              </w:rPr>
            </w:pPr>
            <w:r>
              <w:rPr>
                <w:rFonts w:ascii="Calibri" w:cs="Calibri" w:eastAsia="Calibri" w:hAnsi="Calibri"/>
                <w:sz w:val="18"/>
                <w:szCs w:val="18"/>
                <w:color w:val="auto"/>
              </w:rPr>
              <w:t>December 31, 2023</w:t>
            </w:r>
          </w:p>
        </w:tc>
        <w:tc>
          <w:tcPr>
            <w:tcW w:w="30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3,204</w:t>
            </w:r>
          </w:p>
        </w:tc>
        <w:tc>
          <w:tcPr>
            <w:tcW w:w="80" w:type="dxa"/>
            <w:vAlign w:val="bottom"/>
            <w:shd w:val="clear" w:color="auto" w:fill="CCEEFF"/>
          </w:tcPr>
          <w:p>
            <w:pPr>
              <w:spacing w:after="0"/>
              <w:rPr>
                <w:sz w:val="18"/>
                <w:szCs w:val="18"/>
                <w:color w:val="auto"/>
              </w:rPr>
            </w:pPr>
          </w:p>
        </w:tc>
      </w:tr>
      <w:tr>
        <w:trPr>
          <w:trHeight w:val="215"/>
        </w:trPr>
        <w:tc>
          <w:tcPr>
            <w:tcW w:w="5300" w:type="dxa"/>
            <w:vAlign w:val="bottom"/>
          </w:tcPr>
          <w:p>
            <w:pPr>
              <w:ind w:left="100"/>
              <w:spacing w:after="0" w:line="215" w:lineRule="exact"/>
              <w:rPr>
                <w:sz w:val="20"/>
                <w:szCs w:val="20"/>
                <w:color w:val="auto"/>
              </w:rPr>
            </w:pPr>
            <w:r>
              <w:rPr>
                <w:rFonts w:ascii="Calibri" w:cs="Calibri" w:eastAsia="Calibri" w:hAnsi="Calibri"/>
                <w:sz w:val="18"/>
                <w:szCs w:val="18"/>
                <w:color w:val="auto"/>
              </w:rPr>
              <w:t>Change in fair value</w:t>
            </w:r>
          </w:p>
        </w:tc>
        <w:tc>
          <w:tcPr>
            <w:tcW w:w="300" w:type="dxa"/>
            <w:vAlign w:val="bottom"/>
          </w:tcPr>
          <w:p>
            <w:pPr>
              <w:spacing w:after="0"/>
              <w:rPr>
                <w:sz w:val="18"/>
                <w:szCs w:val="18"/>
                <w:color w:val="auto"/>
              </w:rPr>
            </w:pPr>
          </w:p>
        </w:tc>
        <w:tc>
          <w:tcPr>
            <w:tcW w:w="226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(1,115 )</w:t>
            </w:r>
          </w:p>
        </w:tc>
      </w:tr>
      <w:tr>
        <w:trPr>
          <w:trHeight w:val="250"/>
        </w:trPr>
        <w:tc>
          <w:tcPr>
            <w:tcW w:w="5300" w:type="dxa"/>
            <w:vAlign w:val="bottom"/>
            <w:tcBorders>
              <w:bottom w:val="single" w:sz="8" w:color="CCEEFF"/>
            </w:tcBorders>
            <w:shd w:val="clear" w:color="auto" w:fill="CCEEFF"/>
          </w:tcPr>
          <w:p>
            <w:pPr>
              <w:spacing w:after="0" w:line="209" w:lineRule="exact"/>
              <w:rPr>
                <w:sz w:val="20"/>
                <w:szCs w:val="20"/>
                <w:color w:val="auto"/>
              </w:rPr>
            </w:pPr>
            <w:r>
              <w:rPr>
                <w:rFonts w:ascii="Calibri" w:cs="Calibri" w:eastAsia="Calibri" w:hAnsi="Calibri"/>
                <w:sz w:val="18"/>
                <w:szCs w:val="18"/>
                <w:color w:val="auto"/>
              </w:rPr>
              <w:t>December 31, 2024</w:t>
            </w:r>
          </w:p>
        </w:tc>
        <w:tc>
          <w:tcPr>
            <w:tcW w:w="300" w:type="dxa"/>
            <w:vAlign w:val="bottom"/>
            <w:tcBorders>
              <w:top w:val="single" w:sz="8" w:color="auto"/>
              <w:bottom w:val="single" w:sz="8" w:color="auto"/>
            </w:tcBorders>
            <w:shd w:val="clear" w:color="auto" w:fill="CCEEFF"/>
          </w:tcPr>
          <w:p>
            <w:pPr>
              <w:jc w:val="right"/>
              <w:ind w:right="110"/>
              <w:spacing w:after="0" w:line="209" w:lineRule="exact"/>
              <w:rPr>
                <w:sz w:val="20"/>
                <w:szCs w:val="20"/>
                <w:color w:val="auto"/>
              </w:rPr>
            </w:pPr>
            <w:r>
              <w:rPr>
                <w:rFonts w:ascii="Calibri" w:cs="Calibri" w:eastAsia="Calibri" w:hAnsi="Calibri"/>
                <w:sz w:val="18"/>
                <w:szCs w:val="18"/>
                <w:color w:val="auto"/>
                <w:w w:val="87"/>
              </w:rPr>
              <w:t>$</w:t>
            </w:r>
          </w:p>
        </w:tc>
        <w:tc>
          <w:tcPr>
            <w:tcW w:w="2180" w:type="dxa"/>
            <w:vAlign w:val="bottom"/>
            <w:tcBorders>
              <w:top w:val="single" w:sz="8" w:color="auto"/>
              <w:bottom w:val="single" w:sz="8" w:color="auto"/>
            </w:tcBorders>
            <w:shd w:val="clear" w:color="auto" w:fill="CCEEFF"/>
          </w:tcPr>
          <w:p>
            <w:pPr>
              <w:jc w:val="right"/>
              <w:spacing w:after="0" w:line="209" w:lineRule="exact"/>
              <w:rPr>
                <w:sz w:val="20"/>
                <w:szCs w:val="20"/>
                <w:color w:val="auto"/>
              </w:rPr>
            </w:pPr>
            <w:r>
              <w:rPr>
                <w:rFonts w:ascii="Calibri" w:cs="Calibri" w:eastAsia="Calibri" w:hAnsi="Calibri"/>
                <w:sz w:val="18"/>
                <w:szCs w:val="18"/>
                <w:color w:val="auto"/>
              </w:rPr>
              <w:t>2,089</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5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Arcturus Therapeutcs Holdings Inc.</w:t>
      </w:r>
    </w:p>
    <w:p>
      <w:pPr>
        <w:spacing w:after="0" w:line="82" w:lineRule="exact"/>
        <w:rPr>
          <w:sz w:val="20"/>
          <w:szCs w:val="20"/>
          <w:color w:val="auto"/>
        </w:rPr>
      </w:pPr>
    </w:p>
    <w:p>
      <w:pPr>
        <w:jc w:val="both"/>
        <w:ind w:right="140" w:firstLine="509"/>
        <w:spacing w:after="0" w:line="254" w:lineRule="auto"/>
        <w:rPr>
          <w:sz w:val="20"/>
          <w:szCs w:val="20"/>
          <w:color w:val="auto"/>
        </w:rPr>
      </w:pPr>
      <w:r>
        <w:rPr>
          <w:rFonts w:ascii="Calibri" w:cs="Calibri" w:eastAsia="Calibri" w:hAnsi="Calibri"/>
          <w:sz w:val="17"/>
          <w:szCs w:val="17"/>
          <w:color w:val="auto"/>
        </w:rPr>
        <w:t>The Company previously held an investment in shares of common stock from Arcturus Therapeutcs Holdings Inc., or Arcturus, which was accounted at fair value, as the fair value was readily determinable. During the year ended December 31, 2022, the Company sold 500,000 shares of Arcturus common stock, at a weighted-average price of $20.39 per share. As of December 31, 2024 and 2023, the Company held no shares of Arcturus common stock.</w:t>
      </w:r>
    </w:p>
    <w:p>
      <w:pPr>
        <w:spacing w:after="0" w:line="65"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changes in the fair value of the Company’s equity investment in Arcturus were as follows (in thousands):</w:t>
      </w:r>
    </w:p>
    <w:p>
      <w:pPr>
        <w:sectPr>
          <w:pgSz w:w="11900" w:h="16838" w:orient="portrait"/>
          <w:cols w:equalWidth="0" w:num="1">
            <w:col w:w="11220"/>
          </w:cols>
          <w:pgMar w:left="320" w:top="765" w:right="359" w:bottom="1440" w:gutter="0" w:footer="0" w:header="0"/>
        </w:sectPr>
      </w:pPr>
    </w:p>
    <w:p>
      <w:pPr>
        <w:spacing w:after="0" w:line="307" w:lineRule="exact"/>
        <w:rPr>
          <w:sz w:val="20"/>
          <w:szCs w:val="20"/>
          <w:color w:val="auto"/>
        </w:rPr>
      </w:pPr>
    </w:p>
    <w:p>
      <w:pPr>
        <w:ind w:left="1700"/>
        <w:spacing w:after="0"/>
        <w:rPr>
          <w:sz w:val="20"/>
          <w:szCs w:val="20"/>
          <w:color w:val="auto"/>
        </w:rPr>
      </w:pPr>
      <w:r>
        <w:rPr>
          <w:rFonts w:ascii="Calibri" w:cs="Calibri" w:eastAsia="Calibri" w:hAnsi="Calibri"/>
          <w:sz w:val="18"/>
          <w:szCs w:val="18"/>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-121920</wp:posOffset>
            </wp:positionV>
            <wp:extent cx="3368675" cy="13716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54">
                      <a:extLst>
                        <a:ext uri="{28A0092B-C50C-407E-A947-70E740481C1C}"/>
                      </a:extLst>
                    </a:blip>
                    <a:srcRect/>
                    <a:stretch>
                      <a:fillRect/>
                    </a:stretch>
                  </pic:blipFill>
                  <pic:spPr bwMode="auto">
                    <a:xfrm>
                      <a:off x="0" y="0"/>
                      <a:ext cx="3368675" cy="137160"/>
                    </a:xfrm>
                    <a:prstGeom prst="rect">
                      <a:avLst/>
                    </a:prstGeom>
                    <a:noFill/>
                  </pic:spPr>
                </pic:pic>
              </a:graphicData>
            </a:graphic>
          </wp:anchor>
        </w:drawing>
      </w:r>
    </w:p>
    <w:p>
      <w:pPr>
        <w:ind w:left="1800"/>
        <w:spacing w:after="0"/>
        <w:rPr>
          <w:sz w:val="20"/>
          <w:szCs w:val="20"/>
          <w:color w:val="auto"/>
        </w:rPr>
      </w:pPr>
      <w:r>
        <w:rPr>
          <w:rFonts w:ascii="Calibri" w:cs="Calibri" w:eastAsia="Calibri" w:hAnsi="Calibri"/>
          <w:sz w:val="17"/>
          <w:szCs w:val="17"/>
          <w:color w:val="auto"/>
        </w:rPr>
        <w:t>Change in fair value</w:t>
      </w:r>
    </w:p>
    <w:p>
      <w:pPr>
        <w:spacing w:after="0" w:line="4" w:lineRule="exact"/>
        <w:rPr>
          <w:sz w:val="20"/>
          <w:szCs w:val="20"/>
          <w:color w:val="auto"/>
        </w:rPr>
      </w:pPr>
    </w:p>
    <w:p>
      <w:pPr>
        <w:ind w:left="1800"/>
        <w:spacing w:after="0"/>
        <w:rPr>
          <w:sz w:val="20"/>
          <w:szCs w:val="20"/>
          <w:color w:val="auto"/>
        </w:rPr>
      </w:pPr>
      <w:r>
        <w:rPr>
          <w:rFonts w:ascii="Calibri" w:cs="Calibri" w:eastAsia="Calibri" w:hAnsi="Calibri"/>
          <w:sz w:val="18"/>
          <w:szCs w:val="18"/>
          <w:color w:val="auto"/>
        </w:rPr>
        <w:t>Sale of shares</w:t>
      </w:r>
    </w:p>
    <w:p>
      <w:pPr>
        <w:spacing w:after="0" w:line="23" w:lineRule="exact"/>
        <w:rPr>
          <w:sz w:val="20"/>
          <w:szCs w:val="20"/>
          <w:color w:val="auto"/>
        </w:rPr>
      </w:pPr>
    </w:p>
    <w:p>
      <w:pPr>
        <w:ind w:left="1700"/>
        <w:spacing w:after="0"/>
        <w:rPr>
          <w:sz w:val="20"/>
          <w:szCs w:val="20"/>
          <w:color w:val="auto"/>
        </w:rPr>
      </w:pPr>
      <w:r>
        <w:rPr>
          <w:rFonts w:ascii="Calibri" w:cs="Calibri" w:eastAsia="Calibri" w:hAnsi="Calibri"/>
          <w:sz w:val="18"/>
          <w:szCs w:val="18"/>
          <w:color w:val="auto"/>
        </w:rPr>
        <w:t>December 31, 2022</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220" w:type="dxa"/>
            <w:vAlign w:val="bottom"/>
          </w:tcPr>
          <w:p>
            <w:pPr>
              <w:spacing w:after="0"/>
              <w:rPr>
                <w:sz w:val="19"/>
                <w:szCs w:val="19"/>
                <w:color w:val="auto"/>
              </w:rPr>
            </w:pPr>
          </w:p>
        </w:tc>
        <w:tc>
          <w:tcPr>
            <w:tcW w:w="2340" w:type="dxa"/>
            <w:vAlign w:val="bottom"/>
            <w:gridSpan w:val="2"/>
          </w:tcPr>
          <w:p>
            <w:pPr>
              <w:jc w:val="right"/>
              <w:ind w:right="440"/>
              <w:spacing w:after="0"/>
              <w:rPr>
                <w:sz w:val="20"/>
                <w:szCs w:val="20"/>
                <w:color w:val="auto"/>
              </w:rPr>
            </w:pPr>
            <w:r>
              <w:rPr>
                <w:rFonts w:ascii="Calibri" w:cs="Calibri" w:eastAsia="Calibri" w:hAnsi="Calibri"/>
                <w:sz w:val="18"/>
                <w:szCs w:val="18"/>
                <w:b w:val="1"/>
                <w:bCs w:val="1"/>
                <w:color w:val="auto"/>
              </w:rPr>
              <w:t>Arcturus Common Stock</w:t>
            </w:r>
          </w:p>
        </w:tc>
        <w:tc>
          <w:tcPr>
            <w:tcW w:w="0" w:type="dxa"/>
            <w:vAlign w:val="bottom"/>
          </w:tcPr>
          <w:p>
            <w:pPr>
              <w:spacing w:after="0"/>
              <w:rPr>
                <w:sz w:val="1"/>
                <w:szCs w:val="1"/>
                <w:color w:val="auto"/>
              </w:rPr>
            </w:pPr>
          </w:p>
        </w:tc>
      </w:tr>
      <w:tr>
        <w:trPr>
          <w:trHeight w:val="23"/>
        </w:trPr>
        <w:tc>
          <w:tcPr>
            <w:tcW w:w="2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20" w:type="dxa"/>
            <w:vAlign w:val="bottom"/>
            <w:shd w:val="clear" w:color="auto" w:fill="CCECFF"/>
          </w:tcPr>
          <w:p>
            <w:pPr>
              <w:jc w:val="right"/>
              <w:ind w:right="30"/>
              <w:spacing w:after="0" w:line="209" w:lineRule="exact"/>
              <w:rPr>
                <w:sz w:val="20"/>
                <w:szCs w:val="20"/>
                <w:color w:val="auto"/>
              </w:rPr>
            </w:pPr>
            <w:r>
              <w:rPr>
                <w:rFonts w:ascii="Calibri" w:cs="Calibri" w:eastAsia="Calibri" w:hAnsi="Calibri"/>
                <w:sz w:val="18"/>
                <w:szCs w:val="18"/>
                <w:color w:val="auto"/>
                <w:w w:val="87"/>
              </w:rPr>
              <w:t>$</w:t>
            </w:r>
          </w:p>
        </w:tc>
        <w:tc>
          <w:tcPr>
            <w:tcW w:w="2260" w:type="dxa"/>
            <w:vAlign w:val="bottom"/>
            <w:shd w:val="clear" w:color="auto" w:fill="CCECFF"/>
          </w:tcPr>
          <w:p>
            <w:pPr>
              <w:jc w:val="right"/>
              <w:spacing w:after="0" w:line="209" w:lineRule="exact"/>
              <w:rPr>
                <w:sz w:val="20"/>
                <w:szCs w:val="20"/>
                <w:color w:val="auto"/>
              </w:rPr>
            </w:pPr>
            <w:r>
              <w:rPr>
                <w:rFonts w:ascii="Calibri" w:cs="Calibri" w:eastAsia="Calibri" w:hAnsi="Calibri"/>
                <w:sz w:val="18"/>
                <w:szCs w:val="18"/>
                <w:color w:val="auto"/>
              </w:rPr>
              <w:t>18,505</w:t>
            </w:r>
          </w:p>
        </w:tc>
        <w:tc>
          <w:tcPr>
            <w:tcW w:w="8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2340" w:type="dxa"/>
            <w:vAlign w:val="bottom"/>
            <w:gridSpan w:val="2"/>
          </w:tcPr>
          <w:p>
            <w:pPr>
              <w:jc w:val="right"/>
              <w:ind w:right="20"/>
              <w:spacing w:after="0" w:line="194" w:lineRule="exact"/>
              <w:rPr>
                <w:sz w:val="20"/>
                <w:szCs w:val="20"/>
                <w:color w:val="auto"/>
              </w:rPr>
            </w:pPr>
            <w:r>
              <w:rPr>
                <w:rFonts w:ascii="Calibri" w:cs="Calibri" w:eastAsia="Calibri" w:hAnsi="Calibri"/>
                <w:sz w:val="18"/>
                <w:szCs w:val="18"/>
                <w:color w:val="auto"/>
              </w:rPr>
              <w:t>(8,411 )</w:t>
            </w: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234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(10,094 )</w:t>
            </w:r>
          </w:p>
        </w:tc>
        <w:tc>
          <w:tcPr>
            <w:tcW w:w="0" w:type="dxa"/>
            <w:vAlign w:val="bottom"/>
          </w:tcPr>
          <w:p>
            <w:pPr>
              <w:spacing w:after="0"/>
              <w:rPr>
                <w:sz w:val="1"/>
                <w:szCs w:val="1"/>
                <w:color w:val="auto"/>
              </w:rPr>
            </w:pPr>
          </w:p>
        </w:tc>
      </w:tr>
      <w:tr>
        <w:trPr>
          <w:trHeight w:val="23"/>
        </w:trPr>
        <w:tc>
          <w:tcPr>
            <w:tcW w:w="2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20" w:type="dxa"/>
            <w:vAlign w:val="bottom"/>
            <w:tcBorders>
              <w:bottom w:val="single" w:sz="8" w:color="auto"/>
            </w:tcBorders>
          </w:tcPr>
          <w:p>
            <w:pPr>
              <w:jc w:val="right"/>
              <w:ind w:right="30"/>
              <w:spacing w:after="0" w:line="209" w:lineRule="exact"/>
              <w:rPr>
                <w:sz w:val="20"/>
                <w:szCs w:val="20"/>
                <w:color w:val="auto"/>
              </w:rPr>
            </w:pPr>
            <w:r>
              <w:rPr>
                <w:rFonts w:ascii="Calibri" w:cs="Calibri" w:eastAsia="Calibri" w:hAnsi="Calibri"/>
                <w:sz w:val="18"/>
                <w:szCs w:val="18"/>
                <w:color w:val="auto"/>
                <w:w w:val="87"/>
              </w:rPr>
              <w:t>$</w:t>
            </w:r>
          </w:p>
        </w:tc>
        <w:tc>
          <w:tcPr>
            <w:tcW w:w="22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-3368040</wp:posOffset>
            </wp:positionH>
            <wp:positionV relativeFrom="paragraph">
              <wp:posOffset>-307975</wp:posOffset>
            </wp:positionV>
            <wp:extent cx="4989195" cy="14605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55">
                      <a:extLst>
                        <a:ext uri="{28A0092B-C50C-407E-A947-70E740481C1C}"/>
                      </a:extLst>
                    </a:blip>
                    <a:srcRect/>
                    <a:stretch>
                      <a:fillRect/>
                    </a:stretch>
                  </pic:blipFill>
                  <pic:spPr bwMode="auto">
                    <a:xfrm>
                      <a:off x="0" y="0"/>
                      <a:ext cx="498919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80" w:space="720"/>
            <w:col w:w="4220"/>
          </w:cols>
          <w:pgMar w:left="320" w:top="765" w:right="359" w:bottom="1440" w:gutter="0" w:footer="0" w:header="0"/>
          <w:type w:val="continuous"/>
        </w:sectPr>
      </w:pPr>
    </w:p>
    <w:p>
      <w:pPr>
        <w:spacing w:after="0" w:line="29" w:lineRule="exact"/>
        <w:rPr>
          <w:sz w:val="20"/>
          <w:szCs w:val="20"/>
          <w:color w:val="auto"/>
        </w:rPr>
      </w:pPr>
    </w:p>
    <w:p>
      <w:pPr>
        <w:ind w:left="520" w:hanging="512"/>
        <w:spacing w:after="0"/>
        <w:tabs>
          <w:tab w:leader="none" w:pos="520" w:val="left"/>
        </w:tabs>
        <w:numPr>
          <w:ilvl w:val="0"/>
          <w:numId w:val="49"/>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Leases</w:t>
      </w:r>
    </w:p>
    <w:p>
      <w:pPr>
        <w:spacing w:after="0" w:line="8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The Company leases ofce space and research, testng and manufacturing laboratory space in various facilites in Novato and Brisbane, California, in Somerville and Woburn, Massachusets, and in certain foreign countries, under operatng agreements expiring at various dates through 2029. Certain lease agreements include optons for the Company to extend the lease for multple renewal periods and provide for annual minimum increases in rent, usually based on a consumer price index or annual minimum increases. None of these optonal periods have been considered in the determinaton of the right-of-use lease asset or the lease liability for the leases as the Company did not consider it reasonably certain that it would exercise any such optons. The Company recognizes lease expense on a straight-line basis over the non-cancelable term of its operatng leases. The variable lease expense primarily consists of common area maintenance and other operatng costs.</w:t>
      </w:r>
    </w:p>
    <w:p>
      <w:pPr>
        <w:spacing w:after="0" w:line="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type w:val="continuous"/>
        </w:sectPr>
      </w:pPr>
    </w:p>
    <w:bookmarkStart w:id="120" w:name="page121"/>
    <w:bookmarkEnd w:id="120"/>
    <w:p>
      <w:pPr>
        <w:ind w:left="384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57" w:lineRule="exact"/>
        <w:rPr>
          <w:sz w:val="20"/>
          <w:szCs w:val="20"/>
          <w:color w:val="auto"/>
        </w:rPr>
      </w:pPr>
    </w:p>
    <w:tbl>
      <w:tblPr>
        <w:tblLayout w:type="fixed"/>
        <w:tblInd w:w="520" w:type="dxa"/>
        <w:tblCellMar>
          <w:top w:w="0" w:type="dxa"/>
          <w:left w:w="0" w:type="dxa"/>
          <w:bottom w:w="0" w:type="dxa"/>
          <w:right w:w="0" w:type="dxa"/>
        </w:tblCellMar>
      </w:tblPr>
      <w:tr>
        <w:trPr>
          <w:trHeight w:val="220"/>
        </w:trPr>
        <w:tc>
          <w:tcPr>
            <w:tcW w:w="5480" w:type="dxa"/>
            <w:vAlign w:val="bottom"/>
            <w:gridSpan w:val="2"/>
          </w:tcPr>
          <w:p>
            <w:pPr>
              <w:spacing w:after="0"/>
              <w:rPr>
                <w:sz w:val="20"/>
                <w:szCs w:val="20"/>
                <w:color w:val="auto"/>
              </w:rPr>
            </w:pPr>
            <w:r>
              <w:rPr>
                <w:rFonts w:ascii="Calibri" w:cs="Calibri" w:eastAsia="Calibri" w:hAnsi="Calibri"/>
                <w:sz w:val="18"/>
                <w:szCs w:val="18"/>
                <w:color w:val="auto"/>
              </w:rPr>
              <w:t>The components of lease expense were as follows (in thousands):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97"/>
        </w:trPr>
        <w:tc>
          <w:tcPr>
            <w:tcW w:w="6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6"/>
          </w:tcPr>
          <w:p>
            <w:pPr>
              <w:jc w:val="right"/>
              <w:ind w:right="120"/>
              <w:spacing w:after="0"/>
              <w:rPr>
                <w:sz w:val="20"/>
                <w:szCs w:val="20"/>
                <w:color w:val="auto"/>
              </w:rPr>
            </w:pPr>
            <w:r>
              <w:rPr>
                <w:rFonts w:ascii="Calibri" w:cs="Calibri" w:eastAsia="Calibri" w:hAnsi="Calibri"/>
                <w:sz w:val="18"/>
                <w:szCs w:val="18"/>
                <w:b w:val="1"/>
                <w:bCs w:val="1"/>
                <w:color w:val="auto"/>
              </w:rPr>
              <w:t>Year Ended December 31,</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
        </w:trPr>
        <w:tc>
          <w:tcPr>
            <w:tcW w:w="6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9"/>
        </w:trPr>
        <w:tc>
          <w:tcPr>
            <w:tcW w:w="6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line="209" w:lineRule="exact"/>
              <w:rPr>
                <w:sz w:val="20"/>
                <w:szCs w:val="20"/>
                <w:color w:val="auto"/>
              </w:rPr>
            </w:pPr>
            <w:r>
              <w:rPr>
                <w:rFonts w:ascii="Calibri" w:cs="Calibri" w:eastAsia="Calibri" w:hAnsi="Calibri"/>
                <w:sz w:val="18"/>
                <w:szCs w:val="18"/>
                <w:b w:val="1"/>
                <w:bCs w:val="1"/>
                <w:color w:val="auto"/>
              </w:rPr>
              <w:t>2024</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line="209" w:lineRule="exact"/>
              <w:rPr>
                <w:sz w:val="20"/>
                <w:szCs w:val="20"/>
                <w:color w:val="auto"/>
              </w:rPr>
            </w:pPr>
            <w:r>
              <w:rPr>
                <w:rFonts w:ascii="Calibri" w:cs="Calibri" w:eastAsia="Calibri" w:hAnsi="Calibri"/>
                <w:sz w:val="18"/>
                <w:szCs w:val="18"/>
                <w:b w:val="1"/>
                <w:bCs w:val="1"/>
                <w:color w:val="auto"/>
              </w:rPr>
              <w:t>2023</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0"/>
              <w:spacing w:after="0" w:line="209" w:lineRule="exact"/>
              <w:rPr>
                <w:sz w:val="20"/>
                <w:szCs w:val="20"/>
                <w:color w:val="auto"/>
              </w:rPr>
            </w:pPr>
            <w:r>
              <w:rPr>
                <w:rFonts w:ascii="Calibri" w:cs="Calibri" w:eastAsia="Calibri" w:hAnsi="Calibri"/>
                <w:sz w:val="18"/>
                <w:szCs w:val="18"/>
                <w:b w:val="1"/>
                <w:bCs w:val="1"/>
                <w:color w:val="auto"/>
              </w:rPr>
              <w:t>2022</w:t>
            </w:r>
          </w:p>
        </w:tc>
        <w:tc>
          <w:tcPr>
            <w:tcW w:w="80" w:type="dxa"/>
            <w:vAlign w:val="bottom"/>
          </w:tcPr>
          <w:p>
            <w:pPr>
              <w:spacing w:after="0"/>
              <w:rPr>
                <w:sz w:val="18"/>
                <w:szCs w:val="18"/>
                <w:color w:val="auto"/>
              </w:rPr>
            </w:pPr>
          </w:p>
        </w:tc>
      </w:tr>
      <w:tr>
        <w:trPr>
          <w:trHeight w:val="210"/>
        </w:trPr>
        <w:tc>
          <w:tcPr>
            <w:tcW w:w="620" w:type="dxa"/>
            <w:vAlign w:val="bottom"/>
          </w:tcPr>
          <w:p>
            <w:pPr>
              <w:spacing w:after="0"/>
              <w:rPr>
                <w:sz w:val="18"/>
                <w:szCs w:val="18"/>
                <w:color w:val="auto"/>
              </w:rPr>
            </w:pPr>
          </w:p>
        </w:tc>
        <w:tc>
          <w:tcPr>
            <w:tcW w:w="4860" w:type="dxa"/>
            <w:vAlign w:val="bottom"/>
            <w:shd w:val="clear" w:color="auto" w:fill="CCECFF"/>
          </w:tcPr>
          <w:p>
            <w:pPr>
              <w:spacing w:after="0" w:line="210" w:lineRule="exact"/>
              <w:rPr>
                <w:sz w:val="20"/>
                <w:szCs w:val="20"/>
                <w:color w:val="auto"/>
              </w:rPr>
            </w:pPr>
            <w:r>
              <w:rPr>
                <w:rFonts w:ascii="Calibri" w:cs="Calibri" w:eastAsia="Calibri" w:hAnsi="Calibri"/>
                <w:sz w:val="18"/>
                <w:szCs w:val="18"/>
                <w:color w:val="auto"/>
              </w:rPr>
              <w:t>Operatng lease expense</w:t>
            </w:r>
          </w:p>
        </w:tc>
        <w:tc>
          <w:tcPr>
            <w:tcW w:w="280" w:type="dxa"/>
            <w:vAlign w:val="bottom"/>
            <w:shd w:val="clear" w:color="auto" w:fill="CCECFF"/>
          </w:tcPr>
          <w:p>
            <w:pPr>
              <w:jc w:val="right"/>
              <w:ind w:right="90"/>
              <w:spacing w:after="0" w:line="210" w:lineRule="exact"/>
              <w:rPr>
                <w:sz w:val="20"/>
                <w:szCs w:val="20"/>
                <w:color w:val="auto"/>
              </w:rPr>
            </w:pPr>
            <w:r>
              <w:rPr>
                <w:rFonts w:ascii="Calibri" w:cs="Calibri" w:eastAsia="Calibri" w:hAnsi="Calibri"/>
                <w:sz w:val="18"/>
                <w:szCs w:val="18"/>
                <w:color w:val="auto"/>
                <w:w w:val="87"/>
              </w:rPr>
              <w:t>$</w:t>
            </w:r>
          </w:p>
        </w:tc>
        <w:tc>
          <w:tcPr>
            <w:tcW w:w="100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11,985</w:t>
            </w:r>
          </w:p>
        </w:tc>
        <w:tc>
          <w:tcPr>
            <w:tcW w:w="340" w:type="dxa"/>
            <w:vAlign w:val="bottom"/>
            <w:gridSpan w:val="2"/>
            <w:shd w:val="clear" w:color="auto" w:fill="CCECFF"/>
          </w:tcPr>
          <w:p>
            <w:pPr>
              <w:jc w:val="right"/>
              <w:ind w:right="160"/>
              <w:spacing w:after="0" w:line="210" w:lineRule="exact"/>
              <w:rPr>
                <w:sz w:val="20"/>
                <w:szCs w:val="20"/>
                <w:color w:val="auto"/>
              </w:rPr>
            </w:pPr>
            <w:r>
              <w:rPr>
                <w:rFonts w:ascii="Calibri" w:cs="Calibri" w:eastAsia="Calibri" w:hAnsi="Calibri"/>
                <w:sz w:val="18"/>
                <w:szCs w:val="18"/>
                <w:color w:val="auto"/>
              </w:rPr>
              <w:t>$</w:t>
            </w:r>
          </w:p>
        </w:tc>
        <w:tc>
          <w:tcPr>
            <w:tcW w:w="100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12,883</w:t>
            </w:r>
          </w:p>
        </w:tc>
        <w:tc>
          <w:tcPr>
            <w:tcW w:w="440" w:type="dxa"/>
            <w:vAlign w:val="bottom"/>
            <w:gridSpan w:val="2"/>
            <w:shd w:val="clear" w:color="auto" w:fill="CCECFF"/>
          </w:tcPr>
          <w:p>
            <w:pPr>
              <w:jc w:val="right"/>
              <w:ind w:right="260"/>
              <w:spacing w:after="0" w:line="210" w:lineRule="exact"/>
              <w:rPr>
                <w:sz w:val="20"/>
                <w:szCs w:val="20"/>
                <w:color w:val="auto"/>
              </w:rPr>
            </w:pPr>
            <w:r>
              <w:rPr>
                <w:rFonts w:ascii="Calibri" w:cs="Calibri" w:eastAsia="Calibri" w:hAnsi="Calibri"/>
                <w:sz w:val="18"/>
                <w:szCs w:val="18"/>
                <w:color w:val="auto"/>
              </w:rPr>
              <w:t>$</w:t>
            </w:r>
          </w:p>
        </w:tc>
        <w:tc>
          <w:tcPr>
            <w:tcW w:w="98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11,775</w:t>
            </w:r>
          </w:p>
        </w:tc>
        <w:tc>
          <w:tcPr>
            <w:tcW w:w="80" w:type="dxa"/>
            <w:vAlign w:val="bottom"/>
            <w:shd w:val="clear" w:color="auto" w:fill="CCECFF"/>
          </w:tcPr>
          <w:p>
            <w:pPr>
              <w:spacing w:after="0"/>
              <w:rPr>
                <w:sz w:val="18"/>
                <w:szCs w:val="18"/>
                <w:color w:val="auto"/>
              </w:rPr>
            </w:pPr>
          </w:p>
        </w:tc>
      </w:tr>
      <w:tr>
        <w:trPr>
          <w:trHeight w:val="215"/>
        </w:trPr>
        <w:tc>
          <w:tcPr>
            <w:tcW w:w="620" w:type="dxa"/>
            <w:vAlign w:val="bottom"/>
          </w:tcPr>
          <w:p>
            <w:pPr>
              <w:spacing w:after="0"/>
              <w:rPr>
                <w:sz w:val="18"/>
                <w:szCs w:val="18"/>
                <w:color w:val="auto"/>
              </w:rPr>
            </w:pPr>
          </w:p>
        </w:tc>
        <w:tc>
          <w:tcPr>
            <w:tcW w:w="4860" w:type="dxa"/>
            <w:vAlign w:val="bottom"/>
          </w:tcPr>
          <w:p>
            <w:pPr>
              <w:spacing w:after="0" w:line="215" w:lineRule="exact"/>
              <w:rPr>
                <w:sz w:val="20"/>
                <w:szCs w:val="20"/>
                <w:color w:val="auto"/>
              </w:rPr>
            </w:pPr>
            <w:r>
              <w:rPr>
                <w:rFonts w:ascii="Calibri" w:cs="Calibri" w:eastAsia="Calibri" w:hAnsi="Calibri"/>
                <w:sz w:val="18"/>
                <w:szCs w:val="18"/>
                <w:color w:val="auto"/>
              </w:rPr>
              <w:t>Variable lease expense</w:t>
            </w:r>
          </w:p>
        </w:tc>
        <w:tc>
          <w:tcPr>
            <w:tcW w:w="28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5,893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5,272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4,785</w:t>
            </w:r>
          </w:p>
        </w:tc>
        <w:tc>
          <w:tcPr>
            <w:tcW w:w="80" w:type="dxa"/>
            <w:vAlign w:val="bottom"/>
          </w:tcPr>
          <w:p>
            <w:pPr>
              <w:spacing w:after="0"/>
              <w:rPr>
                <w:sz w:val="18"/>
                <w:szCs w:val="18"/>
                <w:color w:val="auto"/>
              </w:rPr>
            </w:pPr>
          </w:p>
        </w:tc>
      </w:tr>
      <w:tr>
        <w:trPr>
          <w:trHeight w:val="217"/>
        </w:trPr>
        <w:tc>
          <w:tcPr>
            <w:tcW w:w="620" w:type="dxa"/>
            <w:vAlign w:val="bottom"/>
          </w:tcPr>
          <w:p>
            <w:pPr>
              <w:spacing w:after="0"/>
              <w:rPr>
                <w:sz w:val="18"/>
                <w:szCs w:val="18"/>
                <w:color w:val="auto"/>
              </w:rPr>
            </w:pPr>
          </w:p>
        </w:tc>
        <w:tc>
          <w:tcPr>
            <w:tcW w:w="4860" w:type="dxa"/>
            <w:vAlign w:val="bottom"/>
            <w:shd w:val="clear" w:color="auto" w:fill="CCECFF"/>
          </w:tcPr>
          <w:p>
            <w:pPr>
              <w:spacing w:after="0" w:line="216" w:lineRule="exact"/>
              <w:rPr>
                <w:sz w:val="20"/>
                <w:szCs w:val="20"/>
                <w:color w:val="auto"/>
              </w:rPr>
            </w:pPr>
            <w:r>
              <w:rPr>
                <w:rFonts w:ascii="Calibri" w:cs="Calibri" w:eastAsia="Calibri" w:hAnsi="Calibri"/>
                <w:sz w:val="18"/>
                <w:szCs w:val="18"/>
                <w:color w:val="auto"/>
              </w:rPr>
              <w:t>Financing:</w:t>
            </w:r>
          </w:p>
        </w:tc>
        <w:tc>
          <w:tcPr>
            <w:tcW w:w="280" w:type="dxa"/>
            <w:vAlign w:val="bottom"/>
            <w:shd w:val="clear" w:color="auto" w:fill="CCECFF"/>
          </w:tcPr>
          <w:p>
            <w:pPr>
              <w:spacing w:after="0"/>
              <w:rPr>
                <w:sz w:val="18"/>
                <w:szCs w:val="18"/>
                <w:color w:val="auto"/>
              </w:rPr>
            </w:pPr>
          </w:p>
        </w:tc>
        <w:tc>
          <w:tcPr>
            <w:tcW w:w="100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0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98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r>
      <w:tr>
        <w:trPr>
          <w:trHeight w:val="215"/>
        </w:trPr>
        <w:tc>
          <w:tcPr>
            <w:tcW w:w="620" w:type="dxa"/>
            <w:vAlign w:val="bottom"/>
          </w:tcPr>
          <w:p>
            <w:pPr>
              <w:spacing w:after="0"/>
              <w:rPr>
                <w:sz w:val="18"/>
                <w:szCs w:val="18"/>
                <w:color w:val="auto"/>
              </w:rPr>
            </w:pPr>
          </w:p>
        </w:tc>
        <w:tc>
          <w:tcPr>
            <w:tcW w:w="4860" w:type="dxa"/>
            <w:vAlign w:val="bottom"/>
          </w:tcPr>
          <w:p>
            <w:pPr>
              <w:ind w:left="160"/>
              <w:spacing w:after="0" w:line="215" w:lineRule="exact"/>
              <w:rPr>
                <w:sz w:val="20"/>
                <w:szCs w:val="20"/>
                <w:color w:val="auto"/>
              </w:rPr>
            </w:pPr>
            <w:r>
              <w:rPr>
                <w:rFonts w:ascii="Calibri" w:cs="Calibri" w:eastAsia="Calibri" w:hAnsi="Calibri"/>
                <w:sz w:val="18"/>
                <w:szCs w:val="18"/>
                <w:color w:val="auto"/>
              </w:rPr>
              <w:t>Amortzaton</w:t>
            </w:r>
          </w:p>
        </w:tc>
        <w:tc>
          <w:tcPr>
            <w:tcW w:w="28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line="215" w:lineRule="exact"/>
              <w:rPr>
                <w:sz w:val="20"/>
                <w:szCs w:val="20"/>
                <w:color w:val="auto"/>
              </w:rPr>
            </w:pPr>
            <w:r>
              <w:rPr>
                <w:rFonts w:ascii="Calibri" w:cs="Calibri" w:eastAsia="Calibri" w:hAnsi="Calibri"/>
                <w:sz w:val="18"/>
                <w:szCs w:val="18"/>
                <w:color w:val="auto"/>
              </w:rPr>
              <w:t>203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343</w:t>
            </w:r>
          </w:p>
        </w:tc>
        <w:tc>
          <w:tcPr>
            <w:tcW w:w="8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4860" w:type="dxa"/>
            <w:vAlign w:val="bottom"/>
            <w:tcBorders>
              <w:bottom w:val="single" w:sz="8" w:color="CCECFF"/>
            </w:tcBorders>
            <w:shd w:val="clear" w:color="auto" w:fill="CCECFF"/>
          </w:tcPr>
          <w:p>
            <w:pPr>
              <w:ind w:left="160"/>
              <w:spacing w:after="0" w:line="216" w:lineRule="exact"/>
              <w:rPr>
                <w:sz w:val="20"/>
                <w:szCs w:val="20"/>
                <w:color w:val="auto"/>
              </w:rPr>
            </w:pPr>
            <w:r>
              <w:rPr>
                <w:rFonts w:ascii="Calibri" w:cs="Calibri" w:eastAsia="Calibri" w:hAnsi="Calibri"/>
                <w:sz w:val="18"/>
                <w:szCs w:val="18"/>
                <w:color w:val="auto"/>
              </w:rPr>
              <w:t>Interest expense</w:t>
            </w:r>
          </w:p>
        </w:tc>
        <w:tc>
          <w:tcPr>
            <w:tcW w:w="280" w:type="dxa"/>
            <w:vAlign w:val="bottom"/>
            <w:tcBorders>
              <w:bottom w:val="single" w:sz="8" w:color="auto"/>
            </w:tcBorders>
            <w:shd w:val="clear" w:color="auto" w:fill="CCECFF"/>
          </w:tcPr>
          <w:p>
            <w:pPr>
              <w:spacing w:after="0"/>
              <w:rPr>
                <w:sz w:val="18"/>
                <w:szCs w:val="18"/>
                <w:color w:val="auto"/>
              </w:rPr>
            </w:pPr>
          </w:p>
        </w:tc>
        <w:tc>
          <w:tcPr>
            <w:tcW w:w="1000" w:type="dxa"/>
            <w:vAlign w:val="bottom"/>
            <w:tcBorders>
              <w:bottom w:val="single" w:sz="8" w:color="auto"/>
            </w:tcBorders>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w:t>
            </w:r>
          </w:p>
        </w:tc>
        <w:tc>
          <w:tcPr>
            <w:tcW w:w="8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spacing w:after="0"/>
              <w:rPr>
                <w:sz w:val="18"/>
                <w:szCs w:val="18"/>
                <w:color w:val="auto"/>
              </w:rPr>
            </w:pPr>
          </w:p>
        </w:tc>
        <w:tc>
          <w:tcPr>
            <w:tcW w:w="1000" w:type="dxa"/>
            <w:vAlign w:val="bottom"/>
            <w:tcBorders>
              <w:bottom w:val="single" w:sz="8" w:color="auto"/>
            </w:tcBorders>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w:t>
            </w:r>
          </w:p>
        </w:tc>
        <w:tc>
          <w:tcPr>
            <w:tcW w:w="80" w:type="dxa"/>
            <w:vAlign w:val="bottom"/>
            <w:tcBorders>
              <w:bottom w:val="single" w:sz="8" w:color="CCECFF"/>
            </w:tcBorders>
            <w:shd w:val="clear" w:color="auto" w:fill="CCECFF"/>
          </w:tcPr>
          <w:p>
            <w:pPr>
              <w:spacing w:after="0"/>
              <w:rPr>
                <w:sz w:val="18"/>
                <w:szCs w:val="18"/>
                <w:color w:val="auto"/>
              </w:rPr>
            </w:pPr>
          </w:p>
        </w:tc>
        <w:tc>
          <w:tcPr>
            <w:tcW w:w="360" w:type="dxa"/>
            <w:vAlign w:val="bottom"/>
            <w:tcBorders>
              <w:bottom w:val="single" w:sz="8" w:color="auto"/>
            </w:tcBorders>
            <w:shd w:val="clear" w:color="auto" w:fill="CCECFF"/>
          </w:tcPr>
          <w:p>
            <w:pPr>
              <w:spacing w:after="0"/>
              <w:rPr>
                <w:sz w:val="18"/>
                <w:szCs w:val="18"/>
                <w:color w:val="auto"/>
              </w:rPr>
            </w:pPr>
          </w:p>
        </w:tc>
        <w:tc>
          <w:tcPr>
            <w:tcW w:w="980" w:type="dxa"/>
            <w:vAlign w:val="bottom"/>
            <w:tcBorders>
              <w:bottom w:val="single" w:sz="8" w:color="auto"/>
            </w:tcBorders>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37</w:t>
            </w:r>
          </w:p>
        </w:tc>
        <w:tc>
          <w:tcPr>
            <w:tcW w:w="80" w:type="dxa"/>
            <w:vAlign w:val="bottom"/>
            <w:tcBorders>
              <w:bottom w:val="single" w:sz="8" w:color="CCECFF"/>
            </w:tcBorders>
            <w:shd w:val="clear" w:color="auto" w:fill="CCECFF"/>
          </w:tcPr>
          <w:p>
            <w:pPr>
              <w:spacing w:after="0"/>
              <w:rPr>
                <w:sz w:val="18"/>
                <w:szCs w:val="18"/>
                <w:color w:val="auto"/>
              </w:rPr>
            </w:pPr>
          </w:p>
        </w:tc>
      </w:tr>
      <w:tr>
        <w:trPr>
          <w:trHeight w:val="210"/>
        </w:trPr>
        <w:tc>
          <w:tcPr>
            <w:tcW w:w="620" w:type="dxa"/>
            <w:vAlign w:val="bottom"/>
          </w:tcPr>
          <w:p>
            <w:pPr>
              <w:spacing w:after="0"/>
              <w:rPr>
                <w:sz w:val="18"/>
                <w:szCs w:val="18"/>
                <w:color w:val="auto"/>
              </w:rPr>
            </w:pPr>
          </w:p>
        </w:tc>
        <w:tc>
          <w:tcPr>
            <w:tcW w:w="4860" w:type="dxa"/>
            <w:vAlign w:val="bottom"/>
          </w:tcPr>
          <w:p>
            <w:pPr>
              <w:ind w:left="320"/>
              <w:spacing w:after="0" w:line="210" w:lineRule="exact"/>
              <w:rPr>
                <w:sz w:val="20"/>
                <w:szCs w:val="20"/>
                <w:color w:val="auto"/>
              </w:rPr>
            </w:pPr>
            <w:r>
              <w:rPr>
                <w:rFonts w:ascii="Calibri" w:cs="Calibri" w:eastAsia="Calibri" w:hAnsi="Calibri"/>
                <w:sz w:val="18"/>
                <w:szCs w:val="18"/>
                <w:color w:val="auto"/>
              </w:rPr>
              <w:t>Total</w:t>
            </w:r>
          </w:p>
        </w:tc>
        <w:tc>
          <w:tcPr>
            <w:tcW w:w="280" w:type="dxa"/>
            <w:vAlign w:val="bottom"/>
          </w:tcPr>
          <w:p>
            <w:pPr>
              <w:jc w:val="right"/>
              <w:ind w:right="90"/>
              <w:spacing w:after="0" w:line="210" w:lineRule="exact"/>
              <w:rPr>
                <w:sz w:val="20"/>
                <w:szCs w:val="20"/>
                <w:color w:val="auto"/>
              </w:rPr>
            </w:pPr>
            <w:r>
              <w:rPr>
                <w:rFonts w:ascii="Calibri" w:cs="Calibri" w:eastAsia="Calibri" w:hAnsi="Calibri"/>
                <w:sz w:val="18"/>
                <w:szCs w:val="18"/>
                <w:color w:val="auto"/>
                <w:w w:val="87"/>
              </w:rPr>
              <w:t>$</w:t>
            </w:r>
          </w:p>
        </w:tc>
        <w:tc>
          <w:tcPr>
            <w:tcW w:w="1000" w:type="dxa"/>
            <w:vAlign w:val="bottom"/>
          </w:tcPr>
          <w:p>
            <w:pPr>
              <w:jc w:val="right"/>
              <w:spacing w:after="0" w:line="210" w:lineRule="exact"/>
              <w:rPr>
                <w:sz w:val="20"/>
                <w:szCs w:val="20"/>
                <w:color w:val="auto"/>
              </w:rPr>
            </w:pPr>
            <w:r>
              <w:rPr>
                <w:rFonts w:ascii="Calibri" w:cs="Calibri" w:eastAsia="Calibri" w:hAnsi="Calibri"/>
                <w:sz w:val="18"/>
                <w:szCs w:val="18"/>
                <w:color w:val="auto"/>
              </w:rPr>
              <w:t>17,878</w:t>
            </w:r>
          </w:p>
        </w:tc>
        <w:tc>
          <w:tcPr>
            <w:tcW w:w="340" w:type="dxa"/>
            <w:vAlign w:val="bottom"/>
            <w:gridSpan w:val="2"/>
          </w:tcPr>
          <w:p>
            <w:pPr>
              <w:jc w:val="right"/>
              <w:ind w:right="160"/>
              <w:spacing w:after="0" w:line="210" w:lineRule="exact"/>
              <w:rPr>
                <w:sz w:val="20"/>
                <w:szCs w:val="20"/>
                <w:color w:val="auto"/>
              </w:rPr>
            </w:pPr>
            <w:r>
              <w:rPr>
                <w:rFonts w:ascii="Calibri" w:cs="Calibri" w:eastAsia="Calibri" w:hAnsi="Calibri"/>
                <w:sz w:val="18"/>
                <w:szCs w:val="18"/>
                <w:color w:val="auto"/>
              </w:rPr>
              <w:t>$</w:t>
            </w:r>
          </w:p>
        </w:tc>
        <w:tc>
          <w:tcPr>
            <w:tcW w:w="1000" w:type="dxa"/>
            <w:vAlign w:val="bottom"/>
          </w:tcPr>
          <w:p>
            <w:pPr>
              <w:jc w:val="right"/>
              <w:spacing w:after="0" w:line="210" w:lineRule="exact"/>
              <w:rPr>
                <w:sz w:val="20"/>
                <w:szCs w:val="20"/>
                <w:color w:val="auto"/>
              </w:rPr>
            </w:pPr>
            <w:r>
              <w:rPr>
                <w:rFonts w:ascii="Calibri" w:cs="Calibri" w:eastAsia="Calibri" w:hAnsi="Calibri"/>
                <w:sz w:val="18"/>
                <w:szCs w:val="18"/>
                <w:color w:val="auto"/>
              </w:rPr>
              <w:t>18,358</w:t>
            </w:r>
          </w:p>
        </w:tc>
        <w:tc>
          <w:tcPr>
            <w:tcW w:w="440" w:type="dxa"/>
            <w:vAlign w:val="bottom"/>
            <w:gridSpan w:val="2"/>
          </w:tcPr>
          <w:p>
            <w:pPr>
              <w:jc w:val="right"/>
              <w:ind w:right="260"/>
              <w:spacing w:after="0" w:line="210" w:lineRule="exact"/>
              <w:rPr>
                <w:sz w:val="20"/>
                <w:szCs w:val="20"/>
                <w:color w:val="auto"/>
              </w:rPr>
            </w:pPr>
            <w:r>
              <w:rPr>
                <w:rFonts w:ascii="Calibri" w:cs="Calibri" w:eastAsia="Calibri" w:hAnsi="Calibri"/>
                <w:sz w:val="18"/>
                <w:szCs w:val="18"/>
                <w:color w:val="auto"/>
              </w:rPr>
              <w:t>$</w:t>
            </w:r>
          </w:p>
        </w:tc>
        <w:tc>
          <w:tcPr>
            <w:tcW w:w="980" w:type="dxa"/>
            <w:vAlign w:val="bottom"/>
          </w:tcPr>
          <w:p>
            <w:pPr>
              <w:jc w:val="right"/>
              <w:spacing w:after="0" w:line="210" w:lineRule="exact"/>
              <w:rPr>
                <w:sz w:val="20"/>
                <w:szCs w:val="20"/>
                <w:color w:val="auto"/>
              </w:rPr>
            </w:pPr>
            <w:r>
              <w:rPr>
                <w:rFonts w:ascii="Calibri" w:cs="Calibri" w:eastAsia="Calibri" w:hAnsi="Calibri"/>
                <w:sz w:val="18"/>
                <w:szCs w:val="18"/>
                <w:color w:val="auto"/>
              </w:rPr>
              <w:t>16,940</w:t>
            </w:r>
          </w:p>
        </w:tc>
        <w:tc>
          <w:tcPr>
            <w:tcW w:w="80" w:type="dxa"/>
            <w:vAlign w:val="bottom"/>
          </w:tcPr>
          <w:p>
            <w:pPr>
              <w:spacing w:after="0"/>
              <w:rPr>
                <w:sz w:val="18"/>
                <w:szCs w:val="18"/>
                <w:color w:val="auto"/>
              </w:rPr>
            </w:pPr>
          </w:p>
        </w:tc>
      </w:tr>
      <w:tr>
        <w:trPr>
          <w:trHeight w:val="20"/>
        </w:trPr>
        <w:tc>
          <w:tcPr>
            <w:tcW w:w="6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-170815</wp:posOffset>
            </wp:positionV>
            <wp:extent cx="5143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-170815</wp:posOffset>
            </wp:positionV>
            <wp:extent cx="5143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5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9" w:lineRule="exact"/>
        <w:rPr>
          <w:sz w:val="20"/>
          <w:szCs w:val="20"/>
          <w:color w:val="auto"/>
        </w:rPr>
      </w:pPr>
    </w:p>
    <w:p>
      <w:pPr>
        <w:ind w:right="40" w:firstLine="509"/>
        <w:spacing w:after="0" w:line="258" w:lineRule="auto"/>
        <w:rPr>
          <w:sz w:val="20"/>
          <w:szCs w:val="20"/>
          <w:color w:val="auto"/>
        </w:rPr>
      </w:pPr>
      <w:r>
        <w:rPr>
          <w:rFonts w:ascii="Calibri" w:cs="Calibri" w:eastAsia="Calibri" w:hAnsi="Calibri"/>
          <w:sz w:val="17"/>
          <w:szCs w:val="17"/>
          <w:color w:val="auto"/>
        </w:rPr>
        <w:t>Cash paid for amounts included in the measurement of operatng lease liabilites for the years ended December 31, 2024, 2023, and 2022 was $16.1 million, $13.4 million, and $13.1 million, respectvely, and was included in net cash used in operatng actvites in the Consolidated Statements of Cash Flows.</w:t>
      </w:r>
    </w:p>
    <w:p>
      <w:pPr>
        <w:spacing w:after="0" w:line="67" w:lineRule="exact"/>
        <w:rPr>
          <w:sz w:val="20"/>
          <w:szCs w:val="20"/>
          <w:color w:val="auto"/>
        </w:rPr>
      </w:pPr>
    </w:p>
    <w:p>
      <w:pPr>
        <w:ind w:right="480" w:firstLine="509"/>
        <w:spacing w:after="0" w:line="235" w:lineRule="auto"/>
        <w:rPr>
          <w:sz w:val="20"/>
          <w:szCs w:val="20"/>
          <w:color w:val="auto"/>
        </w:rPr>
      </w:pPr>
      <w:r>
        <w:rPr>
          <w:rFonts w:ascii="Calibri" w:cs="Calibri" w:eastAsia="Calibri" w:hAnsi="Calibri"/>
          <w:sz w:val="18"/>
          <w:szCs w:val="18"/>
          <w:color w:val="auto"/>
        </w:rPr>
        <w:t>Right-of-use lease assets were $25.5 million and $23.9 million as of December 31, 2024 and 2023, respectvely, and were included in other non-current assets on the Consolidated Balance Sheets.</w:t>
      </w:r>
    </w:p>
    <w:p>
      <w:pPr>
        <w:spacing w:after="0" w:line="78"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summarizes maturites of lease liabilites and the reconciliaton of lease liabilites as of December 31, 2024:</w:t>
      </w:r>
    </w:p>
    <w:p>
      <w:pPr>
        <w:spacing w:after="0" w:line="77" w:lineRule="exact"/>
        <w:rPr>
          <w:sz w:val="20"/>
          <w:szCs w:val="20"/>
          <w:color w:val="auto"/>
        </w:rPr>
      </w:pPr>
    </w:p>
    <w:tbl>
      <w:tblPr>
        <w:tblLayout w:type="fixed"/>
        <w:tblInd w:w="1700" w:type="dxa"/>
        <w:tblCellMar>
          <w:top w:w="0" w:type="dxa"/>
          <w:left w:w="0" w:type="dxa"/>
          <w:bottom w:w="0" w:type="dxa"/>
          <w:right w:w="0" w:type="dxa"/>
        </w:tblCellMar>
      </w:tblPr>
      <w:tr>
        <w:trPr>
          <w:trHeight w:val="220"/>
        </w:trPr>
        <w:tc>
          <w:tcPr>
            <w:tcW w:w="5940" w:type="dxa"/>
            <w:vAlign w:val="bottom"/>
          </w:tcPr>
          <w:p>
            <w:pPr>
              <w:spacing w:after="0"/>
              <w:rPr>
                <w:sz w:val="20"/>
                <w:szCs w:val="20"/>
                <w:color w:val="auto"/>
              </w:rPr>
            </w:pPr>
            <w:r>
              <w:rPr>
                <w:rFonts w:ascii="Calibri" w:cs="Calibri" w:eastAsia="Calibri" w:hAnsi="Calibri"/>
                <w:sz w:val="18"/>
                <w:szCs w:val="18"/>
                <w:b w:val="1"/>
                <w:bCs w:val="1"/>
                <w:color w:val="auto"/>
              </w:rPr>
              <w:t>Year Ending December 31,</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right"/>
              <w:ind w:right="540"/>
              <w:spacing w:after="0"/>
              <w:rPr>
                <w:sz w:val="20"/>
                <w:szCs w:val="20"/>
                <w:color w:val="auto"/>
              </w:rPr>
            </w:pPr>
            <w:r>
              <w:rPr>
                <w:rFonts w:ascii="Calibri" w:cs="Calibri" w:eastAsia="Calibri" w:hAnsi="Calibri"/>
                <w:sz w:val="18"/>
                <w:szCs w:val="18"/>
                <w:b w:val="1"/>
                <w:bCs w:val="1"/>
                <w:color w:val="auto"/>
              </w:rPr>
              <w:t>Operatng</w:t>
            </w:r>
          </w:p>
        </w:tc>
      </w:tr>
      <w:tr>
        <w:trPr>
          <w:trHeight w:val="23"/>
        </w:trPr>
        <w:tc>
          <w:tcPr>
            <w:tcW w:w="5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10"/>
        </w:trPr>
        <w:tc>
          <w:tcPr>
            <w:tcW w:w="5940" w:type="dxa"/>
            <w:vAlign w:val="bottom"/>
            <w:shd w:val="clear" w:color="auto" w:fill="CCEEFF"/>
          </w:tcPr>
          <w:p>
            <w:pPr>
              <w:spacing w:after="0" w:line="209" w:lineRule="exact"/>
              <w:rPr>
                <w:sz w:val="20"/>
                <w:szCs w:val="20"/>
                <w:color w:val="auto"/>
              </w:rPr>
            </w:pPr>
            <w:r>
              <w:rPr>
                <w:rFonts w:ascii="Calibri" w:cs="Calibri" w:eastAsia="Calibri" w:hAnsi="Calibri"/>
                <w:sz w:val="18"/>
                <w:szCs w:val="18"/>
                <w:color w:val="auto"/>
              </w:rPr>
              <w:t>2025</w:t>
            </w:r>
          </w:p>
        </w:tc>
        <w:tc>
          <w:tcPr>
            <w:tcW w:w="480" w:type="dxa"/>
            <w:vAlign w:val="bottom"/>
            <w:gridSpan w:val="2"/>
            <w:shd w:val="clear" w:color="auto" w:fill="CCEEFF"/>
          </w:tcPr>
          <w:p>
            <w:pPr>
              <w:jc w:val="right"/>
              <w:ind w:right="90"/>
              <w:spacing w:after="0" w:line="209" w:lineRule="exact"/>
              <w:rPr>
                <w:sz w:val="20"/>
                <w:szCs w:val="20"/>
                <w:color w:val="auto"/>
              </w:rPr>
            </w:pPr>
            <w:r>
              <w:rPr>
                <w:rFonts w:ascii="Calibri" w:cs="Calibri" w:eastAsia="Calibri" w:hAnsi="Calibri"/>
                <w:sz w:val="18"/>
                <w:szCs w:val="18"/>
                <w:color w:val="auto"/>
              </w:rPr>
              <w:t>$</w:t>
            </w:r>
          </w:p>
        </w:tc>
        <w:tc>
          <w:tcPr>
            <w:tcW w:w="1360" w:type="dxa"/>
            <w:vAlign w:val="bottom"/>
            <w:shd w:val="clear" w:color="auto" w:fill="CCEEFF"/>
          </w:tcPr>
          <w:p>
            <w:pPr>
              <w:jc w:val="right"/>
              <w:spacing w:after="0" w:line="209" w:lineRule="exact"/>
              <w:rPr>
                <w:sz w:val="20"/>
                <w:szCs w:val="20"/>
                <w:color w:val="auto"/>
              </w:rPr>
            </w:pPr>
            <w:r>
              <w:rPr>
                <w:rFonts w:ascii="Calibri" w:cs="Calibri" w:eastAsia="Calibri" w:hAnsi="Calibri"/>
                <w:sz w:val="18"/>
                <w:szCs w:val="18"/>
                <w:color w:val="auto"/>
              </w:rPr>
              <w:t>13,831</w:t>
            </w:r>
          </w:p>
        </w:tc>
        <w:tc>
          <w:tcPr>
            <w:tcW w:w="80" w:type="dxa"/>
            <w:vAlign w:val="bottom"/>
            <w:shd w:val="clear" w:color="auto" w:fill="CCEEFF"/>
          </w:tcPr>
          <w:p>
            <w:pPr>
              <w:spacing w:after="0"/>
              <w:rPr>
                <w:sz w:val="18"/>
                <w:szCs w:val="18"/>
                <w:color w:val="auto"/>
              </w:rPr>
            </w:pPr>
          </w:p>
        </w:tc>
      </w:tr>
      <w:tr>
        <w:trPr>
          <w:trHeight w:val="215"/>
        </w:trPr>
        <w:tc>
          <w:tcPr>
            <w:tcW w:w="5940" w:type="dxa"/>
            <w:vAlign w:val="bottom"/>
          </w:tcPr>
          <w:p>
            <w:pPr>
              <w:spacing w:after="0" w:line="215" w:lineRule="exact"/>
              <w:rPr>
                <w:sz w:val="20"/>
                <w:szCs w:val="20"/>
                <w:color w:val="auto"/>
              </w:rPr>
            </w:pPr>
            <w:r>
              <w:rPr>
                <w:rFonts w:ascii="Calibri" w:cs="Calibri" w:eastAsia="Calibri" w:hAnsi="Calibri"/>
                <w:sz w:val="18"/>
                <w:szCs w:val="18"/>
                <w:color w:val="auto"/>
              </w:rPr>
              <w:t>2026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13,949</w:t>
            </w:r>
          </w:p>
        </w:tc>
        <w:tc>
          <w:tcPr>
            <w:tcW w:w="80" w:type="dxa"/>
            <w:vAlign w:val="bottom"/>
          </w:tcPr>
          <w:p>
            <w:pPr>
              <w:spacing w:after="0"/>
              <w:rPr>
                <w:sz w:val="18"/>
                <w:szCs w:val="18"/>
                <w:color w:val="auto"/>
              </w:rPr>
            </w:pPr>
          </w:p>
        </w:tc>
      </w:tr>
      <w:tr>
        <w:trPr>
          <w:trHeight w:val="217"/>
        </w:trPr>
        <w:tc>
          <w:tcPr>
            <w:tcW w:w="5940" w:type="dxa"/>
            <w:vAlign w:val="bottom"/>
            <w:shd w:val="clear" w:color="auto" w:fill="CCEEFF"/>
          </w:tcPr>
          <w:p>
            <w:pPr>
              <w:spacing w:after="0" w:line="216" w:lineRule="exact"/>
              <w:rPr>
                <w:sz w:val="20"/>
                <w:szCs w:val="20"/>
                <w:color w:val="auto"/>
              </w:rPr>
            </w:pPr>
            <w:r>
              <w:rPr>
                <w:rFonts w:ascii="Calibri" w:cs="Calibri" w:eastAsia="Calibri" w:hAnsi="Calibri"/>
                <w:sz w:val="18"/>
                <w:szCs w:val="18"/>
                <w:color w:val="auto"/>
              </w:rPr>
              <w:t>2027</w:t>
            </w:r>
          </w:p>
        </w:tc>
        <w:tc>
          <w:tcPr>
            <w:tcW w:w="200" w:type="dxa"/>
            <w:vAlign w:val="bottom"/>
            <w:shd w:val="clear" w:color="auto" w:fill="CCEE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36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9,019</w:t>
            </w:r>
          </w:p>
        </w:tc>
        <w:tc>
          <w:tcPr>
            <w:tcW w:w="80" w:type="dxa"/>
            <w:vAlign w:val="bottom"/>
            <w:shd w:val="clear" w:color="auto" w:fill="CCECFF"/>
          </w:tcPr>
          <w:p>
            <w:pPr>
              <w:spacing w:after="0"/>
              <w:rPr>
                <w:sz w:val="18"/>
                <w:szCs w:val="18"/>
                <w:color w:val="auto"/>
              </w:rPr>
            </w:pPr>
          </w:p>
        </w:tc>
      </w:tr>
      <w:tr>
        <w:trPr>
          <w:trHeight w:val="215"/>
        </w:trPr>
        <w:tc>
          <w:tcPr>
            <w:tcW w:w="5940" w:type="dxa"/>
            <w:vAlign w:val="bottom"/>
          </w:tcPr>
          <w:p>
            <w:pPr>
              <w:spacing w:after="0" w:line="215" w:lineRule="exact"/>
              <w:rPr>
                <w:sz w:val="20"/>
                <w:szCs w:val="20"/>
                <w:color w:val="auto"/>
              </w:rPr>
            </w:pPr>
            <w:r>
              <w:rPr>
                <w:rFonts w:ascii="Calibri" w:cs="Calibri" w:eastAsia="Calibri" w:hAnsi="Calibri"/>
                <w:sz w:val="18"/>
                <w:szCs w:val="18"/>
                <w:color w:val="auto"/>
              </w:rPr>
              <w:t>2028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6,709</w:t>
            </w:r>
          </w:p>
        </w:tc>
        <w:tc>
          <w:tcPr>
            <w:tcW w:w="80" w:type="dxa"/>
            <w:vAlign w:val="bottom"/>
          </w:tcPr>
          <w:p>
            <w:pPr>
              <w:spacing w:after="0"/>
              <w:rPr>
                <w:sz w:val="18"/>
                <w:szCs w:val="18"/>
                <w:color w:val="auto"/>
              </w:rPr>
            </w:pPr>
          </w:p>
        </w:tc>
      </w:tr>
      <w:tr>
        <w:trPr>
          <w:trHeight w:val="217"/>
        </w:trPr>
        <w:tc>
          <w:tcPr>
            <w:tcW w:w="5940" w:type="dxa"/>
            <w:vAlign w:val="bottom"/>
            <w:shd w:val="clear" w:color="auto" w:fill="CCEEFF"/>
          </w:tcPr>
          <w:p>
            <w:pPr>
              <w:spacing w:after="0" w:line="216" w:lineRule="exact"/>
              <w:rPr>
                <w:sz w:val="20"/>
                <w:szCs w:val="20"/>
                <w:color w:val="auto"/>
              </w:rPr>
            </w:pPr>
            <w:r>
              <w:rPr>
                <w:rFonts w:ascii="Calibri" w:cs="Calibri" w:eastAsia="Calibri" w:hAnsi="Calibri"/>
                <w:sz w:val="18"/>
                <w:szCs w:val="18"/>
                <w:color w:val="auto"/>
              </w:rPr>
              <w:t>2029</w:t>
            </w:r>
          </w:p>
        </w:tc>
        <w:tc>
          <w:tcPr>
            <w:tcW w:w="200" w:type="dxa"/>
            <w:vAlign w:val="bottom"/>
            <w:shd w:val="clear" w:color="auto" w:fill="CCEE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36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5,589</w:t>
            </w:r>
          </w:p>
        </w:tc>
        <w:tc>
          <w:tcPr>
            <w:tcW w:w="80" w:type="dxa"/>
            <w:vAlign w:val="bottom"/>
            <w:shd w:val="clear" w:color="auto" w:fill="CCECFF"/>
          </w:tcPr>
          <w:p>
            <w:pPr>
              <w:spacing w:after="0"/>
              <w:rPr>
                <w:sz w:val="18"/>
                <w:szCs w:val="18"/>
                <w:color w:val="auto"/>
              </w:rPr>
            </w:pPr>
          </w:p>
        </w:tc>
      </w:tr>
      <w:tr>
        <w:trPr>
          <w:trHeight w:val="215"/>
        </w:trPr>
        <w:tc>
          <w:tcPr>
            <w:tcW w:w="5940" w:type="dxa"/>
            <w:vAlign w:val="bottom"/>
          </w:tcPr>
          <w:p>
            <w:pPr>
              <w:spacing w:after="0" w:line="215" w:lineRule="exact"/>
              <w:rPr>
                <w:sz w:val="20"/>
                <w:szCs w:val="20"/>
                <w:color w:val="auto"/>
              </w:rPr>
            </w:pPr>
            <w:r>
              <w:rPr>
                <w:rFonts w:ascii="Calibri" w:cs="Calibri" w:eastAsia="Calibri" w:hAnsi="Calibri"/>
                <w:sz w:val="18"/>
                <w:szCs w:val="18"/>
                <w:color w:val="auto"/>
              </w:rPr>
              <w:t>Thereafer</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467</w:t>
            </w:r>
          </w:p>
        </w:tc>
        <w:tc>
          <w:tcPr>
            <w:tcW w:w="80" w:type="dxa"/>
            <w:vAlign w:val="bottom"/>
          </w:tcPr>
          <w:p>
            <w:pPr>
              <w:spacing w:after="0"/>
              <w:rPr>
                <w:sz w:val="18"/>
                <w:szCs w:val="18"/>
                <w:color w:val="auto"/>
              </w:rPr>
            </w:pPr>
          </w:p>
        </w:tc>
      </w:tr>
      <w:tr>
        <w:trPr>
          <w:trHeight w:val="210"/>
        </w:trPr>
        <w:tc>
          <w:tcPr>
            <w:tcW w:w="5940" w:type="dxa"/>
            <w:vAlign w:val="bottom"/>
            <w:shd w:val="clear" w:color="auto" w:fill="CCECFF"/>
          </w:tcPr>
          <w:p>
            <w:pPr>
              <w:ind w:left="100"/>
              <w:spacing w:after="0" w:line="210" w:lineRule="exact"/>
              <w:rPr>
                <w:sz w:val="20"/>
                <w:szCs w:val="20"/>
                <w:color w:val="auto"/>
              </w:rPr>
            </w:pPr>
            <w:r>
              <w:rPr>
                <w:rFonts w:ascii="Calibri" w:cs="Calibri" w:eastAsia="Calibri" w:hAnsi="Calibri"/>
                <w:sz w:val="18"/>
                <w:szCs w:val="18"/>
                <w:color w:val="auto"/>
              </w:rPr>
              <w:t>Total future lease payments</w:t>
            </w:r>
          </w:p>
        </w:tc>
        <w:tc>
          <w:tcPr>
            <w:tcW w:w="20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136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49,564</w:t>
            </w:r>
          </w:p>
        </w:tc>
        <w:tc>
          <w:tcPr>
            <w:tcW w:w="80" w:type="dxa"/>
            <w:vAlign w:val="bottom"/>
            <w:shd w:val="clear" w:color="auto" w:fill="CCECFF"/>
          </w:tcPr>
          <w:p>
            <w:pPr>
              <w:spacing w:after="0"/>
              <w:rPr>
                <w:sz w:val="18"/>
                <w:szCs w:val="18"/>
                <w:color w:val="auto"/>
              </w:rPr>
            </w:pPr>
          </w:p>
        </w:tc>
      </w:tr>
      <w:tr>
        <w:trPr>
          <w:trHeight w:val="215"/>
        </w:trPr>
        <w:tc>
          <w:tcPr>
            <w:tcW w:w="5940" w:type="dxa"/>
            <w:vAlign w:val="bottom"/>
          </w:tcPr>
          <w:p>
            <w:pPr>
              <w:spacing w:after="0" w:line="215" w:lineRule="exact"/>
              <w:rPr>
                <w:sz w:val="20"/>
                <w:szCs w:val="20"/>
                <w:color w:val="auto"/>
              </w:rPr>
            </w:pPr>
            <w:r>
              <w:rPr>
                <w:rFonts w:ascii="Calibri" w:cs="Calibri" w:eastAsia="Calibri" w:hAnsi="Calibri"/>
                <w:sz w:val="18"/>
                <w:szCs w:val="18"/>
                <w:color w:val="auto"/>
              </w:rPr>
              <w:t>Less: Amount representng interest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(9,225 )</w:t>
            </w:r>
          </w:p>
        </w:tc>
      </w:tr>
      <w:tr>
        <w:trPr>
          <w:trHeight w:val="210"/>
        </w:trPr>
        <w:tc>
          <w:tcPr>
            <w:tcW w:w="5940" w:type="dxa"/>
            <w:vAlign w:val="bottom"/>
            <w:shd w:val="clear" w:color="auto" w:fill="CCECFF"/>
          </w:tcPr>
          <w:p>
            <w:pPr>
              <w:ind w:left="100"/>
              <w:spacing w:after="0" w:line="210" w:lineRule="exact"/>
              <w:rPr>
                <w:sz w:val="20"/>
                <w:szCs w:val="20"/>
                <w:color w:val="auto"/>
              </w:rPr>
            </w:pPr>
            <w:r>
              <w:rPr>
                <w:rFonts w:ascii="Calibri" w:cs="Calibri" w:eastAsia="Calibri" w:hAnsi="Calibri"/>
                <w:sz w:val="18"/>
                <w:szCs w:val="18"/>
                <w:color w:val="auto"/>
              </w:rPr>
              <w:t>Present value of future lease payments</w:t>
            </w:r>
          </w:p>
        </w:tc>
        <w:tc>
          <w:tcPr>
            <w:tcW w:w="200" w:type="dxa"/>
            <w:vAlign w:val="bottom"/>
            <w:shd w:val="clear" w:color="auto" w:fill="CCECFF"/>
          </w:tcPr>
          <w:p>
            <w:pPr>
              <w:spacing w:after="0"/>
              <w:rPr>
                <w:sz w:val="18"/>
                <w:szCs w:val="18"/>
                <w:color w:val="auto"/>
              </w:rPr>
            </w:pPr>
          </w:p>
        </w:tc>
        <w:tc>
          <w:tcPr>
            <w:tcW w:w="280" w:type="dxa"/>
            <w:vAlign w:val="bottom"/>
            <w:tcBorders>
              <w:top w:val="single" w:sz="8" w:color="auto"/>
            </w:tcBorders>
            <w:shd w:val="clear" w:color="auto" w:fill="CCECFF"/>
          </w:tcPr>
          <w:p>
            <w:pPr>
              <w:spacing w:after="0"/>
              <w:rPr>
                <w:sz w:val="18"/>
                <w:szCs w:val="18"/>
                <w:color w:val="auto"/>
              </w:rPr>
            </w:pPr>
          </w:p>
        </w:tc>
        <w:tc>
          <w:tcPr>
            <w:tcW w:w="1360" w:type="dxa"/>
            <w:vAlign w:val="bottom"/>
            <w:tcBorders>
              <w:top w:val="single" w:sz="8" w:color="auto"/>
            </w:tcBorders>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40,339</w:t>
            </w:r>
          </w:p>
        </w:tc>
        <w:tc>
          <w:tcPr>
            <w:tcW w:w="80" w:type="dxa"/>
            <w:vAlign w:val="bottom"/>
            <w:shd w:val="clear" w:color="auto" w:fill="CCECFF"/>
          </w:tcPr>
          <w:p>
            <w:pPr>
              <w:spacing w:after="0"/>
              <w:rPr>
                <w:sz w:val="18"/>
                <w:szCs w:val="18"/>
                <w:color w:val="auto"/>
              </w:rPr>
            </w:pPr>
          </w:p>
        </w:tc>
      </w:tr>
      <w:tr>
        <w:trPr>
          <w:trHeight w:val="215"/>
        </w:trPr>
        <w:tc>
          <w:tcPr>
            <w:tcW w:w="5940" w:type="dxa"/>
            <w:vAlign w:val="bottom"/>
          </w:tcPr>
          <w:p>
            <w:pPr>
              <w:spacing w:after="0" w:line="215" w:lineRule="exact"/>
              <w:rPr>
                <w:sz w:val="20"/>
                <w:szCs w:val="20"/>
                <w:color w:val="auto"/>
              </w:rPr>
            </w:pPr>
            <w:r>
              <w:rPr>
                <w:rFonts w:ascii="Calibri" w:cs="Calibri" w:eastAsia="Calibri" w:hAnsi="Calibri"/>
                <w:sz w:val="18"/>
                <w:szCs w:val="18"/>
                <w:color w:val="auto"/>
              </w:rPr>
              <w:t>Less: Lease liabilites, current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(10,297 )</w:t>
            </w:r>
          </w:p>
        </w:tc>
      </w:tr>
      <w:tr>
        <w:trPr>
          <w:trHeight w:val="250"/>
        </w:trPr>
        <w:tc>
          <w:tcPr>
            <w:tcW w:w="5940" w:type="dxa"/>
            <w:vAlign w:val="bottom"/>
            <w:tcBorders>
              <w:bottom w:val="single" w:sz="8" w:color="CCECFF"/>
            </w:tcBorders>
            <w:shd w:val="clear" w:color="auto" w:fill="CCECFF"/>
          </w:tcPr>
          <w:p>
            <w:pPr>
              <w:ind w:left="100"/>
              <w:spacing w:after="0" w:line="210" w:lineRule="exact"/>
              <w:rPr>
                <w:sz w:val="20"/>
                <w:szCs w:val="20"/>
                <w:color w:val="auto"/>
              </w:rPr>
            </w:pPr>
            <w:r>
              <w:rPr>
                <w:rFonts w:ascii="Calibri" w:cs="Calibri" w:eastAsia="Calibri" w:hAnsi="Calibri"/>
                <w:sz w:val="18"/>
                <w:szCs w:val="18"/>
                <w:color w:val="auto"/>
              </w:rPr>
              <w:t>Lease liabilites, non-current</w:t>
            </w:r>
          </w:p>
        </w:tc>
        <w:tc>
          <w:tcPr>
            <w:tcW w:w="200" w:type="dxa"/>
            <w:vAlign w:val="bottom"/>
            <w:tcBorders>
              <w:bottom w:val="single" w:sz="8" w:color="CCECFF"/>
            </w:tcBorders>
            <w:shd w:val="clear" w:color="auto" w:fill="CCECFF"/>
          </w:tcPr>
          <w:p>
            <w:pPr>
              <w:spacing w:after="0"/>
              <w:rPr>
                <w:sz w:val="21"/>
                <w:szCs w:val="21"/>
                <w:color w:val="auto"/>
              </w:rPr>
            </w:pPr>
          </w:p>
        </w:tc>
        <w:tc>
          <w:tcPr>
            <w:tcW w:w="280" w:type="dxa"/>
            <w:vAlign w:val="bottom"/>
            <w:tcBorders>
              <w:top w:val="single" w:sz="8" w:color="auto"/>
              <w:bottom w:val="single" w:sz="8" w:color="auto"/>
            </w:tcBorders>
            <w:shd w:val="clear" w:color="auto" w:fill="CCECFF"/>
          </w:tcPr>
          <w:p>
            <w:pPr>
              <w:jc w:val="right"/>
              <w:ind w:right="90"/>
              <w:spacing w:after="0" w:line="210" w:lineRule="exact"/>
              <w:rPr>
                <w:sz w:val="20"/>
                <w:szCs w:val="20"/>
                <w:color w:val="auto"/>
              </w:rPr>
            </w:pPr>
            <w:r>
              <w:rPr>
                <w:rFonts w:ascii="Calibri" w:cs="Calibri" w:eastAsia="Calibri" w:hAnsi="Calibri"/>
                <w:sz w:val="18"/>
                <w:szCs w:val="18"/>
                <w:color w:val="auto"/>
                <w:w w:val="87"/>
              </w:rPr>
              <w:t>$</w:t>
            </w:r>
          </w:p>
        </w:tc>
        <w:tc>
          <w:tcPr>
            <w:tcW w:w="1360" w:type="dxa"/>
            <w:vAlign w:val="bottom"/>
            <w:tcBorders>
              <w:top w:val="single" w:sz="8" w:color="auto"/>
              <w:bottom w:val="single" w:sz="8" w:color="auto"/>
            </w:tcBorders>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30,042</w:t>
            </w:r>
          </w:p>
        </w:tc>
        <w:tc>
          <w:tcPr>
            <w:tcW w:w="80" w:type="dxa"/>
            <w:vAlign w:val="bottom"/>
            <w:tcBorders>
              <w:bottom w:val="single" w:sz="8" w:color="CCECFF"/>
            </w:tcBorders>
            <w:shd w:val="clear" w:color="auto" w:fill="CCEC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6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Lease liabilites are based on the net present value of the remaining lease payments over the remaining lease term. For the years ended December 31, 2024 and 2023, the weighted-average remaining operatng lease terms were 4 years and 5 years, respectvely, the weighted-average discount rates used to determine the lease liability for operatng leases were 10.1% and 9.6%, respectvely.</w:t>
      </w:r>
    </w:p>
    <w:p>
      <w:pPr>
        <w:spacing w:after="0" w:line="241" w:lineRule="exact"/>
        <w:rPr>
          <w:sz w:val="20"/>
          <w:szCs w:val="20"/>
          <w:color w:val="auto"/>
        </w:rPr>
      </w:pPr>
    </w:p>
    <w:p>
      <w:pPr>
        <w:ind w:left="520" w:hanging="512"/>
        <w:spacing w:after="0"/>
        <w:tabs>
          <w:tab w:leader="none" w:pos="520" w:val="left"/>
        </w:tabs>
        <w:numPr>
          <w:ilvl w:val="0"/>
          <w:numId w:val="50"/>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Liabilites for Sales of Future Royaltes</w:t>
      </w:r>
    </w:p>
    <w:p>
      <w:pPr>
        <w:spacing w:after="0" w:line="82" w:lineRule="exact"/>
        <w:rPr>
          <w:sz w:val="20"/>
          <w:szCs w:val="20"/>
          <w:color w:val="auto"/>
        </w:rPr>
      </w:pPr>
    </w:p>
    <w:p>
      <w:pPr>
        <w:ind w:right="80" w:firstLine="509"/>
        <w:spacing w:after="0" w:line="251" w:lineRule="auto"/>
        <w:rPr>
          <w:sz w:val="20"/>
          <w:szCs w:val="20"/>
          <w:color w:val="auto"/>
        </w:rPr>
      </w:pPr>
      <w:r>
        <w:rPr>
          <w:rFonts w:ascii="Calibri" w:cs="Calibri" w:eastAsia="Calibri" w:hAnsi="Calibri"/>
          <w:sz w:val="17"/>
          <w:szCs w:val="17"/>
          <w:color w:val="auto"/>
        </w:rPr>
        <w:t>In December 2019, the Company entered into a Royalty Purchase Agreement with RPI. Pursuant to the agreement, RPI paid $320.0 million to the Company in consideraton for the right to receive royalty payments efectve January 1, 2020, arising from the net sales of Crysvita in the EU, the U.K., and Switzerland under the terms of the Company’s Collaboraton and License Agreement with KKC dated August 29, 2013, as amended, or the KKC Collaboraton Agreement. The agreement with RPI will automatcally terminate, and the payment of royaltes to RPI will cease, in the event aggregate royalty payments received by RPI are equal to or greater than $608.0 million prior to December 31, 2030, or in the event aggregate royalty payments received by RPI are less than $608.0 million prior to December 31, 2030, or when aggregate royalty payments received by RPI are equal to $800.0 million.</w:t>
      </w:r>
    </w:p>
    <w:p>
      <w:pPr>
        <w:spacing w:after="0" w:line="75"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In July 2022, the Company entered into a Royalty Purchase Agreement with OMERS. Pursuant to the agreement, OMERS paid $500.0 million to the Company in consideraton for the right to receive 30% of the future royalty payments due to the Company from KKC based on net sales of Crysvita in the U.S. and Canada under the terms of the KKC Collaboraton Agreement. The calculaton of royalty payments to OMERS is based on net sales of Crysvita beginning in April 2023 and will expire upon the earlier of the date on which aggregate payments received by OMERS equals $725.0 million or the date the fnal royalty payment is made to the Company under the KKC Collaboraton Agreement.</w:t>
      </w:r>
    </w:p>
    <w:p>
      <w:pPr>
        <w:spacing w:after="0" w:line="85"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Proceeds from these transactons were recorded as liabilites for sales of future royaltes on the Consolidated Balance Sheets. Upon incepton of the respectve arrangements, the Company recorded $320.0 million and $500.0 million, net of transacton costs of $5.8 million and $9.1 million for RPI and OMERS, respectvely. The Company records the royalty revenue arising from the net sales of Crysvita in the applicable territories as royalty revenue in the Consolidated Statements of Operatons over the term of the arrangements. Royaltes earned under the RPI and OMERS arrangements from incepton to December 31, 2024</w:t>
      </w:r>
    </w:p>
    <w:p>
      <w:pPr>
        <w:jc w:val="center"/>
        <w:ind w:right="-19"/>
        <w:spacing w:after="0"/>
        <w:rPr>
          <w:sz w:val="20"/>
          <w:szCs w:val="20"/>
          <w:color w:val="auto"/>
        </w:rPr>
      </w:pPr>
      <w:r>
        <w:rPr>
          <w:rFonts w:ascii="Calibri" w:cs="Calibri" w:eastAsia="Calibri" w:hAnsi="Calibri"/>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1" w:name="page122"/>
    <w:bookmarkEnd w:id="121"/>
    <w:p>
      <w:pPr>
        <w:ind w:left="384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2" w:lineRule="exact"/>
        <w:rPr>
          <w:sz w:val="20"/>
          <w:szCs w:val="20"/>
          <w:color w:val="auto"/>
        </w:rPr>
      </w:pPr>
    </w:p>
    <w:p>
      <w:pPr>
        <w:ind w:right="880" w:firstLine="40"/>
        <w:spacing w:after="0" w:line="235" w:lineRule="auto"/>
        <w:rPr>
          <w:sz w:val="20"/>
          <w:szCs w:val="20"/>
          <w:color w:val="auto"/>
        </w:rPr>
      </w:pPr>
      <w:r>
        <w:rPr>
          <w:rFonts w:ascii="Calibri" w:cs="Calibri" w:eastAsia="Calibri" w:hAnsi="Calibri"/>
          <w:sz w:val="18"/>
          <w:szCs w:val="18"/>
          <w:color w:val="auto"/>
        </w:rPr>
        <w:t>have been $99.3 million and $123.3 million, respectvely. The Company’s efectve annual interest rates were 6.2% and 7.5%, for RPI and OMERS, respectvely, as of December 31, 2024.</w:t>
      </w:r>
    </w:p>
    <w:p>
      <w:pPr>
        <w:spacing w:after="0" w:line="83"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There are a number of factors that could materially afect the amount and tming of royalty payments from KKC in the applicable territories, most of which are not within the Company’s control. Such factors include, but are not limited to, the success of KKC’s sales and promoton of Crysvita, changing standards of care, macroeconomic and infatonary pressures, the introducton of competng products, pricing for reimbursement in various territories, manufacturing or other delays, intellectual property maters, adverse events that result in governmental health authority imposed restrictons on the use of Crysvita, signifcant changes in foreign exchange rates as the royalty payments are made in U.S. dollars, or USD, while signifcant portons of the underlying sales of Crysvita are made in currencies other than USD, and other events or circumstances that could result in reduced royalty payments from sales of Crysvita, all of which would result in a reducton of royalty revenue and the non-cash interest expense over the life of the arrangement. Conversely, if sales of Crysvita in the relevant territories are more than expected, the royalty revenue and the non-cash interest expense recorded by the Company would be greater over the term of the arrangements.</w:t>
      </w:r>
    </w:p>
    <w:p>
      <w:pPr>
        <w:spacing w:after="0" w:line="84"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shows the actvity within the liability account (in thousands):</w:t>
      </w:r>
    </w:p>
    <w:p>
      <w:pPr>
        <w:spacing w:after="0" w:line="293"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4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0" w:type="dxa"/>
            <w:vAlign w:val="bottom"/>
            <w:gridSpan w:val="8"/>
          </w:tcPr>
          <w:p>
            <w:pPr>
              <w:jc w:val="right"/>
              <w:ind w:right="940"/>
              <w:spacing w:after="0"/>
              <w:rPr>
                <w:sz w:val="20"/>
                <w:szCs w:val="20"/>
                <w:color w:val="auto"/>
              </w:rPr>
            </w:pPr>
            <w:r>
              <w:rPr>
                <w:rFonts w:ascii="Calibri" w:cs="Calibri" w:eastAsia="Calibri" w:hAnsi="Calibri"/>
                <w:sz w:val="18"/>
                <w:szCs w:val="18"/>
                <w:b w:val="1"/>
                <w:bCs w:val="1"/>
                <w:color w:val="auto"/>
              </w:rPr>
              <w:t>Liabilites for Sales of Future Royaltes</w:t>
            </w: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700"/>
              <w:spacing w:after="0" w:line="209" w:lineRule="exact"/>
              <w:rPr>
                <w:sz w:val="20"/>
                <w:szCs w:val="20"/>
                <w:color w:val="auto"/>
              </w:rPr>
            </w:pPr>
            <w:r>
              <w:rPr>
                <w:rFonts w:ascii="Calibri" w:cs="Calibri" w:eastAsia="Calibri" w:hAnsi="Calibri"/>
                <w:sz w:val="18"/>
                <w:szCs w:val="18"/>
                <w:b w:val="1"/>
                <w:bCs w:val="1"/>
                <w:color w:val="auto"/>
              </w:rPr>
              <w:t>RPI</w:t>
            </w:r>
          </w:p>
        </w:tc>
        <w:tc>
          <w:tcPr>
            <w:tcW w:w="260" w:type="dxa"/>
            <w:vAlign w:val="bottom"/>
          </w:tcPr>
          <w:p>
            <w:pPr>
              <w:spacing w:after="0"/>
              <w:rPr>
                <w:sz w:val="18"/>
                <w:szCs w:val="18"/>
                <w:color w:val="auto"/>
              </w:rPr>
            </w:pPr>
          </w:p>
        </w:tc>
        <w:tc>
          <w:tcPr>
            <w:tcW w:w="1240" w:type="dxa"/>
            <w:vAlign w:val="bottom"/>
            <w:gridSpan w:val="2"/>
          </w:tcPr>
          <w:p>
            <w:pPr>
              <w:jc w:val="right"/>
              <w:ind w:right="520"/>
              <w:spacing w:after="0" w:line="209" w:lineRule="exact"/>
              <w:rPr>
                <w:sz w:val="20"/>
                <w:szCs w:val="20"/>
                <w:color w:val="auto"/>
              </w:rPr>
            </w:pPr>
            <w:r>
              <w:rPr>
                <w:rFonts w:ascii="Calibri" w:cs="Calibri" w:eastAsia="Calibri" w:hAnsi="Calibri"/>
                <w:sz w:val="18"/>
                <w:szCs w:val="18"/>
                <w:b w:val="1"/>
                <w:bCs w:val="1"/>
                <w:color w:val="auto"/>
              </w:rPr>
              <w:t>OMERS</w:t>
            </w:r>
          </w:p>
        </w:tc>
        <w:tc>
          <w:tcPr>
            <w:tcW w:w="320" w:type="dxa"/>
            <w:vAlign w:val="bottom"/>
          </w:tcPr>
          <w:p>
            <w:pPr>
              <w:spacing w:after="0"/>
              <w:rPr>
                <w:sz w:val="18"/>
                <w:szCs w:val="18"/>
                <w:color w:val="auto"/>
              </w:rPr>
            </w:pPr>
          </w:p>
        </w:tc>
        <w:tc>
          <w:tcPr>
            <w:tcW w:w="1120" w:type="dxa"/>
            <w:vAlign w:val="bottom"/>
          </w:tcPr>
          <w:p>
            <w:pPr>
              <w:jc w:val="right"/>
              <w:ind w:right="450"/>
              <w:spacing w:after="0" w:line="209" w:lineRule="exact"/>
              <w:rPr>
                <w:sz w:val="20"/>
                <w:szCs w:val="20"/>
                <w:color w:val="auto"/>
              </w:rPr>
            </w:pPr>
            <w:r>
              <w:rPr>
                <w:rFonts w:ascii="Calibri" w:cs="Calibri" w:eastAsia="Calibri" w:hAnsi="Calibri"/>
                <w:sz w:val="18"/>
                <w:szCs w:val="18"/>
                <w:b w:val="1"/>
                <w:bCs w:val="1"/>
                <w:color w:val="auto"/>
              </w:rPr>
              <w:t>Total</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CFF"/>
          </w:tcPr>
          <w:p>
            <w:pPr>
              <w:spacing w:after="0" w:line="210" w:lineRule="exact"/>
              <w:rPr>
                <w:sz w:val="20"/>
                <w:szCs w:val="20"/>
                <w:color w:val="auto"/>
              </w:rPr>
            </w:pPr>
            <w:r>
              <w:rPr>
                <w:rFonts w:ascii="Calibri" w:cs="Calibri" w:eastAsia="Calibri" w:hAnsi="Calibri"/>
                <w:sz w:val="18"/>
                <w:szCs w:val="18"/>
                <w:color w:val="auto"/>
              </w:rPr>
              <w:t>December 31, 2022</w:t>
            </w:r>
          </w:p>
        </w:tc>
        <w:tc>
          <w:tcPr>
            <w:tcW w:w="340" w:type="dxa"/>
            <w:vAlign w:val="bottom"/>
            <w:tcBorders>
              <w:top w:val="single" w:sz="8" w:color="auto"/>
            </w:tcBorders>
            <w:shd w:val="clear" w:color="auto" w:fill="CCECFF"/>
          </w:tcPr>
          <w:p>
            <w:pPr>
              <w:jc w:val="right"/>
              <w:ind w:right="150"/>
              <w:spacing w:after="0" w:line="210" w:lineRule="exact"/>
              <w:rPr>
                <w:sz w:val="20"/>
                <w:szCs w:val="20"/>
                <w:color w:val="auto"/>
              </w:rPr>
            </w:pPr>
            <w:r>
              <w:rPr>
                <w:rFonts w:ascii="Calibri" w:cs="Calibri" w:eastAsia="Calibri" w:hAnsi="Calibri"/>
                <w:sz w:val="18"/>
                <w:szCs w:val="18"/>
                <w:color w:val="auto"/>
                <w:w w:val="87"/>
              </w:rPr>
              <w:t>$</w:t>
            </w:r>
          </w:p>
        </w:tc>
        <w:tc>
          <w:tcPr>
            <w:tcW w:w="1100" w:type="dxa"/>
            <w:vAlign w:val="bottom"/>
            <w:tcBorders>
              <w:top w:val="single" w:sz="8" w:color="auto"/>
            </w:tcBorders>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365,189</w:t>
            </w:r>
          </w:p>
        </w:tc>
        <w:tc>
          <w:tcPr>
            <w:tcW w:w="80" w:type="dxa"/>
            <w:vAlign w:val="bottom"/>
            <w:shd w:val="clear" w:color="auto" w:fill="CCECFF"/>
          </w:tcPr>
          <w:p>
            <w:pPr>
              <w:spacing w:after="0"/>
              <w:rPr>
                <w:sz w:val="18"/>
                <w:szCs w:val="18"/>
                <w:color w:val="auto"/>
              </w:rPr>
            </w:pPr>
          </w:p>
        </w:tc>
        <w:tc>
          <w:tcPr>
            <w:tcW w:w="260" w:type="dxa"/>
            <w:vAlign w:val="bottom"/>
            <w:tcBorders>
              <w:top w:val="single" w:sz="8" w:color="auto"/>
            </w:tcBorders>
            <w:shd w:val="clear" w:color="auto" w:fill="CCECFF"/>
          </w:tcPr>
          <w:p>
            <w:pPr>
              <w:jc w:val="right"/>
              <w:ind w:right="70"/>
              <w:spacing w:after="0" w:line="210" w:lineRule="exact"/>
              <w:rPr>
                <w:sz w:val="20"/>
                <w:szCs w:val="20"/>
                <w:color w:val="auto"/>
              </w:rPr>
            </w:pPr>
            <w:r>
              <w:rPr>
                <w:rFonts w:ascii="Calibri" w:cs="Calibri" w:eastAsia="Calibri" w:hAnsi="Calibri"/>
                <w:sz w:val="18"/>
                <w:szCs w:val="18"/>
                <w:color w:val="auto"/>
                <w:w w:val="87"/>
              </w:rPr>
              <w:t>$</w:t>
            </w:r>
          </w:p>
        </w:tc>
        <w:tc>
          <w:tcPr>
            <w:tcW w:w="1160" w:type="dxa"/>
            <w:vAlign w:val="bottom"/>
            <w:tcBorders>
              <w:top w:val="single" w:sz="8" w:color="auto"/>
            </w:tcBorders>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510,250</w:t>
            </w:r>
          </w:p>
        </w:tc>
        <w:tc>
          <w:tcPr>
            <w:tcW w:w="80" w:type="dxa"/>
            <w:vAlign w:val="bottom"/>
            <w:shd w:val="clear" w:color="auto" w:fill="CCECFF"/>
          </w:tcPr>
          <w:p>
            <w:pPr>
              <w:spacing w:after="0"/>
              <w:rPr>
                <w:sz w:val="18"/>
                <w:szCs w:val="18"/>
                <w:color w:val="auto"/>
              </w:rPr>
            </w:pPr>
          </w:p>
        </w:tc>
        <w:tc>
          <w:tcPr>
            <w:tcW w:w="320" w:type="dxa"/>
            <w:vAlign w:val="bottom"/>
            <w:tcBorders>
              <w:top w:val="single" w:sz="8" w:color="auto"/>
            </w:tcBorders>
            <w:shd w:val="clear" w:color="auto" w:fill="CCECFF"/>
          </w:tcPr>
          <w:p>
            <w:pPr>
              <w:jc w:val="right"/>
              <w:ind w:right="130"/>
              <w:spacing w:after="0" w:line="210" w:lineRule="exact"/>
              <w:rPr>
                <w:sz w:val="20"/>
                <w:szCs w:val="20"/>
                <w:color w:val="auto"/>
              </w:rPr>
            </w:pPr>
            <w:r>
              <w:rPr>
                <w:rFonts w:ascii="Calibri" w:cs="Calibri" w:eastAsia="Calibri" w:hAnsi="Calibri"/>
                <w:sz w:val="18"/>
                <w:szCs w:val="18"/>
                <w:color w:val="auto"/>
                <w:w w:val="87"/>
              </w:rPr>
              <w:t>$</w:t>
            </w:r>
          </w:p>
        </w:tc>
        <w:tc>
          <w:tcPr>
            <w:tcW w:w="1120" w:type="dxa"/>
            <w:vAlign w:val="bottom"/>
            <w:tcBorders>
              <w:top w:val="single" w:sz="8" w:color="auto"/>
            </w:tcBorders>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875,439</w:t>
            </w:r>
          </w:p>
        </w:tc>
        <w:tc>
          <w:tcPr>
            <w:tcW w:w="8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40" w:type="dxa"/>
            <w:vAlign w:val="bottom"/>
          </w:tcPr>
          <w:p>
            <w:pPr>
              <w:ind w:left="100"/>
              <w:spacing w:after="0" w:line="215" w:lineRule="exact"/>
              <w:rPr>
                <w:sz w:val="20"/>
                <w:szCs w:val="20"/>
                <w:color w:val="auto"/>
              </w:rPr>
            </w:pPr>
            <w:r>
              <w:rPr>
                <w:rFonts w:ascii="Calibri" w:cs="Calibri" w:eastAsia="Calibri" w:hAnsi="Calibri"/>
                <w:sz w:val="18"/>
                <w:szCs w:val="18"/>
                <w:color w:val="auto"/>
              </w:rPr>
              <w:t>Royalty revenue</w:t>
            </w:r>
          </w:p>
        </w:tc>
        <w:tc>
          <w:tcPr>
            <w:tcW w:w="340" w:type="dxa"/>
            <w:vAlign w:val="bottom"/>
          </w:tcPr>
          <w:p>
            <w:pPr>
              <w:spacing w:after="0"/>
              <w:rPr>
                <w:sz w:val="18"/>
                <w:szCs w:val="18"/>
                <w:color w:val="auto"/>
              </w:rPr>
            </w:pPr>
          </w:p>
        </w:tc>
        <w:tc>
          <w:tcPr>
            <w:tcW w:w="118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(20,783 )</w:t>
            </w:r>
          </w:p>
        </w:tc>
        <w:tc>
          <w:tcPr>
            <w:tcW w:w="260" w:type="dxa"/>
            <w:vAlign w:val="bottom"/>
          </w:tcPr>
          <w:p>
            <w:pPr>
              <w:spacing w:after="0"/>
              <w:rPr>
                <w:sz w:val="18"/>
                <w:szCs w:val="18"/>
                <w:color w:val="auto"/>
              </w:rPr>
            </w:pPr>
          </w:p>
        </w:tc>
        <w:tc>
          <w:tcPr>
            <w:tcW w:w="124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(38,524 )</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(59,307 )</w:t>
            </w:r>
          </w:p>
        </w:tc>
        <w:tc>
          <w:tcPr>
            <w:tcW w:w="0" w:type="dxa"/>
            <w:vAlign w:val="bottom"/>
          </w:tcPr>
          <w:p>
            <w:pPr>
              <w:spacing w:after="0"/>
              <w:rPr>
                <w:sz w:val="1"/>
                <w:szCs w:val="1"/>
                <w:color w:val="auto"/>
              </w:rPr>
            </w:pPr>
          </w:p>
        </w:tc>
      </w:tr>
      <w:tr>
        <w:trPr>
          <w:trHeight w:val="216"/>
        </w:trPr>
        <w:tc>
          <w:tcPr>
            <w:tcW w:w="4440" w:type="dxa"/>
            <w:vAlign w:val="bottom"/>
            <w:tcBorders>
              <w:bottom w:val="single" w:sz="8" w:color="CCEEFF"/>
            </w:tcBorders>
            <w:shd w:val="clear" w:color="auto" w:fill="CCEEFF"/>
          </w:tcPr>
          <w:p>
            <w:pPr>
              <w:ind w:left="100"/>
              <w:spacing w:after="0" w:line="216" w:lineRule="exact"/>
              <w:rPr>
                <w:sz w:val="20"/>
                <w:szCs w:val="20"/>
                <w:color w:val="auto"/>
              </w:rPr>
            </w:pPr>
            <w:r>
              <w:rPr>
                <w:rFonts w:ascii="Calibri" w:cs="Calibri" w:eastAsia="Calibri" w:hAnsi="Calibri"/>
                <w:sz w:val="18"/>
                <w:szCs w:val="18"/>
                <w:color w:val="auto"/>
              </w:rPr>
              <w:t>Non-cash interest expense</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32,235</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43,200</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75,435</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tcPr>
          <w:p>
            <w:pPr>
              <w:spacing w:after="0" w:line="209" w:lineRule="exact"/>
              <w:rPr>
                <w:sz w:val="20"/>
                <w:szCs w:val="20"/>
                <w:color w:val="auto"/>
              </w:rPr>
            </w:pPr>
            <w:r>
              <w:rPr>
                <w:rFonts w:ascii="Calibri" w:cs="Calibri" w:eastAsia="Calibri" w:hAnsi="Calibri"/>
                <w:sz w:val="18"/>
                <w:szCs w:val="18"/>
                <w:color w:val="auto"/>
              </w:rPr>
              <w:t>December 31, 2023</w:t>
            </w:r>
          </w:p>
        </w:tc>
        <w:tc>
          <w:tcPr>
            <w:tcW w:w="340" w:type="dxa"/>
            <w:vAlign w:val="bottom"/>
          </w:tcPr>
          <w:p>
            <w:pPr>
              <w:spacing w:after="0"/>
              <w:rPr>
                <w:sz w:val="18"/>
                <w:szCs w:val="18"/>
                <w:color w:val="auto"/>
              </w:rPr>
            </w:pPr>
          </w:p>
        </w:tc>
        <w:tc>
          <w:tcPr>
            <w:tcW w:w="1100" w:type="dxa"/>
            <w:vAlign w:val="bottom"/>
          </w:tcPr>
          <w:p>
            <w:pPr>
              <w:jc w:val="right"/>
              <w:spacing w:after="0" w:line="209" w:lineRule="exact"/>
              <w:rPr>
                <w:sz w:val="20"/>
                <w:szCs w:val="20"/>
                <w:color w:val="auto"/>
              </w:rPr>
            </w:pPr>
            <w:r>
              <w:rPr>
                <w:rFonts w:ascii="Calibri" w:cs="Calibri" w:eastAsia="Calibri" w:hAnsi="Calibri"/>
                <w:sz w:val="18"/>
                <w:szCs w:val="18"/>
                <w:color w:val="auto"/>
              </w:rPr>
              <w:t>376,641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line="209" w:lineRule="exact"/>
              <w:rPr>
                <w:sz w:val="20"/>
                <w:szCs w:val="20"/>
                <w:color w:val="auto"/>
              </w:rPr>
            </w:pPr>
            <w:r>
              <w:rPr>
                <w:rFonts w:ascii="Calibri" w:cs="Calibri" w:eastAsia="Calibri" w:hAnsi="Calibri"/>
                <w:sz w:val="18"/>
                <w:szCs w:val="18"/>
                <w:color w:val="auto"/>
              </w:rPr>
              <w:t>514,926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line="209" w:lineRule="exact"/>
              <w:rPr>
                <w:sz w:val="20"/>
                <w:szCs w:val="20"/>
                <w:color w:val="auto"/>
              </w:rPr>
            </w:pPr>
            <w:r>
              <w:rPr>
                <w:rFonts w:ascii="Calibri" w:cs="Calibri" w:eastAsia="Calibri" w:hAnsi="Calibri"/>
                <w:sz w:val="18"/>
                <w:szCs w:val="18"/>
                <w:color w:val="auto"/>
              </w:rPr>
              <w:t>891,567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40" w:type="dxa"/>
            <w:vAlign w:val="bottom"/>
            <w:shd w:val="clear" w:color="auto" w:fill="CCEEFF"/>
          </w:tcPr>
          <w:p>
            <w:pPr>
              <w:ind w:left="100"/>
              <w:spacing w:after="0" w:line="216" w:lineRule="exact"/>
              <w:rPr>
                <w:sz w:val="20"/>
                <w:szCs w:val="20"/>
                <w:color w:val="auto"/>
              </w:rPr>
            </w:pPr>
            <w:r>
              <w:rPr>
                <w:rFonts w:ascii="Calibri" w:cs="Calibri" w:eastAsia="Calibri" w:hAnsi="Calibri"/>
                <w:sz w:val="18"/>
                <w:szCs w:val="18"/>
                <w:color w:val="auto"/>
              </w:rPr>
              <w:t>Royalty revenue</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line="216" w:lineRule="exact"/>
              <w:rPr>
                <w:sz w:val="20"/>
                <w:szCs w:val="20"/>
                <w:color w:val="auto"/>
              </w:rPr>
            </w:pPr>
            <w:r>
              <w:rPr>
                <w:rFonts w:ascii="Calibri" w:cs="Calibri" w:eastAsia="Calibri" w:hAnsi="Calibri"/>
                <w:sz w:val="18"/>
                <w:szCs w:val="18"/>
                <w:color w:val="auto"/>
              </w:rPr>
              <w:t>(25,849 )</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line="216" w:lineRule="exact"/>
              <w:rPr>
                <w:sz w:val="20"/>
                <w:szCs w:val="20"/>
                <w:color w:val="auto"/>
              </w:rPr>
            </w:pPr>
            <w:r>
              <w:rPr>
                <w:rFonts w:ascii="Calibri" w:cs="Calibri" w:eastAsia="Calibri" w:hAnsi="Calibri"/>
                <w:sz w:val="18"/>
                <w:szCs w:val="18"/>
                <w:color w:val="auto"/>
              </w:rPr>
              <w:t>(59,088 )</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line="216" w:lineRule="exact"/>
              <w:rPr>
                <w:sz w:val="20"/>
                <w:szCs w:val="20"/>
                <w:color w:val="auto"/>
              </w:rPr>
            </w:pPr>
            <w:r>
              <w:rPr>
                <w:rFonts w:ascii="Calibri" w:cs="Calibri" w:eastAsia="Calibri" w:hAnsi="Calibri"/>
                <w:sz w:val="18"/>
                <w:szCs w:val="18"/>
                <w:color w:val="auto"/>
              </w:rPr>
              <w:t>(84,937 )</w:t>
            </w:r>
          </w:p>
        </w:tc>
        <w:tc>
          <w:tcPr>
            <w:tcW w:w="0" w:type="dxa"/>
            <w:vAlign w:val="bottom"/>
          </w:tcPr>
          <w:p>
            <w:pPr>
              <w:spacing w:after="0"/>
              <w:rPr>
                <w:sz w:val="1"/>
                <w:szCs w:val="1"/>
                <w:color w:val="auto"/>
              </w:rPr>
            </w:pPr>
          </w:p>
        </w:tc>
      </w:tr>
      <w:tr>
        <w:trPr>
          <w:trHeight w:val="215"/>
        </w:trPr>
        <w:tc>
          <w:tcPr>
            <w:tcW w:w="4440" w:type="dxa"/>
            <w:vAlign w:val="bottom"/>
          </w:tcPr>
          <w:p>
            <w:pPr>
              <w:ind w:left="100"/>
              <w:spacing w:after="0" w:line="215" w:lineRule="exact"/>
              <w:rPr>
                <w:sz w:val="20"/>
                <w:szCs w:val="20"/>
                <w:color w:val="auto"/>
              </w:rPr>
            </w:pPr>
            <w:r>
              <w:rPr>
                <w:rFonts w:ascii="Calibri" w:cs="Calibri" w:eastAsia="Calibri" w:hAnsi="Calibri"/>
                <w:sz w:val="18"/>
                <w:szCs w:val="18"/>
                <w:color w:val="auto"/>
              </w:rPr>
              <w:t>Non-cash interest expense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23,747</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39,294</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63,041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shd w:val="clear" w:color="auto" w:fill="CCEEFF"/>
          </w:tcPr>
          <w:p>
            <w:pPr>
              <w:spacing w:after="0" w:line="209" w:lineRule="exact"/>
              <w:rPr>
                <w:sz w:val="20"/>
                <w:szCs w:val="20"/>
                <w:color w:val="auto"/>
              </w:rPr>
            </w:pPr>
            <w:r>
              <w:rPr>
                <w:rFonts w:ascii="Calibri" w:cs="Calibri" w:eastAsia="Calibri" w:hAnsi="Calibri"/>
                <w:sz w:val="18"/>
                <w:szCs w:val="18"/>
                <w:color w:val="auto"/>
              </w:rPr>
              <w:t>December 31, 2024</w:t>
            </w:r>
          </w:p>
        </w:tc>
        <w:tc>
          <w:tcPr>
            <w:tcW w:w="340" w:type="dxa"/>
            <w:vAlign w:val="bottom"/>
            <w:tcBorders>
              <w:bottom w:val="single" w:sz="8" w:color="auto"/>
            </w:tcBorders>
            <w:shd w:val="clear" w:color="auto" w:fill="CCEEFF"/>
          </w:tcPr>
          <w:p>
            <w:pPr>
              <w:jc w:val="right"/>
              <w:ind w:right="150"/>
              <w:spacing w:after="0" w:line="209" w:lineRule="exact"/>
              <w:rPr>
                <w:sz w:val="20"/>
                <w:szCs w:val="20"/>
                <w:color w:val="auto"/>
              </w:rPr>
            </w:pPr>
            <w:r>
              <w:rPr>
                <w:rFonts w:ascii="Calibri" w:cs="Calibri" w:eastAsia="Calibri" w:hAnsi="Calibri"/>
                <w:sz w:val="18"/>
                <w:szCs w:val="18"/>
                <w:color w:val="auto"/>
                <w:w w:val="87"/>
              </w:rPr>
              <w:t>$</w:t>
            </w:r>
          </w:p>
        </w:tc>
        <w:tc>
          <w:tcPr>
            <w:tcW w:w="1100" w:type="dxa"/>
            <w:vAlign w:val="bottom"/>
            <w:tcBorders>
              <w:bottom w:val="single" w:sz="8" w:color="auto"/>
            </w:tcBorders>
            <w:shd w:val="clear" w:color="auto" w:fill="CCEEFF"/>
          </w:tcPr>
          <w:p>
            <w:pPr>
              <w:jc w:val="right"/>
              <w:spacing w:after="0" w:line="209" w:lineRule="exact"/>
              <w:rPr>
                <w:sz w:val="20"/>
                <w:szCs w:val="20"/>
                <w:color w:val="auto"/>
              </w:rPr>
            </w:pPr>
            <w:r>
              <w:rPr>
                <w:rFonts w:ascii="Calibri" w:cs="Calibri" w:eastAsia="Calibri" w:hAnsi="Calibri"/>
                <w:sz w:val="18"/>
                <w:szCs w:val="18"/>
                <w:color w:val="auto"/>
              </w:rPr>
              <w:t>374,539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line="209" w:lineRule="exact"/>
              <w:rPr>
                <w:sz w:val="20"/>
                <w:szCs w:val="20"/>
                <w:color w:val="auto"/>
              </w:rPr>
            </w:pPr>
            <w:r>
              <w:rPr>
                <w:rFonts w:ascii="Calibri" w:cs="Calibri" w:eastAsia="Calibri" w:hAnsi="Calibri"/>
                <w:sz w:val="18"/>
                <w:szCs w:val="18"/>
                <w:color w:val="auto"/>
                <w:w w:val="87"/>
              </w:rPr>
              <w:t>$</w:t>
            </w:r>
          </w:p>
        </w:tc>
        <w:tc>
          <w:tcPr>
            <w:tcW w:w="1160" w:type="dxa"/>
            <w:vAlign w:val="bottom"/>
            <w:tcBorders>
              <w:bottom w:val="single" w:sz="8" w:color="auto"/>
            </w:tcBorders>
            <w:shd w:val="clear" w:color="auto" w:fill="CCEEFF"/>
          </w:tcPr>
          <w:p>
            <w:pPr>
              <w:jc w:val="right"/>
              <w:spacing w:after="0" w:line="209" w:lineRule="exact"/>
              <w:rPr>
                <w:sz w:val="20"/>
                <w:szCs w:val="20"/>
                <w:color w:val="auto"/>
              </w:rPr>
            </w:pPr>
            <w:r>
              <w:rPr>
                <w:rFonts w:ascii="Calibri" w:cs="Calibri" w:eastAsia="Calibri" w:hAnsi="Calibri"/>
                <w:sz w:val="18"/>
                <w:szCs w:val="18"/>
                <w:color w:val="auto"/>
              </w:rPr>
              <w:t>495,132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line="209" w:lineRule="exact"/>
              <w:rPr>
                <w:sz w:val="20"/>
                <w:szCs w:val="20"/>
                <w:color w:val="auto"/>
              </w:rPr>
            </w:pPr>
            <w:r>
              <w:rPr>
                <w:rFonts w:ascii="Calibri" w:cs="Calibri" w:eastAsia="Calibri" w:hAnsi="Calibri"/>
                <w:sz w:val="18"/>
                <w:szCs w:val="18"/>
                <w:color w:val="auto"/>
                <w:w w:val="87"/>
              </w:rPr>
              <w:t>$</w:t>
            </w:r>
          </w:p>
        </w:tc>
        <w:tc>
          <w:tcPr>
            <w:tcW w:w="1120" w:type="dxa"/>
            <w:vAlign w:val="bottom"/>
            <w:tcBorders>
              <w:bottom w:val="single" w:sz="8" w:color="auto"/>
            </w:tcBorders>
            <w:shd w:val="clear" w:color="auto" w:fill="CCEEFF"/>
          </w:tcPr>
          <w:p>
            <w:pPr>
              <w:jc w:val="right"/>
              <w:spacing w:after="0" w:line="209" w:lineRule="exact"/>
              <w:rPr>
                <w:sz w:val="20"/>
                <w:szCs w:val="20"/>
                <w:color w:val="auto"/>
              </w:rPr>
            </w:pPr>
            <w:r>
              <w:rPr>
                <w:rFonts w:ascii="Calibri" w:cs="Calibri" w:eastAsia="Calibri" w:hAnsi="Calibri"/>
                <w:sz w:val="18"/>
                <w:szCs w:val="18"/>
                <w:color w:val="auto"/>
              </w:rPr>
              <w:t>869,671</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-590550</wp:posOffset>
            </wp:positionV>
            <wp:extent cx="5143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-590550</wp:posOffset>
            </wp:positionV>
            <wp:extent cx="5143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-590550</wp:posOffset>
            </wp:positionV>
            <wp:extent cx="5143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-24765</wp:posOffset>
            </wp:positionV>
            <wp:extent cx="5143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5143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-24765</wp:posOffset>
            </wp:positionV>
            <wp:extent cx="5143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5143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7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9" w:lineRule="exact"/>
        <w:rPr>
          <w:sz w:val="20"/>
          <w:szCs w:val="20"/>
          <w:color w:val="auto"/>
        </w:rPr>
      </w:pPr>
    </w:p>
    <w:p>
      <w:pPr>
        <w:ind w:left="520" w:hanging="512"/>
        <w:spacing w:after="0"/>
        <w:tabs>
          <w:tab w:leader="none" w:pos="520" w:val="left"/>
        </w:tabs>
        <w:numPr>
          <w:ilvl w:val="0"/>
          <w:numId w:val="51"/>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Equity</w:t>
      </w:r>
    </w:p>
    <w:p>
      <w:pPr>
        <w:spacing w:after="0" w:line="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At-the-Market Oferings</w:t>
      </w:r>
    </w:p>
    <w:p>
      <w:pPr>
        <w:spacing w:after="0" w:line="8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In February 2024, the Company entered into a Sales Agreement with Cowen and Company, LLC, or Cowen, pursuant to which the Company may ofer and sell shares of the Company’s common stock having an aggregate ofering proceeds up to $350.0 million, from tme to tme, in at-the-market, or ATM, oferings through Cowen. No shares were sold under this agreement during the year ended December 31, 2024.</w:t>
      </w:r>
    </w:p>
    <w:p>
      <w:pPr>
        <w:spacing w:after="0" w:line="84" w:lineRule="exact"/>
        <w:rPr>
          <w:sz w:val="20"/>
          <w:szCs w:val="20"/>
          <w:color w:val="auto"/>
        </w:rPr>
      </w:pPr>
    </w:p>
    <w:p>
      <w:pPr>
        <w:jc w:val="both"/>
        <w:ind w:right="260" w:firstLine="509"/>
        <w:spacing w:after="0" w:line="254" w:lineRule="auto"/>
        <w:rPr>
          <w:sz w:val="20"/>
          <w:szCs w:val="20"/>
          <w:color w:val="auto"/>
        </w:rPr>
      </w:pPr>
      <w:r>
        <w:rPr>
          <w:rFonts w:ascii="Calibri" w:cs="Calibri" w:eastAsia="Calibri" w:hAnsi="Calibri"/>
          <w:sz w:val="17"/>
          <w:szCs w:val="17"/>
          <w:color w:val="auto"/>
        </w:rPr>
        <w:t>In May 2021, the Company entered into an Open Market Sale Agreement with Jeferies LLC, or Jeferies, pursuant to which the Company may ofer and sell shares of the Company’s common stock having an aggregate ofering proceeds up to $350.0 million, from tme to tme, in ATM oferings through Jeferies. During the year ended December 31, 2023, there were 1,175,584 shares sold under the ATM resultng in net proceeds of $53.3 million.</w:t>
      </w:r>
    </w:p>
    <w:p>
      <w:pPr>
        <w:spacing w:after="0" w:line="22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Underwriten Public Ofering</w:t>
      </w:r>
    </w:p>
    <w:p>
      <w:pPr>
        <w:spacing w:after="0" w:line="82" w:lineRule="exact"/>
        <w:rPr>
          <w:sz w:val="20"/>
          <w:szCs w:val="20"/>
          <w:color w:val="auto"/>
        </w:rPr>
      </w:pPr>
    </w:p>
    <w:p>
      <w:pPr>
        <w:ind w:right="20" w:firstLine="509"/>
        <w:spacing w:after="0" w:line="251" w:lineRule="auto"/>
        <w:rPr>
          <w:sz w:val="20"/>
          <w:szCs w:val="20"/>
          <w:color w:val="auto"/>
        </w:rPr>
      </w:pPr>
      <w:r>
        <w:rPr>
          <w:rFonts w:ascii="Calibri" w:cs="Calibri" w:eastAsia="Calibri" w:hAnsi="Calibri"/>
          <w:sz w:val="17"/>
          <w:szCs w:val="17"/>
          <w:color w:val="auto"/>
        </w:rPr>
        <w:t>In June 2024, the Company completed an underwriten public ofering in which 8,782,051 shares of common stock were sold, including the exercise in full by the underwriters of their opton to purchase an additonal 1,346,153 shares, at a public ofering price of $39.00 per share. In connecton with the ofering, the Company sold to certain investors pre-funded warrants, in lieu of common stock, to purchase 1,538,501 shares of common stock at a purchase price of $38.999 per pre-funded warrant, which equals the public ofering price per share of common stock less the $0.001 exercise price per share of each pre-funded warrant. The total proceeds that the Company received from the ofering were $381.0 million, net of underwritng discounts and commissions.</w:t>
      </w:r>
    </w:p>
    <w:p>
      <w:pPr>
        <w:spacing w:after="0" w:line="76"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pre-funded warrants were classifed as a component of permanent equity in the Company's Consolidated Balance Sheets as they are freestanding fnancial instruments that are immediately exercisable, do not embody an obligaton for the Company to repurchase its own shares and permit the holders to receive a fxed number of shares of common stock upon exercise. All of the shares underlying the pre-funded warrants have been included in the weighted-average number of shares of common stock used to calculate net loss per share, basic and diluted, atributable to common stockholders because the shares may be issued for litle or no</w:t>
      </w:r>
    </w:p>
    <w:p>
      <w:pPr>
        <w:jc w:val="center"/>
        <w:ind w:right="-19"/>
        <w:spacing w:after="0"/>
        <w:rPr>
          <w:sz w:val="20"/>
          <w:szCs w:val="20"/>
          <w:color w:val="auto"/>
        </w:rPr>
      </w:pPr>
      <w:r>
        <w:rPr>
          <w:rFonts w:ascii="Calibri" w:cs="Calibri" w:eastAsia="Calibri" w:hAnsi="Calibri"/>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2" w:name="page123"/>
    <w:bookmarkEnd w:id="122"/>
    <w:p>
      <w:pPr>
        <w:ind w:left="384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2" w:lineRule="exact"/>
        <w:rPr>
          <w:sz w:val="20"/>
          <w:szCs w:val="20"/>
          <w:color w:val="auto"/>
        </w:rPr>
      </w:pPr>
    </w:p>
    <w:p>
      <w:pPr>
        <w:ind w:right="280"/>
        <w:spacing w:after="0" w:line="235" w:lineRule="auto"/>
        <w:rPr>
          <w:sz w:val="20"/>
          <w:szCs w:val="20"/>
          <w:color w:val="auto"/>
        </w:rPr>
      </w:pPr>
      <w:r>
        <w:rPr>
          <w:rFonts w:ascii="Calibri" w:cs="Calibri" w:eastAsia="Calibri" w:hAnsi="Calibri"/>
          <w:sz w:val="18"/>
          <w:szCs w:val="18"/>
          <w:color w:val="auto"/>
        </w:rPr>
        <w:t>consideraton, are fully vested, and are exercisable afer the original issuance date of the pre-funded warrants. As of December 31, 2024, none of the pre-funded warrants had been exercised.</w:t>
      </w:r>
    </w:p>
    <w:p>
      <w:pPr>
        <w:spacing w:after="0" w:line="78"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table below summarizes pre-funded warrants actvity:</w:t>
      </w:r>
    </w:p>
    <w:p>
      <w:pPr>
        <w:spacing w:after="0" w:line="35" w:lineRule="exact"/>
        <w:rPr>
          <w:sz w:val="20"/>
          <w:szCs w:val="20"/>
          <w:color w:val="auto"/>
        </w:rPr>
      </w:pPr>
    </w:p>
    <w:tbl>
      <w:tblPr>
        <w:tblLayout w:type="fixed"/>
        <w:tblInd w:w="1700" w:type="dxa"/>
        <w:tblCellMar>
          <w:top w:w="0" w:type="dxa"/>
          <w:left w:w="0" w:type="dxa"/>
          <w:bottom w:w="0" w:type="dxa"/>
          <w:right w:w="0" w:type="dxa"/>
        </w:tblCellMar>
      </w:tblPr>
      <w:tr>
        <w:trPr>
          <w:trHeight w:val="184"/>
        </w:trPr>
        <w:tc>
          <w:tcPr>
            <w:tcW w:w="5800" w:type="dxa"/>
            <w:vAlign w:val="bottom"/>
          </w:tcPr>
          <w:p>
            <w:pPr>
              <w:spacing w:after="0"/>
              <w:rPr>
                <w:sz w:val="16"/>
                <w:szCs w:val="16"/>
                <w:color w:val="auto"/>
              </w:rPr>
            </w:pPr>
          </w:p>
        </w:tc>
        <w:tc>
          <w:tcPr>
            <w:tcW w:w="2060" w:type="dxa"/>
            <w:vAlign w:val="bottom"/>
            <w:gridSpan w:val="2"/>
          </w:tcPr>
          <w:p>
            <w:pPr>
              <w:ind w:left="360"/>
              <w:spacing w:after="0"/>
              <w:rPr>
                <w:sz w:val="20"/>
                <w:szCs w:val="20"/>
                <w:color w:val="auto"/>
              </w:rPr>
            </w:pPr>
            <w:r>
              <w:rPr>
                <w:rFonts w:ascii="Calibri" w:cs="Calibri" w:eastAsia="Calibri" w:hAnsi="Calibri"/>
                <w:sz w:val="14"/>
                <w:szCs w:val="14"/>
                <w:b w:val="1"/>
                <w:bCs w:val="1"/>
                <w:color w:val="auto"/>
              </w:rPr>
              <w:t>Pre-funded warrants</w:t>
            </w:r>
          </w:p>
        </w:tc>
      </w:tr>
      <w:tr>
        <w:trPr>
          <w:trHeight w:val="216"/>
        </w:trPr>
        <w:tc>
          <w:tcPr>
            <w:tcW w:w="5800" w:type="dxa"/>
            <w:vAlign w:val="bottom"/>
            <w:shd w:val="clear" w:color="auto" w:fill="CCEEFF"/>
          </w:tcPr>
          <w:p>
            <w:pPr>
              <w:spacing w:after="0" w:line="215" w:lineRule="exact"/>
              <w:rPr>
                <w:sz w:val="20"/>
                <w:szCs w:val="20"/>
                <w:color w:val="auto"/>
              </w:rPr>
            </w:pPr>
            <w:r>
              <w:rPr>
                <w:rFonts w:ascii="Calibri" w:cs="Calibri" w:eastAsia="Calibri" w:hAnsi="Calibri"/>
                <w:sz w:val="18"/>
                <w:szCs w:val="18"/>
                <w:color w:val="auto"/>
              </w:rPr>
              <w:t>As of December 31, 2022</w:t>
            </w:r>
          </w:p>
        </w:tc>
        <w:tc>
          <w:tcPr>
            <w:tcW w:w="1980" w:type="dxa"/>
            <w:vAlign w:val="bottom"/>
            <w:tcBorders>
              <w:top w:val="single" w:sz="8" w:color="auto"/>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w:t>
            </w:r>
          </w:p>
        </w:tc>
        <w:tc>
          <w:tcPr>
            <w:tcW w:w="80" w:type="dxa"/>
            <w:vAlign w:val="bottom"/>
            <w:shd w:val="clear" w:color="auto" w:fill="CCECFF"/>
          </w:tcPr>
          <w:p>
            <w:pPr>
              <w:spacing w:after="0"/>
              <w:rPr>
                <w:sz w:val="18"/>
                <w:szCs w:val="18"/>
                <w:color w:val="auto"/>
              </w:rPr>
            </w:pPr>
          </w:p>
        </w:tc>
      </w:tr>
      <w:tr>
        <w:trPr>
          <w:trHeight w:val="215"/>
        </w:trPr>
        <w:tc>
          <w:tcPr>
            <w:tcW w:w="5800" w:type="dxa"/>
            <w:vAlign w:val="bottom"/>
          </w:tcPr>
          <w:p>
            <w:pPr>
              <w:ind w:left="100"/>
              <w:spacing w:after="0" w:line="215" w:lineRule="exact"/>
              <w:rPr>
                <w:sz w:val="20"/>
                <w:szCs w:val="20"/>
                <w:color w:val="auto"/>
              </w:rPr>
            </w:pPr>
            <w:r>
              <w:rPr>
                <w:rFonts w:ascii="Calibri" w:cs="Calibri" w:eastAsia="Calibri" w:hAnsi="Calibri"/>
                <w:sz w:val="18"/>
                <w:szCs w:val="18"/>
                <w:color w:val="auto"/>
              </w:rPr>
              <w:t>Issuance of pre-funded warrants</w:t>
            </w:r>
          </w:p>
        </w:tc>
        <w:tc>
          <w:tcPr>
            <w:tcW w:w="19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1,666,722</w:t>
            </w:r>
          </w:p>
        </w:tc>
        <w:tc>
          <w:tcPr>
            <w:tcW w:w="80" w:type="dxa"/>
            <w:vAlign w:val="bottom"/>
          </w:tcPr>
          <w:p>
            <w:pPr>
              <w:spacing w:after="0"/>
              <w:rPr>
                <w:sz w:val="18"/>
                <w:szCs w:val="18"/>
                <w:color w:val="auto"/>
              </w:rPr>
            </w:pPr>
          </w:p>
        </w:tc>
      </w:tr>
      <w:tr>
        <w:trPr>
          <w:trHeight w:val="210"/>
        </w:trPr>
        <w:tc>
          <w:tcPr>
            <w:tcW w:w="5800" w:type="dxa"/>
            <w:vAlign w:val="bottom"/>
            <w:shd w:val="clear" w:color="auto" w:fill="CCECFF"/>
          </w:tcPr>
          <w:p>
            <w:pPr>
              <w:spacing w:after="0" w:line="210" w:lineRule="exact"/>
              <w:rPr>
                <w:sz w:val="20"/>
                <w:szCs w:val="20"/>
                <w:color w:val="auto"/>
              </w:rPr>
            </w:pPr>
            <w:r>
              <w:rPr>
                <w:rFonts w:ascii="Calibri" w:cs="Calibri" w:eastAsia="Calibri" w:hAnsi="Calibri"/>
                <w:sz w:val="18"/>
                <w:szCs w:val="18"/>
                <w:color w:val="auto"/>
              </w:rPr>
              <w:t>As of December 31, 2023</w:t>
            </w:r>
          </w:p>
        </w:tc>
        <w:tc>
          <w:tcPr>
            <w:tcW w:w="198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1,666,722</w:t>
            </w:r>
          </w:p>
        </w:tc>
        <w:tc>
          <w:tcPr>
            <w:tcW w:w="80" w:type="dxa"/>
            <w:vAlign w:val="bottom"/>
            <w:shd w:val="clear" w:color="auto" w:fill="CCECFF"/>
          </w:tcPr>
          <w:p>
            <w:pPr>
              <w:spacing w:after="0"/>
              <w:rPr>
                <w:sz w:val="18"/>
                <w:szCs w:val="18"/>
                <w:color w:val="auto"/>
              </w:rPr>
            </w:pPr>
          </w:p>
        </w:tc>
      </w:tr>
      <w:tr>
        <w:trPr>
          <w:trHeight w:val="215"/>
        </w:trPr>
        <w:tc>
          <w:tcPr>
            <w:tcW w:w="5800" w:type="dxa"/>
            <w:vAlign w:val="bottom"/>
          </w:tcPr>
          <w:p>
            <w:pPr>
              <w:ind w:left="100"/>
              <w:spacing w:after="0" w:line="215" w:lineRule="exact"/>
              <w:rPr>
                <w:sz w:val="20"/>
                <w:szCs w:val="20"/>
                <w:color w:val="auto"/>
              </w:rPr>
            </w:pPr>
            <w:r>
              <w:rPr>
                <w:rFonts w:ascii="Calibri" w:cs="Calibri" w:eastAsia="Calibri" w:hAnsi="Calibri"/>
                <w:sz w:val="18"/>
                <w:szCs w:val="18"/>
                <w:color w:val="auto"/>
              </w:rPr>
              <w:t>Issuance of pre-funded warrants</w:t>
            </w:r>
          </w:p>
        </w:tc>
        <w:tc>
          <w:tcPr>
            <w:tcW w:w="19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1,538,501</w:t>
            </w:r>
          </w:p>
        </w:tc>
        <w:tc>
          <w:tcPr>
            <w:tcW w:w="80" w:type="dxa"/>
            <w:vAlign w:val="bottom"/>
          </w:tcPr>
          <w:p>
            <w:pPr>
              <w:spacing w:after="0"/>
              <w:rPr>
                <w:sz w:val="18"/>
                <w:szCs w:val="18"/>
                <w:color w:val="auto"/>
              </w:rPr>
            </w:pPr>
          </w:p>
        </w:tc>
      </w:tr>
      <w:tr>
        <w:trPr>
          <w:trHeight w:val="250"/>
        </w:trPr>
        <w:tc>
          <w:tcPr>
            <w:tcW w:w="5800" w:type="dxa"/>
            <w:vAlign w:val="bottom"/>
            <w:tcBorders>
              <w:bottom w:val="single" w:sz="8" w:color="CCECFF"/>
            </w:tcBorders>
            <w:shd w:val="clear" w:color="auto" w:fill="CCECFF"/>
          </w:tcPr>
          <w:p>
            <w:pPr>
              <w:spacing w:after="0" w:line="209" w:lineRule="exact"/>
              <w:rPr>
                <w:sz w:val="20"/>
                <w:szCs w:val="20"/>
                <w:color w:val="auto"/>
              </w:rPr>
            </w:pPr>
            <w:r>
              <w:rPr>
                <w:rFonts w:ascii="Calibri" w:cs="Calibri" w:eastAsia="Calibri" w:hAnsi="Calibri"/>
                <w:sz w:val="18"/>
                <w:szCs w:val="18"/>
                <w:color w:val="auto"/>
              </w:rPr>
              <w:t>As of December 31, 2024</w:t>
            </w:r>
          </w:p>
        </w:tc>
        <w:tc>
          <w:tcPr>
            <w:tcW w:w="1980" w:type="dxa"/>
            <w:vAlign w:val="bottom"/>
            <w:tcBorders>
              <w:bottom w:val="single" w:sz="8" w:color="auto"/>
            </w:tcBorders>
            <w:shd w:val="clear" w:color="auto" w:fill="CCECFF"/>
          </w:tcPr>
          <w:p>
            <w:pPr>
              <w:jc w:val="right"/>
              <w:spacing w:after="0" w:line="209" w:lineRule="exact"/>
              <w:rPr>
                <w:sz w:val="20"/>
                <w:szCs w:val="20"/>
                <w:color w:val="auto"/>
              </w:rPr>
            </w:pPr>
            <w:r>
              <w:rPr>
                <w:rFonts w:ascii="Calibri" w:cs="Calibri" w:eastAsia="Calibri" w:hAnsi="Calibri"/>
                <w:sz w:val="18"/>
                <w:szCs w:val="18"/>
                <w:color w:val="auto"/>
              </w:rPr>
              <w:t>3,205,223</w:t>
            </w:r>
          </w:p>
        </w:tc>
        <w:tc>
          <w:tcPr>
            <w:tcW w:w="80" w:type="dxa"/>
            <w:vAlign w:val="bottom"/>
            <w:tcBorders>
              <w:bottom w:val="single" w:sz="8" w:color="CCECFF"/>
            </w:tcBorders>
            <w:shd w:val="clear" w:color="auto" w:fill="CCEC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7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7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9"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In October 2023, the Company completed an underwriten public ofering in which 9,833,334 shares of common stock were sold, including the exercise in full by the underwriters of their opton to purchase an additonal 1,500,000 shares, at a public ofering price of $30.00 per share. In connecton with the ofering, the Company sold to certain investors pre-funded warrants, in lieu of common stock, to purchase 1,666,722 shares of common stock at a purchase price of $29.999 per pre-funded warrant, which equals the public ofering price per share of common stock less the $0.001 exercise price per share of each pre-funded warrant. The total proceeds that the Company received from the ofering were $326.5 million, net of underwritng discounts and commissions.</w:t>
      </w:r>
    </w:p>
    <w:p>
      <w:pPr>
        <w:spacing w:after="0" w:line="248" w:lineRule="exact"/>
        <w:rPr>
          <w:sz w:val="20"/>
          <w:szCs w:val="20"/>
          <w:color w:val="auto"/>
        </w:rPr>
      </w:pPr>
    </w:p>
    <w:p>
      <w:pPr>
        <w:ind w:right="9240" w:firstLine="8"/>
        <w:spacing w:after="0" w:line="343" w:lineRule="auto"/>
        <w:tabs>
          <w:tab w:leader="none" w:pos="509" w:val="left"/>
        </w:tabs>
        <w:numPr>
          <w:ilvl w:val="0"/>
          <w:numId w:val="52"/>
        </w:numPr>
        <w:rPr>
          <w:rFonts w:ascii="Calibri" w:cs="Calibri" w:eastAsia="Calibri" w:hAnsi="Calibri"/>
          <w:sz w:val="17"/>
          <w:szCs w:val="17"/>
          <w:b w:val="1"/>
          <w:bCs w:val="1"/>
          <w:color w:val="auto"/>
        </w:rPr>
      </w:pPr>
      <w:r>
        <w:rPr>
          <w:rFonts w:ascii="Calibri" w:cs="Calibri" w:eastAsia="Calibri" w:hAnsi="Calibri"/>
          <w:sz w:val="17"/>
          <w:szCs w:val="17"/>
          <w:b w:val="1"/>
          <w:bCs w:val="1"/>
          <w:color w:val="auto"/>
        </w:rPr>
        <w:t>Stock-Based Awards Equity Plan Awards</w:t>
      </w:r>
    </w:p>
    <w:p>
      <w:pPr>
        <w:spacing w:after="0" w:line="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Under the terms of the Company's 2023 Incentve Plan, or 2023 Plan, and Employment Inducement Plan, or Inducement Plan, awards may be granted at an exercise price not less than fair market value. The exercise price of an opton may not be less than the fair market value. The term of an award granted under the 2023 Plan and Inducement Plan may not exceed ten years. Typically, the vestng schedule for opton grants to employees provides that 1/4 of the grant vests upon the frst anniversary of the date of grant, with the remainder of the shares vestng monthly thereafer at a rate of 1/48 of the total shares subject to the opton. Typically, the vestng schedule for RSU grants provides that 1/4 of the grant vests upon the annual anniversary of the date of grant over the period of four years.</w:t>
      </w:r>
    </w:p>
    <w:p>
      <w:pPr>
        <w:spacing w:after="0" w:line="86"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Under the 2014 Employee Stock Purchase Plan, or ESPP, eligible employees may purchase common stock at 85% of the lesser of the fair market value of common stock on the ofering date or the purchase date with a six-month look-back feature. ESPP purchases are setled with common stock from the ESPP’s previously authorized and available pool of shares. During the year ended December 31, 2024, the Company issued 200,539 shares of common stock under the ESPP.</w:t>
      </w:r>
    </w:p>
    <w:p>
      <w:pPr>
        <w:spacing w:after="0" w:line="80"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table below summarizes the Company's equity plans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53975</wp:posOffset>
            </wp:positionV>
            <wp:extent cx="5713095" cy="7156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75">
                      <a:extLst>
                        <a:ext uri="{28A0092B-C50C-407E-A947-70E740481C1C}"/>
                      </a:extLst>
                    </a:blip>
                    <a:srcRect/>
                    <a:stretch>
                      <a:fillRect/>
                    </a:stretch>
                  </pic:blipFill>
                  <pic:spPr bwMode="auto">
                    <a:xfrm>
                      <a:off x="0" y="0"/>
                      <a:ext cx="5713095" cy="715645"/>
                    </a:xfrm>
                    <a:prstGeom prst="rect">
                      <a:avLst/>
                    </a:prstGeom>
                    <a:noFill/>
                  </pic:spPr>
                </pic:pic>
              </a:graphicData>
            </a:graphic>
          </wp:anchor>
        </w:drawing>
      </w:r>
    </w:p>
    <w:p>
      <w:pPr>
        <w:spacing w:after="0" w:line="65"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Borders>
              <w:top w:val="single" w:sz="8" w:color="auto"/>
            </w:tcBorders>
          </w:tcPr>
          <w:p>
            <w:pPr>
              <w:jc w:val="center"/>
              <w:spacing w:after="0" w:line="207" w:lineRule="exact"/>
              <w:rPr>
                <w:sz w:val="20"/>
                <w:szCs w:val="20"/>
                <w:color w:val="auto"/>
              </w:rPr>
            </w:pPr>
            <w:r>
              <w:rPr>
                <w:rFonts w:ascii="Calibri" w:cs="Calibri" w:eastAsia="Calibri" w:hAnsi="Calibri"/>
                <w:sz w:val="18"/>
                <w:szCs w:val="18"/>
                <w:b w:val="1"/>
                <w:bCs w:val="1"/>
                <w:color w:val="auto"/>
                <w:w w:val="96"/>
              </w:rPr>
              <w:t>Maximum</w:t>
            </w:r>
          </w:p>
        </w:tc>
        <w:tc>
          <w:tcPr>
            <w:tcW w:w="2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6"/>
              </w:rPr>
              <w:t>Number of</w:t>
            </w:r>
          </w:p>
        </w:tc>
        <w:tc>
          <w:tcPr>
            <w:tcW w:w="200" w:type="dxa"/>
            <w:vAlign w:val="bottom"/>
          </w:tcPr>
          <w:p>
            <w:pPr>
              <w:spacing w:after="0"/>
              <w:rPr>
                <w:sz w:val="18"/>
                <w:szCs w:val="18"/>
                <w:color w:val="auto"/>
              </w:rPr>
            </w:pPr>
          </w:p>
        </w:tc>
        <w:tc>
          <w:tcPr>
            <w:tcW w:w="1440" w:type="dxa"/>
            <w:vAlign w:val="bottom"/>
            <w:gridSpan w:val="2"/>
          </w:tcPr>
          <w:p>
            <w:pPr>
              <w:jc w:val="center"/>
              <w:ind w:right="160"/>
              <w:spacing w:after="0" w:line="215" w:lineRule="exact"/>
              <w:rPr>
                <w:sz w:val="20"/>
                <w:szCs w:val="20"/>
                <w:color w:val="auto"/>
              </w:rPr>
            </w:pPr>
            <w:r>
              <w:rPr>
                <w:rFonts w:ascii="Calibri" w:cs="Calibri" w:eastAsia="Calibri" w:hAnsi="Calibri"/>
                <w:sz w:val="18"/>
                <w:szCs w:val="18"/>
                <w:b w:val="1"/>
                <w:bCs w:val="1"/>
                <w:color w:val="auto"/>
                <w:w w:val="97"/>
              </w:rPr>
              <w:t>Shares Available</w:t>
            </w:r>
          </w:p>
        </w:tc>
      </w:tr>
      <w:tr>
        <w:trPr>
          <w:trHeight w:val="216"/>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9"/>
              </w:rPr>
              <w:t>Expiraton Date,</w:t>
            </w:r>
          </w:p>
        </w:tc>
        <w:tc>
          <w:tcPr>
            <w:tcW w:w="80" w:type="dxa"/>
            <w:vAlign w:val="bottom"/>
          </w:tcPr>
          <w:p>
            <w:pPr>
              <w:spacing w:after="0"/>
              <w:rPr>
                <w:sz w:val="18"/>
                <w:szCs w:val="18"/>
                <w:color w:val="auto"/>
              </w:rPr>
            </w:pPr>
          </w:p>
        </w:tc>
        <w:tc>
          <w:tcPr>
            <w:tcW w:w="134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Shares</w:t>
            </w:r>
          </w:p>
        </w:tc>
        <w:tc>
          <w:tcPr>
            <w:tcW w:w="200" w:type="dxa"/>
            <w:vAlign w:val="bottom"/>
          </w:tcPr>
          <w:p>
            <w:pPr>
              <w:spacing w:after="0"/>
              <w:rPr>
                <w:sz w:val="18"/>
                <w:szCs w:val="18"/>
                <w:color w:val="auto"/>
              </w:rPr>
            </w:pPr>
          </w:p>
        </w:tc>
        <w:tc>
          <w:tcPr>
            <w:tcW w:w="1440" w:type="dxa"/>
            <w:vAlign w:val="bottom"/>
            <w:gridSpan w:val="2"/>
          </w:tcPr>
          <w:p>
            <w:pPr>
              <w:jc w:val="center"/>
              <w:ind w:right="140"/>
              <w:spacing w:after="0" w:line="216" w:lineRule="exact"/>
              <w:rPr>
                <w:sz w:val="20"/>
                <w:szCs w:val="20"/>
                <w:color w:val="auto"/>
              </w:rPr>
            </w:pPr>
            <w:r>
              <w:rPr>
                <w:rFonts w:ascii="Calibri" w:cs="Calibri" w:eastAsia="Calibri" w:hAnsi="Calibri"/>
                <w:sz w:val="18"/>
                <w:szCs w:val="18"/>
                <w:b w:val="1"/>
                <w:bCs w:val="1"/>
                <w:color w:val="auto"/>
                <w:w w:val="98"/>
              </w:rPr>
              <w:t>for Future</w:t>
            </w:r>
          </w:p>
        </w:tc>
      </w:tr>
      <w:tr>
        <w:trPr>
          <w:trHeight w:val="216"/>
        </w:trPr>
        <w:tc>
          <w:tcPr>
            <w:tcW w:w="2900" w:type="dxa"/>
            <w:vAlign w:val="bottom"/>
          </w:tcPr>
          <w:p>
            <w:pPr>
              <w:ind w:left="1280"/>
              <w:spacing w:after="0" w:line="216" w:lineRule="exact"/>
              <w:rPr>
                <w:sz w:val="20"/>
                <w:szCs w:val="20"/>
                <w:color w:val="auto"/>
              </w:rPr>
            </w:pPr>
            <w:r>
              <w:rPr>
                <w:rFonts w:ascii="Calibri" w:cs="Calibri" w:eastAsia="Calibri" w:hAnsi="Calibri"/>
                <w:sz w:val="18"/>
                <w:szCs w:val="18"/>
                <w:b w:val="1"/>
                <w:bCs w:val="1"/>
                <w:color w:val="auto"/>
              </w:rPr>
              <w:t>Plan</w:t>
            </w:r>
          </w:p>
        </w:tc>
        <w:tc>
          <w:tcPr>
            <w:tcW w:w="100" w:type="dxa"/>
            <w:vAlign w:val="bottom"/>
          </w:tcPr>
          <w:p>
            <w:pPr>
              <w:spacing w:after="0"/>
              <w:rPr>
                <w:sz w:val="18"/>
                <w:szCs w:val="18"/>
                <w:color w:val="auto"/>
              </w:rPr>
            </w:pPr>
          </w:p>
        </w:tc>
        <w:tc>
          <w:tcPr>
            <w:tcW w:w="14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Year of Adopton</w:t>
            </w:r>
          </w:p>
        </w:tc>
        <w:tc>
          <w:tcPr>
            <w:tcW w:w="120" w:type="dxa"/>
            <w:vAlign w:val="bottom"/>
          </w:tcPr>
          <w:p>
            <w:pPr>
              <w:spacing w:after="0"/>
              <w:rPr>
                <w:sz w:val="18"/>
                <w:szCs w:val="18"/>
                <w:color w:val="auto"/>
              </w:rPr>
            </w:pPr>
          </w:p>
        </w:tc>
        <w:tc>
          <w:tcPr>
            <w:tcW w:w="14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9"/>
              </w:rPr>
              <w:t>as Amended</w:t>
            </w:r>
          </w:p>
        </w:tc>
        <w:tc>
          <w:tcPr>
            <w:tcW w:w="80" w:type="dxa"/>
            <w:vAlign w:val="bottom"/>
          </w:tcPr>
          <w:p>
            <w:pPr>
              <w:spacing w:after="0"/>
              <w:rPr>
                <w:sz w:val="18"/>
                <w:szCs w:val="18"/>
                <w:color w:val="auto"/>
              </w:rPr>
            </w:pPr>
          </w:p>
        </w:tc>
        <w:tc>
          <w:tcPr>
            <w:tcW w:w="134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Authorized</w:t>
            </w:r>
          </w:p>
        </w:tc>
        <w:tc>
          <w:tcPr>
            <w:tcW w:w="200" w:type="dxa"/>
            <w:vAlign w:val="bottom"/>
          </w:tcPr>
          <w:p>
            <w:pPr>
              <w:spacing w:after="0"/>
              <w:rPr>
                <w:sz w:val="18"/>
                <w:szCs w:val="18"/>
                <w:color w:val="auto"/>
              </w:rPr>
            </w:pPr>
          </w:p>
        </w:tc>
        <w:tc>
          <w:tcPr>
            <w:tcW w:w="1440" w:type="dxa"/>
            <w:vAlign w:val="bottom"/>
            <w:gridSpan w:val="2"/>
          </w:tcPr>
          <w:p>
            <w:pPr>
              <w:jc w:val="center"/>
              <w:ind w:right="100"/>
              <w:spacing w:after="0" w:line="216" w:lineRule="exact"/>
              <w:rPr>
                <w:sz w:val="20"/>
                <w:szCs w:val="20"/>
                <w:color w:val="auto"/>
              </w:rPr>
            </w:pPr>
            <w:r>
              <w:rPr>
                <w:rFonts w:ascii="Calibri" w:cs="Calibri" w:eastAsia="Calibri" w:hAnsi="Calibri"/>
                <w:sz w:val="18"/>
                <w:szCs w:val="18"/>
                <w:b w:val="1"/>
                <w:bCs w:val="1"/>
                <w:color w:val="auto"/>
                <w:w w:val="96"/>
              </w:rPr>
              <w:t>Issuance</w:t>
            </w:r>
          </w:p>
        </w:tc>
      </w:tr>
      <w:tr>
        <w:trPr>
          <w:trHeight w:val="23"/>
        </w:trPr>
        <w:tc>
          <w:tcPr>
            <w:tcW w:w="2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3"/>
        </w:trPr>
        <w:tc>
          <w:tcPr>
            <w:tcW w:w="2900" w:type="dxa"/>
            <w:vAlign w:val="bottom"/>
          </w:tcPr>
          <w:p>
            <w:pPr>
              <w:ind w:left="180"/>
              <w:spacing w:after="0" w:line="163" w:lineRule="exact"/>
              <w:rPr>
                <w:sz w:val="20"/>
                <w:szCs w:val="20"/>
                <w:color w:val="auto"/>
              </w:rPr>
            </w:pPr>
            <w:r>
              <w:rPr>
                <w:rFonts w:ascii="Calibri" w:cs="Calibri" w:eastAsia="Calibri" w:hAnsi="Calibri"/>
                <w:sz w:val="17"/>
                <w:szCs w:val="17"/>
                <w:color w:val="auto"/>
              </w:rPr>
              <w:t>Employment Inducement Plan</w:t>
            </w:r>
          </w:p>
        </w:tc>
        <w:tc>
          <w:tcPr>
            <w:tcW w:w="1500" w:type="dxa"/>
            <w:vAlign w:val="bottom"/>
            <w:gridSpan w:val="2"/>
          </w:tcPr>
          <w:p>
            <w:pPr>
              <w:jc w:val="center"/>
              <w:spacing w:after="0" w:line="163" w:lineRule="exact"/>
              <w:rPr>
                <w:sz w:val="20"/>
                <w:szCs w:val="20"/>
                <w:color w:val="auto"/>
              </w:rPr>
            </w:pPr>
            <w:r>
              <w:rPr>
                <w:rFonts w:ascii="Calibri" w:cs="Calibri" w:eastAsia="Calibri" w:hAnsi="Calibri"/>
                <w:sz w:val="17"/>
                <w:szCs w:val="17"/>
                <w:color w:val="auto"/>
                <w:w w:val="98"/>
              </w:rPr>
              <w:t>2021</w:t>
            </w:r>
          </w:p>
        </w:tc>
        <w:tc>
          <w:tcPr>
            <w:tcW w:w="120" w:type="dxa"/>
            <w:vAlign w:val="bottom"/>
          </w:tcPr>
          <w:p>
            <w:pPr>
              <w:spacing w:after="0"/>
              <w:rPr>
                <w:sz w:val="14"/>
                <w:szCs w:val="14"/>
                <w:color w:val="auto"/>
              </w:rPr>
            </w:pPr>
          </w:p>
        </w:tc>
        <w:tc>
          <w:tcPr>
            <w:tcW w:w="1400" w:type="dxa"/>
            <w:vAlign w:val="bottom"/>
          </w:tcPr>
          <w:p>
            <w:pPr>
              <w:jc w:val="center"/>
              <w:spacing w:after="0" w:line="163" w:lineRule="exact"/>
              <w:rPr>
                <w:sz w:val="20"/>
                <w:szCs w:val="20"/>
                <w:color w:val="auto"/>
              </w:rPr>
            </w:pPr>
            <w:r>
              <w:rPr>
                <w:rFonts w:ascii="Calibri" w:cs="Calibri" w:eastAsia="Calibri" w:hAnsi="Calibri"/>
                <w:sz w:val="17"/>
                <w:szCs w:val="17"/>
                <w:color w:val="auto"/>
              </w:rPr>
              <w:t>February 3, 2031</w:t>
            </w:r>
          </w:p>
        </w:tc>
        <w:tc>
          <w:tcPr>
            <w:tcW w:w="1420" w:type="dxa"/>
            <w:vAlign w:val="bottom"/>
            <w:gridSpan w:val="2"/>
          </w:tcPr>
          <w:p>
            <w:pPr>
              <w:jc w:val="right"/>
              <w:spacing w:after="0" w:line="163" w:lineRule="exact"/>
              <w:rPr>
                <w:sz w:val="20"/>
                <w:szCs w:val="20"/>
                <w:color w:val="auto"/>
              </w:rPr>
            </w:pPr>
            <w:r>
              <w:rPr>
                <w:rFonts w:ascii="Calibri" w:cs="Calibri" w:eastAsia="Calibri" w:hAnsi="Calibri"/>
                <w:sz w:val="17"/>
                <w:szCs w:val="17"/>
                <w:color w:val="auto"/>
              </w:rPr>
              <w:t>1,200,000</w:t>
            </w:r>
          </w:p>
        </w:tc>
        <w:tc>
          <w:tcPr>
            <w:tcW w:w="1540" w:type="dxa"/>
            <w:vAlign w:val="bottom"/>
            <w:gridSpan w:val="2"/>
          </w:tcPr>
          <w:p>
            <w:pPr>
              <w:jc w:val="right"/>
              <w:spacing w:after="0" w:line="163" w:lineRule="exact"/>
              <w:rPr>
                <w:sz w:val="20"/>
                <w:szCs w:val="20"/>
                <w:color w:val="auto"/>
              </w:rPr>
            </w:pPr>
            <w:r>
              <w:rPr>
                <w:rFonts w:ascii="Calibri" w:cs="Calibri" w:eastAsia="Calibri" w:hAnsi="Calibri"/>
                <w:sz w:val="17"/>
                <w:szCs w:val="17"/>
                <w:color w:val="auto"/>
              </w:rPr>
              <w:t>211,628</w:t>
            </w:r>
          </w:p>
        </w:tc>
        <w:tc>
          <w:tcPr>
            <w:tcW w:w="100" w:type="dxa"/>
            <w:vAlign w:val="bottom"/>
          </w:tcPr>
          <w:p>
            <w:pPr>
              <w:spacing w:after="0"/>
              <w:rPr>
                <w:sz w:val="14"/>
                <w:szCs w:val="14"/>
                <w:color w:val="auto"/>
              </w:rPr>
            </w:pPr>
          </w:p>
        </w:tc>
      </w:tr>
      <w:tr>
        <w:trPr>
          <w:trHeight w:val="263"/>
        </w:trPr>
        <w:tc>
          <w:tcPr>
            <w:tcW w:w="2900" w:type="dxa"/>
            <w:vAlign w:val="bottom"/>
          </w:tcPr>
          <w:p>
            <w:pPr>
              <w:ind w:left="180"/>
              <w:spacing w:after="0" w:line="263" w:lineRule="exact"/>
              <w:rPr>
                <w:sz w:val="20"/>
                <w:szCs w:val="20"/>
                <w:color w:val="auto"/>
              </w:rPr>
            </w:pPr>
            <w:r>
              <w:rPr>
                <w:rFonts w:ascii="Calibri" w:cs="Calibri" w:eastAsia="Calibri" w:hAnsi="Calibri"/>
                <w:sz w:val="18"/>
                <w:szCs w:val="18"/>
                <w:color w:val="auto"/>
              </w:rPr>
              <w:t>2023 Incentve Plan</w:t>
            </w:r>
            <w:r>
              <w:rPr>
                <w:rFonts w:ascii="Calibri" w:cs="Calibri" w:eastAsia="Calibri" w:hAnsi="Calibri"/>
                <w:sz w:val="24"/>
                <w:szCs w:val="24"/>
                <w:color w:val="auto"/>
                <w:vertAlign w:val="superscript"/>
              </w:rPr>
              <w:t>(1)</w:t>
            </w:r>
          </w:p>
        </w:tc>
        <w:tc>
          <w:tcPr>
            <w:tcW w:w="1500" w:type="dxa"/>
            <w:vAlign w:val="bottom"/>
            <w:gridSpan w:val="2"/>
          </w:tcPr>
          <w:p>
            <w:pPr>
              <w:jc w:val="center"/>
              <w:spacing w:after="0"/>
              <w:rPr>
                <w:sz w:val="20"/>
                <w:szCs w:val="20"/>
                <w:color w:val="auto"/>
              </w:rPr>
            </w:pPr>
            <w:r>
              <w:rPr>
                <w:rFonts w:ascii="Calibri" w:cs="Calibri" w:eastAsia="Calibri" w:hAnsi="Calibri"/>
                <w:sz w:val="18"/>
                <w:szCs w:val="18"/>
                <w:color w:val="auto"/>
                <w:w w:val="93"/>
              </w:rPr>
              <w:t>2023</w:t>
            </w:r>
          </w:p>
        </w:tc>
        <w:tc>
          <w:tcPr>
            <w:tcW w:w="12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Calibri" w:cs="Calibri" w:eastAsia="Calibri" w:hAnsi="Calibri"/>
                <w:sz w:val="18"/>
                <w:szCs w:val="18"/>
                <w:color w:val="auto"/>
                <w:w w:val="97"/>
              </w:rPr>
              <w:t>June 7, 2023</w:t>
            </w:r>
          </w:p>
        </w:tc>
        <w:tc>
          <w:tcPr>
            <w:tcW w:w="1420" w:type="dxa"/>
            <w:vAlign w:val="bottom"/>
            <w:gridSpan w:val="2"/>
          </w:tcPr>
          <w:p>
            <w:pPr>
              <w:jc w:val="right"/>
              <w:spacing w:after="0"/>
              <w:rPr>
                <w:sz w:val="20"/>
                <w:szCs w:val="20"/>
                <w:color w:val="auto"/>
              </w:rPr>
            </w:pPr>
            <w:r>
              <w:rPr>
                <w:rFonts w:ascii="Calibri" w:cs="Calibri" w:eastAsia="Calibri" w:hAnsi="Calibri"/>
                <w:sz w:val="18"/>
                <w:szCs w:val="18"/>
                <w:color w:val="auto"/>
              </w:rPr>
              <w:t>10,475,837</w:t>
            </w:r>
          </w:p>
        </w:tc>
        <w:tc>
          <w:tcPr>
            <w:tcW w:w="1540" w:type="dxa"/>
            <w:vAlign w:val="bottom"/>
            <w:gridSpan w:val="2"/>
          </w:tcPr>
          <w:p>
            <w:pPr>
              <w:jc w:val="right"/>
              <w:spacing w:after="0"/>
              <w:rPr>
                <w:sz w:val="20"/>
                <w:szCs w:val="20"/>
                <w:color w:val="auto"/>
              </w:rPr>
            </w:pPr>
            <w:r>
              <w:rPr>
                <w:rFonts w:ascii="Calibri" w:cs="Calibri" w:eastAsia="Calibri" w:hAnsi="Calibri"/>
                <w:sz w:val="18"/>
                <w:szCs w:val="18"/>
                <w:color w:val="auto"/>
              </w:rPr>
              <w:t>6,139,766</w:t>
            </w:r>
          </w:p>
        </w:tc>
        <w:tc>
          <w:tcPr>
            <w:tcW w:w="100" w:type="dxa"/>
            <w:vAlign w:val="bottom"/>
          </w:tcPr>
          <w:p>
            <w:pPr>
              <w:spacing w:after="0"/>
              <w:rPr>
                <w:sz w:val="22"/>
                <w:szCs w:val="22"/>
                <w:color w:val="auto"/>
              </w:rPr>
            </w:pPr>
          </w:p>
        </w:tc>
      </w:tr>
      <w:tr>
        <w:trPr>
          <w:trHeight w:val="216"/>
        </w:trPr>
        <w:tc>
          <w:tcPr>
            <w:tcW w:w="2900" w:type="dxa"/>
            <w:vAlign w:val="bottom"/>
            <w:shd w:val="clear" w:color="auto" w:fill="CCEEFF"/>
          </w:tcPr>
          <w:p>
            <w:pPr>
              <w:ind w:left="180"/>
              <w:spacing w:after="0" w:line="215" w:lineRule="exact"/>
              <w:rPr>
                <w:sz w:val="20"/>
                <w:szCs w:val="20"/>
                <w:color w:val="auto"/>
              </w:rPr>
            </w:pPr>
            <w:r>
              <w:rPr>
                <w:rFonts w:ascii="Calibri" w:cs="Calibri" w:eastAsia="Calibri" w:hAnsi="Calibri"/>
                <w:sz w:val="18"/>
                <w:szCs w:val="18"/>
                <w:color w:val="auto"/>
              </w:rPr>
              <w:t>2014 Employee Stock Purchase Plan</w:t>
            </w:r>
          </w:p>
        </w:tc>
        <w:tc>
          <w:tcPr>
            <w:tcW w:w="1500" w:type="dxa"/>
            <w:vAlign w:val="bottom"/>
            <w:gridSpan w:val="2"/>
            <w:shd w:val="clear" w:color="auto" w:fill="CCEEFF"/>
          </w:tcPr>
          <w:p>
            <w:pPr>
              <w:jc w:val="center"/>
              <w:spacing w:after="0" w:line="215" w:lineRule="exact"/>
              <w:rPr>
                <w:sz w:val="20"/>
                <w:szCs w:val="20"/>
                <w:color w:val="auto"/>
              </w:rPr>
            </w:pPr>
            <w:r>
              <w:rPr>
                <w:rFonts w:ascii="Calibri" w:cs="Calibri" w:eastAsia="Calibri" w:hAnsi="Calibri"/>
                <w:sz w:val="18"/>
                <w:szCs w:val="18"/>
                <w:color w:val="auto"/>
                <w:w w:val="93"/>
              </w:rPr>
              <w:t>2014</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line="215" w:lineRule="exact"/>
              <w:rPr>
                <w:sz w:val="20"/>
                <w:szCs w:val="20"/>
                <w:color w:val="auto"/>
              </w:rPr>
            </w:pPr>
            <w:r>
              <w:rPr>
                <w:rFonts w:ascii="Calibri" w:cs="Calibri" w:eastAsia="Calibri" w:hAnsi="Calibri"/>
                <w:sz w:val="18"/>
                <w:szCs w:val="18"/>
                <w:color w:val="auto"/>
                <w:w w:val="97"/>
              </w:rPr>
              <w:t>June 7, 2033</w:t>
            </w:r>
          </w:p>
        </w:tc>
        <w:tc>
          <w:tcPr>
            <w:tcW w:w="1420" w:type="dxa"/>
            <w:vAlign w:val="bottom"/>
            <w:gridSpan w:val="2"/>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7,330,914</w:t>
            </w:r>
          </w:p>
        </w:tc>
        <w:tc>
          <w:tcPr>
            <w:tcW w:w="1540" w:type="dxa"/>
            <w:vAlign w:val="bottom"/>
            <w:gridSpan w:val="2"/>
            <w:shd w:val="clear" w:color="auto" w:fill="CCEEFF"/>
          </w:tcPr>
          <w:p>
            <w:pPr>
              <w:jc w:val="right"/>
              <w:spacing w:after="0" w:line="215" w:lineRule="exact"/>
              <w:rPr>
                <w:sz w:val="20"/>
                <w:szCs w:val="20"/>
                <w:color w:val="auto"/>
              </w:rPr>
            </w:pPr>
            <w:r>
              <w:rPr>
                <w:rFonts w:ascii="Calibri" w:cs="Calibri" w:eastAsia="Calibri" w:hAnsi="Calibri"/>
                <w:sz w:val="18"/>
                <w:szCs w:val="18"/>
                <w:color w:val="auto"/>
              </w:rPr>
              <w:t>6,409,256</w:t>
            </w:r>
          </w:p>
        </w:tc>
        <w:tc>
          <w:tcPr>
            <w:tcW w:w="100" w:type="dxa"/>
            <w:vAlign w:val="bottom"/>
            <w:shd w:val="clear" w:color="auto" w:fill="CCEEFF"/>
          </w:tcPr>
          <w:p>
            <w:pPr>
              <w:spacing w:after="0"/>
              <w:rPr>
                <w:sz w:val="18"/>
                <w:szCs w:val="18"/>
                <w:color w:val="auto"/>
              </w:rPr>
            </w:pPr>
          </w:p>
        </w:tc>
      </w:tr>
    </w:tbl>
    <w:p>
      <w:pPr>
        <w:ind w:left="1140" w:right="1460" w:firstLine="9"/>
        <w:spacing w:after="0" w:line="228" w:lineRule="auto"/>
        <w:tabs>
          <w:tab w:leader="none" w:pos="1345" w:val="left"/>
        </w:tabs>
        <w:numPr>
          <w:ilvl w:val="0"/>
          <w:numId w:val="53"/>
        </w:numPr>
        <w:rPr>
          <w:rFonts w:ascii="Calibri" w:cs="Calibri" w:eastAsia="Calibri" w:hAnsi="Calibri"/>
          <w:sz w:val="15"/>
          <w:szCs w:val="15"/>
          <w:color w:val="auto"/>
        </w:rPr>
      </w:pPr>
      <w:r>
        <w:rPr>
          <w:rFonts w:ascii="Calibri" w:cs="Calibri" w:eastAsia="Calibri" w:hAnsi="Calibri"/>
          <w:sz w:val="15"/>
          <w:szCs w:val="15"/>
          <w:color w:val="auto"/>
        </w:rPr>
        <w:t>Maximum number of shares authorized and shares available for future issuance under the 2023 Incentve Plan include 1,975,837 shares subject to the 2014 Incentve Plan cancelled afer June 7, 2023.</w:t>
      </w:r>
    </w:p>
    <w:p>
      <w:pPr>
        <w:spacing w:after="0" w:line="21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3" w:name="page124"/>
    <w:bookmarkEnd w:id="123"/>
    <w:p>
      <w:pPr>
        <w:ind w:left="384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Stock Opton Actvity</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summarizes actvity under the Company’s stock opton plans and related informaton:</w:t>
      </w:r>
    </w:p>
    <w:p>
      <w:pPr>
        <w:spacing w:after="0" w:line="104"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4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3"/>
          </w:tcPr>
          <w:p>
            <w:pPr>
              <w:ind w:left="240"/>
              <w:spacing w:after="0"/>
              <w:rPr>
                <w:sz w:val="20"/>
                <w:szCs w:val="20"/>
                <w:color w:val="auto"/>
              </w:rPr>
            </w:pPr>
            <w:r>
              <w:rPr>
                <w:rFonts w:ascii="Calibri" w:cs="Calibri" w:eastAsia="Calibri" w:hAnsi="Calibri"/>
                <w:sz w:val="18"/>
                <w:szCs w:val="18"/>
                <w:b w:val="1"/>
                <w:bCs w:val="1"/>
                <w:color w:val="auto"/>
              </w:rPr>
              <w:t>Optons Outstanding</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8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spacing w:after="0" w:line="187" w:lineRule="exact"/>
              <w:rPr>
                <w:sz w:val="20"/>
                <w:szCs w:val="20"/>
                <w:color w:val="auto"/>
              </w:rPr>
            </w:pPr>
            <w:r>
              <w:rPr>
                <w:rFonts w:ascii="Calibri" w:cs="Calibri" w:eastAsia="Calibri" w:hAnsi="Calibri"/>
                <w:sz w:val="18"/>
                <w:szCs w:val="18"/>
                <w:b w:val="1"/>
                <w:bCs w:val="1"/>
                <w:color w:val="auto"/>
                <w:w w:val="96"/>
              </w:rPr>
              <w:t>Weighted-</w:t>
            </w:r>
          </w:p>
        </w:tc>
        <w:tc>
          <w:tcPr>
            <w:tcW w:w="140" w:type="dxa"/>
            <w:vAlign w:val="bottom"/>
          </w:tcPr>
          <w:p>
            <w:pPr>
              <w:spacing w:after="0"/>
              <w:rPr>
                <w:sz w:val="16"/>
                <w:szCs w:val="16"/>
                <w:color w:val="auto"/>
              </w:rPr>
            </w:pPr>
          </w:p>
        </w:tc>
        <w:tc>
          <w:tcPr>
            <w:tcW w:w="1000" w:type="dxa"/>
            <w:vAlign w:val="bottom"/>
            <w:gridSpan w:val="2"/>
          </w:tcPr>
          <w:p>
            <w:pPr>
              <w:jc w:val="center"/>
              <w:spacing w:after="0" w:line="187" w:lineRule="exact"/>
              <w:rPr>
                <w:sz w:val="20"/>
                <w:szCs w:val="20"/>
                <w:color w:val="auto"/>
              </w:rPr>
            </w:pPr>
            <w:r>
              <w:rPr>
                <w:rFonts w:ascii="Calibri" w:cs="Calibri" w:eastAsia="Calibri" w:hAnsi="Calibri"/>
                <w:sz w:val="18"/>
                <w:szCs w:val="18"/>
                <w:b w:val="1"/>
                <w:bCs w:val="1"/>
                <w:color w:val="auto"/>
                <w:w w:val="97"/>
              </w:rPr>
              <w:t>Aggregate</w:t>
            </w:r>
          </w:p>
        </w:tc>
        <w:tc>
          <w:tcPr>
            <w:tcW w:w="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30"/>
              <w:spacing w:after="0" w:line="215" w:lineRule="exact"/>
              <w:rPr>
                <w:sz w:val="20"/>
                <w:szCs w:val="20"/>
                <w:color w:val="auto"/>
              </w:rPr>
            </w:pPr>
            <w:r>
              <w:rPr>
                <w:rFonts w:ascii="Calibri" w:cs="Calibri" w:eastAsia="Calibri" w:hAnsi="Calibri"/>
                <w:sz w:val="18"/>
                <w:szCs w:val="18"/>
                <w:b w:val="1"/>
                <w:bCs w:val="1"/>
                <w:color w:val="auto"/>
                <w:w w:val="99"/>
              </w:rPr>
              <w:t>Weighted-</w:t>
            </w:r>
          </w:p>
        </w:tc>
        <w:tc>
          <w:tcPr>
            <w:tcW w:w="220" w:type="dxa"/>
            <w:vAlign w:val="bottom"/>
          </w:tcPr>
          <w:p>
            <w:pPr>
              <w:spacing w:after="0"/>
              <w:rPr>
                <w:sz w:val="18"/>
                <w:szCs w:val="18"/>
                <w:color w:val="auto"/>
              </w:rPr>
            </w:pPr>
          </w:p>
        </w:tc>
        <w:tc>
          <w:tcPr>
            <w:tcW w:w="104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7"/>
              </w:rPr>
              <w:t>Average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280"/>
              <w:spacing w:after="0" w:line="215" w:lineRule="exact"/>
              <w:rPr>
                <w:sz w:val="20"/>
                <w:szCs w:val="20"/>
                <w:color w:val="auto"/>
              </w:rPr>
            </w:pPr>
            <w:r>
              <w:rPr>
                <w:rFonts w:ascii="Calibri" w:cs="Calibri" w:eastAsia="Calibri" w:hAnsi="Calibri"/>
                <w:sz w:val="18"/>
                <w:szCs w:val="18"/>
                <w:b w:val="1"/>
                <w:bCs w:val="1"/>
                <w:color w:val="auto"/>
                <w:w w:val="96"/>
              </w:rPr>
              <w:t>Intrinsic</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50"/>
              <w:spacing w:after="0" w:line="216" w:lineRule="exact"/>
              <w:rPr>
                <w:sz w:val="20"/>
                <w:szCs w:val="20"/>
                <w:color w:val="auto"/>
              </w:rPr>
            </w:pPr>
            <w:r>
              <w:rPr>
                <w:rFonts w:ascii="Calibri" w:cs="Calibri" w:eastAsia="Calibri" w:hAnsi="Calibri"/>
                <w:sz w:val="18"/>
                <w:szCs w:val="18"/>
                <w:b w:val="1"/>
                <w:bCs w:val="1"/>
                <w:color w:val="auto"/>
                <w:w w:val="97"/>
              </w:rPr>
              <w:t>Average</w:t>
            </w:r>
          </w:p>
        </w:tc>
        <w:tc>
          <w:tcPr>
            <w:tcW w:w="220" w:type="dxa"/>
            <w:vAlign w:val="bottom"/>
          </w:tcPr>
          <w:p>
            <w:pPr>
              <w:spacing w:after="0"/>
              <w:rPr>
                <w:sz w:val="18"/>
                <w:szCs w:val="18"/>
                <w:color w:val="auto"/>
              </w:rPr>
            </w:pPr>
          </w:p>
        </w:tc>
        <w:tc>
          <w:tcPr>
            <w:tcW w:w="104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Remaining</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240"/>
              <w:spacing w:after="0" w:line="216" w:lineRule="exact"/>
              <w:rPr>
                <w:sz w:val="20"/>
                <w:szCs w:val="20"/>
                <w:color w:val="auto"/>
              </w:rPr>
            </w:pPr>
            <w:r>
              <w:rPr>
                <w:rFonts w:ascii="Calibri" w:cs="Calibri" w:eastAsia="Calibri" w:hAnsi="Calibri"/>
                <w:sz w:val="18"/>
                <w:szCs w:val="18"/>
                <w:b w:val="1"/>
                <w:bCs w:val="1"/>
                <w:color w:val="auto"/>
                <w:w w:val="98"/>
              </w:rPr>
              <w:t>Value</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1180" w:type="dxa"/>
            <w:vAlign w:val="bottom"/>
            <w:gridSpan w:val="2"/>
          </w:tcPr>
          <w:p>
            <w:pPr>
              <w:jc w:val="right"/>
              <w:ind w:right="320"/>
              <w:spacing w:after="0" w:line="216" w:lineRule="exact"/>
              <w:rPr>
                <w:sz w:val="20"/>
                <w:szCs w:val="20"/>
                <w:color w:val="auto"/>
              </w:rPr>
            </w:pPr>
            <w:r>
              <w:rPr>
                <w:rFonts w:ascii="Calibri" w:cs="Calibri" w:eastAsia="Calibri" w:hAnsi="Calibri"/>
                <w:sz w:val="18"/>
                <w:szCs w:val="18"/>
                <w:b w:val="1"/>
                <w:bCs w:val="1"/>
                <w:color w:val="auto"/>
              </w:rPr>
              <w:t>Number of</w:t>
            </w:r>
          </w:p>
        </w:tc>
        <w:tc>
          <w:tcPr>
            <w:tcW w:w="100" w:type="dxa"/>
            <w:vAlign w:val="bottom"/>
          </w:tcPr>
          <w:p>
            <w:pPr>
              <w:spacing w:after="0"/>
              <w:rPr>
                <w:sz w:val="18"/>
                <w:szCs w:val="18"/>
                <w:color w:val="auto"/>
              </w:rPr>
            </w:pPr>
          </w:p>
        </w:tc>
        <w:tc>
          <w:tcPr>
            <w:tcW w:w="900" w:type="dxa"/>
            <w:vAlign w:val="bottom"/>
          </w:tcPr>
          <w:p>
            <w:pPr>
              <w:jc w:val="center"/>
              <w:ind w:right="70"/>
              <w:spacing w:after="0" w:line="216" w:lineRule="exact"/>
              <w:rPr>
                <w:sz w:val="20"/>
                <w:szCs w:val="20"/>
                <w:color w:val="auto"/>
              </w:rPr>
            </w:pPr>
            <w:r>
              <w:rPr>
                <w:rFonts w:ascii="Calibri" w:cs="Calibri" w:eastAsia="Calibri" w:hAnsi="Calibri"/>
                <w:sz w:val="18"/>
                <w:szCs w:val="18"/>
                <w:b w:val="1"/>
                <w:bCs w:val="1"/>
                <w:color w:val="auto"/>
                <w:w w:val="95"/>
              </w:rPr>
              <w:t>Exercise</w:t>
            </w:r>
          </w:p>
        </w:tc>
        <w:tc>
          <w:tcPr>
            <w:tcW w:w="220" w:type="dxa"/>
            <w:vAlign w:val="bottom"/>
          </w:tcPr>
          <w:p>
            <w:pPr>
              <w:spacing w:after="0"/>
              <w:rPr>
                <w:sz w:val="18"/>
                <w:szCs w:val="18"/>
                <w:color w:val="auto"/>
              </w:rPr>
            </w:pPr>
          </w:p>
        </w:tc>
        <w:tc>
          <w:tcPr>
            <w:tcW w:w="104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Contractual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300"/>
              <w:spacing w:after="0" w:line="216" w:lineRule="exact"/>
              <w:rPr>
                <w:sz w:val="20"/>
                <w:szCs w:val="20"/>
                <w:color w:val="auto"/>
              </w:rPr>
            </w:pPr>
            <w:r>
              <w:rPr>
                <w:rFonts w:ascii="Calibri" w:cs="Calibri" w:eastAsia="Calibri" w:hAnsi="Calibri"/>
                <w:sz w:val="18"/>
                <w:szCs w:val="18"/>
                <w:b w:val="1"/>
                <w:bCs w:val="1"/>
                <w:color w:val="auto"/>
                <w:w w:val="99"/>
              </w:rPr>
              <w:t>(In</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1180" w:type="dxa"/>
            <w:vAlign w:val="bottom"/>
            <w:gridSpan w:val="2"/>
          </w:tcPr>
          <w:p>
            <w:pPr>
              <w:jc w:val="right"/>
              <w:ind w:right="420"/>
              <w:spacing w:after="0" w:line="216" w:lineRule="exact"/>
              <w:rPr>
                <w:sz w:val="20"/>
                <w:szCs w:val="20"/>
                <w:color w:val="auto"/>
              </w:rPr>
            </w:pPr>
            <w:r>
              <w:rPr>
                <w:rFonts w:ascii="Calibri" w:cs="Calibri" w:eastAsia="Calibri" w:hAnsi="Calibri"/>
                <w:sz w:val="18"/>
                <w:szCs w:val="18"/>
                <w:b w:val="1"/>
                <w:bCs w:val="1"/>
                <w:color w:val="auto"/>
              </w:rPr>
              <w:t>Optons</w:t>
            </w:r>
          </w:p>
        </w:tc>
        <w:tc>
          <w:tcPr>
            <w:tcW w:w="100" w:type="dxa"/>
            <w:vAlign w:val="bottom"/>
          </w:tcPr>
          <w:p>
            <w:pPr>
              <w:spacing w:after="0"/>
              <w:rPr>
                <w:sz w:val="18"/>
                <w:szCs w:val="18"/>
                <w:color w:val="auto"/>
              </w:rPr>
            </w:pPr>
          </w:p>
        </w:tc>
        <w:tc>
          <w:tcPr>
            <w:tcW w:w="900" w:type="dxa"/>
            <w:vAlign w:val="bottom"/>
          </w:tcPr>
          <w:p>
            <w:pPr>
              <w:jc w:val="center"/>
              <w:ind w:right="30"/>
              <w:spacing w:after="0" w:line="216" w:lineRule="exact"/>
              <w:rPr>
                <w:sz w:val="20"/>
                <w:szCs w:val="20"/>
                <w:color w:val="auto"/>
              </w:rPr>
            </w:pPr>
            <w:r>
              <w:rPr>
                <w:rFonts w:ascii="Calibri" w:cs="Calibri" w:eastAsia="Calibri" w:hAnsi="Calibri"/>
                <w:sz w:val="18"/>
                <w:szCs w:val="18"/>
                <w:b w:val="1"/>
                <w:bCs w:val="1"/>
                <w:color w:val="auto"/>
              </w:rPr>
              <w:t>Price</w:t>
            </w:r>
          </w:p>
        </w:tc>
        <w:tc>
          <w:tcPr>
            <w:tcW w:w="220" w:type="dxa"/>
            <w:vAlign w:val="bottom"/>
          </w:tcPr>
          <w:p>
            <w:pPr>
              <w:spacing w:after="0"/>
              <w:rPr>
                <w:sz w:val="18"/>
                <w:szCs w:val="18"/>
                <w:color w:val="auto"/>
              </w:rPr>
            </w:pPr>
          </w:p>
        </w:tc>
        <w:tc>
          <w:tcPr>
            <w:tcW w:w="104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Term (Years)</w:t>
            </w:r>
          </w:p>
        </w:tc>
        <w:tc>
          <w:tcPr>
            <w:tcW w:w="140" w:type="dxa"/>
            <w:vAlign w:val="bottom"/>
          </w:tcPr>
          <w:p>
            <w:pPr>
              <w:spacing w:after="0"/>
              <w:rPr>
                <w:sz w:val="18"/>
                <w:szCs w:val="18"/>
                <w:color w:val="auto"/>
              </w:rPr>
            </w:pPr>
          </w:p>
        </w:tc>
        <w:tc>
          <w:tcPr>
            <w:tcW w:w="1080" w:type="dxa"/>
            <w:vAlign w:val="bottom"/>
            <w:gridSpan w:val="3"/>
          </w:tcPr>
          <w:p>
            <w:pPr>
              <w:jc w:val="center"/>
              <w:ind w:right="100"/>
              <w:spacing w:after="0" w:line="216" w:lineRule="exact"/>
              <w:rPr>
                <w:sz w:val="20"/>
                <w:szCs w:val="20"/>
                <w:color w:val="auto"/>
              </w:rPr>
            </w:pPr>
            <w:r>
              <w:rPr>
                <w:rFonts w:ascii="Calibri" w:cs="Calibri" w:eastAsia="Calibri" w:hAnsi="Calibri"/>
                <w:sz w:val="18"/>
                <w:szCs w:val="18"/>
                <w:b w:val="1"/>
                <w:bCs w:val="1"/>
                <w:color w:val="auto"/>
                <w:w w:val="98"/>
              </w:rPr>
              <w:t>thousands)</w:t>
            </w: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line="209" w:lineRule="exact"/>
              <w:rPr>
                <w:sz w:val="20"/>
                <w:szCs w:val="20"/>
                <w:color w:val="auto"/>
              </w:rPr>
            </w:pPr>
            <w:r>
              <w:rPr>
                <w:rFonts w:ascii="Calibri" w:cs="Calibri" w:eastAsia="Calibri" w:hAnsi="Calibri"/>
                <w:sz w:val="18"/>
                <w:szCs w:val="18"/>
                <w:color w:val="auto"/>
              </w:rPr>
              <w:t>Outstanding — December 31, 2023</w:t>
            </w:r>
          </w:p>
        </w:tc>
        <w:tc>
          <w:tcPr>
            <w:tcW w:w="980" w:type="dxa"/>
            <w:vAlign w:val="bottom"/>
            <w:shd w:val="clear" w:color="auto" w:fill="CCEEFF"/>
          </w:tcPr>
          <w:p>
            <w:pPr>
              <w:jc w:val="right"/>
              <w:spacing w:after="0" w:line="209" w:lineRule="exact"/>
              <w:rPr>
                <w:sz w:val="20"/>
                <w:szCs w:val="20"/>
                <w:color w:val="auto"/>
              </w:rPr>
            </w:pPr>
            <w:r>
              <w:rPr>
                <w:rFonts w:ascii="Calibri" w:cs="Calibri" w:eastAsia="Calibri" w:hAnsi="Calibri"/>
                <w:sz w:val="18"/>
                <w:szCs w:val="18"/>
                <w:color w:val="auto"/>
              </w:rPr>
              <w:t>8,787,712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900" w:type="dxa"/>
            <w:vAlign w:val="bottom"/>
            <w:shd w:val="clear" w:color="auto" w:fill="CCEEFF"/>
          </w:tcPr>
          <w:p>
            <w:pPr>
              <w:jc w:val="right"/>
              <w:spacing w:after="0" w:line="209" w:lineRule="exact"/>
              <w:rPr>
                <w:sz w:val="20"/>
                <w:szCs w:val="20"/>
                <w:color w:val="auto"/>
              </w:rPr>
            </w:pPr>
            <w:r>
              <w:rPr>
                <w:rFonts w:ascii="Calibri" w:cs="Calibri" w:eastAsia="Calibri" w:hAnsi="Calibri"/>
                <w:sz w:val="18"/>
                <w:szCs w:val="18"/>
                <w:color w:val="auto"/>
              </w:rPr>
              <w:t>67.43</w:t>
            </w:r>
          </w:p>
        </w:tc>
        <w:tc>
          <w:tcPr>
            <w:tcW w:w="1260" w:type="dxa"/>
            <w:vAlign w:val="bottom"/>
            <w:gridSpan w:val="2"/>
            <w:shd w:val="clear" w:color="auto" w:fill="CCEEFF"/>
          </w:tcPr>
          <w:p>
            <w:pPr>
              <w:jc w:val="center"/>
              <w:ind w:left="110"/>
              <w:spacing w:after="0" w:line="209" w:lineRule="exact"/>
              <w:rPr>
                <w:sz w:val="20"/>
                <w:szCs w:val="20"/>
                <w:color w:val="auto"/>
              </w:rPr>
            </w:pPr>
            <w:r>
              <w:rPr>
                <w:rFonts w:ascii="Calibri" w:cs="Calibri" w:eastAsia="Calibri" w:hAnsi="Calibri"/>
                <w:sz w:val="18"/>
                <w:szCs w:val="18"/>
                <w:color w:val="auto"/>
              </w:rPr>
              <w:t>6</w:t>
            </w:r>
          </w:p>
        </w:tc>
        <w:tc>
          <w:tcPr>
            <w:tcW w:w="280" w:type="dxa"/>
            <w:vAlign w:val="bottom"/>
            <w:gridSpan w:val="2"/>
            <w:shd w:val="clear" w:color="auto" w:fill="CCEEFF"/>
          </w:tcPr>
          <w:p>
            <w:pPr>
              <w:jc w:val="right"/>
              <w:spacing w:after="0" w:line="209" w:lineRule="exact"/>
              <w:rPr>
                <w:sz w:val="20"/>
                <w:szCs w:val="20"/>
                <w:color w:val="auto"/>
              </w:rPr>
            </w:pPr>
            <w:r>
              <w:rPr>
                <w:rFonts w:ascii="Calibri" w:cs="Calibri" w:eastAsia="Calibri" w:hAnsi="Calibri"/>
                <w:sz w:val="18"/>
                <w:szCs w:val="18"/>
                <w:color w:val="auto"/>
              </w:rPr>
              <w:t>$</w:t>
            </w:r>
          </w:p>
        </w:tc>
        <w:tc>
          <w:tcPr>
            <w:tcW w:w="860" w:type="dxa"/>
            <w:vAlign w:val="bottom"/>
            <w:shd w:val="clear" w:color="auto" w:fill="CCEEFF"/>
          </w:tcPr>
          <w:p>
            <w:pPr>
              <w:jc w:val="right"/>
              <w:spacing w:after="0" w:line="209" w:lineRule="exact"/>
              <w:rPr>
                <w:sz w:val="20"/>
                <w:szCs w:val="20"/>
                <w:color w:val="auto"/>
              </w:rPr>
            </w:pPr>
            <w:r>
              <w:rPr>
                <w:rFonts w:ascii="Calibri" w:cs="Calibri" w:eastAsia="Calibri" w:hAnsi="Calibri"/>
                <w:sz w:val="18"/>
                <w:szCs w:val="18"/>
                <w:color w:val="auto"/>
              </w:rPr>
              <w:t>7,558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tcPr>
          <w:p>
            <w:pPr>
              <w:ind w:left="180"/>
              <w:spacing w:after="0" w:line="215" w:lineRule="exact"/>
              <w:rPr>
                <w:sz w:val="20"/>
                <w:szCs w:val="20"/>
                <w:color w:val="auto"/>
              </w:rPr>
            </w:pPr>
            <w:r>
              <w:rPr>
                <w:rFonts w:ascii="Calibri" w:cs="Calibri" w:eastAsia="Calibri" w:hAnsi="Calibri"/>
                <w:sz w:val="18"/>
                <w:szCs w:val="18"/>
                <w:color w:val="auto"/>
              </w:rPr>
              <w:t>Optons granted</w:t>
            </w: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1,445,364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52.91</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20" w:type="dxa"/>
            <w:vAlign w:val="bottom"/>
            <w:shd w:val="clear" w:color="auto" w:fill="CCEEFF"/>
          </w:tcPr>
          <w:p>
            <w:pPr>
              <w:ind w:left="180"/>
              <w:spacing w:after="0" w:line="216" w:lineRule="exact"/>
              <w:rPr>
                <w:sz w:val="20"/>
                <w:szCs w:val="20"/>
                <w:color w:val="auto"/>
              </w:rPr>
            </w:pPr>
            <w:r>
              <w:rPr>
                <w:rFonts w:ascii="Calibri" w:cs="Calibri" w:eastAsia="Calibri" w:hAnsi="Calibri"/>
                <w:sz w:val="18"/>
                <w:szCs w:val="18"/>
                <w:color w:val="auto"/>
              </w:rPr>
              <w:t>Optons exercised</w:t>
            </w:r>
          </w:p>
        </w:tc>
        <w:tc>
          <w:tcPr>
            <w:tcW w:w="1180" w:type="dxa"/>
            <w:vAlign w:val="bottom"/>
            <w:gridSpan w:val="2"/>
            <w:shd w:val="clear" w:color="auto" w:fill="CCEEFF"/>
          </w:tcPr>
          <w:p>
            <w:pPr>
              <w:jc w:val="right"/>
              <w:ind w:right="140"/>
              <w:spacing w:after="0" w:line="216" w:lineRule="exact"/>
              <w:rPr>
                <w:sz w:val="20"/>
                <w:szCs w:val="20"/>
                <w:color w:val="auto"/>
              </w:rPr>
            </w:pPr>
            <w:r>
              <w:rPr>
                <w:rFonts w:ascii="Calibri" w:cs="Calibri" w:eastAsia="Calibri" w:hAnsi="Calibri"/>
                <w:sz w:val="18"/>
                <w:szCs w:val="18"/>
                <w:color w:val="auto"/>
              </w:rPr>
              <w:t>(124,536 )</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46.06</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20" w:type="dxa"/>
            <w:vAlign w:val="bottom"/>
          </w:tcPr>
          <w:p>
            <w:pPr>
              <w:ind w:left="180"/>
              <w:spacing w:after="0" w:line="215" w:lineRule="exact"/>
              <w:rPr>
                <w:sz w:val="20"/>
                <w:szCs w:val="20"/>
                <w:color w:val="auto"/>
              </w:rPr>
            </w:pPr>
            <w:r>
              <w:rPr>
                <w:rFonts w:ascii="Calibri" w:cs="Calibri" w:eastAsia="Calibri" w:hAnsi="Calibri"/>
                <w:sz w:val="18"/>
                <w:szCs w:val="18"/>
                <w:color w:val="auto"/>
              </w:rPr>
              <w:t>Optons cancelled</w:t>
            </w:r>
          </w:p>
        </w:tc>
        <w:tc>
          <w:tcPr>
            <w:tcW w:w="118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(747,571 )</w:t>
            </w:r>
          </w:p>
        </w:tc>
        <w:tc>
          <w:tcPr>
            <w:tcW w:w="10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66.68</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20" w:type="dxa"/>
            <w:vAlign w:val="bottom"/>
            <w:tcBorders>
              <w:bottom w:val="single" w:sz="8" w:color="CCEEFF"/>
            </w:tcBorders>
            <w:shd w:val="clear" w:color="auto" w:fill="CCEEFF"/>
          </w:tcPr>
          <w:p>
            <w:pPr>
              <w:spacing w:after="0" w:line="210" w:lineRule="exact"/>
              <w:rPr>
                <w:sz w:val="20"/>
                <w:szCs w:val="20"/>
                <w:color w:val="auto"/>
              </w:rPr>
            </w:pPr>
            <w:r>
              <w:rPr>
                <w:rFonts w:ascii="Calibri" w:cs="Calibri" w:eastAsia="Calibri" w:hAnsi="Calibri"/>
                <w:sz w:val="18"/>
                <w:szCs w:val="18"/>
                <w:color w:val="auto"/>
              </w:rPr>
              <w:t>Outstanding — December 31, 2024</w:t>
            </w:r>
          </w:p>
        </w:tc>
        <w:tc>
          <w:tcPr>
            <w:tcW w:w="980" w:type="dxa"/>
            <w:vAlign w:val="bottom"/>
            <w:tcBorders>
              <w:top w:val="single" w:sz="8" w:color="auto"/>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9,360,969</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65.54</w:t>
            </w:r>
          </w:p>
        </w:tc>
        <w:tc>
          <w:tcPr>
            <w:tcW w:w="1260" w:type="dxa"/>
            <w:vAlign w:val="bottom"/>
            <w:tcBorders>
              <w:bottom w:val="single" w:sz="8" w:color="CCEEFF"/>
            </w:tcBorders>
            <w:gridSpan w:val="2"/>
            <w:shd w:val="clear" w:color="auto" w:fill="CCEEFF"/>
          </w:tcPr>
          <w:p>
            <w:pPr>
              <w:jc w:val="center"/>
              <w:ind w:left="110"/>
              <w:spacing w:after="0" w:line="210" w:lineRule="exact"/>
              <w:rPr>
                <w:sz w:val="20"/>
                <w:szCs w:val="20"/>
                <w:color w:val="auto"/>
              </w:rPr>
            </w:pPr>
            <w:r>
              <w:rPr>
                <w:rFonts w:ascii="Calibri" w:cs="Calibri" w:eastAsia="Calibri" w:hAnsi="Calibri"/>
                <w:sz w:val="18"/>
                <w:szCs w:val="18"/>
                <w:color w:val="auto"/>
              </w:rPr>
              <w:t>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1839</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line="196" w:lineRule="exact"/>
              <w:rPr>
                <w:sz w:val="20"/>
                <w:szCs w:val="20"/>
                <w:color w:val="auto"/>
              </w:rPr>
            </w:pPr>
            <w:r>
              <w:rPr>
                <w:rFonts w:ascii="Calibri" w:cs="Calibri" w:eastAsia="Calibri" w:hAnsi="Calibri"/>
                <w:sz w:val="18"/>
                <w:szCs w:val="18"/>
                <w:color w:val="auto"/>
              </w:rPr>
              <w:t>Vested and exercisable — December 31, 2024</w:t>
            </w:r>
          </w:p>
        </w:tc>
        <w:tc>
          <w:tcPr>
            <w:tcW w:w="980" w:type="dxa"/>
            <w:vAlign w:val="bottom"/>
          </w:tcPr>
          <w:p>
            <w:pPr>
              <w:jc w:val="right"/>
              <w:spacing w:after="0" w:line="196" w:lineRule="exact"/>
              <w:rPr>
                <w:sz w:val="20"/>
                <w:szCs w:val="20"/>
                <w:color w:val="auto"/>
              </w:rPr>
            </w:pPr>
            <w:r>
              <w:rPr>
                <w:rFonts w:ascii="Calibri" w:cs="Calibri" w:eastAsia="Calibri" w:hAnsi="Calibri"/>
                <w:sz w:val="18"/>
                <w:szCs w:val="18"/>
                <w:color w:val="auto"/>
              </w:rPr>
              <w:t>6,360,538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Calibri" w:cs="Calibri" w:eastAsia="Calibri" w:hAnsi="Calibri"/>
                <w:sz w:val="18"/>
                <w:szCs w:val="18"/>
                <w:color w:val="auto"/>
              </w:rPr>
              <w:t>71.27</w:t>
            </w:r>
          </w:p>
        </w:tc>
        <w:tc>
          <w:tcPr>
            <w:tcW w:w="1260" w:type="dxa"/>
            <w:vAlign w:val="bottom"/>
            <w:gridSpan w:val="2"/>
          </w:tcPr>
          <w:p>
            <w:pPr>
              <w:jc w:val="center"/>
              <w:ind w:left="110"/>
              <w:spacing w:after="0" w:line="196" w:lineRule="exact"/>
              <w:rPr>
                <w:sz w:val="20"/>
                <w:szCs w:val="20"/>
                <w:color w:val="auto"/>
              </w:rPr>
            </w:pPr>
            <w:r>
              <w:rPr>
                <w:rFonts w:ascii="Calibri" w:cs="Calibri" w:eastAsia="Calibri" w:hAnsi="Calibri"/>
                <w:sz w:val="18"/>
                <w:szCs w:val="18"/>
                <w:color w:val="auto"/>
              </w:rPr>
              <w:t>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Calibri" w:cs="Calibri" w:eastAsia="Calibri" w:hAnsi="Calibri"/>
                <w:sz w:val="18"/>
                <w:szCs w:val="18"/>
                <w:color w:val="auto"/>
              </w:rPr>
              <w:t>729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320" w:type="dxa"/>
            <w:vAlign w:val="bottom"/>
            <w:shd w:val="clear" w:color="auto" w:fill="CCEEFF"/>
          </w:tcPr>
          <w:p>
            <w:pPr>
              <w:spacing w:after="0" w:line="216" w:lineRule="exact"/>
              <w:rPr>
                <w:sz w:val="20"/>
                <w:szCs w:val="20"/>
                <w:color w:val="auto"/>
              </w:rPr>
            </w:pPr>
            <w:r>
              <w:rPr>
                <w:rFonts w:ascii="Calibri" w:cs="Calibri" w:eastAsia="Calibri" w:hAnsi="Calibri"/>
                <w:sz w:val="18"/>
                <w:szCs w:val="18"/>
                <w:color w:val="auto"/>
              </w:rPr>
              <w:t>Vested and expected to vest — December 31, 2024</w:t>
            </w:r>
          </w:p>
        </w:tc>
        <w:tc>
          <w:tcPr>
            <w:tcW w:w="98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9,096,200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65.95</w:t>
            </w:r>
          </w:p>
        </w:tc>
        <w:tc>
          <w:tcPr>
            <w:tcW w:w="1260" w:type="dxa"/>
            <w:vAlign w:val="bottom"/>
            <w:gridSpan w:val="2"/>
            <w:shd w:val="clear" w:color="auto" w:fill="CCEEFF"/>
          </w:tcPr>
          <w:p>
            <w:pPr>
              <w:jc w:val="center"/>
              <w:ind w:left="110"/>
              <w:spacing w:after="0" w:line="216" w:lineRule="exact"/>
              <w:rPr>
                <w:sz w:val="20"/>
                <w:szCs w:val="20"/>
                <w:color w:val="auto"/>
              </w:rPr>
            </w:pPr>
            <w:r>
              <w:rPr>
                <w:rFonts w:ascii="Calibri" w:cs="Calibri" w:eastAsia="Calibri" w:hAnsi="Calibri"/>
                <w:sz w:val="18"/>
                <w:szCs w:val="18"/>
                <w:color w:val="auto"/>
              </w:rPr>
              <w:t>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1,742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-299720</wp:posOffset>
            </wp:positionV>
            <wp:extent cx="5143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-282575</wp:posOffset>
            </wp:positionV>
            <wp:extent cx="5143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7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 w:lineRule="exact"/>
        <w:rPr>
          <w:sz w:val="20"/>
          <w:szCs w:val="20"/>
          <w:color w:val="auto"/>
        </w:rPr>
      </w:pPr>
    </w:p>
    <w:p>
      <w:pPr>
        <w:ind w:right="360" w:firstLine="509"/>
        <w:spacing w:after="0" w:line="235" w:lineRule="auto"/>
        <w:rPr>
          <w:sz w:val="20"/>
          <w:szCs w:val="20"/>
          <w:color w:val="auto"/>
        </w:rPr>
      </w:pPr>
      <w:r>
        <w:rPr>
          <w:rFonts w:ascii="Calibri" w:cs="Calibri" w:eastAsia="Calibri" w:hAnsi="Calibri"/>
          <w:sz w:val="18"/>
          <w:szCs w:val="18"/>
          <w:color w:val="auto"/>
        </w:rPr>
        <w:t>The following table summarizes the Company's optons exercised and vested for each of the periods indicated (in thousands except for weighted-average estmated fair value of optons granted):</w:t>
      </w:r>
    </w:p>
    <w:p>
      <w:pPr>
        <w:spacing w:after="0" w:line="118"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4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gridSpan w:val="6"/>
          </w:tcPr>
          <w:p>
            <w:pPr>
              <w:jc w:val="right"/>
              <w:ind w:right="160"/>
              <w:spacing w:after="0"/>
              <w:rPr>
                <w:sz w:val="20"/>
                <w:szCs w:val="20"/>
                <w:color w:val="auto"/>
              </w:rPr>
            </w:pPr>
            <w:r>
              <w:rPr>
                <w:rFonts w:ascii="Calibri" w:cs="Calibri" w:eastAsia="Calibri" w:hAnsi="Calibri"/>
                <w:sz w:val="18"/>
                <w:szCs w:val="18"/>
                <w:b w:val="1"/>
                <w:bCs w:val="1"/>
                <w:color w:val="auto"/>
              </w:rPr>
              <w:t>Year Ended December 31,</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
        </w:trPr>
        <w:tc>
          <w:tcPr>
            <w:tcW w:w="4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17"/>
        </w:trPr>
        <w:tc>
          <w:tcPr>
            <w:tcW w:w="48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0"/>
              <w:spacing w:after="0" w:line="215" w:lineRule="exact"/>
              <w:rPr>
                <w:sz w:val="20"/>
                <w:szCs w:val="20"/>
                <w:color w:val="auto"/>
              </w:rPr>
            </w:pPr>
            <w:r>
              <w:rPr>
                <w:rFonts w:ascii="Calibri" w:cs="Calibri" w:eastAsia="Calibri" w:hAnsi="Calibri"/>
                <w:sz w:val="18"/>
                <w:szCs w:val="18"/>
                <w:b w:val="1"/>
                <w:bCs w:val="1"/>
                <w:color w:val="auto"/>
              </w:rPr>
              <w:t>2024</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0"/>
              <w:spacing w:after="0" w:line="215" w:lineRule="exact"/>
              <w:rPr>
                <w:sz w:val="20"/>
                <w:szCs w:val="20"/>
                <w:color w:val="auto"/>
              </w:rPr>
            </w:pPr>
            <w:r>
              <w:rPr>
                <w:rFonts w:ascii="Calibri" w:cs="Calibri" w:eastAsia="Calibri" w:hAnsi="Calibri"/>
                <w:sz w:val="18"/>
                <w:szCs w:val="18"/>
                <w:b w:val="1"/>
                <w:bCs w:val="1"/>
                <w:color w:val="auto"/>
              </w:rPr>
              <w:t>2023</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0"/>
              <w:spacing w:after="0" w:line="215" w:lineRule="exact"/>
              <w:rPr>
                <w:sz w:val="20"/>
                <w:szCs w:val="20"/>
                <w:color w:val="auto"/>
              </w:rPr>
            </w:pPr>
            <w:r>
              <w:rPr>
                <w:rFonts w:ascii="Calibri" w:cs="Calibri" w:eastAsia="Calibri" w:hAnsi="Calibri"/>
                <w:sz w:val="18"/>
                <w:szCs w:val="18"/>
                <w:b w:val="1"/>
                <w:bCs w:val="1"/>
                <w:color w:val="auto"/>
              </w:rPr>
              <w:t>2022</w:t>
            </w:r>
          </w:p>
        </w:tc>
        <w:tc>
          <w:tcPr>
            <w:tcW w:w="80" w:type="dxa"/>
            <w:vAlign w:val="bottom"/>
          </w:tcPr>
          <w:p>
            <w:pPr>
              <w:spacing w:after="0"/>
              <w:rPr>
                <w:sz w:val="18"/>
                <w:szCs w:val="18"/>
                <w:color w:val="auto"/>
              </w:rPr>
            </w:pPr>
          </w:p>
        </w:tc>
      </w:tr>
      <w:tr>
        <w:trPr>
          <w:trHeight w:val="216"/>
        </w:trPr>
        <w:tc>
          <w:tcPr>
            <w:tcW w:w="4880" w:type="dxa"/>
            <w:vAlign w:val="bottom"/>
            <w:shd w:val="clear" w:color="auto" w:fill="CCECFF"/>
          </w:tcPr>
          <w:p>
            <w:pPr>
              <w:spacing w:after="0" w:line="215" w:lineRule="exact"/>
              <w:rPr>
                <w:sz w:val="20"/>
                <w:szCs w:val="20"/>
                <w:color w:val="auto"/>
              </w:rPr>
            </w:pPr>
            <w:r>
              <w:rPr>
                <w:rFonts w:ascii="Calibri" w:cs="Calibri" w:eastAsia="Calibri" w:hAnsi="Calibri"/>
                <w:sz w:val="18"/>
                <w:szCs w:val="18"/>
                <w:color w:val="auto"/>
              </w:rPr>
              <w:t>Intrinsic value of optons exercised</w:t>
            </w:r>
          </w:p>
        </w:tc>
        <w:tc>
          <w:tcPr>
            <w:tcW w:w="260" w:type="dxa"/>
            <w:vAlign w:val="bottom"/>
            <w:shd w:val="clear" w:color="auto" w:fill="CCECFF"/>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862</w:t>
            </w:r>
          </w:p>
        </w:tc>
        <w:tc>
          <w:tcPr>
            <w:tcW w:w="500" w:type="dxa"/>
            <w:vAlign w:val="bottom"/>
            <w:gridSpan w:val="2"/>
            <w:shd w:val="clear" w:color="auto" w:fill="CCECFF"/>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4,950</w:t>
            </w:r>
          </w:p>
        </w:tc>
        <w:tc>
          <w:tcPr>
            <w:tcW w:w="500" w:type="dxa"/>
            <w:vAlign w:val="bottom"/>
            <w:gridSpan w:val="2"/>
            <w:shd w:val="clear" w:color="auto" w:fill="CCECFF"/>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2,552</w:t>
            </w:r>
          </w:p>
        </w:tc>
        <w:tc>
          <w:tcPr>
            <w:tcW w:w="80" w:type="dxa"/>
            <w:vAlign w:val="bottom"/>
            <w:shd w:val="clear" w:color="auto" w:fill="CCECFF"/>
          </w:tcPr>
          <w:p>
            <w:pPr>
              <w:spacing w:after="0"/>
              <w:rPr>
                <w:sz w:val="18"/>
                <w:szCs w:val="18"/>
                <w:color w:val="auto"/>
              </w:rPr>
            </w:pPr>
          </w:p>
        </w:tc>
      </w:tr>
      <w:tr>
        <w:trPr>
          <w:trHeight w:val="215"/>
        </w:trPr>
        <w:tc>
          <w:tcPr>
            <w:tcW w:w="4880" w:type="dxa"/>
            <w:vAlign w:val="bottom"/>
          </w:tcPr>
          <w:p>
            <w:pPr>
              <w:spacing w:after="0" w:line="215" w:lineRule="exact"/>
              <w:rPr>
                <w:sz w:val="20"/>
                <w:szCs w:val="20"/>
                <w:color w:val="auto"/>
              </w:rPr>
            </w:pPr>
            <w:r>
              <w:rPr>
                <w:rFonts w:ascii="Calibri" w:cs="Calibri" w:eastAsia="Calibri" w:hAnsi="Calibri"/>
                <w:sz w:val="18"/>
                <w:szCs w:val="18"/>
                <w:color w:val="auto"/>
              </w:rPr>
              <w:t>Cash received from the exercise of optons</w:t>
            </w: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5,736</w:t>
            </w:r>
          </w:p>
        </w:tc>
        <w:tc>
          <w:tcPr>
            <w:tcW w:w="5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2,743</w:t>
            </w:r>
          </w:p>
        </w:tc>
        <w:tc>
          <w:tcPr>
            <w:tcW w:w="5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6,242</w:t>
            </w:r>
          </w:p>
        </w:tc>
        <w:tc>
          <w:tcPr>
            <w:tcW w:w="80" w:type="dxa"/>
            <w:vAlign w:val="bottom"/>
          </w:tcPr>
          <w:p>
            <w:pPr>
              <w:spacing w:after="0"/>
              <w:rPr>
                <w:sz w:val="18"/>
                <w:szCs w:val="18"/>
                <w:color w:val="auto"/>
              </w:rPr>
            </w:pPr>
          </w:p>
        </w:tc>
      </w:tr>
      <w:tr>
        <w:trPr>
          <w:trHeight w:val="217"/>
        </w:trPr>
        <w:tc>
          <w:tcPr>
            <w:tcW w:w="4880" w:type="dxa"/>
            <w:vAlign w:val="bottom"/>
            <w:shd w:val="clear" w:color="auto" w:fill="CCECFF"/>
          </w:tcPr>
          <w:p>
            <w:pPr>
              <w:spacing w:after="0" w:line="216" w:lineRule="exact"/>
              <w:rPr>
                <w:sz w:val="20"/>
                <w:szCs w:val="20"/>
                <w:color w:val="auto"/>
              </w:rPr>
            </w:pPr>
            <w:r>
              <w:rPr>
                <w:rFonts w:ascii="Calibri" w:cs="Calibri" w:eastAsia="Calibri" w:hAnsi="Calibri"/>
                <w:sz w:val="18"/>
                <w:szCs w:val="18"/>
                <w:color w:val="auto"/>
              </w:rPr>
              <w:t>Weighted-average estmated fair value of optons granted</w:t>
            </w:r>
          </w:p>
        </w:tc>
        <w:tc>
          <w:tcPr>
            <w:tcW w:w="260" w:type="dxa"/>
            <w:vAlign w:val="bottom"/>
            <w:shd w:val="clear" w:color="auto" w:fill="CCECFF"/>
          </w:tcPr>
          <w:p>
            <w:pPr>
              <w:jc w:val="right"/>
              <w:ind w:right="70"/>
              <w:spacing w:after="0" w:line="216" w:lineRule="exact"/>
              <w:rPr>
                <w:sz w:val="20"/>
                <w:szCs w:val="20"/>
                <w:color w:val="auto"/>
              </w:rPr>
            </w:pPr>
            <w:r>
              <w:rPr>
                <w:rFonts w:ascii="Calibri" w:cs="Calibri" w:eastAsia="Calibri" w:hAnsi="Calibri"/>
                <w:sz w:val="18"/>
                <w:szCs w:val="18"/>
                <w:color w:val="auto"/>
                <w:w w:val="87"/>
              </w:rPr>
              <w:t>$</w:t>
            </w:r>
          </w:p>
        </w:tc>
        <w:tc>
          <w:tcPr>
            <w:tcW w:w="92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29.88</w:t>
            </w:r>
          </w:p>
        </w:tc>
        <w:tc>
          <w:tcPr>
            <w:tcW w:w="500" w:type="dxa"/>
            <w:vAlign w:val="bottom"/>
            <w:gridSpan w:val="2"/>
            <w:shd w:val="clear" w:color="auto" w:fill="CCECFF"/>
          </w:tcPr>
          <w:p>
            <w:pPr>
              <w:jc w:val="right"/>
              <w:ind w:right="160"/>
              <w:spacing w:after="0" w:line="216"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25.53</w:t>
            </w:r>
          </w:p>
        </w:tc>
        <w:tc>
          <w:tcPr>
            <w:tcW w:w="500" w:type="dxa"/>
            <w:vAlign w:val="bottom"/>
            <w:gridSpan w:val="2"/>
            <w:shd w:val="clear" w:color="auto" w:fill="CCECFF"/>
          </w:tcPr>
          <w:p>
            <w:pPr>
              <w:jc w:val="right"/>
              <w:ind w:right="160"/>
              <w:spacing w:after="0" w:line="216"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34.77</w:t>
            </w:r>
          </w:p>
        </w:tc>
        <w:tc>
          <w:tcPr>
            <w:tcW w:w="80" w:type="dxa"/>
            <w:vAlign w:val="bottom"/>
            <w:shd w:val="clear" w:color="auto" w:fill="CCECFF"/>
          </w:tcPr>
          <w:p>
            <w:pPr>
              <w:spacing w:after="0"/>
              <w:rPr>
                <w:sz w:val="18"/>
                <w:szCs w:val="18"/>
                <w:color w:val="auto"/>
              </w:rPr>
            </w:pPr>
          </w:p>
        </w:tc>
      </w:tr>
      <w:tr>
        <w:trPr>
          <w:trHeight w:val="215"/>
        </w:trPr>
        <w:tc>
          <w:tcPr>
            <w:tcW w:w="4880" w:type="dxa"/>
            <w:vAlign w:val="bottom"/>
          </w:tcPr>
          <w:p>
            <w:pPr>
              <w:spacing w:after="0" w:line="215" w:lineRule="exact"/>
              <w:rPr>
                <w:sz w:val="20"/>
                <w:szCs w:val="20"/>
                <w:color w:val="auto"/>
              </w:rPr>
            </w:pPr>
            <w:r>
              <w:rPr>
                <w:rFonts w:ascii="Calibri" w:cs="Calibri" w:eastAsia="Calibri" w:hAnsi="Calibri"/>
                <w:sz w:val="18"/>
                <w:szCs w:val="18"/>
                <w:color w:val="auto"/>
              </w:rPr>
              <w:t>Estmated fair value of optons vested</w:t>
            </w:r>
          </w:p>
        </w:tc>
        <w:tc>
          <w:tcPr>
            <w:tcW w:w="26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53,838</w:t>
            </w:r>
          </w:p>
        </w:tc>
        <w:tc>
          <w:tcPr>
            <w:tcW w:w="5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59,663</w:t>
            </w:r>
          </w:p>
        </w:tc>
        <w:tc>
          <w:tcPr>
            <w:tcW w:w="50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58,677</w:t>
            </w:r>
          </w:p>
        </w:tc>
        <w:tc>
          <w:tcPr>
            <w:tcW w:w="80" w:type="dxa"/>
            <w:vAlign w:val="bottom"/>
          </w:tcPr>
          <w:p>
            <w:pPr>
              <w:spacing w:after="0"/>
              <w:rPr>
                <w:sz w:val="18"/>
                <w:szCs w:val="18"/>
                <w:color w:val="auto"/>
              </w:rPr>
            </w:pPr>
          </w:p>
        </w:tc>
      </w:tr>
    </w:tbl>
    <w:p>
      <w:pPr>
        <w:spacing w:after="0" w:line="60" w:lineRule="exact"/>
        <w:rPr>
          <w:sz w:val="20"/>
          <w:szCs w:val="20"/>
          <w:color w:val="auto"/>
        </w:rPr>
      </w:pPr>
    </w:p>
    <w:p>
      <w:pPr>
        <w:ind w:right="460" w:firstLine="509"/>
        <w:spacing w:after="0" w:line="235" w:lineRule="auto"/>
        <w:rPr>
          <w:sz w:val="20"/>
          <w:szCs w:val="20"/>
          <w:color w:val="auto"/>
        </w:rPr>
      </w:pPr>
      <w:r>
        <w:rPr>
          <w:rFonts w:ascii="Calibri" w:cs="Calibri" w:eastAsia="Calibri" w:hAnsi="Calibri"/>
          <w:sz w:val="18"/>
          <w:szCs w:val="18"/>
          <w:color w:val="auto"/>
        </w:rPr>
        <w:t>The aggregate intrinsic values of optons outstanding, vested and exercisable, and vested and expected to vest were calculated as the diference between the exercise price of the optons and the fair value of the Company’s common stock.</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Performance Stock Optons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summarizes actvity under the Company’s Performance Stock Opton, or PSO, plans and related informaton: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gridSpan w:val="4"/>
          </w:tcPr>
          <w:p>
            <w:pPr>
              <w:ind w:left="340"/>
              <w:spacing w:after="0"/>
              <w:rPr>
                <w:sz w:val="20"/>
                <w:szCs w:val="20"/>
                <w:color w:val="auto"/>
              </w:rPr>
            </w:pPr>
            <w:r>
              <w:rPr>
                <w:rFonts w:ascii="Calibri" w:cs="Calibri" w:eastAsia="Calibri" w:hAnsi="Calibri"/>
                <w:sz w:val="18"/>
                <w:szCs w:val="18"/>
                <w:b w:val="1"/>
                <w:bCs w:val="1"/>
                <w:color w:val="auto"/>
              </w:rPr>
              <w:t>PSOs Outstanding</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
        </w:trPr>
        <w:tc>
          <w:tcPr>
            <w:tcW w:w="11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7"/>
        </w:trPr>
        <w:tc>
          <w:tcPr>
            <w:tcW w:w="114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spacing w:after="0" w:line="187" w:lineRule="exact"/>
              <w:rPr>
                <w:sz w:val="20"/>
                <w:szCs w:val="20"/>
                <w:color w:val="auto"/>
              </w:rPr>
            </w:pPr>
            <w:r>
              <w:rPr>
                <w:rFonts w:ascii="Calibri" w:cs="Calibri" w:eastAsia="Calibri" w:hAnsi="Calibri"/>
                <w:sz w:val="18"/>
                <w:szCs w:val="18"/>
                <w:b w:val="1"/>
                <w:bCs w:val="1"/>
                <w:color w:val="auto"/>
                <w:w w:val="96"/>
              </w:rPr>
              <w:t>Weighted-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5"/>
        </w:trPr>
        <w:tc>
          <w:tcPr>
            <w:tcW w:w="11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center"/>
              <w:ind w:right="30"/>
              <w:spacing w:after="0" w:line="215" w:lineRule="exact"/>
              <w:rPr>
                <w:sz w:val="20"/>
                <w:szCs w:val="20"/>
                <w:color w:val="auto"/>
              </w:rPr>
            </w:pPr>
            <w:r>
              <w:rPr>
                <w:rFonts w:ascii="Calibri" w:cs="Calibri" w:eastAsia="Calibri" w:hAnsi="Calibri"/>
                <w:sz w:val="18"/>
                <w:szCs w:val="18"/>
                <w:b w:val="1"/>
                <w:bCs w:val="1"/>
                <w:color w:val="auto"/>
                <w:w w:val="99"/>
              </w:rPr>
              <w:t>Weighted-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7"/>
              </w:rPr>
              <w:t>Average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center"/>
              <w:ind w:right="50"/>
              <w:spacing w:after="0" w:line="216" w:lineRule="exact"/>
              <w:rPr>
                <w:sz w:val="20"/>
                <w:szCs w:val="20"/>
                <w:color w:val="auto"/>
              </w:rPr>
            </w:pPr>
            <w:r>
              <w:rPr>
                <w:rFonts w:ascii="Calibri" w:cs="Calibri" w:eastAsia="Calibri" w:hAnsi="Calibri"/>
                <w:sz w:val="18"/>
                <w:szCs w:val="18"/>
                <w:b w:val="1"/>
                <w:bCs w:val="1"/>
                <w:color w:val="auto"/>
                <w:w w:val="97"/>
              </w:rPr>
              <w:t>Average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Remaining</w:t>
            </w:r>
          </w:p>
        </w:tc>
        <w:tc>
          <w:tcPr>
            <w:tcW w:w="140" w:type="dxa"/>
            <w:vAlign w:val="bottom"/>
          </w:tcPr>
          <w:p>
            <w:pPr>
              <w:spacing w:after="0"/>
              <w:rPr>
                <w:sz w:val="18"/>
                <w:szCs w:val="18"/>
                <w:color w:val="auto"/>
              </w:rPr>
            </w:pPr>
          </w:p>
        </w:tc>
        <w:tc>
          <w:tcPr>
            <w:tcW w:w="980" w:type="dxa"/>
            <w:vAlign w:val="bottom"/>
            <w:gridSpan w:val="2"/>
          </w:tcPr>
          <w:p>
            <w:pPr>
              <w:jc w:val="center"/>
              <w:spacing w:after="0" w:line="216" w:lineRule="exact"/>
              <w:rPr>
                <w:sz w:val="20"/>
                <w:szCs w:val="20"/>
                <w:color w:val="auto"/>
              </w:rPr>
            </w:pPr>
            <w:r>
              <w:rPr>
                <w:rFonts w:ascii="Calibri" w:cs="Calibri" w:eastAsia="Calibri" w:hAnsi="Calibri"/>
                <w:sz w:val="18"/>
                <w:szCs w:val="18"/>
                <w:b w:val="1"/>
                <w:bCs w:val="1"/>
                <w:color w:val="auto"/>
                <w:w w:val="97"/>
              </w:rPr>
              <w:t>Aggregate</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340"/>
              <w:spacing w:after="0" w:line="216" w:lineRule="exact"/>
              <w:rPr>
                <w:sz w:val="20"/>
                <w:szCs w:val="20"/>
                <w:color w:val="auto"/>
              </w:rPr>
            </w:pPr>
            <w:r>
              <w:rPr>
                <w:rFonts w:ascii="Calibri" w:cs="Calibri" w:eastAsia="Calibri" w:hAnsi="Calibri"/>
                <w:sz w:val="18"/>
                <w:szCs w:val="18"/>
                <w:b w:val="1"/>
                <w:bCs w:val="1"/>
                <w:color w:val="auto"/>
              </w:rPr>
              <w:t>Number of</w:t>
            </w:r>
          </w:p>
        </w:tc>
        <w:tc>
          <w:tcPr>
            <w:tcW w:w="80" w:type="dxa"/>
            <w:vAlign w:val="bottom"/>
          </w:tcPr>
          <w:p>
            <w:pPr>
              <w:spacing w:after="0"/>
              <w:rPr>
                <w:sz w:val="18"/>
                <w:szCs w:val="18"/>
                <w:color w:val="auto"/>
              </w:rPr>
            </w:pPr>
          </w:p>
        </w:tc>
        <w:tc>
          <w:tcPr>
            <w:tcW w:w="900" w:type="dxa"/>
            <w:vAlign w:val="bottom"/>
          </w:tcPr>
          <w:p>
            <w:pPr>
              <w:jc w:val="center"/>
              <w:ind w:right="70"/>
              <w:spacing w:after="0" w:line="216" w:lineRule="exact"/>
              <w:rPr>
                <w:sz w:val="20"/>
                <w:szCs w:val="20"/>
                <w:color w:val="auto"/>
              </w:rPr>
            </w:pPr>
            <w:r>
              <w:rPr>
                <w:rFonts w:ascii="Calibri" w:cs="Calibri" w:eastAsia="Calibri" w:hAnsi="Calibri"/>
                <w:sz w:val="18"/>
                <w:szCs w:val="18"/>
                <w:b w:val="1"/>
                <w:bCs w:val="1"/>
                <w:color w:val="auto"/>
                <w:w w:val="95"/>
              </w:rPr>
              <w:t>Exercise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Contractual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110"/>
              <w:spacing w:after="0" w:line="216" w:lineRule="exact"/>
              <w:rPr>
                <w:sz w:val="20"/>
                <w:szCs w:val="20"/>
                <w:color w:val="auto"/>
              </w:rPr>
            </w:pPr>
            <w:r>
              <w:rPr>
                <w:rFonts w:ascii="Calibri" w:cs="Calibri" w:eastAsia="Calibri" w:hAnsi="Calibri"/>
                <w:sz w:val="18"/>
                <w:szCs w:val="18"/>
                <w:b w:val="1"/>
                <w:bCs w:val="1"/>
                <w:color w:val="auto"/>
                <w:w w:val="96"/>
              </w:rPr>
              <w:t>Intrinsic</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420"/>
              <w:spacing w:after="0" w:line="216" w:lineRule="exact"/>
              <w:rPr>
                <w:sz w:val="20"/>
                <w:szCs w:val="20"/>
                <w:color w:val="auto"/>
              </w:rPr>
            </w:pPr>
            <w:r>
              <w:rPr>
                <w:rFonts w:ascii="Calibri" w:cs="Calibri" w:eastAsia="Calibri" w:hAnsi="Calibri"/>
                <w:sz w:val="18"/>
                <w:szCs w:val="18"/>
                <w:b w:val="1"/>
                <w:bCs w:val="1"/>
                <w:color w:val="auto"/>
              </w:rPr>
              <w:t>Optons</w:t>
            </w:r>
          </w:p>
        </w:tc>
        <w:tc>
          <w:tcPr>
            <w:tcW w:w="80" w:type="dxa"/>
            <w:vAlign w:val="bottom"/>
          </w:tcPr>
          <w:p>
            <w:pPr>
              <w:spacing w:after="0"/>
              <w:rPr>
                <w:sz w:val="18"/>
                <w:szCs w:val="18"/>
                <w:color w:val="auto"/>
              </w:rPr>
            </w:pPr>
          </w:p>
        </w:tc>
        <w:tc>
          <w:tcPr>
            <w:tcW w:w="900" w:type="dxa"/>
            <w:vAlign w:val="bottom"/>
          </w:tcPr>
          <w:p>
            <w:pPr>
              <w:jc w:val="center"/>
              <w:ind w:right="10"/>
              <w:spacing w:after="0" w:line="216" w:lineRule="exact"/>
              <w:rPr>
                <w:sz w:val="20"/>
                <w:szCs w:val="20"/>
                <w:color w:val="auto"/>
              </w:rPr>
            </w:pPr>
            <w:r>
              <w:rPr>
                <w:rFonts w:ascii="Calibri" w:cs="Calibri" w:eastAsia="Calibri" w:hAnsi="Calibri"/>
                <w:sz w:val="18"/>
                <w:szCs w:val="18"/>
                <w:b w:val="1"/>
                <w:bCs w:val="1"/>
                <w:color w:val="auto"/>
                <w:w w:val="97"/>
              </w:rPr>
              <w:t>Price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Term (Years)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70"/>
              <w:spacing w:after="0" w:line="216" w:lineRule="exact"/>
              <w:rPr>
                <w:sz w:val="20"/>
                <w:szCs w:val="20"/>
                <w:color w:val="auto"/>
              </w:rPr>
            </w:pPr>
            <w:r>
              <w:rPr>
                <w:rFonts w:ascii="Calibri" w:cs="Calibri" w:eastAsia="Calibri" w:hAnsi="Calibri"/>
                <w:sz w:val="18"/>
                <w:szCs w:val="18"/>
                <w:b w:val="1"/>
                <w:bCs w:val="1"/>
                <w:color w:val="auto"/>
                <w:w w:val="98"/>
              </w:rPr>
              <w:t>Value</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
        </w:trPr>
        <w:tc>
          <w:tcPr>
            <w:tcW w:w="11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09"/>
        </w:trPr>
        <w:tc>
          <w:tcPr>
            <w:tcW w:w="1140" w:type="dxa"/>
            <w:vAlign w:val="bottom"/>
          </w:tcPr>
          <w:p>
            <w:pPr>
              <w:spacing w:after="0"/>
              <w:rPr>
                <w:sz w:val="18"/>
                <w:szCs w:val="18"/>
                <w:color w:val="auto"/>
              </w:rPr>
            </w:pPr>
          </w:p>
        </w:tc>
        <w:tc>
          <w:tcPr>
            <w:tcW w:w="4100" w:type="dxa"/>
            <w:vAlign w:val="bottom"/>
            <w:shd w:val="clear" w:color="auto" w:fill="CCECFF"/>
          </w:tcPr>
          <w:p>
            <w:pPr>
              <w:spacing w:after="0" w:line="209" w:lineRule="exact"/>
              <w:rPr>
                <w:sz w:val="20"/>
                <w:szCs w:val="20"/>
                <w:color w:val="auto"/>
              </w:rPr>
            </w:pPr>
            <w:r>
              <w:rPr>
                <w:rFonts w:ascii="Calibri" w:cs="Calibri" w:eastAsia="Calibri" w:hAnsi="Calibri"/>
                <w:sz w:val="18"/>
                <w:szCs w:val="18"/>
                <w:color w:val="auto"/>
              </w:rPr>
              <w:t>Outstanding — December 31, 2023</w:t>
            </w:r>
          </w:p>
        </w:tc>
        <w:tc>
          <w:tcPr>
            <w:tcW w:w="280" w:type="dxa"/>
            <w:vAlign w:val="bottom"/>
            <w:shd w:val="clear" w:color="auto" w:fill="CCECFF"/>
          </w:tcPr>
          <w:p>
            <w:pPr>
              <w:spacing w:after="0"/>
              <w:rPr>
                <w:sz w:val="18"/>
                <w:szCs w:val="18"/>
                <w:color w:val="auto"/>
              </w:rPr>
            </w:pPr>
          </w:p>
        </w:tc>
        <w:tc>
          <w:tcPr>
            <w:tcW w:w="960" w:type="dxa"/>
            <w:vAlign w:val="bottom"/>
            <w:shd w:val="clear" w:color="auto" w:fill="CCECFF"/>
          </w:tcPr>
          <w:p>
            <w:pPr>
              <w:jc w:val="right"/>
              <w:spacing w:after="0" w:line="209" w:lineRule="exact"/>
              <w:rPr>
                <w:sz w:val="20"/>
                <w:szCs w:val="20"/>
                <w:color w:val="auto"/>
              </w:rPr>
            </w:pPr>
            <w:r>
              <w:rPr>
                <w:rFonts w:ascii="Calibri" w:cs="Calibri" w:eastAsia="Calibri" w:hAnsi="Calibri"/>
                <w:sz w:val="18"/>
                <w:szCs w:val="18"/>
                <w:color w:val="auto"/>
              </w:rPr>
              <w:t>1,380,998</w:t>
            </w:r>
          </w:p>
        </w:tc>
        <w:tc>
          <w:tcPr>
            <w:tcW w:w="220" w:type="dxa"/>
            <w:vAlign w:val="bottom"/>
            <w:shd w:val="clear" w:color="auto" w:fill="CCECFF"/>
          </w:tcPr>
          <w:p>
            <w:pPr>
              <w:spacing w:after="0"/>
              <w:rPr>
                <w:sz w:val="18"/>
                <w:szCs w:val="18"/>
                <w:color w:val="auto"/>
              </w:rPr>
            </w:pPr>
          </w:p>
        </w:tc>
        <w:tc>
          <w:tcPr>
            <w:tcW w:w="80" w:type="dxa"/>
            <w:vAlign w:val="bottom"/>
            <w:shd w:val="clear" w:color="auto" w:fill="CCECFF"/>
          </w:tcPr>
          <w:p>
            <w:pPr>
              <w:jc w:val="right"/>
              <w:spacing w:after="0"/>
              <w:rPr>
                <w:sz w:val="20"/>
                <w:szCs w:val="20"/>
                <w:color w:val="auto"/>
              </w:rPr>
            </w:pPr>
            <w:r>
              <w:rPr>
                <w:rFonts w:ascii="Calibri" w:cs="Calibri" w:eastAsia="Calibri" w:hAnsi="Calibri"/>
                <w:sz w:val="16"/>
                <w:szCs w:val="16"/>
                <w:color w:val="auto"/>
                <w:w w:val="73"/>
              </w:rPr>
              <w:t>$</w:t>
            </w:r>
          </w:p>
        </w:tc>
        <w:tc>
          <w:tcPr>
            <w:tcW w:w="900" w:type="dxa"/>
            <w:vAlign w:val="bottom"/>
            <w:shd w:val="clear" w:color="auto" w:fill="CCECFF"/>
          </w:tcPr>
          <w:p>
            <w:pPr>
              <w:jc w:val="right"/>
              <w:spacing w:after="0" w:line="209" w:lineRule="exact"/>
              <w:rPr>
                <w:sz w:val="20"/>
                <w:szCs w:val="20"/>
                <w:color w:val="auto"/>
              </w:rPr>
            </w:pPr>
            <w:r>
              <w:rPr>
                <w:rFonts w:ascii="Calibri" w:cs="Calibri" w:eastAsia="Calibri" w:hAnsi="Calibri"/>
                <w:sz w:val="18"/>
                <w:szCs w:val="18"/>
                <w:color w:val="auto"/>
              </w:rPr>
              <w:t>67.37</w:t>
            </w:r>
          </w:p>
        </w:tc>
        <w:tc>
          <w:tcPr>
            <w:tcW w:w="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020" w:type="dxa"/>
            <w:vAlign w:val="bottom"/>
            <w:shd w:val="clear" w:color="auto" w:fill="CCEEFF"/>
          </w:tcPr>
          <w:p>
            <w:pPr>
              <w:jc w:val="center"/>
              <w:spacing w:after="0" w:line="209" w:lineRule="exact"/>
              <w:rPr>
                <w:sz w:val="20"/>
                <w:szCs w:val="20"/>
                <w:color w:val="auto"/>
              </w:rPr>
            </w:pPr>
            <w:r>
              <w:rPr>
                <w:rFonts w:ascii="Calibri" w:cs="Calibri" w:eastAsia="Calibri" w:hAnsi="Calibri"/>
                <w:sz w:val="18"/>
                <w:szCs w:val="18"/>
                <w:color w:val="auto"/>
              </w:rPr>
              <w:t>3</w:t>
            </w:r>
          </w:p>
        </w:tc>
        <w:tc>
          <w:tcPr>
            <w:tcW w:w="140" w:type="dxa"/>
            <w:vAlign w:val="bottom"/>
            <w:shd w:val="clear" w:color="auto" w:fill="CCECFF"/>
          </w:tcPr>
          <w:p>
            <w:pPr>
              <w:spacing w:after="0"/>
              <w:rPr>
                <w:sz w:val="18"/>
                <w:szCs w:val="18"/>
                <w:color w:val="auto"/>
              </w:rPr>
            </w:pPr>
          </w:p>
        </w:tc>
        <w:tc>
          <w:tcPr>
            <w:tcW w:w="120" w:type="dxa"/>
            <w:vAlign w:val="bottom"/>
            <w:shd w:val="clear" w:color="auto" w:fill="CCECFF"/>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860" w:type="dxa"/>
            <w:vAlign w:val="bottom"/>
            <w:shd w:val="clear" w:color="auto" w:fill="CCECFF"/>
          </w:tcPr>
          <w:p>
            <w:pPr>
              <w:ind w:left="660"/>
              <w:spacing w:after="0" w:line="209" w:lineRule="exact"/>
              <w:rPr>
                <w:sz w:val="20"/>
                <w:szCs w:val="20"/>
                <w:color w:val="auto"/>
              </w:rPr>
            </w:pPr>
            <w:r>
              <w:rPr>
                <w:rFonts w:ascii="Calibri" w:cs="Calibri" w:eastAsia="Calibri" w:hAnsi="Calibri"/>
                <w:sz w:val="18"/>
                <w:szCs w:val="18"/>
                <w:color w:val="auto"/>
              </w:rPr>
              <w:t>—</w:t>
            </w:r>
          </w:p>
        </w:tc>
        <w:tc>
          <w:tcPr>
            <w:tcW w:w="80" w:type="dxa"/>
            <w:vAlign w:val="bottom"/>
            <w:shd w:val="clear" w:color="auto" w:fill="CCECFF"/>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4100" w:type="dxa"/>
            <w:vAlign w:val="bottom"/>
          </w:tcPr>
          <w:p>
            <w:pPr>
              <w:ind w:left="180"/>
              <w:spacing w:after="0" w:line="215" w:lineRule="exact"/>
              <w:rPr>
                <w:sz w:val="20"/>
                <w:szCs w:val="20"/>
                <w:color w:val="auto"/>
              </w:rPr>
            </w:pPr>
            <w:r>
              <w:rPr>
                <w:rFonts w:ascii="Calibri" w:cs="Calibri" w:eastAsia="Calibri" w:hAnsi="Calibri"/>
                <w:sz w:val="18"/>
                <w:szCs w:val="18"/>
                <w:color w:val="auto"/>
              </w:rPr>
              <w:t>PSOs cancelled</w:t>
            </w:r>
          </w:p>
        </w:tc>
        <w:tc>
          <w:tcPr>
            <w:tcW w:w="1460" w:type="dxa"/>
            <w:vAlign w:val="bottom"/>
            <w:gridSpan w:val="3"/>
          </w:tcPr>
          <w:p>
            <w:pPr>
              <w:jc w:val="right"/>
              <w:ind w:right="160"/>
              <w:spacing w:after="0" w:line="215" w:lineRule="exact"/>
              <w:rPr>
                <w:sz w:val="20"/>
                <w:szCs w:val="20"/>
                <w:color w:val="auto"/>
              </w:rPr>
            </w:pPr>
            <w:r>
              <w:rPr>
                <w:rFonts w:ascii="Calibri" w:cs="Calibri" w:eastAsia="Calibri" w:hAnsi="Calibri"/>
                <w:sz w:val="18"/>
                <w:szCs w:val="18"/>
                <w:color w:val="auto"/>
              </w:rPr>
              <w:t>(135,707 )</w:t>
            </w:r>
          </w:p>
        </w:tc>
        <w:tc>
          <w:tcPr>
            <w:tcW w:w="8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67.37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1"/>
        </w:trPr>
        <w:tc>
          <w:tcPr>
            <w:tcW w:w="1140" w:type="dxa"/>
            <w:vAlign w:val="bottom"/>
          </w:tcPr>
          <w:p>
            <w:pPr>
              <w:spacing w:after="0"/>
              <w:rPr>
                <w:sz w:val="21"/>
                <w:szCs w:val="21"/>
                <w:color w:val="auto"/>
              </w:rPr>
            </w:pPr>
          </w:p>
        </w:tc>
        <w:tc>
          <w:tcPr>
            <w:tcW w:w="4100" w:type="dxa"/>
            <w:vAlign w:val="bottom"/>
            <w:tcBorders>
              <w:bottom w:val="single" w:sz="8" w:color="CCECFF"/>
            </w:tcBorders>
            <w:shd w:val="clear" w:color="auto" w:fill="CCECFF"/>
          </w:tcPr>
          <w:p>
            <w:pPr>
              <w:spacing w:after="0" w:line="210" w:lineRule="exact"/>
              <w:rPr>
                <w:sz w:val="20"/>
                <w:szCs w:val="20"/>
                <w:color w:val="auto"/>
              </w:rPr>
            </w:pPr>
            <w:r>
              <w:rPr>
                <w:rFonts w:ascii="Calibri" w:cs="Calibri" w:eastAsia="Calibri" w:hAnsi="Calibri"/>
                <w:sz w:val="18"/>
                <w:szCs w:val="18"/>
                <w:color w:val="auto"/>
              </w:rPr>
              <w:t>Outstanding — December 31, 2024</w:t>
            </w:r>
          </w:p>
        </w:tc>
        <w:tc>
          <w:tcPr>
            <w:tcW w:w="280" w:type="dxa"/>
            <w:vAlign w:val="bottom"/>
            <w:tcBorders>
              <w:bottom w:val="single" w:sz="8" w:color="CCECFF"/>
            </w:tcBorders>
            <w:shd w:val="clear" w:color="auto" w:fill="CCECFF"/>
          </w:tcPr>
          <w:p>
            <w:pPr>
              <w:spacing w:after="0"/>
              <w:rPr>
                <w:sz w:val="21"/>
                <w:szCs w:val="21"/>
                <w:color w:val="auto"/>
              </w:rPr>
            </w:pPr>
          </w:p>
        </w:tc>
        <w:tc>
          <w:tcPr>
            <w:tcW w:w="960" w:type="dxa"/>
            <w:vAlign w:val="bottom"/>
            <w:tcBorders>
              <w:top w:val="single" w:sz="8" w:color="auto"/>
              <w:bottom w:val="single" w:sz="8" w:color="auto"/>
            </w:tcBorders>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1,245,291</w:t>
            </w:r>
          </w:p>
        </w:tc>
        <w:tc>
          <w:tcPr>
            <w:tcW w:w="220" w:type="dxa"/>
            <w:vAlign w:val="bottom"/>
            <w:tcBorders>
              <w:bottom w:val="single" w:sz="8" w:color="CCECFF"/>
            </w:tcBorders>
            <w:shd w:val="clear" w:color="auto" w:fill="CCEC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67.37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CFF"/>
            </w:tcBorders>
            <w:shd w:val="clear" w:color="auto" w:fill="CCEC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line="210" w:lineRule="exact"/>
              <w:rPr>
                <w:sz w:val="20"/>
                <w:szCs w:val="20"/>
                <w:color w:val="auto"/>
              </w:rPr>
            </w:pPr>
            <w:r>
              <w:rPr>
                <w:rFonts w:ascii="Calibri" w:cs="Calibri" w:eastAsia="Calibri" w:hAnsi="Calibri"/>
                <w:sz w:val="18"/>
                <w:szCs w:val="18"/>
                <w:color w:val="auto"/>
              </w:rPr>
              <w:t>2</w:t>
            </w:r>
          </w:p>
        </w:tc>
        <w:tc>
          <w:tcPr>
            <w:tcW w:w="140" w:type="dxa"/>
            <w:vAlign w:val="bottom"/>
            <w:tcBorders>
              <w:bottom w:val="single" w:sz="8" w:color="CCECFF"/>
            </w:tcBorders>
            <w:shd w:val="clear" w:color="auto" w:fill="CCEC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ind w:left="660"/>
              <w:spacing w:after="0" w:line="210" w:lineRule="exact"/>
              <w:rPr>
                <w:sz w:val="20"/>
                <w:szCs w:val="20"/>
                <w:color w:val="auto"/>
              </w:rPr>
            </w:pPr>
            <w:r>
              <w:rPr>
                <w:rFonts w:ascii="Calibri" w:cs="Calibri" w:eastAsia="Calibri" w:hAnsi="Calibri"/>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Pr>
          <w:p>
            <w:pPr>
              <w:spacing w:after="0"/>
              <w:rPr>
                <w:sz w:val="21"/>
                <w:szCs w:val="21"/>
                <w:color w:val="auto"/>
              </w:rPr>
            </w:pPr>
          </w:p>
        </w:tc>
      </w:tr>
      <w:tr>
        <w:trPr>
          <w:trHeight w:val="196"/>
        </w:trPr>
        <w:tc>
          <w:tcPr>
            <w:tcW w:w="1140" w:type="dxa"/>
            <w:vAlign w:val="bottom"/>
          </w:tcPr>
          <w:p>
            <w:pPr>
              <w:spacing w:after="0"/>
              <w:rPr>
                <w:sz w:val="17"/>
                <w:szCs w:val="17"/>
                <w:color w:val="auto"/>
              </w:rPr>
            </w:pPr>
          </w:p>
        </w:tc>
        <w:tc>
          <w:tcPr>
            <w:tcW w:w="4100" w:type="dxa"/>
            <w:vAlign w:val="bottom"/>
          </w:tcPr>
          <w:p>
            <w:pPr>
              <w:spacing w:after="0" w:line="196" w:lineRule="exact"/>
              <w:rPr>
                <w:sz w:val="20"/>
                <w:szCs w:val="20"/>
                <w:color w:val="auto"/>
              </w:rPr>
            </w:pPr>
            <w:r>
              <w:rPr>
                <w:rFonts w:ascii="Calibri" w:cs="Calibri" w:eastAsia="Calibri" w:hAnsi="Calibri"/>
                <w:sz w:val="18"/>
                <w:szCs w:val="18"/>
                <w:color w:val="auto"/>
              </w:rPr>
              <w:t>Vested and exercisable — December 31, 2024</w:t>
            </w:r>
          </w:p>
        </w:tc>
        <w:tc>
          <w:tcPr>
            <w:tcW w:w="1240" w:type="dxa"/>
            <w:vAlign w:val="bottom"/>
            <w:gridSpan w:val="2"/>
          </w:tcPr>
          <w:p>
            <w:pPr>
              <w:jc w:val="right"/>
              <w:spacing w:after="0" w:line="196" w:lineRule="exact"/>
              <w:rPr>
                <w:sz w:val="20"/>
                <w:szCs w:val="20"/>
                <w:color w:val="auto"/>
              </w:rPr>
            </w:pPr>
            <w:r>
              <w:rPr>
                <w:rFonts w:ascii="Calibri" w:cs="Calibri" w:eastAsia="Calibri" w:hAnsi="Calibri"/>
                <w:sz w:val="18"/>
                <w:szCs w:val="18"/>
                <w:color w:val="auto"/>
              </w:rPr>
              <w:t>422,594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Calibri" w:cs="Calibri" w:eastAsia="Calibri" w:hAnsi="Calibri"/>
                <w:sz w:val="18"/>
                <w:szCs w:val="18"/>
                <w:color w:val="auto"/>
              </w:rPr>
              <w:t>67.37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Calibri" w:cs="Calibri" w:eastAsia="Calibri" w:hAnsi="Calibri"/>
                <w:sz w:val="18"/>
                <w:szCs w:val="18"/>
                <w:color w:val="auto"/>
              </w:rPr>
              <w:t>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ind w:left="660"/>
              <w:spacing w:after="0" w:line="196" w:lineRule="exact"/>
              <w:rPr>
                <w:sz w:val="20"/>
                <w:szCs w:val="20"/>
                <w:color w:val="auto"/>
              </w:rPr>
            </w:pPr>
            <w:r>
              <w:rPr>
                <w:rFonts w:ascii="Calibri" w:cs="Calibri" w:eastAsia="Calibri" w:hAnsi="Calibri"/>
                <w:sz w:val="18"/>
                <w:szCs w:val="18"/>
                <w:color w:val="auto"/>
              </w:rPr>
              <w:t>—</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7"/>
        </w:trPr>
        <w:tc>
          <w:tcPr>
            <w:tcW w:w="1140" w:type="dxa"/>
            <w:vAlign w:val="bottom"/>
          </w:tcPr>
          <w:p>
            <w:pPr>
              <w:spacing w:after="0"/>
              <w:rPr>
                <w:sz w:val="18"/>
                <w:szCs w:val="18"/>
                <w:color w:val="auto"/>
              </w:rPr>
            </w:pPr>
          </w:p>
        </w:tc>
        <w:tc>
          <w:tcPr>
            <w:tcW w:w="4100" w:type="dxa"/>
            <w:vAlign w:val="bottom"/>
            <w:shd w:val="clear" w:color="auto" w:fill="CCEEFF"/>
          </w:tcPr>
          <w:p>
            <w:pPr>
              <w:spacing w:after="0" w:line="216" w:lineRule="exact"/>
              <w:rPr>
                <w:sz w:val="20"/>
                <w:szCs w:val="20"/>
                <w:color w:val="auto"/>
              </w:rPr>
            </w:pPr>
            <w:r>
              <w:rPr>
                <w:rFonts w:ascii="Calibri" w:cs="Calibri" w:eastAsia="Calibri" w:hAnsi="Calibri"/>
                <w:sz w:val="18"/>
                <w:szCs w:val="18"/>
                <w:color w:val="auto"/>
              </w:rPr>
              <w:t>Vested and expected to vest — December 31, 2024</w:t>
            </w:r>
          </w:p>
        </w:tc>
        <w:tc>
          <w:tcPr>
            <w:tcW w:w="1240" w:type="dxa"/>
            <w:vAlign w:val="bottom"/>
            <w:gridSpan w:val="2"/>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930,420</w:t>
            </w:r>
          </w:p>
        </w:tc>
        <w:tc>
          <w:tcPr>
            <w:tcW w:w="220" w:type="dxa"/>
            <w:vAlign w:val="bottom"/>
            <w:shd w:val="clear" w:color="auto" w:fill="CCEC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67.37</w:t>
            </w:r>
          </w:p>
        </w:tc>
        <w:tc>
          <w:tcPr>
            <w:tcW w:w="80" w:type="dxa"/>
            <w:vAlign w:val="bottom"/>
            <w:shd w:val="clear" w:color="auto" w:fill="CCEE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020" w:type="dxa"/>
            <w:vAlign w:val="bottom"/>
            <w:shd w:val="clear" w:color="auto" w:fill="CCEEFF"/>
          </w:tcPr>
          <w:p>
            <w:pPr>
              <w:jc w:val="center"/>
              <w:spacing w:after="0" w:line="216" w:lineRule="exact"/>
              <w:rPr>
                <w:sz w:val="20"/>
                <w:szCs w:val="20"/>
                <w:color w:val="auto"/>
              </w:rPr>
            </w:pPr>
            <w:r>
              <w:rPr>
                <w:rFonts w:ascii="Calibri" w:cs="Calibri" w:eastAsia="Calibri" w:hAnsi="Calibri"/>
                <w:sz w:val="18"/>
                <w:szCs w:val="18"/>
                <w:color w:val="auto"/>
              </w:rPr>
              <w:t>2</w:t>
            </w:r>
          </w:p>
        </w:tc>
        <w:tc>
          <w:tcPr>
            <w:tcW w:w="140" w:type="dxa"/>
            <w:vAlign w:val="bottom"/>
            <w:shd w:val="clear" w:color="auto" w:fill="CCEC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ind w:left="660"/>
              <w:spacing w:after="0" w:line="216" w:lineRule="exact"/>
              <w:rPr>
                <w:sz w:val="20"/>
                <w:szCs w:val="20"/>
                <w:color w:val="auto"/>
              </w:rPr>
            </w:pPr>
            <w:r>
              <w:rPr>
                <w:rFonts w:ascii="Calibri" w:cs="Calibri" w:eastAsia="Calibri" w:hAnsi="Calibri"/>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409"/>
        </w:trPr>
        <w:tc>
          <w:tcPr>
            <w:tcW w:w="11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460" w:type="dxa"/>
            <w:vAlign w:val="bottom"/>
            <w:gridSpan w:val="3"/>
          </w:tcPr>
          <w:p>
            <w:pPr>
              <w:jc w:val="right"/>
              <w:ind w:right="920"/>
              <w:spacing w:after="0"/>
              <w:rPr>
                <w:sz w:val="20"/>
                <w:szCs w:val="20"/>
                <w:color w:val="auto"/>
              </w:rPr>
            </w:pPr>
            <w:r>
              <w:rPr>
                <w:rFonts w:ascii="Calibri" w:cs="Calibri" w:eastAsia="Calibri" w:hAnsi="Calibri"/>
                <w:sz w:val="18"/>
                <w:szCs w:val="18"/>
                <w:color w:val="auto"/>
              </w:rPr>
              <w:t>F-30</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86"/>
        </w:trPr>
        <w:tc>
          <w:tcPr>
            <w:tcW w:w="114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-1070610</wp:posOffset>
            </wp:positionV>
            <wp:extent cx="5143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-1053465</wp:posOffset>
            </wp:positionV>
            <wp:extent cx="5143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4" w:name="page125"/>
    <w:bookmarkEnd w:id="124"/>
    <w:p>
      <w:pPr>
        <w:ind w:left="384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81" w:lineRule="exact"/>
        <w:rPr>
          <w:sz w:val="20"/>
          <w:szCs w:val="20"/>
          <w:color w:val="auto"/>
        </w:rPr>
      </w:pPr>
    </w:p>
    <w:p>
      <w:pPr>
        <w:ind w:right="20" w:firstLine="509"/>
        <w:spacing w:after="0" w:line="250" w:lineRule="auto"/>
        <w:rPr>
          <w:sz w:val="20"/>
          <w:szCs w:val="20"/>
          <w:color w:val="auto"/>
        </w:rPr>
      </w:pPr>
      <w:r>
        <w:rPr>
          <w:rFonts w:ascii="Calibri" w:cs="Calibri" w:eastAsia="Calibri" w:hAnsi="Calibri"/>
          <w:sz w:val="17"/>
          <w:szCs w:val="17"/>
          <w:color w:val="auto"/>
        </w:rPr>
        <w:t>During the year ended December 31, 2022, PSOs were granted to certain nonexecutve employees. PSOs are subject to vest only if specifed operatonal milestones are achieved and the employees’ contnued service with the Company. The Company uses the Black-Scholes method to calculate the fair value at the grant date and is recognizing stock-based compensaton expense for the PSOs that are expected to vest. Stock-based compensaton for PSOs is recognized over the service period, beginning in the period the Company determines it is probable that a milestone will be achieved. Forfeitures of PSOs are recognized as they occur. The Company reassesses the probability of the performance conditon at each reportng period and adjusts the compensaton cost based on the probability assessment. As of December 31, 2024, certain operatonal milestones were deemed probable of achievement. The aggregate intrinsic values of PSOs outstanding, vested and exercisable, and vested and expected to vest were calculated as the diference between the exercise price of the PSOs and the fair value of the Company’s common stock. The total estmated grant date fair value of PSOs vested during the years ended December 31, 2024 and 2023, was $9.9 million and $3.4 million, respectvely. No PSOs were granted or exercised during the years ended December 31, 2024 and 2023. The weighted-average estmated fair value of PSOs granted was $28.76 during the year ended December 31, 2022.</w:t>
      </w:r>
    </w:p>
    <w:p>
      <w:pPr>
        <w:spacing w:after="0" w:line="23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Restricted Stock Units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summarizes actvity under the Company’s Restricted Stock Units, or RSU, plans and related informaton:</w:t>
      </w:r>
    </w:p>
    <w:p>
      <w:pPr>
        <w:spacing w:after="0" w:line="104"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4540" w:type="dxa"/>
            <w:vAlign w:val="bottom"/>
          </w:tcPr>
          <w:p>
            <w:pPr>
              <w:spacing w:after="0"/>
              <w:rPr>
                <w:sz w:val="19"/>
                <w:szCs w:val="19"/>
                <w:color w:val="auto"/>
              </w:rPr>
            </w:pPr>
          </w:p>
        </w:tc>
        <w:tc>
          <w:tcPr>
            <w:tcW w:w="3900" w:type="dxa"/>
            <w:vAlign w:val="bottom"/>
            <w:gridSpan w:val="3"/>
          </w:tcPr>
          <w:p>
            <w:pPr>
              <w:jc w:val="right"/>
              <w:ind w:right="990"/>
              <w:spacing w:after="0"/>
              <w:rPr>
                <w:sz w:val="20"/>
                <w:szCs w:val="20"/>
                <w:color w:val="auto"/>
              </w:rPr>
            </w:pPr>
            <w:r>
              <w:rPr>
                <w:rFonts w:ascii="Calibri" w:cs="Calibri" w:eastAsia="Calibri" w:hAnsi="Calibri"/>
                <w:sz w:val="18"/>
                <w:szCs w:val="18"/>
                <w:b w:val="1"/>
                <w:bCs w:val="1"/>
                <w:color w:val="auto"/>
              </w:rPr>
              <w:t>RSUs Outstanding</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8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540" w:type="dxa"/>
            <w:vAlign w:val="bottom"/>
          </w:tcPr>
          <w:p>
            <w:pPr>
              <w:spacing w:after="0"/>
              <w:rPr>
                <w:sz w:val="16"/>
                <w:szCs w:val="16"/>
                <w:color w:val="auto"/>
              </w:rPr>
            </w:pPr>
          </w:p>
        </w:tc>
        <w:tc>
          <w:tcPr>
            <w:tcW w:w="2300" w:type="dxa"/>
            <w:vAlign w:val="bottom"/>
            <w:gridSpan w:val="2"/>
          </w:tcPr>
          <w:p>
            <w:pPr>
              <w:jc w:val="right"/>
              <w:ind w:right="1000"/>
              <w:spacing w:after="0" w:line="187" w:lineRule="exact"/>
              <w:rPr>
                <w:sz w:val="20"/>
                <w:szCs w:val="20"/>
                <w:color w:val="auto"/>
              </w:rPr>
            </w:pPr>
            <w:r>
              <w:rPr>
                <w:rFonts w:ascii="Calibri" w:cs="Calibri" w:eastAsia="Calibri" w:hAnsi="Calibri"/>
                <w:sz w:val="18"/>
                <w:szCs w:val="18"/>
                <w:b w:val="1"/>
                <w:bCs w:val="1"/>
                <w:color w:val="auto"/>
              </w:rPr>
              <w:t>Number</w:t>
            </w:r>
          </w:p>
        </w:tc>
        <w:tc>
          <w:tcPr>
            <w:tcW w:w="2060" w:type="dxa"/>
            <w:vAlign w:val="bottom"/>
            <w:gridSpan w:val="2"/>
          </w:tcPr>
          <w:p>
            <w:pPr>
              <w:jc w:val="center"/>
              <w:spacing w:after="0" w:line="187" w:lineRule="exact"/>
              <w:rPr>
                <w:sz w:val="20"/>
                <w:szCs w:val="20"/>
                <w:color w:val="auto"/>
              </w:rPr>
            </w:pPr>
            <w:r>
              <w:rPr>
                <w:rFonts w:ascii="Calibri" w:cs="Calibri" w:eastAsia="Calibri" w:hAnsi="Calibri"/>
                <w:sz w:val="18"/>
                <w:szCs w:val="18"/>
                <w:b w:val="1"/>
                <w:bCs w:val="1"/>
                <w:color w:val="auto"/>
                <w:w w:val="97"/>
              </w:rPr>
              <w:t>Weighted-Average Grant</w:t>
            </w:r>
          </w:p>
        </w:tc>
        <w:tc>
          <w:tcPr>
            <w:tcW w:w="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540" w:type="dxa"/>
            <w:vAlign w:val="bottom"/>
          </w:tcPr>
          <w:p>
            <w:pPr>
              <w:spacing w:after="0"/>
              <w:rPr>
                <w:sz w:val="18"/>
                <w:szCs w:val="18"/>
                <w:color w:val="auto"/>
              </w:rPr>
            </w:pPr>
          </w:p>
        </w:tc>
        <w:tc>
          <w:tcPr>
            <w:tcW w:w="2300" w:type="dxa"/>
            <w:vAlign w:val="bottom"/>
            <w:gridSpan w:val="2"/>
          </w:tcPr>
          <w:p>
            <w:pPr>
              <w:jc w:val="right"/>
              <w:ind w:right="940"/>
              <w:spacing w:after="0" w:line="215" w:lineRule="exact"/>
              <w:rPr>
                <w:sz w:val="20"/>
                <w:szCs w:val="20"/>
                <w:color w:val="auto"/>
              </w:rPr>
            </w:pPr>
            <w:r>
              <w:rPr>
                <w:rFonts w:ascii="Calibri" w:cs="Calibri" w:eastAsia="Calibri" w:hAnsi="Calibri"/>
                <w:sz w:val="18"/>
                <w:szCs w:val="18"/>
                <w:b w:val="1"/>
                <w:bCs w:val="1"/>
                <w:color w:val="auto"/>
              </w:rPr>
              <w:t>of Shares</w:t>
            </w:r>
          </w:p>
        </w:tc>
        <w:tc>
          <w:tcPr>
            <w:tcW w:w="1600" w:type="dxa"/>
            <w:vAlign w:val="bottom"/>
          </w:tcPr>
          <w:p>
            <w:pPr>
              <w:jc w:val="center"/>
              <w:ind w:left="350"/>
              <w:spacing w:after="0" w:line="215" w:lineRule="exact"/>
              <w:rPr>
                <w:sz w:val="20"/>
                <w:szCs w:val="20"/>
                <w:color w:val="auto"/>
              </w:rPr>
            </w:pPr>
            <w:r>
              <w:rPr>
                <w:rFonts w:ascii="Calibri" w:cs="Calibri" w:eastAsia="Calibri" w:hAnsi="Calibri"/>
                <w:sz w:val="18"/>
                <w:szCs w:val="18"/>
                <w:b w:val="1"/>
                <w:bCs w:val="1"/>
                <w:color w:val="auto"/>
                <w:w w:val="97"/>
              </w:rPr>
              <w:t>Date Fair Value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40" w:type="dxa"/>
            <w:vAlign w:val="bottom"/>
            <w:shd w:val="clear" w:color="auto" w:fill="CCECFF"/>
          </w:tcPr>
          <w:p>
            <w:pPr>
              <w:spacing w:after="0" w:line="209" w:lineRule="exact"/>
              <w:rPr>
                <w:sz w:val="20"/>
                <w:szCs w:val="20"/>
                <w:color w:val="auto"/>
              </w:rPr>
            </w:pPr>
            <w:r>
              <w:rPr>
                <w:rFonts w:ascii="Calibri" w:cs="Calibri" w:eastAsia="Calibri" w:hAnsi="Calibri"/>
                <w:sz w:val="18"/>
                <w:szCs w:val="18"/>
                <w:color w:val="auto"/>
              </w:rPr>
              <w:t>Unvested — December 31, 2023</w:t>
            </w:r>
          </w:p>
        </w:tc>
        <w:tc>
          <w:tcPr>
            <w:tcW w:w="2040" w:type="dxa"/>
            <w:vAlign w:val="bottom"/>
            <w:shd w:val="clear" w:color="auto" w:fill="CCECFF"/>
          </w:tcPr>
          <w:p>
            <w:pPr>
              <w:jc w:val="right"/>
              <w:spacing w:after="0" w:line="209" w:lineRule="exact"/>
              <w:rPr>
                <w:sz w:val="20"/>
                <w:szCs w:val="20"/>
                <w:color w:val="auto"/>
              </w:rPr>
            </w:pPr>
            <w:r>
              <w:rPr>
                <w:rFonts w:ascii="Calibri" w:cs="Calibri" w:eastAsia="Calibri" w:hAnsi="Calibri"/>
                <w:sz w:val="18"/>
                <w:szCs w:val="18"/>
                <w:color w:val="auto"/>
              </w:rPr>
              <w:t>3,444,112</w:t>
            </w:r>
          </w:p>
        </w:tc>
        <w:tc>
          <w:tcPr>
            <w:tcW w:w="260" w:type="dxa"/>
            <w:vAlign w:val="bottom"/>
            <w:shd w:val="clear" w:color="auto" w:fill="CCECFF"/>
          </w:tcPr>
          <w:p>
            <w:pPr>
              <w:spacing w:after="0"/>
              <w:rPr>
                <w:sz w:val="18"/>
                <w:szCs w:val="18"/>
                <w:color w:val="auto"/>
              </w:rPr>
            </w:pPr>
          </w:p>
        </w:tc>
        <w:tc>
          <w:tcPr>
            <w:tcW w:w="1600" w:type="dxa"/>
            <w:vAlign w:val="bottom"/>
            <w:shd w:val="clear" w:color="auto" w:fill="CCEEFF"/>
          </w:tcPr>
          <w:p>
            <w:pPr>
              <w:jc w:val="right"/>
              <w:ind w:right="1410"/>
              <w:spacing w:after="0" w:line="209" w:lineRule="exact"/>
              <w:rPr>
                <w:sz w:val="20"/>
                <w:szCs w:val="20"/>
                <w:color w:val="auto"/>
              </w:rPr>
            </w:pPr>
            <w:r>
              <w:rPr>
                <w:rFonts w:ascii="Calibri" w:cs="Calibri" w:eastAsia="Calibri" w:hAnsi="Calibri"/>
                <w:sz w:val="18"/>
                <w:szCs w:val="18"/>
                <w:color w:val="auto"/>
                <w:w w:val="87"/>
              </w:rPr>
              <w:t>$</w:t>
            </w:r>
          </w:p>
        </w:tc>
        <w:tc>
          <w:tcPr>
            <w:tcW w:w="460" w:type="dxa"/>
            <w:vAlign w:val="bottom"/>
            <w:shd w:val="clear" w:color="auto" w:fill="CCEEFF"/>
          </w:tcPr>
          <w:p>
            <w:pPr>
              <w:jc w:val="right"/>
              <w:spacing w:after="0" w:line="209" w:lineRule="exact"/>
              <w:rPr>
                <w:sz w:val="20"/>
                <w:szCs w:val="20"/>
                <w:color w:val="auto"/>
              </w:rPr>
            </w:pPr>
            <w:r>
              <w:rPr>
                <w:rFonts w:ascii="Calibri" w:cs="Calibri" w:eastAsia="Calibri" w:hAnsi="Calibri"/>
                <w:sz w:val="18"/>
                <w:szCs w:val="18"/>
                <w:color w:val="auto"/>
                <w:w w:val="97"/>
              </w:rPr>
              <w:t>55.21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40" w:type="dxa"/>
            <w:vAlign w:val="bottom"/>
          </w:tcPr>
          <w:p>
            <w:pPr>
              <w:ind w:left="180"/>
              <w:spacing w:after="0" w:line="215" w:lineRule="exact"/>
              <w:rPr>
                <w:sz w:val="20"/>
                <w:szCs w:val="20"/>
                <w:color w:val="auto"/>
              </w:rPr>
            </w:pPr>
            <w:r>
              <w:rPr>
                <w:rFonts w:ascii="Calibri" w:cs="Calibri" w:eastAsia="Calibri" w:hAnsi="Calibri"/>
                <w:sz w:val="18"/>
                <w:szCs w:val="18"/>
                <w:color w:val="auto"/>
              </w:rPr>
              <w:t>RSUs granted</w:t>
            </w:r>
          </w:p>
        </w:tc>
        <w:tc>
          <w:tcPr>
            <w:tcW w:w="2040" w:type="dxa"/>
            <w:vAlign w:val="bottom"/>
          </w:tcPr>
          <w:p>
            <w:pPr>
              <w:jc w:val="right"/>
              <w:spacing w:after="0" w:line="215" w:lineRule="exact"/>
              <w:rPr>
                <w:sz w:val="20"/>
                <w:szCs w:val="20"/>
                <w:color w:val="auto"/>
              </w:rPr>
            </w:pPr>
            <w:r>
              <w:rPr>
                <w:rFonts w:ascii="Calibri" w:cs="Calibri" w:eastAsia="Calibri" w:hAnsi="Calibri"/>
                <w:sz w:val="18"/>
                <w:szCs w:val="18"/>
                <w:color w:val="auto"/>
              </w:rPr>
              <w:t>3,169,688</w:t>
            </w: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60" w:type="dxa"/>
            <w:vAlign w:val="bottom"/>
          </w:tcPr>
          <w:p>
            <w:pPr>
              <w:jc w:val="right"/>
              <w:spacing w:after="0" w:line="215" w:lineRule="exact"/>
              <w:rPr>
                <w:sz w:val="20"/>
                <w:szCs w:val="20"/>
                <w:color w:val="auto"/>
              </w:rPr>
            </w:pPr>
            <w:r>
              <w:rPr>
                <w:rFonts w:ascii="Calibri" w:cs="Calibri" w:eastAsia="Calibri" w:hAnsi="Calibri"/>
                <w:sz w:val="18"/>
                <w:szCs w:val="18"/>
                <w:color w:val="auto"/>
                <w:w w:val="97"/>
              </w:rPr>
              <w:t>53.06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40" w:type="dxa"/>
            <w:vAlign w:val="bottom"/>
            <w:shd w:val="clear" w:color="auto" w:fill="CCECFF"/>
          </w:tcPr>
          <w:p>
            <w:pPr>
              <w:ind w:left="180"/>
              <w:spacing w:after="0" w:line="216" w:lineRule="exact"/>
              <w:rPr>
                <w:sz w:val="20"/>
                <w:szCs w:val="20"/>
                <w:color w:val="auto"/>
              </w:rPr>
            </w:pPr>
            <w:r>
              <w:rPr>
                <w:rFonts w:ascii="Calibri" w:cs="Calibri" w:eastAsia="Calibri" w:hAnsi="Calibri"/>
                <w:sz w:val="18"/>
                <w:szCs w:val="18"/>
                <w:color w:val="auto"/>
              </w:rPr>
              <w:t>RSUs vested</w:t>
            </w:r>
          </w:p>
        </w:tc>
        <w:tc>
          <w:tcPr>
            <w:tcW w:w="2300" w:type="dxa"/>
            <w:vAlign w:val="bottom"/>
            <w:gridSpan w:val="2"/>
            <w:shd w:val="clear" w:color="auto" w:fill="CCECFF"/>
          </w:tcPr>
          <w:p>
            <w:pPr>
              <w:jc w:val="right"/>
              <w:ind w:right="180"/>
              <w:spacing w:after="0" w:line="216" w:lineRule="exact"/>
              <w:rPr>
                <w:sz w:val="20"/>
                <w:szCs w:val="20"/>
                <w:color w:val="auto"/>
              </w:rPr>
            </w:pPr>
            <w:r>
              <w:rPr>
                <w:rFonts w:ascii="Calibri" w:cs="Calibri" w:eastAsia="Calibri" w:hAnsi="Calibri"/>
                <w:sz w:val="18"/>
                <w:szCs w:val="18"/>
                <w:color w:val="auto"/>
              </w:rPr>
              <w:t>(1,043,199 )</w:t>
            </w:r>
          </w:p>
        </w:tc>
        <w:tc>
          <w:tcPr>
            <w:tcW w:w="1600" w:type="dxa"/>
            <w:vAlign w:val="bottom"/>
            <w:shd w:val="clear" w:color="auto" w:fill="CCECFF"/>
          </w:tcPr>
          <w:p>
            <w:pPr>
              <w:spacing w:after="0"/>
              <w:rPr>
                <w:sz w:val="18"/>
                <w:szCs w:val="18"/>
                <w:color w:val="auto"/>
              </w:rPr>
            </w:pPr>
          </w:p>
        </w:tc>
        <w:tc>
          <w:tcPr>
            <w:tcW w:w="46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w w:val="97"/>
              </w:rPr>
              <w:t>59.92</w:t>
            </w:r>
          </w:p>
        </w:tc>
        <w:tc>
          <w:tcPr>
            <w:tcW w:w="8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40" w:type="dxa"/>
            <w:vAlign w:val="bottom"/>
          </w:tcPr>
          <w:p>
            <w:pPr>
              <w:ind w:left="180"/>
              <w:spacing w:after="0" w:line="215" w:lineRule="exact"/>
              <w:rPr>
                <w:sz w:val="20"/>
                <w:szCs w:val="20"/>
                <w:color w:val="auto"/>
              </w:rPr>
            </w:pPr>
            <w:r>
              <w:rPr>
                <w:rFonts w:ascii="Calibri" w:cs="Calibri" w:eastAsia="Calibri" w:hAnsi="Calibri"/>
                <w:sz w:val="18"/>
                <w:szCs w:val="18"/>
                <w:color w:val="auto"/>
              </w:rPr>
              <w:t>RSUs cancelled</w:t>
            </w:r>
          </w:p>
        </w:tc>
        <w:tc>
          <w:tcPr>
            <w:tcW w:w="230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(400,654 )</w:t>
            </w:r>
          </w:p>
        </w:tc>
        <w:tc>
          <w:tcPr>
            <w:tcW w:w="1600" w:type="dxa"/>
            <w:vAlign w:val="bottom"/>
          </w:tcPr>
          <w:p>
            <w:pPr>
              <w:spacing w:after="0"/>
              <w:rPr>
                <w:sz w:val="18"/>
                <w:szCs w:val="18"/>
                <w:color w:val="auto"/>
              </w:rPr>
            </w:pPr>
          </w:p>
        </w:tc>
        <w:tc>
          <w:tcPr>
            <w:tcW w:w="460" w:type="dxa"/>
            <w:vAlign w:val="bottom"/>
          </w:tcPr>
          <w:p>
            <w:pPr>
              <w:jc w:val="right"/>
              <w:spacing w:after="0" w:line="215" w:lineRule="exact"/>
              <w:rPr>
                <w:sz w:val="20"/>
                <w:szCs w:val="20"/>
                <w:color w:val="auto"/>
              </w:rPr>
            </w:pPr>
            <w:r>
              <w:rPr>
                <w:rFonts w:ascii="Calibri" w:cs="Calibri" w:eastAsia="Calibri" w:hAnsi="Calibri"/>
                <w:sz w:val="18"/>
                <w:szCs w:val="18"/>
                <w:color w:val="auto"/>
                <w:w w:val="97"/>
              </w:rPr>
              <w:t>54.13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CFF"/>
            </w:tcBorders>
            <w:shd w:val="clear" w:color="auto" w:fill="CCECFF"/>
          </w:tcPr>
          <w:p>
            <w:pPr>
              <w:spacing w:after="0" w:line="210" w:lineRule="exact"/>
              <w:rPr>
                <w:sz w:val="20"/>
                <w:szCs w:val="20"/>
                <w:color w:val="auto"/>
              </w:rPr>
            </w:pPr>
            <w:r>
              <w:rPr>
                <w:rFonts w:ascii="Calibri" w:cs="Calibri" w:eastAsia="Calibri" w:hAnsi="Calibri"/>
                <w:sz w:val="18"/>
                <w:szCs w:val="18"/>
                <w:color w:val="auto"/>
              </w:rPr>
              <w:t>Unvested — December 31, 2024</w:t>
            </w:r>
          </w:p>
        </w:tc>
        <w:tc>
          <w:tcPr>
            <w:tcW w:w="2040" w:type="dxa"/>
            <w:vAlign w:val="bottom"/>
            <w:tcBorders>
              <w:top w:val="single" w:sz="8" w:color="auto"/>
              <w:bottom w:val="single" w:sz="8" w:color="auto"/>
            </w:tcBorders>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5,169,947</w:t>
            </w:r>
          </w:p>
        </w:tc>
        <w:tc>
          <w:tcPr>
            <w:tcW w:w="260" w:type="dxa"/>
            <w:vAlign w:val="bottom"/>
            <w:tcBorders>
              <w:bottom w:val="single" w:sz="8" w:color="CCECFF"/>
            </w:tcBorders>
            <w:shd w:val="clear" w:color="auto" w:fill="CCECFF"/>
          </w:tcPr>
          <w:p>
            <w:pPr>
              <w:spacing w:after="0"/>
              <w:rPr>
                <w:sz w:val="21"/>
                <w:szCs w:val="21"/>
                <w:color w:val="auto"/>
              </w:rPr>
            </w:pPr>
          </w:p>
        </w:tc>
        <w:tc>
          <w:tcPr>
            <w:tcW w:w="1600" w:type="dxa"/>
            <w:vAlign w:val="bottom"/>
            <w:tcBorders>
              <w:bottom w:val="single" w:sz="8" w:color="CCECFF"/>
            </w:tcBorders>
            <w:shd w:val="clear" w:color="auto" w:fill="CCECFF"/>
          </w:tcPr>
          <w:p>
            <w:pPr>
              <w:spacing w:after="0"/>
              <w:rPr>
                <w:sz w:val="21"/>
                <w:szCs w:val="21"/>
                <w:color w:val="auto"/>
              </w:rPr>
            </w:pPr>
          </w:p>
        </w:tc>
        <w:tc>
          <w:tcPr>
            <w:tcW w:w="460" w:type="dxa"/>
            <w:vAlign w:val="bottom"/>
            <w:tcBorders>
              <w:bottom w:val="single" w:sz="8" w:color="CCECFF"/>
            </w:tcBorders>
            <w:shd w:val="clear" w:color="auto" w:fill="CCECFF"/>
          </w:tcPr>
          <w:p>
            <w:pPr>
              <w:jc w:val="right"/>
              <w:spacing w:after="0" w:line="210" w:lineRule="exact"/>
              <w:rPr>
                <w:sz w:val="20"/>
                <w:szCs w:val="20"/>
                <w:color w:val="auto"/>
              </w:rPr>
            </w:pPr>
            <w:r>
              <w:rPr>
                <w:rFonts w:ascii="Calibri" w:cs="Calibri" w:eastAsia="Calibri" w:hAnsi="Calibri"/>
                <w:sz w:val="18"/>
                <w:szCs w:val="18"/>
                <w:color w:val="auto"/>
                <w:w w:val="97"/>
              </w:rPr>
              <w:t>53.22</w:t>
            </w:r>
          </w:p>
        </w:tc>
        <w:tc>
          <w:tcPr>
            <w:tcW w:w="8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-24765</wp:posOffset>
            </wp:positionV>
            <wp:extent cx="5143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5143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8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6"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The fair value of the RSUs is determined on the grant date based on the fair value of the Company’s common stock. The fair value of the RSUs is recognized as expense ratably over the vestng period of one to four years. The total grant date fair value of the RSUs vested during the years ended December 31, 2024, 2023, and 2022 was $62.5 million, $54.6 million, and $47.1 million, respectvely. The aggregate intrinsic value of the shares of the RSUs vested during the years ended December 31, 2024, 2023, and 2022 was $54.0 million, $33.0 million, and $37.8 million, respectvely.</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Performance Stock Units</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summarizes actvity under the Company’s Performance Stock Units, or PSUs and related informaton:</w:t>
      </w:r>
    </w:p>
    <w:p>
      <w:pPr>
        <w:spacing w:after="0" w:line="104"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45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540" w:type="dxa"/>
            <w:vAlign w:val="bottom"/>
            <w:gridSpan w:val="3"/>
          </w:tcPr>
          <w:p>
            <w:pPr>
              <w:jc w:val="right"/>
              <w:ind w:right="990"/>
              <w:spacing w:after="0"/>
              <w:rPr>
                <w:sz w:val="20"/>
                <w:szCs w:val="20"/>
                <w:color w:val="auto"/>
              </w:rPr>
            </w:pPr>
            <w:r>
              <w:rPr>
                <w:rFonts w:ascii="Calibri" w:cs="Calibri" w:eastAsia="Calibri" w:hAnsi="Calibri"/>
                <w:sz w:val="18"/>
                <w:szCs w:val="18"/>
                <w:b w:val="1"/>
                <w:bCs w:val="1"/>
                <w:color w:val="auto"/>
              </w:rPr>
              <w:t>PSUs Outstanding</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8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540" w:type="dxa"/>
            <w:vAlign w:val="bottom"/>
          </w:tcPr>
          <w:p>
            <w:pPr>
              <w:spacing w:after="0"/>
              <w:rPr>
                <w:sz w:val="16"/>
                <w:szCs w:val="16"/>
                <w:color w:val="auto"/>
              </w:rPr>
            </w:pPr>
          </w:p>
        </w:tc>
        <w:tc>
          <w:tcPr>
            <w:tcW w:w="1360" w:type="dxa"/>
            <w:vAlign w:val="bottom"/>
          </w:tcPr>
          <w:p>
            <w:pPr>
              <w:ind w:left="700"/>
              <w:spacing w:after="0" w:line="187" w:lineRule="exact"/>
              <w:rPr>
                <w:sz w:val="20"/>
                <w:szCs w:val="20"/>
                <w:color w:val="auto"/>
              </w:rPr>
            </w:pPr>
            <w:r>
              <w:rPr>
                <w:rFonts w:ascii="Calibri" w:cs="Calibri" w:eastAsia="Calibri" w:hAnsi="Calibri"/>
                <w:sz w:val="18"/>
                <w:szCs w:val="18"/>
                <w:b w:val="1"/>
                <w:bCs w:val="1"/>
                <w:color w:val="auto"/>
              </w:rPr>
              <w:t>Number</w:t>
            </w: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gridSpan w:val="2"/>
          </w:tcPr>
          <w:p>
            <w:pPr>
              <w:jc w:val="center"/>
              <w:spacing w:after="0" w:line="187" w:lineRule="exact"/>
              <w:rPr>
                <w:sz w:val="20"/>
                <w:szCs w:val="20"/>
                <w:color w:val="auto"/>
              </w:rPr>
            </w:pPr>
            <w:r>
              <w:rPr>
                <w:rFonts w:ascii="Calibri" w:cs="Calibri" w:eastAsia="Calibri" w:hAnsi="Calibri"/>
                <w:sz w:val="18"/>
                <w:szCs w:val="18"/>
                <w:b w:val="1"/>
                <w:bCs w:val="1"/>
                <w:color w:val="auto"/>
                <w:w w:val="97"/>
              </w:rPr>
              <w:t>Weighted-Average Grant</w:t>
            </w:r>
          </w:p>
        </w:tc>
        <w:tc>
          <w:tcPr>
            <w:tcW w:w="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540" w:type="dxa"/>
            <w:vAlign w:val="bottom"/>
          </w:tcPr>
          <w:p>
            <w:pPr>
              <w:spacing w:after="0"/>
              <w:rPr>
                <w:sz w:val="18"/>
                <w:szCs w:val="18"/>
                <w:color w:val="auto"/>
              </w:rPr>
            </w:pPr>
          </w:p>
        </w:tc>
        <w:tc>
          <w:tcPr>
            <w:tcW w:w="1360" w:type="dxa"/>
            <w:vAlign w:val="bottom"/>
          </w:tcPr>
          <w:p>
            <w:pPr>
              <w:ind w:left="680"/>
              <w:spacing w:after="0" w:line="215" w:lineRule="exact"/>
              <w:rPr>
                <w:sz w:val="20"/>
                <w:szCs w:val="20"/>
                <w:color w:val="auto"/>
              </w:rPr>
            </w:pPr>
            <w:r>
              <w:rPr>
                <w:rFonts w:ascii="Calibri" w:cs="Calibri" w:eastAsia="Calibri" w:hAnsi="Calibri"/>
                <w:sz w:val="18"/>
                <w:szCs w:val="18"/>
                <w:b w:val="1"/>
                <w:bCs w:val="1"/>
                <w:color w:val="auto"/>
                <w:w w:val="95"/>
              </w:rPr>
              <w:t>of Shares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jc w:val="center"/>
              <w:ind w:left="350"/>
              <w:spacing w:after="0" w:line="215" w:lineRule="exact"/>
              <w:rPr>
                <w:sz w:val="20"/>
                <w:szCs w:val="20"/>
                <w:color w:val="auto"/>
              </w:rPr>
            </w:pPr>
            <w:r>
              <w:rPr>
                <w:rFonts w:ascii="Calibri" w:cs="Calibri" w:eastAsia="Calibri" w:hAnsi="Calibri"/>
                <w:sz w:val="18"/>
                <w:szCs w:val="18"/>
                <w:b w:val="1"/>
                <w:bCs w:val="1"/>
                <w:color w:val="auto"/>
                <w:w w:val="97"/>
              </w:rPr>
              <w:t>Date Fair Value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40" w:type="dxa"/>
            <w:vAlign w:val="bottom"/>
            <w:shd w:val="clear" w:color="auto" w:fill="CCECFF"/>
          </w:tcPr>
          <w:p>
            <w:pPr>
              <w:spacing w:after="0" w:line="209" w:lineRule="exact"/>
              <w:rPr>
                <w:sz w:val="20"/>
                <w:szCs w:val="20"/>
                <w:color w:val="auto"/>
              </w:rPr>
            </w:pPr>
            <w:r>
              <w:rPr>
                <w:rFonts w:ascii="Calibri" w:cs="Calibri" w:eastAsia="Calibri" w:hAnsi="Calibri"/>
                <w:sz w:val="18"/>
                <w:szCs w:val="18"/>
                <w:color w:val="auto"/>
              </w:rPr>
              <w:t>Unvested — December 31, 2023</w:t>
            </w:r>
          </w:p>
        </w:tc>
        <w:tc>
          <w:tcPr>
            <w:tcW w:w="1360" w:type="dxa"/>
            <w:vAlign w:val="bottom"/>
            <w:shd w:val="clear" w:color="auto" w:fill="CCECFF"/>
          </w:tcPr>
          <w:p>
            <w:pPr>
              <w:spacing w:after="0"/>
              <w:rPr>
                <w:sz w:val="18"/>
                <w:szCs w:val="18"/>
                <w:color w:val="auto"/>
              </w:rPr>
            </w:pPr>
          </w:p>
        </w:tc>
        <w:tc>
          <w:tcPr>
            <w:tcW w:w="680" w:type="dxa"/>
            <w:vAlign w:val="bottom"/>
            <w:shd w:val="clear" w:color="auto" w:fill="CCECFF"/>
          </w:tcPr>
          <w:p>
            <w:pPr>
              <w:jc w:val="right"/>
              <w:spacing w:after="0" w:line="209" w:lineRule="exact"/>
              <w:rPr>
                <w:sz w:val="20"/>
                <w:szCs w:val="20"/>
                <w:color w:val="auto"/>
              </w:rPr>
            </w:pPr>
            <w:r>
              <w:rPr>
                <w:rFonts w:ascii="Calibri" w:cs="Calibri" w:eastAsia="Calibri" w:hAnsi="Calibri"/>
                <w:sz w:val="18"/>
                <w:szCs w:val="18"/>
                <w:color w:val="auto"/>
              </w:rPr>
              <w:t>506,106</w:t>
            </w:r>
          </w:p>
        </w:tc>
        <w:tc>
          <w:tcPr>
            <w:tcW w:w="260" w:type="dxa"/>
            <w:vAlign w:val="bottom"/>
            <w:shd w:val="clear" w:color="auto" w:fill="CCECFF"/>
          </w:tcPr>
          <w:p>
            <w:pPr>
              <w:spacing w:after="0"/>
              <w:rPr>
                <w:sz w:val="18"/>
                <w:szCs w:val="18"/>
                <w:color w:val="auto"/>
              </w:rPr>
            </w:pPr>
          </w:p>
        </w:tc>
        <w:tc>
          <w:tcPr>
            <w:tcW w:w="1600" w:type="dxa"/>
            <w:vAlign w:val="bottom"/>
            <w:shd w:val="clear" w:color="auto" w:fill="CCEEFF"/>
          </w:tcPr>
          <w:p>
            <w:pPr>
              <w:jc w:val="right"/>
              <w:ind w:right="1410"/>
              <w:spacing w:after="0" w:line="209" w:lineRule="exact"/>
              <w:rPr>
                <w:sz w:val="20"/>
                <w:szCs w:val="20"/>
                <w:color w:val="auto"/>
              </w:rPr>
            </w:pPr>
            <w:r>
              <w:rPr>
                <w:rFonts w:ascii="Calibri" w:cs="Calibri" w:eastAsia="Calibri" w:hAnsi="Calibri"/>
                <w:sz w:val="18"/>
                <w:szCs w:val="18"/>
                <w:color w:val="auto"/>
                <w:w w:val="87"/>
              </w:rPr>
              <w:t>$</w:t>
            </w:r>
          </w:p>
        </w:tc>
        <w:tc>
          <w:tcPr>
            <w:tcW w:w="460" w:type="dxa"/>
            <w:vAlign w:val="bottom"/>
            <w:shd w:val="clear" w:color="auto" w:fill="CCEEFF"/>
          </w:tcPr>
          <w:p>
            <w:pPr>
              <w:jc w:val="right"/>
              <w:spacing w:after="0" w:line="209" w:lineRule="exact"/>
              <w:rPr>
                <w:sz w:val="20"/>
                <w:szCs w:val="20"/>
                <w:color w:val="auto"/>
              </w:rPr>
            </w:pPr>
            <w:r>
              <w:rPr>
                <w:rFonts w:ascii="Calibri" w:cs="Calibri" w:eastAsia="Calibri" w:hAnsi="Calibri"/>
                <w:sz w:val="18"/>
                <w:szCs w:val="18"/>
                <w:color w:val="auto"/>
                <w:w w:val="97"/>
              </w:rPr>
              <w:t>60.82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00" w:type="dxa"/>
            <w:vAlign w:val="bottom"/>
            <w:gridSpan w:val="2"/>
          </w:tcPr>
          <w:p>
            <w:pPr>
              <w:ind w:left="180"/>
              <w:spacing w:after="0" w:line="215" w:lineRule="exact"/>
              <w:rPr>
                <w:sz w:val="20"/>
                <w:szCs w:val="20"/>
                <w:color w:val="auto"/>
              </w:rPr>
            </w:pPr>
            <w:r>
              <w:rPr>
                <w:rFonts w:ascii="Calibri" w:cs="Calibri" w:eastAsia="Calibri" w:hAnsi="Calibri"/>
                <w:sz w:val="18"/>
                <w:szCs w:val="18"/>
                <w:color w:val="auto"/>
              </w:rPr>
              <w:t>PSUs granted</w:t>
            </w: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274,484</w:t>
            </w: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60" w:type="dxa"/>
            <w:vAlign w:val="bottom"/>
          </w:tcPr>
          <w:p>
            <w:pPr>
              <w:jc w:val="right"/>
              <w:spacing w:after="0" w:line="215" w:lineRule="exact"/>
              <w:rPr>
                <w:sz w:val="20"/>
                <w:szCs w:val="20"/>
                <w:color w:val="auto"/>
              </w:rPr>
            </w:pPr>
            <w:r>
              <w:rPr>
                <w:rFonts w:ascii="Calibri" w:cs="Calibri" w:eastAsia="Calibri" w:hAnsi="Calibri"/>
                <w:sz w:val="18"/>
                <w:szCs w:val="18"/>
                <w:color w:val="auto"/>
                <w:w w:val="97"/>
              </w:rPr>
              <w:t>62.60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00" w:type="dxa"/>
            <w:vAlign w:val="bottom"/>
            <w:gridSpan w:val="2"/>
            <w:shd w:val="clear" w:color="auto" w:fill="CCECFF"/>
          </w:tcPr>
          <w:p>
            <w:pPr>
              <w:ind w:left="180"/>
              <w:spacing w:after="0" w:line="216" w:lineRule="exact"/>
              <w:rPr>
                <w:sz w:val="20"/>
                <w:szCs w:val="20"/>
                <w:color w:val="auto"/>
              </w:rPr>
            </w:pPr>
            <w:r>
              <w:rPr>
                <w:rFonts w:ascii="Calibri" w:cs="Calibri" w:eastAsia="Calibri" w:hAnsi="Calibri"/>
                <w:sz w:val="18"/>
                <w:szCs w:val="18"/>
                <w:color w:val="auto"/>
              </w:rPr>
              <w:t>PSUs vested</w:t>
            </w:r>
          </w:p>
        </w:tc>
        <w:tc>
          <w:tcPr>
            <w:tcW w:w="940" w:type="dxa"/>
            <w:vAlign w:val="bottom"/>
            <w:gridSpan w:val="2"/>
            <w:shd w:val="clear" w:color="auto" w:fill="CCECFF"/>
          </w:tcPr>
          <w:p>
            <w:pPr>
              <w:jc w:val="right"/>
              <w:ind w:right="180"/>
              <w:spacing w:after="0" w:line="216" w:lineRule="exact"/>
              <w:rPr>
                <w:sz w:val="20"/>
                <w:szCs w:val="20"/>
                <w:color w:val="auto"/>
              </w:rPr>
            </w:pPr>
            <w:r>
              <w:rPr>
                <w:rFonts w:ascii="Calibri" w:cs="Calibri" w:eastAsia="Calibri" w:hAnsi="Calibri"/>
                <w:sz w:val="18"/>
                <w:szCs w:val="18"/>
                <w:color w:val="auto"/>
              </w:rPr>
              <w:t>(47,464 )</w:t>
            </w:r>
          </w:p>
        </w:tc>
        <w:tc>
          <w:tcPr>
            <w:tcW w:w="1600" w:type="dxa"/>
            <w:vAlign w:val="bottom"/>
            <w:shd w:val="clear" w:color="auto" w:fill="CCECFF"/>
          </w:tcPr>
          <w:p>
            <w:pPr>
              <w:spacing w:after="0"/>
              <w:rPr>
                <w:sz w:val="18"/>
                <w:szCs w:val="18"/>
                <w:color w:val="auto"/>
              </w:rPr>
            </w:pPr>
          </w:p>
        </w:tc>
        <w:tc>
          <w:tcPr>
            <w:tcW w:w="46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w w:val="97"/>
              </w:rPr>
              <w:t>72.17</w:t>
            </w:r>
          </w:p>
        </w:tc>
        <w:tc>
          <w:tcPr>
            <w:tcW w:w="8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40" w:type="dxa"/>
            <w:vAlign w:val="bottom"/>
          </w:tcPr>
          <w:p>
            <w:pPr>
              <w:ind w:left="180"/>
              <w:spacing w:after="0" w:line="215" w:lineRule="exact"/>
              <w:rPr>
                <w:sz w:val="20"/>
                <w:szCs w:val="20"/>
                <w:color w:val="auto"/>
              </w:rPr>
            </w:pPr>
            <w:r>
              <w:rPr>
                <w:rFonts w:ascii="Calibri" w:cs="Calibri" w:eastAsia="Calibri" w:hAnsi="Calibri"/>
                <w:sz w:val="18"/>
                <w:szCs w:val="18"/>
                <w:color w:val="auto"/>
              </w:rPr>
              <w:t>PSUs cancelled</w:t>
            </w:r>
          </w:p>
        </w:tc>
        <w:tc>
          <w:tcPr>
            <w:tcW w:w="1360" w:type="dxa"/>
            <w:vAlign w:val="bottom"/>
          </w:tcPr>
          <w:p>
            <w:pPr>
              <w:spacing w:after="0"/>
              <w:rPr>
                <w:sz w:val="18"/>
                <w:szCs w:val="18"/>
                <w:color w:val="auto"/>
              </w:rPr>
            </w:pPr>
          </w:p>
        </w:tc>
        <w:tc>
          <w:tcPr>
            <w:tcW w:w="94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w w:val="99"/>
              </w:rPr>
              <w:t>(114,944 )</w:t>
            </w:r>
          </w:p>
        </w:tc>
        <w:tc>
          <w:tcPr>
            <w:tcW w:w="1600" w:type="dxa"/>
            <w:vAlign w:val="bottom"/>
          </w:tcPr>
          <w:p>
            <w:pPr>
              <w:spacing w:after="0"/>
              <w:rPr>
                <w:sz w:val="18"/>
                <w:szCs w:val="18"/>
                <w:color w:val="auto"/>
              </w:rPr>
            </w:pPr>
          </w:p>
        </w:tc>
        <w:tc>
          <w:tcPr>
            <w:tcW w:w="460" w:type="dxa"/>
            <w:vAlign w:val="bottom"/>
          </w:tcPr>
          <w:p>
            <w:pPr>
              <w:jc w:val="right"/>
              <w:spacing w:after="0" w:line="215" w:lineRule="exact"/>
              <w:rPr>
                <w:sz w:val="20"/>
                <w:szCs w:val="20"/>
                <w:color w:val="auto"/>
              </w:rPr>
            </w:pPr>
            <w:r>
              <w:rPr>
                <w:rFonts w:ascii="Calibri" w:cs="Calibri" w:eastAsia="Calibri" w:hAnsi="Calibri"/>
                <w:sz w:val="18"/>
                <w:szCs w:val="18"/>
                <w:color w:val="auto"/>
                <w:w w:val="97"/>
              </w:rPr>
              <w:t>68.07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CFF"/>
            </w:tcBorders>
            <w:shd w:val="clear" w:color="auto" w:fill="CCECFF"/>
          </w:tcPr>
          <w:p>
            <w:pPr>
              <w:spacing w:after="0" w:line="210" w:lineRule="exact"/>
              <w:rPr>
                <w:sz w:val="20"/>
                <w:szCs w:val="20"/>
                <w:color w:val="auto"/>
              </w:rPr>
            </w:pPr>
            <w:r>
              <w:rPr>
                <w:rFonts w:ascii="Calibri" w:cs="Calibri" w:eastAsia="Calibri" w:hAnsi="Calibri"/>
                <w:sz w:val="18"/>
                <w:szCs w:val="18"/>
                <w:color w:val="auto"/>
              </w:rPr>
              <w:t>Unvested — December 31, 2024</w:t>
            </w:r>
          </w:p>
        </w:tc>
        <w:tc>
          <w:tcPr>
            <w:tcW w:w="1360" w:type="dxa"/>
            <w:vAlign w:val="bottom"/>
            <w:tcBorders>
              <w:top w:val="single" w:sz="8" w:color="auto"/>
              <w:bottom w:val="single" w:sz="8" w:color="auto"/>
            </w:tcBorders>
            <w:shd w:val="clear" w:color="auto" w:fill="CCECFF"/>
          </w:tcPr>
          <w:p>
            <w:pPr>
              <w:spacing w:after="0"/>
              <w:rPr>
                <w:sz w:val="21"/>
                <w:szCs w:val="21"/>
                <w:color w:val="auto"/>
              </w:rPr>
            </w:pPr>
          </w:p>
        </w:tc>
        <w:tc>
          <w:tcPr>
            <w:tcW w:w="680" w:type="dxa"/>
            <w:vAlign w:val="bottom"/>
            <w:tcBorders>
              <w:top w:val="single" w:sz="8" w:color="auto"/>
              <w:bottom w:val="single" w:sz="8" w:color="auto"/>
            </w:tcBorders>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618,182</w:t>
            </w:r>
          </w:p>
        </w:tc>
        <w:tc>
          <w:tcPr>
            <w:tcW w:w="260" w:type="dxa"/>
            <w:vAlign w:val="bottom"/>
            <w:tcBorders>
              <w:bottom w:val="single" w:sz="8" w:color="CCECFF"/>
            </w:tcBorders>
            <w:shd w:val="clear" w:color="auto" w:fill="CCECFF"/>
          </w:tcPr>
          <w:p>
            <w:pPr>
              <w:spacing w:after="0"/>
              <w:rPr>
                <w:sz w:val="21"/>
                <w:szCs w:val="21"/>
                <w:color w:val="auto"/>
              </w:rPr>
            </w:pPr>
          </w:p>
        </w:tc>
        <w:tc>
          <w:tcPr>
            <w:tcW w:w="1600" w:type="dxa"/>
            <w:vAlign w:val="bottom"/>
            <w:tcBorders>
              <w:bottom w:val="single" w:sz="8" w:color="CCECFF"/>
            </w:tcBorders>
            <w:shd w:val="clear" w:color="auto" w:fill="CCECFF"/>
          </w:tcPr>
          <w:p>
            <w:pPr>
              <w:spacing w:after="0"/>
              <w:rPr>
                <w:sz w:val="21"/>
                <w:szCs w:val="21"/>
                <w:color w:val="auto"/>
              </w:rPr>
            </w:pPr>
          </w:p>
        </w:tc>
        <w:tc>
          <w:tcPr>
            <w:tcW w:w="460" w:type="dxa"/>
            <w:vAlign w:val="bottom"/>
            <w:tcBorders>
              <w:bottom w:val="single" w:sz="8" w:color="CCECFF"/>
            </w:tcBorders>
            <w:shd w:val="clear" w:color="auto" w:fill="CCECFF"/>
          </w:tcPr>
          <w:p>
            <w:pPr>
              <w:jc w:val="right"/>
              <w:spacing w:after="0" w:line="210" w:lineRule="exact"/>
              <w:rPr>
                <w:sz w:val="20"/>
                <w:szCs w:val="20"/>
                <w:color w:val="auto"/>
              </w:rPr>
            </w:pPr>
            <w:r>
              <w:rPr>
                <w:rFonts w:ascii="Calibri" w:cs="Calibri" w:eastAsia="Calibri" w:hAnsi="Calibri"/>
                <w:sz w:val="18"/>
                <w:szCs w:val="18"/>
                <w:color w:val="auto"/>
                <w:w w:val="97"/>
              </w:rPr>
              <w:t>59.39</w:t>
            </w:r>
          </w:p>
        </w:tc>
        <w:tc>
          <w:tcPr>
            <w:tcW w:w="8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-24765</wp:posOffset>
            </wp:positionV>
            <wp:extent cx="5143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8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5143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8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6"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fair value of the PSUs is determined on the grant date based on the fair value of the Company’s common stock, except for certain PSUs with a market vestng conditon, for which fair value is estmated using a Monte Carlo simulaton model. PSUs are subject to vest only if certain specifed criteria are achieved and the employees’ contnued service with the Company. For certain PSUs, the number of PSUs that may vest are also subject to the achievement of certain specifed criteria, including both performance conditons and market conditons. As of December 31, 2024, certain specifed criteria were deemed probable of achievement or already achieved. Stock-based compensaton for PSUs is recognized over the service period beginning in the period the Company determines it is probable that the performance criteria will be achieved. The total grant date fair value of the PSUs vested during the years ended December 31, 2024, 2023, and 2022 was $3.4 million, $3.9 million, and $1.6 million, respectvely, with an aggregate intrinsic value of the shares of $2.1 million, $1.3 million and $2.0 million, respectvely.</w:t>
      </w:r>
    </w:p>
    <w:p>
      <w:pPr>
        <w:spacing w:after="0" w:line="2"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5" w:name="page126"/>
    <w:bookmarkEnd w:id="125"/>
    <w:p>
      <w:pPr>
        <w:ind w:left="384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Stock-Based Compensaton Expense</w:t>
      </w:r>
    </w:p>
    <w:p>
      <w:pPr>
        <w:spacing w:after="0" w:line="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Total stock-based compensaton expense recognized was as follows (in thousands):</w:t>
      </w:r>
    </w:p>
    <w:p>
      <w:pPr>
        <w:spacing w:after="0" w:line="77"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4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80" w:type="dxa"/>
            <w:vAlign w:val="bottom"/>
            <w:gridSpan w:val="6"/>
          </w:tcPr>
          <w:p>
            <w:pPr>
              <w:jc w:val="right"/>
              <w:ind w:right="140"/>
              <w:spacing w:after="0"/>
              <w:rPr>
                <w:sz w:val="20"/>
                <w:szCs w:val="20"/>
                <w:color w:val="auto"/>
              </w:rPr>
            </w:pPr>
            <w:r>
              <w:rPr>
                <w:rFonts w:ascii="Calibri" w:cs="Calibri" w:eastAsia="Calibri" w:hAnsi="Calibri"/>
                <w:sz w:val="18"/>
                <w:szCs w:val="18"/>
                <w:b w:val="1"/>
                <w:bCs w:val="1"/>
                <w:color w:val="auto"/>
              </w:rPr>
              <w:t>Year Ended December 31,</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
        </w:trPr>
        <w:tc>
          <w:tcPr>
            <w:tcW w:w="4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9"/>
        </w:trPr>
        <w:tc>
          <w:tcPr>
            <w:tcW w:w="49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line="209" w:lineRule="exact"/>
              <w:rPr>
                <w:sz w:val="20"/>
                <w:szCs w:val="20"/>
                <w:color w:val="auto"/>
              </w:rPr>
            </w:pPr>
            <w:r>
              <w:rPr>
                <w:rFonts w:ascii="Calibri" w:cs="Calibri" w:eastAsia="Calibri" w:hAnsi="Calibri"/>
                <w:sz w:val="18"/>
                <w:szCs w:val="18"/>
                <w:b w:val="1"/>
                <w:bCs w:val="1"/>
                <w:color w:val="auto"/>
              </w:rPr>
              <w:t>2024</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line="209" w:lineRule="exact"/>
              <w:rPr>
                <w:sz w:val="20"/>
                <w:szCs w:val="20"/>
                <w:color w:val="auto"/>
              </w:rPr>
            </w:pPr>
            <w:r>
              <w:rPr>
                <w:rFonts w:ascii="Calibri" w:cs="Calibri" w:eastAsia="Calibri" w:hAnsi="Calibri"/>
                <w:sz w:val="18"/>
                <w:szCs w:val="18"/>
                <w:b w:val="1"/>
                <w:bCs w:val="1"/>
                <w:color w:val="auto"/>
              </w:rPr>
              <w:t>2023</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line="209" w:lineRule="exact"/>
              <w:rPr>
                <w:sz w:val="20"/>
                <w:szCs w:val="20"/>
                <w:color w:val="auto"/>
              </w:rPr>
            </w:pPr>
            <w:r>
              <w:rPr>
                <w:rFonts w:ascii="Calibri" w:cs="Calibri" w:eastAsia="Calibri" w:hAnsi="Calibri"/>
                <w:sz w:val="18"/>
                <w:szCs w:val="18"/>
                <w:b w:val="1"/>
                <w:bCs w:val="1"/>
                <w:color w:val="auto"/>
              </w:rPr>
              <w:t>2022</w:t>
            </w:r>
          </w:p>
        </w:tc>
        <w:tc>
          <w:tcPr>
            <w:tcW w:w="80" w:type="dxa"/>
            <w:vAlign w:val="bottom"/>
          </w:tcPr>
          <w:p>
            <w:pPr>
              <w:spacing w:after="0"/>
              <w:rPr>
                <w:sz w:val="18"/>
                <w:szCs w:val="18"/>
                <w:color w:val="auto"/>
              </w:rPr>
            </w:pPr>
          </w:p>
        </w:tc>
      </w:tr>
      <w:tr>
        <w:trPr>
          <w:trHeight w:val="210"/>
        </w:trPr>
        <w:tc>
          <w:tcPr>
            <w:tcW w:w="4960" w:type="dxa"/>
            <w:vAlign w:val="bottom"/>
            <w:shd w:val="clear" w:color="auto" w:fill="CCECFF"/>
          </w:tcPr>
          <w:p>
            <w:pPr>
              <w:spacing w:after="0" w:line="210" w:lineRule="exact"/>
              <w:rPr>
                <w:sz w:val="20"/>
                <w:szCs w:val="20"/>
                <w:color w:val="auto"/>
              </w:rPr>
            </w:pPr>
            <w:r>
              <w:rPr>
                <w:rFonts w:ascii="Calibri" w:cs="Calibri" w:eastAsia="Calibri" w:hAnsi="Calibri"/>
                <w:sz w:val="18"/>
                <w:szCs w:val="18"/>
                <w:color w:val="auto"/>
              </w:rPr>
              <w:t>Cost of sales</w:t>
            </w:r>
          </w:p>
        </w:tc>
        <w:tc>
          <w:tcPr>
            <w:tcW w:w="260" w:type="dxa"/>
            <w:vAlign w:val="bottom"/>
            <w:shd w:val="clear" w:color="auto" w:fill="CCECFF"/>
          </w:tcPr>
          <w:p>
            <w:pPr>
              <w:jc w:val="right"/>
              <w:ind w:right="70"/>
              <w:spacing w:after="0" w:line="210" w:lineRule="exact"/>
              <w:rPr>
                <w:sz w:val="20"/>
                <w:szCs w:val="20"/>
                <w:color w:val="auto"/>
              </w:rPr>
            </w:pPr>
            <w:r>
              <w:rPr>
                <w:rFonts w:ascii="Calibri" w:cs="Calibri" w:eastAsia="Calibri" w:hAnsi="Calibri"/>
                <w:sz w:val="18"/>
                <w:szCs w:val="18"/>
                <w:color w:val="auto"/>
                <w:w w:val="87"/>
              </w:rPr>
              <w:t>$</w:t>
            </w:r>
          </w:p>
        </w:tc>
        <w:tc>
          <w:tcPr>
            <w:tcW w:w="90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1,469</w:t>
            </w:r>
          </w:p>
        </w:tc>
        <w:tc>
          <w:tcPr>
            <w:tcW w:w="480" w:type="dxa"/>
            <w:vAlign w:val="bottom"/>
            <w:gridSpan w:val="2"/>
            <w:shd w:val="clear" w:color="auto" w:fill="CCECFF"/>
          </w:tcPr>
          <w:p>
            <w:pPr>
              <w:jc w:val="right"/>
              <w:ind w:right="140"/>
              <w:spacing w:after="0" w:line="210" w:lineRule="exact"/>
              <w:rPr>
                <w:sz w:val="20"/>
                <w:szCs w:val="20"/>
                <w:color w:val="auto"/>
              </w:rPr>
            </w:pPr>
            <w:r>
              <w:rPr>
                <w:rFonts w:ascii="Calibri" w:cs="Calibri" w:eastAsia="Calibri" w:hAnsi="Calibri"/>
                <w:sz w:val="18"/>
                <w:szCs w:val="18"/>
                <w:color w:val="auto"/>
              </w:rPr>
              <w:t>$</w:t>
            </w:r>
          </w:p>
        </w:tc>
        <w:tc>
          <w:tcPr>
            <w:tcW w:w="90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1,166</w:t>
            </w:r>
          </w:p>
        </w:tc>
        <w:tc>
          <w:tcPr>
            <w:tcW w:w="500" w:type="dxa"/>
            <w:vAlign w:val="bottom"/>
            <w:gridSpan w:val="2"/>
            <w:shd w:val="clear" w:color="auto" w:fill="CCECFF"/>
          </w:tcPr>
          <w:p>
            <w:pPr>
              <w:jc w:val="right"/>
              <w:ind w:right="160"/>
              <w:spacing w:after="0" w:line="210" w:lineRule="exact"/>
              <w:rPr>
                <w:sz w:val="20"/>
                <w:szCs w:val="20"/>
                <w:color w:val="auto"/>
              </w:rPr>
            </w:pPr>
            <w:r>
              <w:rPr>
                <w:rFonts w:ascii="Calibri" w:cs="Calibri" w:eastAsia="Calibri" w:hAnsi="Calibri"/>
                <w:sz w:val="18"/>
                <w:szCs w:val="18"/>
                <w:color w:val="auto"/>
              </w:rPr>
              <w:t>$</w:t>
            </w:r>
          </w:p>
        </w:tc>
        <w:tc>
          <w:tcPr>
            <w:tcW w:w="90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902</w:t>
            </w:r>
          </w:p>
        </w:tc>
        <w:tc>
          <w:tcPr>
            <w:tcW w:w="80" w:type="dxa"/>
            <w:vAlign w:val="bottom"/>
            <w:shd w:val="clear" w:color="auto" w:fill="CCECFF"/>
          </w:tcPr>
          <w:p>
            <w:pPr>
              <w:spacing w:after="0"/>
              <w:rPr>
                <w:sz w:val="18"/>
                <w:szCs w:val="18"/>
                <w:color w:val="auto"/>
              </w:rPr>
            </w:pPr>
          </w:p>
        </w:tc>
      </w:tr>
      <w:tr>
        <w:trPr>
          <w:trHeight w:val="215"/>
        </w:trPr>
        <w:tc>
          <w:tcPr>
            <w:tcW w:w="4960" w:type="dxa"/>
            <w:vAlign w:val="bottom"/>
          </w:tcPr>
          <w:p>
            <w:pPr>
              <w:spacing w:after="0" w:line="215" w:lineRule="exact"/>
              <w:rPr>
                <w:sz w:val="20"/>
                <w:szCs w:val="20"/>
                <w:color w:val="auto"/>
              </w:rPr>
            </w:pPr>
            <w:r>
              <w:rPr>
                <w:rFonts w:ascii="Calibri" w:cs="Calibri" w:eastAsia="Calibri" w:hAnsi="Calibri"/>
                <w:sz w:val="18"/>
                <w:szCs w:val="18"/>
                <w:color w:val="auto"/>
              </w:rPr>
              <w:t>Research and development</w:t>
            </w:r>
          </w:p>
        </w:tc>
        <w:tc>
          <w:tcPr>
            <w:tcW w:w="26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86,616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74,531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74,464</w:t>
            </w:r>
          </w:p>
        </w:tc>
        <w:tc>
          <w:tcPr>
            <w:tcW w:w="80" w:type="dxa"/>
            <w:vAlign w:val="bottom"/>
          </w:tcPr>
          <w:p>
            <w:pPr>
              <w:spacing w:after="0"/>
              <w:rPr>
                <w:sz w:val="18"/>
                <w:szCs w:val="18"/>
                <w:color w:val="auto"/>
              </w:rPr>
            </w:pPr>
          </w:p>
        </w:tc>
      </w:tr>
      <w:tr>
        <w:trPr>
          <w:trHeight w:val="216"/>
        </w:trPr>
        <w:tc>
          <w:tcPr>
            <w:tcW w:w="4960" w:type="dxa"/>
            <w:vAlign w:val="bottom"/>
            <w:tcBorders>
              <w:bottom w:val="single" w:sz="8" w:color="CCECFF"/>
            </w:tcBorders>
            <w:shd w:val="clear" w:color="auto" w:fill="CCECFF"/>
          </w:tcPr>
          <w:p>
            <w:pPr>
              <w:spacing w:after="0" w:line="216" w:lineRule="exact"/>
              <w:rPr>
                <w:sz w:val="20"/>
                <w:szCs w:val="20"/>
                <w:color w:val="auto"/>
              </w:rPr>
            </w:pPr>
            <w:r>
              <w:rPr>
                <w:rFonts w:ascii="Calibri" w:cs="Calibri" w:eastAsia="Calibri" w:hAnsi="Calibri"/>
                <w:sz w:val="18"/>
                <w:szCs w:val="18"/>
                <w:color w:val="auto"/>
              </w:rPr>
              <w:t>Selling, general and administratve</w:t>
            </w:r>
          </w:p>
        </w:tc>
        <w:tc>
          <w:tcPr>
            <w:tcW w:w="260" w:type="dxa"/>
            <w:vAlign w:val="bottom"/>
            <w:tcBorders>
              <w:bottom w:val="single" w:sz="8" w:color="auto"/>
            </w:tcBorders>
            <w:shd w:val="clear" w:color="auto" w:fill="CCECFF"/>
          </w:tcPr>
          <w:p>
            <w:pPr>
              <w:spacing w:after="0"/>
              <w:rPr>
                <w:sz w:val="18"/>
                <w:szCs w:val="18"/>
                <w:color w:val="auto"/>
              </w:rPr>
            </w:pPr>
          </w:p>
        </w:tc>
        <w:tc>
          <w:tcPr>
            <w:tcW w:w="900" w:type="dxa"/>
            <w:vAlign w:val="bottom"/>
            <w:tcBorders>
              <w:bottom w:val="single" w:sz="8" w:color="auto"/>
            </w:tcBorders>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69,971</w:t>
            </w:r>
          </w:p>
        </w:tc>
        <w:tc>
          <w:tcPr>
            <w:tcW w:w="24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spacing w:after="0"/>
              <w:rPr>
                <w:sz w:val="18"/>
                <w:szCs w:val="18"/>
                <w:color w:val="auto"/>
              </w:rPr>
            </w:pPr>
          </w:p>
        </w:tc>
        <w:tc>
          <w:tcPr>
            <w:tcW w:w="900" w:type="dxa"/>
            <w:vAlign w:val="bottom"/>
            <w:tcBorders>
              <w:bottom w:val="single" w:sz="8" w:color="auto"/>
            </w:tcBorders>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59,516</w:t>
            </w:r>
          </w:p>
        </w:tc>
        <w:tc>
          <w:tcPr>
            <w:tcW w:w="26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spacing w:after="0"/>
              <w:rPr>
                <w:sz w:val="18"/>
                <w:szCs w:val="18"/>
                <w:color w:val="auto"/>
              </w:rPr>
            </w:pPr>
          </w:p>
        </w:tc>
        <w:tc>
          <w:tcPr>
            <w:tcW w:w="900" w:type="dxa"/>
            <w:vAlign w:val="bottom"/>
            <w:tcBorders>
              <w:bottom w:val="single" w:sz="8" w:color="auto"/>
            </w:tcBorders>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55,002</w:t>
            </w:r>
          </w:p>
        </w:tc>
        <w:tc>
          <w:tcPr>
            <w:tcW w:w="80" w:type="dxa"/>
            <w:vAlign w:val="bottom"/>
            <w:tcBorders>
              <w:bottom w:val="single" w:sz="8" w:color="CCECFF"/>
            </w:tcBorders>
            <w:shd w:val="clear" w:color="auto" w:fill="CCECFF"/>
          </w:tcPr>
          <w:p>
            <w:pPr>
              <w:spacing w:after="0"/>
              <w:rPr>
                <w:sz w:val="18"/>
                <w:szCs w:val="18"/>
                <w:color w:val="auto"/>
              </w:rPr>
            </w:pPr>
          </w:p>
        </w:tc>
      </w:tr>
      <w:tr>
        <w:trPr>
          <w:trHeight w:val="209"/>
        </w:trPr>
        <w:tc>
          <w:tcPr>
            <w:tcW w:w="4960" w:type="dxa"/>
            <w:vAlign w:val="bottom"/>
          </w:tcPr>
          <w:p>
            <w:pPr>
              <w:ind w:left="180"/>
              <w:spacing w:after="0" w:line="209" w:lineRule="exact"/>
              <w:rPr>
                <w:sz w:val="20"/>
                <w:szCs w:val="20"/>
                <w:color w:val="auto"/>
              </w:rPr>
            </w:pPr>
            <w:r>
              <w:rPr>
                <w:rFonts w:ascii="Calibri" w:cs="Calibri" w:eastAsia="Calibri" w:hAnsi="Calibri"/>
                <w:sz w:val="18"/>
                <w:szCs w:val="18"/>
                <w:color w:val="auto"/>
              </w:rPr>
              <w:t>Total stock-based compensaton expense</w:t>
            </w:r>
          </w:p>
        </w:tc>
        <w:tc>
          <w:tcPr>
            <w:tcW w:w="260" w:type="dxa"/>
            <w:vAlign w:val="bottom"/>
          </w:tcPr>
          <w:p>
            <w:pPr>
              <w:jc w:val="right"/>
              <w:ind w:right="70"/>
              <w:spacing w:after="0" w:line="209" w:lineRule="exact"/>
              <w:rPr>
                <w:sz w:val="20"/>
                <w:szCs w:val="20"/>
                <w:color w:val="auto"/>
              </w:rPr>
            </w:pPr>
            <w:r>
              <w:rPr>
                <w:rFonts w:ascii="Calibri" w:cs="Calibri" w:eastAsia="Calibri" w:hAnsi="Calibri"/>
                <w:sz w:val="18"/>
                <w:szCs w:val="18"/>
                <w:color w:val="auto"/>
                <w:w w:val="87"/>
              </w:rPr>
              <w:t>$</w:t>
            </w:r>
          </w:p>
        </w:tc>
        <w:tc>
          <w:tcPr>
            <w:tcW w:w="900" w:type="dxa"/>
            <w:vAlign w:val="bottom"/>
          </w:tcPr>
          <w:p>
            <w:pPr>
              <w:jc w:val="right"/>
              <w:spacing w:after="0" w:line="209" w:lineRule="exact"/>
              <w:rPr>
                <w:sz w:val="20"/>
                <w:szCs w:val="20"/>
                <w:color w:val="auto"/>
              </w:rPr>
            </w:pPr>
            <w:r>
              <w:rPr>
                <w:rFonts w:ascii="Calibri" w:cs="Calibri" w:eastAsia="Calibri" w:hAnsi="Calibri"/>
                <w:sz w:val="18"/>
                <w:szCs w:val="18"/>
                <w:color w:val="auto"/>
              </w:rPr>
              <w:t>158,056</w:t>
            </w:r>
          </w:p>
        </w:tc>
        <w:tc>
          <w:tcPr>
            <w:tcW w:w="480" w:type="dxa"/>
            <w:vAlign w:val="bottom"/>
            <w:gridSpan w:val="2"/>
          </w:tcPr>
          <w:p>
            <w:pPr>
              <w:jc w:val="right"/>
              <w:ind w:right="140"/>
              <w:spacing w:after="0" w:line="209" w:lineRule="exact"/>
              <w:rPr>
                <w:sz w:val="20"/>
                <w:szCs w:val="20"/>
                <w:color w:val="auto"/>
              </w:rPr>
            </w:pPr>
            <w:r>
              <w:rPr>
                <w:rFonts w:ascii="Calibri" w:cs="Calibri" w:eastAsia="Calibri" w:hAnsi="Calibri"/>
                <w:sz w:val="18"/>
                <w:szCs w:val="18"/>
                <w:color w:val="auto"/>
              </w:rPr>
              <w:t>$</w:t>
            </w:r>
          </w:p>
        </w:tc>
        <w:tc>
          <w:tcPr>
            <w:tcW w:w="900" w:type="dxa"/>
            <w:vAlign w:val="bottom"/>
          </w:tcPr>
          <w:p>
            <w:pPr>
              <w:jc w:val="right"/>
              <w:spacing w:after="0" w:line="209" w:lineRule="exact"/>
              <w:rPr>
                <w:sz w:val="20"/>
                <w:szCs w:val="20"/>
                <w:color w:val="auto"/>
              </w:rPr>
            </w:pPr>
            <w:r>
              <w:rPr>
                <w:rFonts w:ascii="Calibri" w:cs="Calibri" w:eastAsia="Calibri" w:hAnsi="Calibri"/>
                <w:sz w:val="18"/>
                <w:szCs w:val="18"/>
                <w:color w:val="auto"/>
              </w:rPr>
              <w:t>135,213</w:t>
            </w:r>
          </w:p>
        </w:tc>
        <w:tc>
          <w:tcPr>
            <w:tcW w:w="500" w:type="dxa"/>
            <w:vAlign w:val="bottom"/>
            <w:gridSpan w:val="2"/>
          </w:tcPr>
          <w:p>
            <w:pPr>
              <w:jc w:val="right"/>
              <w:ind w:right="160"/>
              <w:spacing w:after="0" w:line="209" w:lineRule="exact"/>
              <w:rPr>
                <w:sz w:val="20"/>
                <w:szCs w:val="20"/>
                <w:color w:val="auto"/>
              </w:rPr>
            </w:pPr>
            <w:r>
              <w:rPr>
                <w:rFonts w:ascii="Calibri" w:cs="Calibri" w:eastAsia="Calibri" w:hAnsi="Calibri"/>
                <w:sz w:val="18"/>
                <w:szCs w:val="18"/>
                <w:color w:val="auto"/>
              </w:rPr>
              <w:t>$</w:t>
            </w:r>
          </w:p>
        </w:tc>
        <w:tc>
          <w:tcPr>
            <w:tcW w:w="900" w:type="dxa"/>
            <w:vAlign w:val="bottom"/>
          </w:tcPr>
          <w:p>
            <w:pPr>
              <w:jc w:val="right"/>
              <w:spacing w:after="0" w:line="209" w:lineRule="exact"/>
              <w:rPr>
                <w:sz w:val="20"/>
                <w:szCs w:val="20"/>
                <w:color w:val="auto"/>
              </w:rPr>
            </w:pPr>
            <w:r>
              <w:rPr>
                <w:rFonts w:ascii="Calibri" w:cs="Calibri" w:eastAsia="Calibri" w:hAnsi="Calibri"/>
                <w:sz w:val="18"/>
                <w:szCs w:val="18"/>
                <w:color w:val="auto"/>
              </w:rPr>
              <w:t>130,368</w:t>
            </w:r>
          </w:p>
        </w:tc>
        <w:tc>
          <w:tcPr>
            <w:tcW w:w="80" w:type="dxa"/>
            <w:vAlign w:val="bottom"/>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-170815</wp:posOffset>
            </wp:positionV>
            <wp:extent cx="5143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-170815</wp:posOffset>
            </wp:positionV>
            <wp:extent cx="5143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9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Stock-based compensaton of $2.6 million, $1.9 million, and $2.2 million was capitalized into inventory for the years ended December 31, 2024, 2023, and 2022, respectvely. Capitalized stock-based compensaton is recognized as cost of sales when the related product is sold.</w:t>
      </w:r>
    </w:p>
    <w:p>
      <w:pPr>
        <w:spacing w:after="0" w:line="83" w:lineRule="exact"/>
        <w:rPr>
          <w:sz w:val="20"/>
          <w:szCs w:val="20"/>
          <w:color w:val="auto"/>
        </w:rPr>
      </w:pPr>
    </w:p>
    <w:p>
      <w:pPr>
        <w:jc w:val="both"/>
        <w:ind w:right="80" w:firstLine="509"/>
        <w:spacing w:after="0" w:line="235" w:lineRule="auto"/>
        <w:rPr>
          <w:sz w:val="20"/>
          <w:szCs w:val="20"/>
          <w:color w:val="auto"/>
        </w:rPr>
      </w:pPr>
      <w:r>
        <w:rPr>
          <w:rFonts w:ascii="Calibri" w:cs="Calibri" w:eastAsia="Calibri" w:hAnsi="Calibri"/>
          <w:sz w:val="18"/>
          <w:szCs w:val="18"/>
          <w:color w:val="auto"/>
        </w:rPr>
        <w:t>As of December 31, 2024, the total unrecognized compensaton expense related to unvested equity awards, net of estmated forfeitures, was $256.8 million, which the Company expects to recognize over an estmated weighted-average period of 2 years. In determining the estmated fair value of the stock optons, PSOs and ESPP, the Company uses the Black-Scholes opton-pricing model and assumptons discussed below. Each of these inputs is subjectve and generally requires signifcant judgment to determine.</w:t>
      </w:r>
    </w:p>
    <w:p>
      <w:pPr>
        <w:spacing w:after="0" w:line="84" w:lineRule="exact"/>
        <w:rPr>
          <w:sz w:val="20"/>
          <w:szCs w:val="20"/>
          <w:color w:val="auto"/>
        </w:rPr>
      </w:pPr>
    </w:p>
    <w:p>
      <w:pPr>
        <w:ind w:left="520" w:right="120"/>
        <w:spacing w:after="0" w:line="235" w:lineRule="auto"/>
        <w:rPr>
          <w:sz w:val="20"/>
          <w:szCs w:val="20"/>
          <w:color w:val="auto"/>
        </w:rPr>
      </w:pPr>
      <w:r>
        <w:rPr>
          <w:rFonts w:ascii="Calibri" w:cs="Calibri" w:eastAsia="Calibri" w:hAnsi="Calibri"/>
          <w:sz w:val="18"/>
          <w:szCs w:val="18"/>
          <w:i w:val="1"/>
          <w:iCs w:val="1"/>
          <w:color w:val="auto"/>
        </w:rPr>
        <w:t>Expected Term</w:t>
      </w:r>
      <w:r>
        <w:rPr>
          <w:rFonts w:ascii="Calibri" w:cs="Calibri" w:eastAsia="Calibri" w:hAnsi="Calibri"/>
          <w:sz w:val="18"/>
          <w:szCs w:val="18"/>
          <w:color w:val="auto"/>
        </w:rPr>
        <w:t>—The Company’s expected term represents the period that the Company’s stock-based awards are expected to be outstanding and is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determined using the simplifed method (based on the mid-point between the vestng date and the end of the contractual term).</w:t>
      </w:r>
    </w:p>
    <w:p>
      <w:pPr>
        <w:spacing w:after="0" w:line="83" w:lineRule="exact"/>
        <w:rPr>
          <w:sz w:val="20"/>
          <w:szCs w:val="20"/>
          <w:color w:val="auto"/>
        </w:rPr>
      </w:pPr>
    </w:p>
    <w:p>
      <w:pPr>
        <w:ind w:left="520"/>
        <w:spacing w:after="0"/>
        <w:rPr>
          <w:sz w:val="20"/>
          <w:szCs w:val="20"/>
          <w:color w:val="auto"/>
        </w:rPr>
      </w:pPr>
      <w:r>
        <w:rPr>
          <w:rFonts w:ascii="Calibri" w:cs="Calibri" w:eastAsia="Calibri" w:hAnsi="Calibri"/>
          <w:sz w:val="17"/>
          <w:szCs w:val="17"/>
          <w:i w:val="1"/>
          <w:iCs w:val="1"/>
          <w:color w:val="auto"/>
        </w:rPr>
        <w:t>Expected Volatlity</w:t>
      </w:r>
      <w:r>
        <w:rPr>
          <w:rFonts w:ascii="Calibri" w:cs="Calibri" w:eastAsia="Calibri" w:hAnsi="Calibri"/>
          <w:sz w:val="17"/>
          <w:szCs w:val="17"/>
          <w:color w:val="auto"/>
        </w:rPr>
        <w:t>—The Company’s expected volatlity is based on historical volatlity over the look-back period corresponding to the expected term.</w:t>
      </w:r>
    </w:p>
    <w:p>
      <w:pPr>
        <w:spacing w:after="0" w:line="89" w:lineRule="exact"/>
        <w:rPr>
          <w:sz w:val="20"/>
          <w:szCs w:val="20"/>
          <w:color w:val="auto"/>
        </w:rPr>
      </w:pPr>
    </w:p>
    <w:p>
      <w:pPr>
        <w:ind w:left="520" w:right="760"/>
        <w:spacing w:after="0" w:line="235" w:lineRule="auto"/>
        <w:rPr>
          <w:sz w:val="20"/>
          <w:szCs w:val="20"/>
          <w:color w:val="auto"/>
        </w:rPr>
      </w:pPr>
      <w:r>
        <w:rPr>
          <w:rFonts w:ascii="Calibri" w:cs="Calibri" w:eastAsia="Calibri" w:hAnsi="Calibri"/>
          <w:sz w:val="18"/>
          <w:szCs w:val="18"/>
          <w:i w:val="1"/>
          <w:iCs w:val="1"/>
          <w:color w:val="auto"/>
        </w:rPr>
        <w:t>Risk-Free Interest Rate</w:t>
      </w:r>
      <w:r>
        <w:rPr>
          <w:rFonts w:ascii="Calibri" w:cs="Calibri" w:eastAsia="Calibri" w:hAnsi="Calibri"/>
          <w:sz w:val="18"/>
          <w:szCs w:val="18"/>
          <w:color w:val="auto"/>
        </w:rPr>
        <w:t>—The risk-free interest rate is based on the U.S. Treasury zero coupon issues in efect at the tme of grant for periods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corresponding with the expected term of opton.</w:t>
      </w:r>
    </w:p>
    <w:p>
      <w:pPr>
        <w:spacing w:after="0" w:line="83" w:lineRule="exact"/>
        <w:rPr>
          <w:sz w:val="20"/>
          <w:szCs w:val="20"/>
          <w:color w:val="auto"/>
        </w:rPr>
      </w:pPr>
    </w:p>
    <w:p>
      <w:pPr>
        <w:ind w:left="520" w:right="140"/>
        <w:spacing w:after="0" w:line="235" w:lineRule="auto"/>
        <w:rPr>
          <w:sz w:val="20"/>
          <w:szCs w:val="20"/>
          <w:color w:val="auto"/>
        </w:rPr>
      </w:pPr>
      <w:r>
        <w:rPr>
          <w:rFonts w:ascii="Calibri" w:cs="Calibri" w:eastAsia="Calibri" w:hAnsi="Calibri"/>
          <w:sz w:val="18"/>
          <w:szCs w:val="18"/>
          <w:i w:val="1"/>
          <w:iCs w:val="1"/>
          <w:color w:val="auto"/>
        </w:rPr>
        <w:t>Expected Dividend</w:t>
      </w:r>
      <w:r>
        <w:rPr>
          <w:rFonts w:ascii="Calibri" w:cs="Calibri" w:eastAsia="Calibri" w:hAnsi="Calibri"/>
          <w:sz w:val="18"/>
          <w:szCs w:val="18"/>
          <w:color w:val="auto"/>
        </w:rPr>
        <w:t>—The Company has never paid dividends on its common stock and has no plans to pay dividends on its common stock. Therefore,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the Company used an expected dividend yield of zero.</w:t>
      </w:r>
    </w:p>
    <w:p>
      <w:pPr>
        <w:spacing w:after="0" w:line="78"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Strike price for optons awards and PSOs is equal to the closing market value of our common stock on the date of grant.</w:t>
      </w:r>
    </w:p>
    <w:p>
      <w:pPr>
        <w:spacing w:after="0" w:line="82" w:lineRule="exact"/>
        <w:rPr>
          <w:sz w:val="20"/>
          <w:szCs w:val="20"/>
          <w:color w:val="auto"/>
        </w:rPr>
      </w:pPr>
    </w:p>
    <w:p>
      <w:pPr>
        <w:ind w:right="560" w:firstLine="509"/>
        <w:spacing w:after="0" w:line="235" w:lineRule="auto"/>
        <w:rPr>
          <w:sz w:val="20"/>
          <w:szCs w:val="20"/>
          <w:color w:val="auto"/>
        </w:rPr>
      </w:pPr>
      <w:r>
        <w:rPr>
          <w:rFonts w:ascii="Calibri" w:cs="Calibri" w:eastAsia="Calibri" w:hAnsi="Calibri"/>
          <w:sz w:val="18"/>
          <w:szCs w:val="18"/>
          <w:color w:val="auto"/>
        </w:rPr>
        <w:t>The fair value of stock opton awards granted was estmated at the date of grant using a Black-Scholes opton-pricing model with the following weighted-average assumptons:</w:t>
      </w:r>
    </w:p>
    <w:p>
      <w:pPr>
        <w:spacing w:after="0" w:line="105"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4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160" w:type="dxa"/>
            <w:vAlign w:val="bottom"/>
            <w:gridSpan w:val="5"/>
          </w:tcPr>
          <w:p>
            <w:pPr>
              <w:ind w:left="140"/>
              <w:spacing w:after="0"/>
              <w:rPr>
                <w:sz w:val="20"/>
                <w:szCs w:val="20"/>
                <w:color w:val="auto"/>
              </w:rPr>
            </w:pPr>
            <w:r>
              <w:rPr>
                <w:rFonts w:ascii="Calibri" w:cs="Calibri" w:eastAsia="Calibri" w:hAnsi="Calibri"/>
                <w:sz w:val="18"/>
                <w:szCs w:val="18"/>
                <w:b w:val="1"/>
                <w:bCs w:val="1"/>
                <w:color w:val="auto"/>
              </w:rPr>
              <w:t>Year Ended December 31,</w:t>
            </w:r>
          </w:p>
        </w:tc>
        <w:tc>
          <w:tcPr>
            <w:tcW w:w="940" w:type="dxa"/>
            <w:vAlign w:val="bottom"/>
          </w:tcPr>
          <w:p>
            <w:pPr>
              <w:spacing w:after="0"/>
              <w:rPr>
                <w:sz w:val="19"/>
                <w:szCs w:val="19"/>
                <w:color w:val="auto"/>
              </w:rPr>
            </w:pPr>
          </w:p>
        </w:tc>
      </w:tr>
      <w:tr>
        <w:trPr>
          <w:trHeight w:val="23"/>
        </w:trPr>
        <w:tc>
          <w:tcPr>
            <w:tcW w:w="49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3"/>
        </w:trPr>
        <w:tc>
          <w:tcPr>
            <w:tcW w:w="4940" w:type="dxa"/>
            <w:vAlign w:val="bottom"/>
          </w:tcPr>
          <w:p>
            <w:pPr>
              <w:spacing w:after="0"/>
              <w:rPr>
                <w:sz w:val="18"/>
                <w:szCs w:val="18"/>
                <w:color w:val="auto"/>
              </w:rPr>
            </w:pPr>
          </w:p>
        </w:tc>
        <w:tc>
          <w:tcPr>
            <w:tcW w:w="940" w:type="dxa"/>
            <w:vAlign w:val="bottom"/>
          </w:tcPr>
          <w:p>
            <w:pPr>
              <w:jc w:val="center"/>
              <w:ind w:left="210"/>
              <w:spacing w:after="0" w:line="213" w:lineRule="exact"/>
              <w:rPr>
                <w:sz w:val="20"/>
                <w:szCs w:val="20"/>
                <w:color w:val="auto"/>
              </w:rPr>
            </w:pPr>
            <w:r>
              <w:rPr>
                <w:rFonts w:ascii="Calibri" w:cs="Calibri" w:eastAsia="Calibri" w:hAnsi="Calibri"/>
                <w:sz w:val="18"/>
                <w:szCs w:val="18"/>
                <w:b w:val="1"/>
                <w:bCs w:val="1"/>
                <w:color w:val="auto"/>
                <w:w w:val="98"/>
              </w:rPr>
              <w:t>2024</w:t>
            </w:r>
          </w:p>
        </w:tc>
        <w:tc>
          <w:tcPr>
            <w:tcW w:w="1700" w:type="dxa"/>
            <w:vAlign w:val="bottom"/>
            <w:gridSpan w:val="3"/>
          </w:tcPr>
          <w:p>
            <w:pPr>
              <w:jc w:val="center"/>
              <w:ind w:left="370"/>
              <w:spacing w:after="0" w:line="213" w:lineRule="exact"/>
              <w:rPr>
                <w:sz w:val="20"/>
                <w:szCs w:val="20"/>
                <w:color w:val="auto"/>
              </w:rPr>
            </w:pPr>
            <w:r>
              <w:rPr>
                <w:rFonts w:ascii="Calibri" w:cs="Calibri" w:eastAsia="Calibri" w:hAnsi="Calibri"/>
                <w:sz w:val="18"/>
                <w:szCs w:val="18"/>
                <w:b w:val="1"/>
                <w:bCs w:val="1"/>
                <w:color w:val="auto"/>
                <w:w w:val="98"/>
              </w:rPr>
              <w:t>2023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center"/>
              <w:ind w:right="210"/>
              <w:spacing w:after="0" w:line="213" w:lineRule="exact"/>
              <w:rPr>
                <w:sz w:val="20"/>
                <w:szCs w:val="20"/>
                <w:color w:val="auto"/>
              </w:rPr>
            </w:pPr>
            <w:r>
              <w:rPr>
                <w:rFonts w:ascii="Calibri" w:cs="Calibri" w:eastAsia="Calibri" w:hAnsi="Calibri"/>
                <w:sz w:val="18"/>
                <w:szCs w:val="18"/>
                <w:b w:val="1"/>
                <w:bCs w:val="1"/>
                <w:color w:val="auto"/>
                <w:w w:val="98"/>
              </w:rPr>
              <w:t>2022</w:t>
            </w:r>
          </w:p>
        </w:tc>
      </w:tr>
      <w:tr>
        <w:trPr>
          <w:trHeight w:val="23"/>
        </w:trPr>
        <w:tc>
          <w:tcPr>
            <w:tcW w:w="49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0"/>
        </w:trPr>
        <w:tc>
          <w:tcPr>
            <w:tcW w:w="4940" w:type="dxa"/>
            <w:vAlign w:val="bottom"/>
            <w:shd w:val="clear" w:color="auto" w:fill="CCECFF"/>
          </w:tcPr>
          <w:p>
            <w:pPr>
              <w:spacing w:after="0" w:line="209" w:lineRule="exact"/>
              <w:rPr>
                <w:sz w:val="20"/>
                <w:szCs w:val="20"/>
                <w:color w:val="auto"/>
              </w:rPr>
            </w:pPr>
            <w:r>
              <w:rPr>
                <w:rFonts w:ascii="Calibri" w:cs="Calibri" w:eastAsia="Calibri" w:hAnsi="Calibri"/>
                <w:sz w:val="18"/>
                <w:szCs w:val="18"/>
                <w:color w:val="auto"/>
              </w:rPr>
              <w:t>Expected term (years)</w:t>
            </w:r>
          </w:p>
        </w:tc>
        <w:tc>
          <w:tcPr>
            <w:tcW w:w="940" w:type="dxa"/>
            <w:vAlign w:val="bottom"/>
            <w:shd w:val="clear" w:color="auto" w:fill="CCECFF"/>
          </w:tcPr>
          <w:p>
            <w:pPr>
              <w:jc w:val="center"/>
              <w:ind w:left="190"/>
              <w:spacing w:after="0" w:line="209" w:lineRule="exact"/>
              <w:rPr>
                <w:sz w:val="20"/>
                <w:szCs w:val="20"/>
                <w:color w:val="auto"/>
              </w:rPr>
            </w:pPr>
            <w:r>
              <w:rPr>
                <w:rFonts w:ascii="Calibri" w:cs="Calibri" w:eastAsia="Calibri" w:hAnsi="Calibri"/>
                <w:sz w:val="18"/>
                <w:szCs w:val="18"/>
                <w:color w:val="auto"/>
              </w:rPr>
              <w:t>6</w:t>
            </w:r>
          </w:p>
        </w:tc>
        <w:tc>
          <w:tcPr>
            <w:tcW w:w="1700" w:type="dxa"/>
            <w:vAlign w:val="bottom"/>
            <w:gridSpan w:val="3"/>
            <w:shd w:val="clear" w:color="auto" w:fill="CCECFF"/>
          </w:tcPr>
          <w:p>
            <w:pPr>
              <w:jc w:val="center"/>
              <w:ind w:left="370"/>
              <w:spacing w:after="0" w:line="209" w:lineRule="exact"/>
              <w:rPr>
                <w:sz w:val="20"/>
                <w:szCs w:val="20"/>
                <w:color w:val="auto"/>
              </w:rPr>
            </w:pPr>
            <w:r>
              <w:rPr>
                <w:rFonts w:ascii="Calibri" w:cs="Calibri" w:eastAsia="Calibri" w:hAnsi="Calibri"/>
                <w:sz w:val="18"/>
                <w:szCs w:val="18"/>
                <w:color w:val="auto"/>
                <w:w w:val="87"/>
              </w:rPr>
              <w:t>6</w:t>
            </w:r>
          </w:p>
        </w:tc>
        <w:tc>
          <w:tcPr>
            <w:tcW w:w="18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940" w:type="dxa"/>
            <w:vAlign w:val="bottom"/>
            <w:shd w:val="clear" w:color="auto" w:fill="CCECFF"/>
          </w:tcPr>
          <w:p>
            <w:pPr>
              <w:jc w:val="center"/>
              <w:ind w:right="230"/>
              <w:spacing w:after="0" w:line="209" w:lineRule="exact"/>
              <w:rPr>
                <w:sz w:val="20"/>
                <w:szCs w:val="20"/>
                <w:color w:val="auto"/>
              </w:rPr>
            </w:pPr>
            <w:r>
              <w:rPr>
                <w:rFonts w:ascii="Calibri" w:cs="Calibri" w:eastAsia="Calibri" w:hAnsi="Calibri"/>
                <w:sz w:val="18"/>
                <w:szCs w:val="18"/>
                <w:color w:val="auto"/>
              </w:rPr>
              <w:t>6</w:t>
            </w:r>
          </w:p>
        </w:tc>
      </w:tr>
      <w:tr>
        <w:trPr>
          <w:trHeight w:val="215"/>
        </w:trPr>
        <w:tc>
          <w:tcPr>
            <w:tcW w:w="4940" w:type="dxa"/>
            <w:vAlign w:val="bottom"/>
          </w:tcPr>
          <w:p>
            <w:pPr>
              <w:spacing w:after="0" w:line="215" w:lineRule="exact"/>
              <w:rPr>
                <w:sz w:val="20"/>
                <w:szCs w:val="20"/>
                <w:color w:val="auto"/>
              </w:rPr>
            </w:pPr>
            <w:r>
              <w:rPr>
                <w:rFonts w:ascii="Calibri" w:cs="Calibri" w:eastAsia="Calibri" w:hAnsi="Calibri"/>
                <w:sz w:val="18"/>
                <w:szCs w:val="18"/>
                <w:color w:val="auto"/>
              </w:rPr>
              <w:t>Expected volatlity</w:t>
            </w:r>
          </w:p>
        </w:tc>
        <w:tc>
          <w:tcPr>
            <w:tcW w:w="940" w:type="dxa"/>
            <w:vAlign w:val="bottom"/>
          </w:tcPr>
          <w:p>
            <w:pPr>
              <w:jc w:val="center"/>
              <w:ind w:left="190"/>
              <w:spacing w:after="0" w:line="215" w:lineRule="exact"/>
              <w:rPr>
                <w:sz w:val="20"/>
                <w:szCs w:val="20"/>
                <w:color w:val="auto"/>
              </w:rPr>
            </w:pPr>
            <w:r>
              <w:rPr>
                <w:rFonts w:ascii="Calibri" w:cs="Calibri" w:eastAsia="Calibri" w:hAnsi="Calibri"/>
                <w:sz w:val="18"/>
                <w:szCs w:val="18"/>
                <w:color w:val="auto"/>
                <w:w w:val="96"/>
              </w:rPr>
              <w:t>55%</w:t>
            </w:r>
          </w:p>
        </w:tc>
        <w:tc>
          <w:tcPr>
            <w:tcW w:w="1700" w:type="dxa"/>
            <w:vAlign w:val="bottom"/>
            <w:gridSpan w:val="3"/>
          </w:tcPr>
          <w:p>
            <w:pPr>
              <w:jc w:val="center"/>
              <w:ind w:left="390"/>
              <w:spacing w:after="0" w:line="215" w:lineRule="exact"/>
              <w:rPr>
                <w:sz w:val="20"/>
                <w:szCs w:val="20"/>
                <w:color w:val="auto"/>
              </w:rPr>
            </w:pPr>
            <w:r>
              <w:rPr>
                <w:rFonts w:ascii="Calibri" w:cs="Calibri" w:eastAsia="Calibri" w:hAnsi="Calibri"/>
                <w:sz w:val="18"/>
                <w:szCs w:val="18"/>
                <w:color w:val="auto"/>
                <w:w w:val="96"/>
              </w:rPr>
              <w:t>55%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center"/>
              <w:ind w:right="230"/>
              <w:spacing w:after="0" w:line="215" w:lineRule="exact"/>
              <w:rPr>
                <w:sz w:val="20"/>
                <w:szCs w:val="20"/>
                <w:color w:val="auto"/>
              </w:rPr>
            </w:pPr>
            <w:r>
              <w:rPr>
                <w:rFonts w:ascii="Calibri" w:cs="Calibri" w:eastAsia="Calibri" w:hAnsi="Calibri"/>
                <w:sz w:val="18"/>
                <w:szCs w:val="18"/>
                <w:color w:val="auto"/>
                <w:w w:val="96"/>
              </w:rPr>
              <w:t>56%</w:t>
            </w:r>
          </w:p>
        </w:tc>
      </w:tr>
      <w:tr>
        <w:trPr>
          <w:trHeight w:val="217"/>
        </w:trPr>
        <w:tc>
          <w:tcPr>
            <w:tcW w:w="4940" w:type="dxa"/>
            <w:vAlign w:val="bottom"/>
            <w:shd w:val="clear" w:color="auto" w:fill="CCECFF"/>
          </w:tcPr>
          <w:p>
            <w:pPr>
              <w:spacing w:after="0" w:line="216" w:lineRule="exact"/>
              <w:rPr>
                <w:sz w:val="20"/>
                <w:szCs w:val="20"/>
                <w:color w:val="auto"/>
              </w:rPr>
            </w:pPr>
            <w:r>
              <w:rPr>
                <w:rFonts w:ascii="Calibri" w:cs="Calibri" w:eastAsia="Calibri" w:hAnsi="Calibri"/>
                <w:sz w:val="18"/>
                <w:szCs w:val="18"/>
                <w:color w:val="auto"/>
              </w:rPr>
              <w:t>Risk-free interest rate</w:t>
            </w:r>
          </w:p>
        </w:tc>
        <w:tc>
          <w:tcPr>
            <w:tcW w:w="940" w:type="dxa"/>
            <w:vAlign w:val="bottom"/>
            <w:shd w:val="clear" w:color="auto" w:fill="CCECFF"/>
          </w:tcPr>
          <w:p>
            <w:pPr>
              <w:jc w:val="center"/>
              <w:ind w:left="190"/>
              <w:spacing w:after="0" w:line="216" w:lineRule="exact"/>
              <w:rPr>
                <w:sz w:val="20"/>
                <w:szCs w:val="20"/>
                <w:color w:val="auto"/>
              </w:rPr>
            </w:pPr>
            <w:r>
              <w:rPr>
                <w:rFonts w:ascii="Calibri" w:cs="Calibri" w:eastAsia="Calibri" w:hAnsi="Calibri"/>
                <w:sz w:val="18"/>
                <w:szCs w:val="18"/>
                <w:color w:val="auto"/>
                <w:w w:val="95"/>
              </w:rPr>
              <w:t>4.2%</w:t>
            </w:r>
          </w:p>
        </w:tc>
        <w:tc>
          <w:tcPr>
            <w:tcW w:w="1700" w:type="dxa"/>
            <w:vAlign w:val="bottom"/>
            <w:gridSpan w:val="3"/>
            <w:shd w:val="clear" w:color="auto" w:fill="CCECFF"/>
          </w:tcPr>
          <w:p>
            <w:pPr>
              <w:jc w:val="center"/>
              <w:ind w:left="370"/>
              <w:spacing w:after="0" w:line="216" w:lineRule="exact"/>
              <w:rPr>
                <w:sz w:val="20"/>
                <w:szCs w:val="20"/>
                <w:color w:val="auto"/>
              </w:rPr>
            </w:pPr>
            <w:r>
              <w:rPr>
                <w:rFonts w:ascii="Calibri" w:cs="Calibri" w:eastAsia="Calibri" w:hAnsi="Calibri"/>
                <w:sz w:val="18"/>
                <w:szCs w:val="18"/>
                <w:color w:val="auto"/>
              </w:rPr>
              <w:t>4.2%</w:t>
            </w:r>
          </w:p>
        </w:tc>
        <w:tc>
          <w:tcPr>
            <w:tcW w:w="18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940" w:type="dxa"/>
            <w:vAlign w:val="bottom"/>
            <w:shd w:val="clear" w:color="auto" w:fill="CCECFF"/>
          </w:tcPr>
          <w:p>
            <w:pPr>
              <w:jc w:val="center"/>
              <w:ind w:right="230"/>
              <w:spacing w:after="0" w:line="216" w:lineRule="exact"/>
              <w:rPr>
                <w:sz w:val="20"/>
                <w:szCs w:val="20"/>
                <w:color w:val="auto"/>
              </w:rPr>
            </w:pPr>
            <w:r>
              <w:rPr>
                <w:rFonts w:ascii="Calibri" w:cs="Calibri" w:eastAsia="Calibri" w:hAnsi="Calibri"/>
                <w:sz w:val="18"/>
                <w:szCs w:val="18"/>
                <w:color w:val="auto"/>
                <w:w w:val="95"/>
              </w:rPr>
              <w:t>2.0%</w:t>
            </w:r>
          </w:p>
        </w:tc>
      </w:tr>
      <w:tr>
        <w:trPr>
          <w:trHeight w:val="215"/>
        </w:trPr>
        <w:tc>
          <w:tcPr>
            <w:tcW w:w="4940" w:type="dxa"/>
            <w:vAlign w:val="bottom"/>
          </w:tcPr>
          <w:p>
            <w:pPr>
              <w:spacing w:after="0" w:line="215" w:lineRule="exact"/>
              <w:rPr>
                <w:sz w:val="20"/>
                <w:szCs w:val="20"/>
                <w:color w:val="auto"/>
              </w:rPr>
            </w:pPr>
            <w:r>
              <w:rPr>
                <w:rFonts w:ascii="Calibri" w:cs="Calibri" w:eastAsia="Calibri" w:hAnsi="Calibri"/>
                <w:sz w:val="18"/>
                <w:szCs w:val="18"/>
                <w:color w:val="auto"/>
              </w:rPr>
              <w:t>Expected dividend rate</w:t>
            </w:r>
          </w:p>
        </w:tc>
        <w:tc>
          <w:tcPr>
            <w:tcW w:w="940" w:type="dxa"/>
            <w:vAlign w:val="bottom"/>
          </w:tcPr>
          <w:p>
            <w:pPr>
              <w:jc w:val="center"/>
              <w:ind w:left="190"/>
              <w:spacing w:after="0" w:line="215" w:lineRule="exact"/>
              <w:rPr>
                <w:sz w:val="20"/>
                <w:szCs w:val="20"/>
                <w:color w:val="auto"/>
              </w:rPr>
            </w:pPr>
            <w:r>
              <w:rPr>
                <w:rFonts w:ascii="Calibri" w:cs="Calibri" w:eastAsia="Calibri" w:hAnsi="Calibri"/>
                <w:sz w:val="18"/>
                <w:szCs w:val="18"/>
                <w:color w:val="auto"/>
                <w:w w:val="95"/>
              </w:rPr>
              <w:t>0.0%</w:t>
            </w:r>
          </w:p>
        </w:tc>
        <w:tc>
          <w:tcPr>
            <w:tcW w:w="1700" w:type="dxa"/>
            <w:vAlign w:val="bottom"/>
            <w:gridSpan w:val="3"/>
          </w:tcPr>
          <w:p>
            <w:pPr>
              <w:jc w:val="center"/>
              <w:ind w:left="370"/>
              <w:spacing w:after="0" w:line="215" w:lineRule="exact"/>
              <w:rPr>
                <w:sz w:val="20"/>
                <w:szCs w:val="20"/>
                <w:color w:val="auto"/>
              </w:rPr>
            </w:pPr>
            <w:r>
              <w:rPr>
                <w:rFonts w:ascii="Calibri" w:cs="Calibri" w:eastAsia="Calibri" w:hAnsi="Calibri"/>
                <w:sz w:val="18"/>
                <w:szCs w:val="18"/>
                <w:color w:val="auto"/>
              </w:rPr>
              <w:t>0.0%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center"/>
              <w:ind w:right="230"/>
              <w:spacing w:after="0" w:line="215" w:lineRule="exact"/>
              <w:rPr>
                <w:sz w:val="20"/>
                <w:szCs w:val="20"/>
                <w:color w:val="auto"/>
              </w:rPr>
            </w:pPr>
            <w:r>
              <w:rPr>
                <w:rFonts w:ascii="Calibri" w:cs="Calibri" w:eastAsia="Calibri" w:hAnsi="Calibri"/>
                <w:sz w:val="18"/>
                <w:szCs w:val="18"/>
                <w:color w:val="auto"/>
                <w:w w:val="95"/>
              </w:rPr>
              <w:t>0.0%</w:t>
            </w:r>
          </w:p>
        </w:tc>
      </w:tr>
    </w:tbl>
    <w:p>
      <w:pPr>
        <w:spacing w:after="0" w:line="60" w:lineRule="exact"/>
        <w:rPr>
          <w:sz w:val="20"/>
          <w:szCs w:val="20"/>
          <w:color w:val="auto"/>
        </w:rPr>
      </w:pPr>
    </w:p>
    <w:p>
      <w:pPr>
        <w:ind w:right="320" w:firstLine="509"/>
        <w:spacing w:after="0" w:line="235" w:lineRule="auto"/>
        <w:rPr>
          <w:sz w:val="20"/>
          <w:szCs w:val="20"/>
          <w:color w:val="auto"/>
        </w:rPr>
      </w:pPr>
      <w:r>
        <w:rPr>
          <w:rFonts w:ascii="Calibri" w:cs="Calibri" w:eastAsia="Calibri" w:hAnsi="Calibri"/>
          <w:sz w:val="18"/>
          <w:szCs w:val="18"/>
          <w:color w:val="auto"/>
        </w:rPr>
        <w:t>The fair value of PSOs granted was estmated at the date of grant using a Black-Scholes opton-pricing model with the following weighted-average assumptons:</w:t>
      </w:r>
    </w:p>
    <w:p>
      <w:pPr>
        <w:spacing w:after="0" w:line="78" w:lineRule="exact"/>
        <w:rPr>
          <w:sz w:val="20"/>
          <w:szCs w:val="20"/>
          <w:color w:val="auto"/>
        </w:rPr>
      </w:pPr>
    </w:p>
    <w:tbl>
      <w:tblPr>
        <w:tblLayout w:type="fixed"/>
        <w:tblInd w:w="1700" w:type="dxa"/>
        <w:tblCellMar>
          <w:top w:w="0" w:type="dxa"/>
          <w:left w:w="0" w:type="dxa"/>
          <w:bottom w:w="0" w:type="dxa"/>
          <w:right w:w="0" w:type="dxa"/>
        </w:tblCellMar>
      </w:tblPr>
      <w:tr>
        <w:trPr>
          <w:trHeight w:val="220"/>
        </w:trPr>
        <w:tc>
          <w:tcPr>
            <w:tcW w:w="628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Calibri" w:cs="Calibri" w:eastAsia="Calibri" w:hAnsi="Calibri"/>
                <w:sz w:val="18"/>
                <w:szCs w:val="18"/>
                <w:b w:val="1"/>
                <w:bCs w:val="1"/>
                <w:color w:val="auto"/>
                <w:w w:val="99"/>
              </w:rPr>
              <w:t>Year Ended</w:t>
            </w:r>
          </w:p>
        </w:tc>
      </w:tr>
      <w:tr>
        <w:trPr>
          <w:trHeight w:val="216"/>
        </w:trPr>
        <w:tc>
          <w:tcPr>
            <w:tcW w:w="6280" w:type="dxa"/>
            <w:vAlign w:val="bottom"/>
          </w:tcPr>
          <w:p>
            <w:pPr>
              <w:spacing w:after="0"/>
              <w:rPr>
                <w:sz w:val="18"/>
                <w:szCs w:val="18"/>
                <w:color w:val="auto"/>
              </w:rPr>
            </w:pPr>
          </w:p>
        </w:tc>
        <w:tc>
          <w:tcPr>
            <w:tcW w:w="158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6"/>
              </w:rPr>
              <w:t>December 31,</w:t>
            </w:r>
          </w:p>
        </w:tc>
      </w:tr>
      <w:tr>
        <w:trPr>
          <w:trHeight w:val="216"/>
        </w:trPr>
        <w:tc>
          <w:tcPr>
            <w:tcW w:w="6280" w:type="dxa"/>
            <w:vAlign w:val="bottom"/>
          </w:tcPr>
          <w:p>
            <w:pPr>
              <w:spacing w:after="0"/>
              <w:rPr>
                <w:sz w:val="18"/>
                <w:szCs w:val="18"/>
                <w:color w:val="auto"/>
              </w:rPr>
            </w:pPr>
          </w:p>
        </w:tc>
        <w:tc>
          <w:tcPr>
            <w:tcW w:w="158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2022</w:t>
            </w:r>
          </w:p>
        </w:tc>
      </w:tr>
      <w:tr>
        <w:trPr>
          <w:trHeight w:val="23"/>
        </w:trPr>
        <w:tc>
          <w:tcPr>
            <w:tcW w:w="62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0"/>
        </w:trPr>
        <w:tc>
          <w:tcPr>
            <w:tcW w:w="6280" w:type="dxa"/>
            <w:vAlign w:val="bottom"/>
            <w:shd w:val="clear" w:color="auto" w:fill="CCECFF"/>
          </w:tcPr>
          <w:p>
            <w:pPr>
              <w:spacing w:after="0" w:line="209" w:lineRule="exact"/>
              <w:rPr>
                <w:sz w:val="20"/>
                <w:szCs w:val="20"/>
                <w:color w:val="auto"/>
              </w:rPr>
            </w:pPr>
            <w:r>
              <w:rPr>
                <w:rFonts w:ascii="Calibri" w:cs="Calibri" w:eastAsia="Calibri" w:hAnsi="Calibri"/>
                <w:sz w:val="18"/>
                <w:szCs w:val="18"/>
                <w:color w:val="auto"/>
              </w:rPr>
              <w:t>Expected term in years</w:t>
            </w:r>
          </w:p>
        </w:tc>
        <w:tc>
          <w:tcPr>
            <w:tcW w:w="1580" w:type="dxa"/>
            <w:vAlign w:val="bottom"/>
            <w:shd w:val="clear" w:color="auto" w:fill="CCECFF"/>
          </w:tcPr>
          <w:p>
            <w:pPr>
              <w:jc w:val="center"/>
              <w:spacing w:after="0" w:line="209" w:lineRule="exact"/>
              <w:rPr>
                <w:sz w:val="20"/>
                <w:szCs w:val="20"/>
                <w:color w:val="auto"/>
              </w:rPr>
            </w:pPr>
            <w:r>
              <w:rPr>
                <w:rFonts w:ascii="Calibri" w:cs="Calibri" w:eastAsia="Calibri" w:hAnsi="Calibri"/>
                <w:sz w:val="18"/>
                <w:szCs w:val="18"/>
                <w:color w:val="auto"/>
                <w:w w:val="87"/>
              </w:rPr>
              <w:t>4</w:t>
            </w:r>
          </w:p>
        </w:tc>
      </w:tr>
      <w:tr>
        <w:trPr>
          <w:trHeight w:val="215"/>
        </w:trPr>
        <w:tc>
          <w:tcPr>
            <w:tcW w:w="6280" w:type="dxa"/>
            <w:vAlign w:val="bottom"/>
          </w:tcPr>
          <w:p>
            <w:pPr>
              <w:spacing w:after="0" w:line="215" w:lineRule="exact"/>
              <w:rPr>
                <w:sz w:val="20"/>
                <w:szCs w:val="20"/>
                <w:color w:val="auto"/>
              </w:rPr>
            </w:pPr>
            <w:r>
              <w:rPr>
                <w:rFonts w:ascii="Calibri" w:cs="Calibri" w:eastAsia="Calibri" w:hAnsi="Calibri"/>
                <w:sz w:val="18"/>
                <w:szCs w:val="18"/>
                <w:color w:val="auto"/>
              </w:rPr>
              <w:t>Expected volatlity</w:t>
            </w:r>
          </w:p>
        </w:tc>
        <w:tc>
          <w:tcPr>
            <w:tcW w:w="1580" w:type="dxa"/>
            <w:vAlign w:val="bottom"/>
          </w:tcPr>
          <w:p>
            <w:pPr>
              <w:jc w:val="center"/>
              <w:spacing w:after="0" w:line="215" w:lineRule="exact"/>
              <w:rPr>
                <w:sz w:val="20"/>
                <w:szCs w:val="20"/>
                <w:color w:val="auto"/>
              </w:rPr>
            </w:pPr>
            <w:r>
              <w:rPr>
                <w:rFonts w:ascii="Calibri" w:cs="Calibri" w:eastAsia="Calibri" w:hAnsi="Calibri"/>
                <w:sz w:val="18"/>
                <w:szCs w:val="18"/>
                <w:color w:val="auto"/>
              </w:rPr>
              <w:t>57%</w:t>
            </w:r>
          </w:p>
        </w:tc>
      </w:tr>
      <w:tr>
        <w:trPr>
          <w:trHeight w:val="217"/>
        </w:trPr>
        <w:tc>
          <w:tcPr>
            <w:tcW w:w="6280" w:type="dxa"/>
            <w:vAlign w:val="bottom"/>
            <w:shd w:val="clear" w:color="auto" w:fill="CCECFF"/>
          </w:tcPr>
          <w:p>
            <w:pPr>
              <w:spacing w:after="0" w:line="216" w:lineRule="exact"/>
              <w:rPr>
                <w:sz w:val="20"/>
                <w:szCs w:val="20"/>
                <w:color w:val="auto"/>
              </w:rPr>
            </w:pPr>
            <w:r>
              <w:rPr>
                <w:rFonts w:ascii="Calibri" w:cs="Calibri" w:eastAsia="Calibri" w:hAnsi="Calibri"/>
                <w:sz w:val="18"/>
                <w:szCs w:val="18"/>
                <w:color w:val="auto"/>
              </w:rPr>
              <w:t>Risk-free interest rate</w:t>
            </w:r>
          </w:p>
        </w:tc>
        <w:tc>
          <w:tcPr>
            <w:tcW w:w="1580" w:type="dxa"/>
            <w:vAlign w:val="bottom"/>
            <w:shd w:val="clear" w:color="auto" w:fill="CCECFF"/>
          </w:tcPr>
          <w:p>
            <w:pPr>
              <w:jc w:val="center"/>
              <w:spacing w:after="0" w:line="216" w:lineRule="exact"/>
              <w:rPr>
                <w:sz w:val="20"/>
                <w:szCs w:val="20"/>
                <w:color w:val="auto"/>
              </w:rPr>
            </w:pPr>
            <w:r>
              <w:rPr>
                <w:rFonts w:ascii="Calibri" w:cs="Calibri" w:eastAsia="Calibri" w:hAnsi="Calibri"/>
                <w:sz w:val="18"/>
                <w:szCs w:val="18"/>
                <w:color w:val="auto"/>
              </w:rPr>
              <w:t>1.5%</w:t>
            </w:r>
          </w:p>
        </w:tc>
      </w:tr>
      <w:tr>
        <w:trPr>
          <w:trHeight w:val="215"/>
        </w:trPr>
        <w:tc>
          <w:tcPr>
            <w:tcW w:w="6280" w:type="dxa"/>
            <w:vAlign w:val="bottom"/>
          </w:tcPr>
          <w:p>
            <w:pPr>
              <w:spacing w:after="0" w:line="215" w:lineRule="exact"/>
              <w:rPr>
                <w:sz w:val="20"/>
                <w:szCs w:val="20"/>
                <w:color w:val="auto"/>
              </w:rPr>
            </w:pPr>
            <w:r>
              <w:rPr>
                <w:rFonts w:ascii="Calibri" w:cs="Calibri" w:eastAsia="Calibri" w:hAnsi="Calibri"/>
                <w:sz w:val="18"/>
                <w:szCs w:val="18"/>
                <w:color w:val="auto"/>
              </w:rPr>
              <w:t>Expected dividend rate</w:t>
            </w:r>
          </w:p>
        </w:tc>
        <w:tc>
          <w:tcPr>
            <w:tcW w:w="1580" w:type="dxa"/>
            <w:vAlign w:val="bottom"/>
          </w:tcPr>
          <w:p>
            <w:pPr>
              <w:jc w:val="center"/>
              <w:spacing w:after="0" w:line="215" w:lineRule="exact"/>
              <w:rPr>
                <w:sz w:val="20"/>
                <w:szCs w:val="20"/>
                <w:color w:val="auto"/>
              </w:rPr>
            </w:pPr>
            <w:r>
              <w:rPr>
                <w:rFonts w:ascii="Calibri" w:cs="Calibri" w:eastAsia="Calibri" w:hAnsi="Calibri"/>
                <w:sz w:val="18"/>
                <w:szCs w:val="18"/>
                <w:color w:val="auto"/>
              </w:rPr>
              <w:t>0.0%</w:t>
            </w:r>
          </w:p>
        </w:tc>
      </w:tr>
    </w:tbl>
    <w:p>
      <w:pPr>
        <w:spacing w:after="0" w:line="230" w:lineRule="exact"/>
        <w:rPr>
          <w:sz w:val="20"/>
          <w:szCs w:val="20"/>
          <w:color w:val="auto"/>
        </w:rPr>
      </w:pPr>
    </w:p>
    <w:p>
      <w:pPr>
        <w:ind w:left="520" w:hanging="512"/>
        <w:spacing w:after="0"/>
        <w:tabs>
          <w:tab w:leader="none" w:pos="520" w:val="left"/>
        </w:tabs>
        <w:numPr>
          <w:ilvl w:val="0"/>
          <w:numId w:val="54"/>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Defned Contributon Plan</w:t>
      </w:r>
    </w:p>
    <w:p>
      <w:pPr>
        <w:spacing w:after="0" w:line="82" w:lineRule="exact"/>
        <w:rPr>
          <w:sz w:val="20"/>
          <w:szCs w:val="20"/>
          <w:color w:val="auto"/>
        </w:rPr>
      </w:pPr>
    </w:p>
    <w:p>
      <w:pPr>
        <w:ind w:firstLine="509"/>
        <w:spacing w:after="0" w:line="249" w:lineRule="auto"/>
        <w:rPr>
          <w:sz w:val="20"/>
          <w:szCs w:val="20"/>
          <w:color w:val="auto"/>
        </w:rPr>
      </w:pPr>
      <w:r>
        <w:rPr>
          <w:rFonts w:ascii="Calibri" w:cs="Calibri" w:eastAsia="Calibri" w:hAnsi="Calibri"/>
          <w:sz w:val="17"/>
          <w:szCs w:val="17"/>
          <w:color w:val="auto"/>
        </w:rPr>
        <w:t>The Company sponsors a retrement plan in which substantally all of its full-tme employees in the U.S. and certain other foreign countries are eligible to partcipate. Eligible partcipants may contribute a percentage of their annual compensaton to this plan, subject to statutory limitatons. The Company recorded $9.8 million, $9.7 million, and $9.0 million as expense related to the plan for the years ended December 31, 2024, 2023, and 2022, respectvely.</w:t>
      </w:r>
    </w:p>
    <w:p>
      <w:pPr>
        <w:jc w:val="center"/>
        <w:ind w:right="-39"/>
        <w:spacing w:after="0" w:line="237" w:lineRule="auto"/>
        <w:rPr>
          <w:sz w:val="20"/>
          <w:szCs w:val="20"/>
          <w:color w:val="auto"/>
        </w:rPr>
      </w:pPr>
      <w:r>
        <w:rPr>
          <w:rFonts w:ascii="Calibri" w:cs="Calibri" w:eastAsia="Calibri" w:hAnsi="Calibri"/>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6" w:name="page127"/>
    <w:bookmarkEnd w:id="126"/>
    <w:p>
      <w:pPr>
        <w:ind w:left="384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9" w:lineRule="exact"/>
        <w:rPr>
          <w:sz w:val="20"/>
          <w:szCs w:val="20"/>
          <w:color w:val="auto"/>
        </w:rPr>
      </w:pPr>
    </w:p>
    <w:p>
      <w:pPr>
        <w:ind w:left="520" w:hanging="512"/>
        <w:spacing w:after="0"/>
        <w:tabs>
          <w:tab w:leader="none" w:pos="520" w:val="left"/>
        </w:tabs>
        <w:numPr>
          <w:ilvl w:val="0"/>
          <w:numId w:val="55"/>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Income Taxes</w:t>
      </w:r>
    </w:p>
    <w:p>
      <w:pPr>
        <w:spacing w:after="0" w:line="77" w:lineRule="exact"/>
        <w:rPr>
          <w:rFonts w:ascii="Calibri" w:cs="Calibri" w:eastAsia="Calibri" w:hAnsi="Calibri"/>
          <w:sz w:val="18"/>
          <w:szCs w:val="18"/>
          <w:b w:val="1"/>
          <w:bCs w:val="1"/>
          <w:color w:val="auto"/>
        </w:rPr>
      </w:pPr>
    </w:p>
    <w:p>
      <w:pPr>
        <w:ind w:left="520"/>
        <w:spacing w:after="0"/>
        <w:rPr>
          <w:rFonts w:ascii="Calibri" w:cs="Calibri" w:eastAsia="Calibri" w:hAnsi="Calibri"/>
          <w:sz w:val="18"/>
          <w:szCs w:val="18"/>
          <w:b w:val="1"/>
          <w:bCs w:val="1"/>
          <w:color w:val="auto"/>
        </w:rPr>
      </w:pPr>
      <w:r>
        <w:rPr>
          <w:rFonts w:ascii="Calibri" w:cs="Calibri" w:eastAsia="Calibri" w:hAnsi="Calibri"/>
          <w:sz w:val="18"/>
          <w:szCs w:val="18"/>
          <w:color w:val="auto"/>
        </w:rPr>
        <w:t>The components of the Company’s loss (income) before income taxes were as follows (in thousands):</w:t>
      </w:r>
    </w:p>
    <w:p>
      <w:pPr>
        <w:spacing w:after="0" w:line="118" w:lineRule="exact"/>
        <w:rPr>
          <w:sz w:val="20"/>
          <w:szCs w:val="20"/>
          <w:color w:val="auto"/>
        </w:rPr>
      </w:pPr>
    </w:p>
    <w:tbl>
      <w:tblPr>
        <w:tblLayout w:type="fixed"/>
        <w:tblInd w:w="520" w:type="dxa"/>
        <w:tblCellMar>
          <w:top w:w="0" w:type="dxa"/>
          <w:left w:w="0" w:type="dxa"/>
          <w:bottom w:w="0" w:type="dxa"/>
          <w:right w:w="0" w:type="dxa"/>
        </w:tblCellMar>
      </w:tblPr>
      <w:tr>
        <w:trPr>
          <w:trHeight w:val="220"/>
        </w:trPr>
        <w:tc>
          <w:tcPr>
            <w:tcW w:w="6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60" w:type="dxa"/>
            <w:vAlign w:val="bottom"/>
            <w:gridSpan w:val="10"/>
          </w:tcPr>
          <w:p>
            <w:pPr>
              <w:jc w:val="right"/>
              <w:spacing w:after="0"/>
              <w:rPr>
                <w:sz w:val="20"/>
                <w:szCs w:val="20"/>
                <w:color w:val="auto"/>
              </w:rPr>
            </w:pPr>
            <w:r>
              <w:rPr>
                <w:rFonts w:ascii="Calibri" w:cs="Calibri" w:eastAsia="Calibri" w:hAnsi="Calibri"/>
                <w:sz w:val="18"/>
                <w:szCs w:val="18"/>
                <w:b w:val="1"/>
                <w:bCs w:val="1"/>
                <w:color w:val="auto"/>
              </w:rPr>
              <w:t>Year Ended December 31,</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
        </w:trPr>
        <w:tc>
          <w:tcPr>
            <w:tcW w:w="6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9"/>
        </w:trPr>
        <w:tc>
          <w:tcPr>
            <w:tcW w:w="6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0"/>
              <w:spacing w:after="0" w:line="209" w:lineRule="exact"/>
              <w:rPr>
                <w:sz w:val="20"/>
                <w:szCs w:val="20"/>
                <w:color w:val="auto"/>
              </w:rPr>
            </w:pPr>
            <w:r>
              <w:rPr>
                <w:rFonts w:ascii="Calibri" w:cs="Calibri" w:eastAsia="Calibri" w:hAnsi="Calibri"/>
                <w:sz w:val="18"/>
                <w:szCs w:val="18"/>
                <w:b w:val="1"/>
                <w:bCs w:val="1"/>
                <w:color w:val="auto"/>
              </w:rPr>
              <w:t>2024</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0"/>
              <w:spacing w:after="0" w:line="209" w:lineRule="exact"/>
              <w:rPr>
                <w:sz w:val="20"/>
                <w:szCs w:val="20"/>
                <w:color w:val="auto"/>
              </w:rPr>
            </w:pPr>
            <w:r>
              <w:rPr>
                <w:rFonts w:ascii="Calibri" w:cs="Calibri" w:eastAsia="Calibri" w:hAnsi="Calibri"/>
                <w:sz w:val="18"/>
                <w:szCs w:val="18"/>
                <w:b w:val="1"/>
                <w:bCs w:val="1"/>
                <w:color w:val="auto"/>
              </w:rPr>
              <w:t>2023</w:t>
            </w: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70"/>
              <w:spacing w:after="0" w:line="209" w:lineRule="exact"/>
              <w:rPr>
                <w:sz w:val="20"/>
                <w:szCs w:val="20"/>
                <w:color w:val="auto"/>
              </w:rPr>
            </w:pPr>
            <w:r>
              <w:rPr>
                <w:rFonts w:ascii="Calibri" w:cs="Calibri" w:eastAsia="Calibri" w:hAnsi="Calibri"/>
                <w:sz w:val="18"/>
                <w:szCs w:val="18"/>
                <w:b w:val="1"/>
                <w:bCs w:val="1"/>
                <w:color w:val="auto"/>
              </w:rPr>
              <w:t>2022</w:t>
            </w:r>
          </w:p>
        </w:tc>
        <w:tc>
          <w:tcPr>
            <w:tcW w:w="1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620" w:type="dxa"/>
            <w:vAlign w:val="bottom"/>
          </w:tcPr>
          <w:p>
            <w:pPr>
              <w:spacing w:after="0"/>
              <w:rPr>
                <w:sz w:val="18"/>
                <w:szCs w:val="18"/>
                <w:color w:val="auto"/>
              </w:rPr>
            </w:pPr>
          </w:p>
        </w:tc>
        <w:tc>
          <w:tcPr>
            <w:tcW w:w="4880" w:type="dxa"/>
            <w:vAlign w:val="bottom"/>
            <w:shd w:val="clear" w:color="auto" w:fill="CCECFF"/>
          </w:tcPr>
          <w:p>
            <w:pPr>
              <w:spacing w:after="0" w:line="210" w:lineRule="exact"/>
              <w:rPr>
                <w:sz w:val="20"/>
                <w:szCs w:val="20"/>
                <w:color w:val="auto"/>
              </w:rPr>
            </w:pPr>
            <w:r>
              <w:rPr>
                <w:rFonts w:ascii="Calibri" w:cs="Calibri" w:eastAsia="Calibri" w:hAnsi="Calibri"/>
                <w:sz w:val="18"/>
                <w:szCs w:val="18"/>
                <w:color w:val="auto"/>
              </w:rPr>
              <w:t>Domestc</w:t>
            </w:r>
          </w:p>
        </w:tc>
        <w:tc>
          <w:tcPr>
            <w:tcW w:w="280" w:type="dxa"/>
            <w:vAlign w:val="bottom"/>
            <w:gridSpan w:val="2"/>
            <w:shd w:val="clear" w:color="auto" w:fill="CCECFF"/>
          </w:tcPr>
          <w:p>
            <w:pPr>
              <w:jc w:val="right"/>
              <w:ind w:right="10"/>
              <w:spacing w:after="0" w:line="210" w:lineRule="exact"/>
              <w:rPr>
                <w:sz w:val="20"/>
                <w:szCs w:val="20"/>
                <w:color w:val="auto"/>
              </w:rPr>
            </w:pPr>
            <w:r>
              <w:rPr>
                <w:rFonts w:ascii="Calibri" w:cs="Calibri" w:eastAsia="Calibri" w:hAnsi="Calibri"/>
                <w:sz w:val="18"/>
                <w:szCs w:val="18"/>
                <w:color w:val="auto"/>
              </w:rPr>
              <w:t>$</w:t>
            </w:r>
          </w:p>
        </w:tc>
        <w:tc>
          <w:tcPr>
            <w:tcW w:w="960" w:type="dxa"/>
            <w:vAlign w:val="bottom"/>
            <w:tcBorders>
              <w:right w:val="single" w:sz="8" w:color="CCECFF"/>
            </w:tcBorders>
            <w:gridSpan w:val="2"/>
            <w:shd w:val="clear" w:color="auto" w:fill="CCECFF"/>
          </w:tcPr>
          <w:p>
            <w:pPr>
              <w:jc w:val="right"/>
              <w:ind w:right="40"/>
              <w:spacing w:after="0" w:line="210" w:lineRule="exact"/>
              <w:rPr>
                <w:sz w:val="20"/>
                <w:szCs w:val="20"/>
                <w:color w:val="auto"/>
              </w:rPr>
            </w:pPr>
            <w:r>
              <w:rPr>
                <w:rFonts w:ascii="Calibri" w:cs="Calibri" w:eastAsia="Calibri" w:hAnsi="Calibri"/>
                <w:sz w:val="18"/>
                <w:szCs w:val="18"/>
                <w:color w:val="auto"/>
              </w:rPr>
              <w:t>564,072</w:t>
            </w:r>
          </w:p>
        </w:tc>
        <w:tc>
          <w:tcPr>
            <w:tcW w:w="420" w:type="dxa"/>
            <w:vAlign w:val="bottom"/>
            <w:gridSpan w:val="3"/>
            <w:shd w:val="clear" w:color="auto" w:fill="CCECFF"/>
          </w:tcPr>
          <w:p>
            <w:pPr>
              <w:jc w:val="right"/>
              <w:ind w:right="10"/>
              <w:spacing w:after="0" w:line="210" w:lineRule="exact"/>
              <w:rPr>
                <w:sz w:val="20"/>
                <w:szCs w:val="20"/>
                <w:color w:val="auto"/>
              </w:rPr>
            </w:pPr>
            <w:r>
              <w:rPr>
                <w:rFonts w:ascii="Calibri" w:cs="Calibri" w:eastAsia="Calibri" w:hAnsi="Calibri"/>
                <w:sz w:val="18"/>
                <w:szCs w:val="18"/>
                <w:color w:val="auto"/>
              </w:rPr>
              <w:t>$</w:t>
            </w:r>
          </w:p>
        </w:tc>
        <w:tc>
          <w:tcPr>
            <w:tcW w:w="960" w:type="dxa"/>
            <w:vAlign w:val="bottom"/>
            <w:tcBorders>
              <w:right w:val="single" w:sz="8" w:color="CCECFF"/>
            </w:tcBorders>
            <w:gridSpan w:val="2"/>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608,166</w:t>
            </w:r>
          </w:p>
        </w:tc>
        <w:tc>
          <w:tcPr>
            <w:tcW w:w="420" w:type="dxa"/>
            <w:vAlign w:val="bottom"/>
            <w:gridSpan w:val="3"/>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w:t>
            </w:r>
          </w:p>
        </w:tc>
        <w:tc>
          <w:tcPr>
            <w:tcW w:w="980" w:type="dxa"/>
            <w:vAlign w:val="bottom"/>
            <w:tcBorders>
              <w:right w:val="single" w:sz="8" w:color="CCECFF"/>
            </w:tcBorders>
            <w:gridSpan w:val="2"/>
            <w:shd w:val="clear" w:color="auto" w:fill="CCECFF"/>
          </w:tcPr>
          <w:p>
            <w:pPr>
              <w:jc w:val="right"/>
              <w:ind w:right="40"/>
              <w:spacing w:after="0" w:line="210" w:lineRule="exact"/>
              <w:rPr>
                <w:sz w:val="20"/>
                <w:szCs w:val="20"/>
                <w:color w:val="auto"/>
              </w:rPr>
            </w:pPr>
            <w:r>
              <w:rPr>
                <w:rFonts w:ascii="Calibri" w:cs="Calibri" w:eastAsia="Calibri" w:hAnsi="Calibri"/>
                <w:sz w:val="18"/>
                <w:szCs w:val="18"/>
                <w:color w:val="auto"/>
              </w:rPr>
              <w:t>703,411</w:t>
            </w:r>
          </w:p>
        </w:tc>
        <w:tc>
          <w:tcPr>
            <w:tcW w:w="80" w:type="dxa"/>
            <w:vAlign w:val="bottom"/>
            <w:shd w:val="clear" w:color="auto" w:fill="CCECFF"/>
          </w:tcPr>
          <w:p>
            <w:pPr>
              <w:spacing w:after="0"/>
              <w:rPr>
                <w:sz w:val="18"/>
                <w:szCs w:val="18"/>
                <w:color w:val="auto"/>
              </w:rPr>
            </w:pPr>
          </w:p>
        </w:tc>
      </w:tr>
      <w:tr>
        <w:trPr>
          <w:trHeight w:val="215"/>
        </w:trPr>
        <w:tc>
          <w:tcPr>
            <w:tcW w:w="620" w:type="dxa"/>
            <w:vAlign w:val="bottom"/>
          </w:tcPr>
          <w:p>
            <w:pPr>
              <w:spacing w:after="0"/>
              <w:rPr>
                <w:sz w:val="18"/>
                <w:szCs w:val="18"/>
                <w:color w:val="auto"/>
              </w:rPr>
            </w:pPr>
          </w:p>
        </w:tc>
        <w:tc>
          <w:tcPr>
            <w:tcW w:w="4880" w:type="dxa"/>
            <w:vAlign w:val="bottom"/>
          </w:tcPr>
          <w:p>
            <w:pPr>
              <w:spacing w:after="0" w:line="215" w:lineRule="exact"/>
              <w:rPr>
                <w:sz w:val="20"/>
                <w:szCs w:val="20"/>
                <w:color w:val="auto"/>
              </w:rPr>
            </w:pPr>
            <w:r>
              <w:rPr>
                <w:rFonts w:ascii="Calibri" w:cs="Calibri" w:eastAsia="Calibri" w:hAnsi="Calibri"/>
                <w:sz w:val="18"/>
                <w:szCs w:val="18"/>
                <w:color w:val="auto"/>
              </w:rPr>
              <w:t>Foreign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3,514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298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ind w:right="20"/>
              <w:spacing w:after="0" w:line="215" w:lineRule="exact"/>
              <w:rPr>
                <w:sz w:val="20"/>
                <w:szCs w:val="20"/>
                <w:color w:val="auto"/>
              </w:rPr>
            </w:pPr>
            <w:r>
              <w:rPr>
                <w:rFonts w:ascii="Calibri" w:cs="Calibri" w:eastAsia="Calibri" w:hAnsi="Calibri"/>
                <w:sz w:val="18"/>
                <w:szCs w:val="18"/>
                <w:color w:val="auto"/>
              </w:rPr>
              <w:t>(1,686 )</w:t>
            </w:r>
          </w:p>
        </w:tc>
      </w:tr>
      <w:tr>
        <w:trPr>
          <w:trHeight w:val="250"/>
        </w:trPr>
        <w:tc>
          <w:tcPr>
            <w:tcW w:w="620" w:type="dxa"/>
            <w:vAlign w:val="bottom"/>
          </w:tcPr>
          <w:p>
            <w:pPr>
              <w:spacing w:after="0"/>
              <w:rPr>
                <w:sz w:val="21"/>
                <w:szCs w:val="21"/>
                <w:color w:val="auto"/>
              </w:rPr>
            </w:pPr>
          </w:p>
        </w:tc>
        <w:tc>
          <w:tcPr>
            <w:tcW w:w="4880" w:type="dxa"/>
            <w:vAlign w:val="bottom"/>
            <w:tcBorders>
              <w:bottom w:val="single" w:sz="8" w:color="CCECFF"/>
            </w:tcBorders>
            <w:shd w:val="clear" w:color="auto" w:fill="CCECFF"/>
          </w:tcPr>
          <w:p>
            <w:pPr>
              <w:spacing w:after="0" w:line="210" w:lineRule="exact"/>
              <w:rPr>
                <w:sz w:val="20"/>
                <w:szCs w:val="20"/>
                <w:color w:val="auto"/>
              </w:rPr>
            </w:pPr>
            <w:r>
              <w:rPr>
                <w:rFonts w:ascii="Calibri" w:cs="Calibri" w:eastAsia="Calibri" w:hAnsi="Calibri"/>
                <w:sz w:val="18"/>
                <w:szCs w:val="18"/>
                <w:color w:val="auto"/>
              </w:rPr>
              <w:t>Total loss before income taxes</w:t>
            </w:r>
          </w:p>
        </w:tc>
        <w:tc>
          <w:tcPr>
            <w:tcW w:w="80" w:type="dxa"/>
            <w:vAlign w:val="bottom"/>
            <w:tcBorders>
              <w:bottom w:val="single" w:sz="8" w:color="CCECFF"/>
            </w:tcBorders>
            <w:shd w:val="clear" w:color="auto" w:fill="CCEC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line="210" w:lineRule="exact"/>
              <w:rPr>
                <w:sz w:val="20"/>
                <w:szCs w:val="20"/>
                <w:color w:val="auto"/>
              </w:rPr>
            </w:pPr>
            <w:r>
              <w:rPr>
                <w:rFonts w:ascii="Calibri" w:cs="Calibri" w:eastAsia="Calibri" w:hAnsi="Calibri"/>
                <w:sz w:val="18"/>
                <w:szCs w:val="18"/>
                <w:color w:val="auto"/>
                <w:w w:val="87"/>
              </w:rPr>
              <w:t>$</w:t>
            </w:r>
          </w:p>
        </w:tc>
        <w:tc>
          <w:tcPr>
            <w:tcW w:w="960" w:type="dxa"/>
            <w:vAlign w:val="bottom"/>
            <w:tcBorders>
              <w:top w:val="single" w:sz="8" w:color="auto"/>
              <w:bottom w:val="single" w:sz="8" w:color="auto"/>
              <w:right w:val="single" w:sz="8" w:color="CCEEFF"/>
            </w:tcBorders>
            <w:gridSpan w:val="2"/>
            <w:shd w:val="clear" w:color="auto" w:fill="CCEEFF"/>
          </w:tcPr>
          <w:p>
            <w:pPr>
              <w:jc w:val="right"/>
              <w:ind w:right="40"/>
              <w:spacing w:after="0" w:line="210" w:lineRule="exact"/>
              <w:rPr>
                <w:sz w:val="20"/>
                <w:szCs w:val="20"/>
                <w:color w:val="auto"/>
              </w:rPr>
            </w:pPr>
            <w:r>
              <w:rPr>
                <w:rFonts w:ascii="Calibri" w:cs="Calibri" w:eastAsia="Calibri" w:hAnsi="Calibri"/>
                <w:sz w:val="18"/>
                <w:szCs w:val="18"/>
                <w:color w:val="auto"/>
              </w:rPr>
              <w:t>567,586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line="210" w:lineRule="exact"/>
              <w:rPr>
                <w:sz w:val="20"/>
                <w:szCs w:val="20"/>
                <w:color w:val="auto"/>
              </w:rPr>
            </w:pPr>
            <w:r>
              <w:rPr>
                <w:rFonts w:ascii="Calibri" w:cs="Calibri" w:eastAsia="Calibri" w:hAnsi="Calibri"/>
                <w:sz w:val="18"/>
                <w:szCs w:val="18"/>
                <w:color w:val="auto"/>
                <w:w w:val="87"/>
              </w:rPr>
              <w:t>$</w:t>
            </w:r>
          </w:p>
        </w:tc>
        <w:tc>
          <w:tcPr>
            <w:tcW w:w="960" w:type="dxa"/>
            <w:vAlign w:val="bottom"/>
            <w:tcBorders>
              <w:top w:val="single" w:sz="8" w:color="auto"/>
              <w:bottom w:val="single" w:sz="8" w:color="auto"/>
              <w:right w:val="single" w:sz="8" w:color="CCEEFF"/>
            </w:tcBorders>
            <w:gridSpan w:val="2"/>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608,464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980" w:type="dxa"/>
            <w:vAlign w:val="bottom"/>
            <w:tcBorders>
              <w:top w:val="single" w:sz="8" w:color="auto"/>
              <w:bottom w:val="single" w:sz="8" w:color="auto"/>
              <w:right w:val="single" w:sz="8" w:color="CCEEFF"/>
            </w:tcBorders>
            <w:gridSpan w:val="2"/>
            <w:shd w:val="clear" w:color="auto" w:fill="CCEEFF"/>
          </w:tcPr>
          <w:p>
            <w:pPr>
              <w:jc w:val="right"/>
              <w:ind w:right="40"/>
              <w:spacing w:after="0" w:line="210" w:lineRule="exact"/>
              <w:rPr>
                <w:sz w:val="20"/>
                <w:szCs w:val="20"/>
                <w:color w:val="auto"/>
              </w:rPr>
            </w:pPr>
            <w:r>
              <w:rPr>
                <w:rFonts w:ascii="Calibri" w:cs="Calibri" w:eastAsia="Calibri" w:hAnsi="Calibri"/>
                <w:sz w:val="18"/>
                <w:szCs w:val="18"/>
                <w:color w:val="auto"/>
              </w:rPr>
              <w:t>701,725</w:t>
            </w:r>
          </w:p>
        </w:tc>
        <w:tc>
          <w:tcPr>
            <w:tcW w:w="80" w:type="dxa"/>
            <w:vAlign w:val="bottom"/>
            <w:tcBorders>
              <w:bottom w:val="single" w:sz="8" w:color="CCEEFF"/>
            </w:tcBorders>
            <w:shd w:val="clear" w:color="auto" w:fill="CCEEFF"/>
          </w:tcPr>
          <w:p>
            <w:pPr>
              <w:spacing w:after="0"/>
              <w:rPr>
                <w:sz w:val="21"/>
                <w:szCs w:val="21"/>
                <w:color w:val="auto"/>
              </w:rPr>
            </w:pPr>
          </w:p>
        </w:tc>
      </w:tr>
      <w:tr>
        <w:trPr>
          <w:trHeight w:val="363"/>
        </w:trPr>
        <w:tc>
          <w:tcPr>
            <w:tcW w:w="6740" w:type="dxa"/>
            <w:vAlign w:val="bottom"/>
            <w:gridSpan w:val="6"/>
          </w:tcPr>
          <w:p>
            <w:pPr>
              <w:jc w:val="right"/>
              <w:ind w:right="480"/>
              <w:spacing w:after="0"/>
              <w:rPr>
                <w:sz w:val="20"/>
                <w:szCs w:val="20"/>
                <w:color w:val="auto"/>
              </w:rPr>
            </w:pPr>
            <w:r>
              <w:rPr>
                <w:rFonts w:ascii="Calibri" w:cs="Calibri" w:eastAsia="Calibri" w:hAnsi="Calibri"/>
                <w:sz w:val="18"/>
                <w:szCs w:val="18"/>
                <w:color w:val="auto"/>
                <w:w w:val="97"/>
              </w:rPr>
              <w:t>The components of the Company’s income tax provision were as follows (in thousands):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1"/>
        </w:trPr>
        <w:tc>
          <w:tcPr>
            <w:tcW w:w="6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60" w:type="dxa"/>
            <w:vAlign w:val="bottom"/>
            <w:gridSpan w:val="10"/>
          </w:tcPr>
          <w:p>
            <w:pPr>
              <w:jc w:val="right"/>
              <w:ind w:right="90"/>
              <w:spacing w:after="0"/>
              <w:rPr>
                <w:sz w:val="20"/>
                <w:szCs w:val="20"/>
                <w:color w:val="auto"/>
              </w:rPr>
            </w:pPr>
            <w:r>
              <w:rPr>
                <w:rFonts w:ascii="Calibri" w:cs="Calibri" w:eastAsia="Calibri" w:hAnsi="Calibri"/>
                <w:sz w:val="18"/>
                <w:szCs w:val="18"/>
                <w:b w:val="1"/>
                <w:bCs w:val="1"/>
                <w:color w:val="auto"/>
              </w:rPr>
              <w:t>Year Ended December 31,</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
        </w:trPr>
        <w:tc>
          <w:tcPr>
            <w:tcW w:w="6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09"/>
        </w:trPr>
        <w:tc>
          <w:tcPr>
            <w:tcW w:w="6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line="209" w:lineRule="exact"/>
              <w:rPr>
                <w:sz w:val="20"/>
                <w:szCs w:val="20"/>
                <w:color w:val="auto"/>
              </w:rPr>
            </w:pPr>
            <w:r>
              <w:rPr>
                <w:rFonts w:ascii="Calibri" w:cs="Calibri" w:eastAsia="Calibri" w:hAnsi="Calibri"/>
                <w:sz w:val="18"/>
                <w:szCs w:val="18"/>
                <w:b w:val="1"/>
                <w:bCs w:val="1"/>
                <w:color w:val="auto"/>
              </w:rPr>
              <w:t>2024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line="209" w:lineRule="exact"/>
              <w:rPr>
                <w:sz w:val="20"/>
                <w:szCs w:val="20"/>
                <w:color w:val="auto"/>
              </w:rPr>
            </w:pPr>
            <w:r>
              <w:rPr>
                <w:rFonts w:ascii="Calibri" w:cs="Calibri" w:eastAsia="Calibri" w:hAnsi="Calibri"/>
                <w:sz w:val="18"/>
                <w:szCs w:val="18"/>
                <w:b w:val="1"/>
                <w:bCs w:val="1"/>
                <w:color w:val="auto"/>
              </w:rPr>
              <w:t>2023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0"/>
              <w:spacing w:after="0" w:line="209" w:lineRule="exact"/>
              <w:rPr>
                <w:sz w:val="20"/>
                <w:szCs w:val="20"/>
                <w:color w:val="auto"/>
              </w:rPr>
            </w:pPr>
            <w:r>
              <w:rPr>
                <w:rFonts w:ascii="Calibri" w:cs="Calibri" w:eastAsia="Calibri" w:hAnsi="Calibri"/>
                <w:sz w:val="18"/>
                <w:szCs w:val="18"/>
                <w:b w:val="1"/>
                <w:bCs w:val="1"/>
                <w:color w:val="auto"/>
              </w:rPr>
              <w:t>2022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620" w:type="dxa"/>
            <w:vAlign w:val="bottom"/>
          </w:tcPr>
          <w:p>
            <w:pPr>
              <w:spacing w:after="0"/>
              <w:rPr>
                <w:sz w:val="18"/>
                <w:szCs w:val="18"/>
                <w:color w:val="auto"/>
              </w:rPr>
            </w:pPr>
          </w:p>
        </w:tc>
        <w:tc>
          <w:tcPr>
            <w:tcW w:w="4880" w:type="dxa"/>
            <w:vAlign w:val="bottom"/>
            <w:shd w:val="clear" w:color="auto" w:fill="CCECFF"/>
          </w:tcPr>
          <w:p>
            <w:pPr>
              <w:spacing w:after="0" w:line="210" w:lineRule="exact"/>
              <w:rPr>
                <w:sz w:val="20"/>
                <w:szCs w:val="20"/>
                <w:color w:val="auto"/>
              </w:rPr>
            </w:pPr>
            <w:r>
              <w:rPr>
                <w:rFonts w:ascii="Calibri" w:cs="Calibri" w:eastAsia="Calibri" w:hAnsi="Calibri"/>
                <w:sz w:val="18"/>
                <w:szCs w:val="18"/>
                <w:color w:val="auto"/>
              </w:rPr>
              <w:t>Current provision for income taxes:</w:t>
            </w:r>
          </w:p>
        </w:tc>
        <w:tc>
          <w:tcPr>
            <w:tcW w:w="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120" w:type="dxa"/>
            <w:vAlign w:val="bottom"/>
            <w:tcBorders>
              <w:right w:val="single" w:sz="8" w:color="CCECFF"/>
            </w:tcBorders>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120" w:type="dxa"/>
            <w:vAlign w:val="bottom"/>
            <w:tcBorders>
              <w:right w:val="single" w:sz="8" w:color="CCECFF"/>
            </w:tcBorders>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820" w:type="dxa"/>
            <w:vAlign w:val="bottom"/>
            <w:shd w:val="clear" w:color="auto" w:fill="CCECFF"/>
          </w:tcPr>
          <w:p>
            <w:pPr>
              <w:spacing w:after="0"/>
              <w:rPr>
                <w:sz w:val="18"/>
                <w:szCs w:val="18"/>
                <w:color w:val="auto"/>
              </w:rPr>
            </w:pPr>
          </w:p>
        </w:tc>
        <w:tc>
          <w:tcPr>
            <w:tcW w:w="160" w:type="dxa"/>
            <w:vAlign w:val="bottom"/>
            <w:tcBorders>
              <w:right w:val="single" w:sz="8" w:color="CCECFF"/>
            </w:tcBorders>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r>
      <w:tr>
        <w:trPr>
          <w:trHeight w:val="215"/>
        </w:trPr>
        <w:tc>
          <w:tcPr>
            <w:tcW w:w="620" w:type="dxa"/>
            <w:vAlign w:val="bottom"/>
          </w:tcPr>
          <w:p>
            <w:pPr>
              <w:spacing w:after="0"/>
              <w:rPr>
                <w:sz w:val="18"/>
                <w:szCs w:val="18"/>
                <w:color w:val="auto"/>
              </w:rPr>
            </w:pPr>
          </w:p>
        </w:tc>
        <w:tc>
          <w:tcPr>
            <w:tcW w:w="4880" w:type="dxa"/>
            <w:vAlign w:val="bottom"/>
          </w:tcPr>
          <w:p>
            <w:pPr>
              <w:ind w:left="180"/>
              <w:spacing w:after="0" w:line="215" w:lineRule="exact"/>
              <w:rPr>
                <w:sz w:val="20"/>
                <w:szCs w:val="20"/>
                <w:color w:val="auto"/>
              </w:rPr>
            </w:pPr>
            <w:r>
              <w:rPr>
                <w:rFonts w:ascii="Calibri" w:cs="Calibri" w:eastAsia="Calibri" w:hAnsi="Calibri"/>
                <w:sz w:val="18"/>
                <w:szCs w:val="18"/>
                <w:color w:val="auto"/>
              </w:rPr>
              <w:t>Federal</w:t>
            </w:r>
          </w:p>
        </w:tc>
        <w:tc>
          <w:tcPr>
            <w:tcW w:w="280" w:type="dxa"/>
            <w:vAlign w:val="bottom"/>
            <w:gridSpan w:val="2"/>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2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8"/>
                <w:szCs w:val="18"/>
                <w:color w:val="auto"/>
              </w:rPr>
            </w:pPr>
          </w:p>
        </w:tc>
        <w:tc>
          <w:tcPr>
            <w:tcW w:w="1060" w:type="dxa"/>
            <w:vAlign w:val="bottom"/>
            <w:gridSpan w:val="3"/>
          </w:tcPr>
          <w:p>
            <w:pPr>
              <w:jc w:val="right"/>
              <w:ind w:right="260"/>
              <w:spacing w:after="0" w:line="215" w:lineRule="exact"/>
              <w:rPr>
                <w:sz w:val="20"/>
                <w:szCs w:val="20"/>
                <w:color w:val="auto"/>
              </w:rPr>
            </w:pPr>
            <w:r>
              <w:rPr>
                <w:rFonts w:ascii="Calibri" w:cs="Calibri" w:eastAsia="Calibri" w:hAnsi="Calibri"/>
                <w:sz w:val="18"/>
                <w:szCs w:val="18"/>
                <w:color w:val="auto"/>
              </w:rPr>
              <w:t>—</w:t>
            </w:r>
          </w:p>
        </w:tc>
      </w:tr>
      <w:tr>
        <w:trPr>
          <w:trHeight w:val="217"/>
        </w:trPr>
        <w:tc>
          <w:tcPr>
            <w:tcW w:w="620" w:type="dxa"/>
            <w:vAlign w:val="bottom"/>
          </w:tcPr>
          <w:p>
            <w:pPr>
              <w:spacing w:after="0"/>
              <w:rPr>
                <w:sz w:val="18"/>
                <w:szCs w:val="18"/>
                <w:color w:val="auto"/>
              </w:rPr>
            </w:pPr>
          </w:p>
        </w:tc>
        <w:tc>
          <w:tcPr>
            <w:tcW w:w="4880" w:type="dxa"/>
            <w:vAlign w:val="bottom"/>
            <w:shd w:val="clear" w:color="auto" w:fill="CCECFF"/>
          </w:tcPr>
          <w:p>
            <w:pPr>
              <w:ind w:left="180"/>
              <w:spacing w:after="0" w:line="216" w:lineRule="exact"/>
              <w:rPr>
                <w:sz w:val="20"/>
                <w:szCs w:val="20"/>
                <w:color w:val="auto"/>
              </w:rPr>
            </w:pPr>
            <w:r>
              <w:rPr>
                <w:rFonts w:ascii="Calibri" w:cs="Calibri" w:eastAsia="Calibri" w:hAnsi="Calibri"/>
                <w:sz w:val="18"/>
                <w:szCs w:val="18"/>
                <w:color w:val="auto"/>
              </w:rPr>
              <w:t>State</w:t>
            </w:r>
          </w:p>
        </w:tc>
        <w:tc>
          <w:tcPr>
            <w:tcW w:w="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224</w:t>
            </w:r>
          </w:p>
        </w:tc>
        <w:tc>
          <w:tcPr>
            <w:tcW w:w="120" w:type="dxa"/>
            <w:vAlign w:val="bottom"/>
            <w:tcBorders>
              <w:right w:val="single" w:sz="8" w:color="CCECFF"/>
            </w:tcBorders>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960" w:type="dxa"/>
            <w:vAlign w:val="bottom"/>
            <w:tcBorders>
              <w:right w:val="single" w:sz="8" w:color="CCECFF"/>
            </w:tcBorders>
            <w:gridSpan w:val="2"/>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(3,187 )</w:t>
            </w:r>
          </w:p>
        </w:tc>
        <w:tc>
          <w:tcPr>
            <w:tcW w:w="10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6,062</w:t>
            </w:r>
          </w:p>
        </w:tc>
        <w:tc>
          <w:tcPr>
            <w:tcW w:w="160" w:type="dxa"/>
            <w:vAlign w:val="bottom"/>
            <w:tcBorders>
              <w:right w:val="single" w:sz="8" w:color="CCECFF"/>
            </w:tcBorders>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r>
      <w:tr>
        <w:trPr>
          <w:trHeight w:val="215"/>
        </w:trPr>
        <w:tc>
          <w:tcPr>
            <w:tcW w:w="620" w:type="dxa"/>
            <w:vAlign w:val="bottom"/>
          </w:tcPr>
          <w:p>
            <w:pPr>
              <w:spacing w:after="0"/>
              <w:rPr>
                <w:sz w:val="18"/>
                <w:szCs w:val="18"/>
                <w:color w:val="auto"/>
              </w:rPr>
            </w:pPr>
          </w:p>
        </w:tc>
        <w:tc>
          <w:tcPr>
            <w:tcW w:w="4880" w:type="dxa"/>
            <w:vAlign w:val="bottom"/>
          </w:tcPr>
          <w:p>
            <w:pPr>
              <w:ind w:left="180"/>
              <w:spacing w:after="0" w:line="215" w:lineRule="exact"/>
              <w:rPr>
                <w:sz w:val="20"/>
                <w:szCs w:val="20"/>
                <w:color w:val="auto"/>
              </w:rPr>
            </w:pPr>
            <w:r>
              <w:rPr>
                <w:rFonts w:ascii="Calibri" w:cs="Calibri" w:eastAsia="Calibri" w:hAnsi="Calibri"/>
                <w:sz w:val="18"/>
                <w:szCs w:val="18"/>
                <w:color w:val="auto"/>
              </w:rPr>
              <w:t>Internatonal</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2,745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3,127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620" w:type="dxa"/>
            <w:vAlign w:val="bottom"/>
          </w:tcPr>
          <w:p>
            <w:pPr>
              <w:spacing w:after="0"/>
              <w:rPr>
                <w:sz w:val="18"/>
                <w:szCs w:val="18"/>
                <w:color w:val="auto"/>
              </w:rPr>
            </w:pPr>
          </w:p>
        </w:tc>
        <w:tc>
          <w:tcPr>
            <w:tcW w:w="4880" w:type="dxa"/>
            <w:vAlign w:val="bottom"/>
            <w:shd w:val="clear" w:color="auto" w:fill="CCECFF"/>
          </w:tcPr>
          <w:p>
            <w:pPr>
              <w:ind w:left="360"/>
              <w:spacing w:after="0" w:line="209" w:lineRule="exact"/>
              <w:rPr>
                <w:sz w:val="20"/>
                <w:szCs w:val="20"/>
                <w:color w:val="auto"/>
              </w:rPr>
            </w:pPr>
            <w:r>
              <w:rPr>
                <w:rFonts w:ascii="Calibri" w:cs="Calibri" w:eastAsia="Calibri" w:hAnsi="Calibri"/>
                <w:sz w:val="18"/>
                <w:szCs w:val="18"/>
                <w:color w:val="auto"/>
              </w:rPr>
              <w:t>Total current tax provision</w:t>
            </w:r>
          </w:p>
        </w:tc>
        <w:tc>
          <w:tcPr>
            <w:tcW w:w="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840" w:type="dxa"/>
            <w:vAlign w:val="bottom"/>
            <w:shd w:val="clear" w:color="auto" w:fill="CCECFF"/>
          </w:tcPr>
          <w:p>
            <w:pPr>
              <w:jc w:val="right"/>
              <w:spacing w:after="0" w:line="209" w:lineRule="exact"/>
              <w:rPr>
                <w:sz w:val="20"/>
                <w:szCs w:val="20"/>
                <w:color w:val="auto"/>
              </w:rPr>
            </w:pPr>
            <w:r>
              <w:rPr>
                <w:rFonts w:ascii="Calibri" w:cs="Calibri" w:eastAsia="Calibri" w:hAnsi="Calibri"/>
                <w:sz w:val="18"/>
                <w:szCs w:val="18"/>
                <w:color w:val="auto"/>
              </w:rPr>
              <w:t>2,969</w:t>
            </w:r>
          </w:p>
        </w:tc>
        <w:tc>
          <w:tcPr>
            <w:tcW w:w="120" w:type="dxa"/>
            <w:vAlign w:val="bottom"/>
            <w:tcBorders>
              <w:right w:val="single" w:sz="8" w:color="CCECFF"/>
            </w:tcBorders>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960" w:type="dxa"/>
            <w:vAlign w:val="bottom"/>
            <w:tcBorders>
              <w:right w:val="single" w:sz="8" w:color="CCECFF"/>
            </w:tcBorders>
            <w:gridSpan w:val="2"/>
            <w:shd w:val="clear" w:color="auto" w:fill="CCECFF"/>
          </w:tcPr>
          <w:p>
            <w:pPr>
              <w:jc w:val="right"/>
              <w:spacing w:after="0" w:line="209" w:lineRule="exact"/>
              <w:rPr>
                <w:sz w:val="20"/>
                <w:szCs w:val="20"/>
                <w:color w:val="auto"/>
              </w:rPr>
            </w:pPr>
            <w:r>
              <w:rPr>
                <w:rFonts w:ascii="Calibri" w:cs="Calibri" w:eastAsia="Calibri" w:hAnsi="Calibri"/>
                <w:sz w:val="18"/>
                <w:szCs w:val="18"/>
                <w:color w:val="auto"/>
              </w:rPr>
              <w:t>(60 )</w:t>
            </w:r>
          </w:p>
        </w:tc>
        <w:tc>
          <w:tcPr>
            <w:tcW w:w="10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820" w:type="dxa"/>
            <w:vAlign w:val="bottom"/>
            <w:shd w:val="clear" w:color="auto" w:fill="CCECFF"/>
          </w:tcPr>
          <w:p>
            <w:pPr>
              <w:jc w:val="right"/>
              <w:spacing w:after="0" w:line="209" w:lineRule="exact"/>
              <w:rPr>
                <w:sz w:val="20"/>
                <w:szCs w:val="20"/>
                <w:color w:val="auto"/>
              </w:rPr>
            </w:pPr>
            <w:r>
              <w:rPr>
                <w:rFonts w:ascii="Calibri" w:cs="Calibri" w:eastAsia="Calibri" w:hAnsi="Calibri"/>
                <w:sz w:val="18"/>
                <w:szCs w:val="18"/>
                <w:color w:val="auto"/>
              </w:rPr>
              <w:t>7,336</w:t>
            </w:r>
          </w:p>
        </w:tc>
        <w:tc>
          <w:tcPr>
            <w:tcW w:w="160" w:type="dxa"/>
            <w:vAlign w:val="bottom"/>
            <w:tcBorders>
              <w:right w:val="single" w:sz="8" w:color="CCECFF"/>
            </w:tcBorders>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r>
      <w:tr>
        <w:trPr>
          <w:trHeight w:val="209"/>
        </w:trPr>
        <w:tc>
          <w:tcPr>
            <w:tcW w:w="620" w:type="dxa"/>
            <w:vAlign w:val="bottom"/>
          </w:tcPr>
          <w:p>
            <w:pPr>
              <w:spacing w:after="0"/>
              <w:rPr>
                <w:sz w:val="18"/>
                <w:szCs w:val="18"/>
                <w:color w:val="auto"/>
              </w:rPr>
            </w:pPr>
          </w:p>
        </w:tc>
        <w:tc>
          <w:tcPr>
            <w:tcW w:w="4880" w:type="dxa"/>
            <w:vAlign w:val="bottom"/>
            <w:tcBorders>
              <w:top w:val="single" w:sz="8" w:color="CCECFF"/>
            </w:tcBorders>
          </w:tcPr>
          <w:p>
            <w:pPr>
              <w:spacing w:after="0" w:line="209" w:lineRule="exact"/>
              <w:rPr>
                <w:sz w:val="20"/>
                <w:szCs w:val="20"/>
                <w:color w:val="auto"/>
              </w:rPr>
            </w:pPr>
            <w:r>
              <w:rPr>
                <w:rFonts w:ascii="Calibri" w:cs="Calibri" w:eastAsia="Calibri" w:hAnsi="Calibri"/>
                <w:sz w:val="18"/>
                <w:szCs w:val="18"/>
                <w:color w:val="auto"/>
              </w:rPr>
              <w:t>Deferred tax provision:</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CFF"/>
            </w:tcBorders>
          </w:tcPr>
          <w:p>
            <w:pPr>
              <w:spacing w:after="0"/>
              <w:rPr>
                <w:sz w:val="18"/>
                <w:szCs w:val="18"/>
                <w:color w:val="auto"/>
              </w:rPr>
            </w:pPr>
          </w:p>
        </w:tc>
        <w:tc>
          <w:tcPr>
            <w:tcW w:w="120" w:type="dxa"/>
            <w:vAlign w:val="bottom"/>
            <w:tcBorders>
              <w:top w:val="single" w:sz="8" w:color="CCEC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CFF"/>
            </w:tcBorders>
          </w:tcPr>
          <w:p>
            <w:pPr>
              <w:spacing w:after="0"/>
              <w:rPr>
                <w:sz w:val="18"/>
                <w:szCs w:val="18"/>
                <w:color w:val="auto"/>
              </w:rPr>
            </w:pPr>
          </w:p>
        </w:tc>
        <w:tc>
          <w:tcPr>
            <w:tcW w:w="100" w:type="dxa"/>
            <w:vAlign w:val="bottom"/>
            <w:tcBorders>
              <w:top w:val="single" w:sz="8" w:color="CCEC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CFF"/>
            </w:tcBorders>
          </w:tcPr>
          <w:p>
            <w:pPr>
              <w:spacing w:after="0"/>
              <w:rPr>
                <w:sz w:val="18"/>
                <w:szCs w:val="18"/>
                <w:color w:val="auto"/>
              </w:rPr>
            </w:pPr>
          </w:p>
        </w:tc>
        <w:tc>
          <w:tcPr>
            <w:tcW w:w="80" w:type="dxa"/>
            <w:vAlign w:val="bottom"/>
            <w:tcBorders>
              <w:top w:val="single" w:sz="8" w:color="CCECFF"/>
            </w:tcBorders>
          </w:tcPr>
          <w:p>
            <w:pPr>
              <w:spacing w:after="0"/>
              <w:rPr>
                <w:sz w:val="18"/>
                <w:szCs w:val="18"/>
                <w:color w:val="auto"/>
              </w:rPr>
            </w:pPr>
          </w:p>
        </w:tc>
      </w:tr>
      <w:tr>
        <w:trPr>
          <w:trHeight w:val="217"/>
        </w:trPr>
        <w:tc>
          <w:tcPr>
            <w:tcW w:w="620" w:type="dxa"/>
            <w:vAlign w:val="bottom"/>
          </w:tcPr>
          <w:p>
            <w:pPr>
              <w:spacing w:after="0"/>
              <w:rPr>
                <w:sz w:val="18"/>
                <w:szCs w:val="18"/>
                <w:color w:val="auto"/>
              </w:rPr>
            </w:pPr>
          </w:p>
        </w:tc>
        <w:tc>
          <w:tcPr>
            <w:tcW w:w="4880" w:type="dxa"/>
            <w:vAlign w:val="bottom"/>
            <w:shd w:val="clear" w:color="auto" w:fill="CCECFF"/>
          </w:tcPr>
          <w:p>
            <w:pPr>
              <w:ind w:left="180"/>
              <w:spacing w:after="0" w:line="216" w:lineRule="exact"/>
              <w:rPr>
                <w:sz w:val="20"/>
                <w:szCs w:val="20"/>
                <w:color w:val="auto"/>
              </w:rPr>
            </w:pPr>
            <w:r>
              <w:rPr>
                <w:rFonts w:ascii="Calibri" w:cs="Calibri" w:eastAsia="Calibri" w:hAnsi="Calibri"/>
                <w:sz w:val="18"/>
                <w:szCs w:val="18"/>
                <w:color w:val="auto"/>
              </w:rPr>
              <w:t>Federal</w:t>
            </w:r>
          </w:p>
        </w:tc>
        <w:tc>
          <w:tcPr>
            <w:tcW w:w="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960" w:type="dxa"/>
            <w:vAlign w:val="bottom"/>
            <w:tcBorders>
              <w:right w:val="single" w:sz="8" w:color="CCECFF"/>
            </w:tcBorders>
            <w:gridSpan w:val="2"/>
            <w:shd w:val="clear" w:color="auto" w:fill="CCECFF"/>
          </w:tcPr>
          <w:p>
            <w:pPr>
              <w:jc w:val="right"/>
              <w:ind w:right="140"/>
              <w:spacing w:after="0" w:line="216"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960" w:type="dxa"/>
            <w:vAlign w:val="bottom"/>
            <w:tcBorders>
              <w:right w:val="single" w:sz="8" w:color="CCECFF"/>
            </w:tcBorders>
            <w:gridSpan w:val="2"/>
            <w:shd w:val="clear" w:color="auto" w:fill="CCECFF"/>
          </w:tcPr>
          <w:p>
            <w:pPr>
              <w:jc w:val="right"/>
              <w:ind w:right="70"/>
              <w:spacing w:after="0" w:line="216"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060" w:type="dxa"/>
            <w:vAlign w:val="bottom"/>
            <w:gridSpan w:val="3"/>
            <w:shd w:val="clear" w:color="auto" w:fill="CCECFF"/>
          </w:tcPr>
          <w:p>
            <w:pPr>
              <w:jc w:val="right"/>
              <w:ind w:right="260"/>
              <w:spacing w:after="0" w:line="216" w:lineRule="exact"/>
              <w:rPr>
                <w:sz w:val="20"/>
                <w:szCs w:val="20"/>
                <w:color w:val="auto"/>
              </w:rPr>
            </w:pPr>
            <w:r>
              <w:rPr>
                <w:rFonts w:ascii="Calibri" w:cs="Calibri" w:eastAsia="Calibri" w:hAnsi="Calibri"/>
                <w:sz w:val="18"/>
                <w:szCs w:val="18"/>
                <w:color w:val="auto"/>
              </w:rPr>
              <w:t>—</w:t>
            </w:r>
          </w:p>
        </w:tc>
      </w:tr>
      <w:tr>
        <w:trPr>
          <w:trHeight w:val="215"/>
        </w:trPr>
        <w:tc>
          <w:tcPr>
            <w:tcW w:w="620" w:type="dxa"/>
            <w:vAlign w:val="bottom"/>
          </w:tcPr>
          <w:p>
            <w:pPr>
              <w:spacing w:after="0"/>
              <w:rPr>
                <w:sz w:val="18"/>
                <w:szCs w:val="18"/>
                <w:color w:val="auto"/>
              </w:rPr>
            </w:pPr>
          </w:p>
        </w:tc>
        <w:tc>
          <w:tcPr>
            <w:tcW w:w="4880" w:type="dxa"/>
            <w:vAlign w:val="bottom"/>
          </w:tcPr>
          <w:p>
            <w:pPr>
              <w:ind w:left="180"/>
              <w:spacing w:after="0" w:line="215" w:lineRule="exact"/>
              <w:rPr>
                <w:sz w:val="20"/>
                <w:szCs w:val="20"/>
                <w:color w:val="auto"/>
              </w:rPr>
            </w:pPr>
            <w:r>
              <w:rPr>
                <w:rFonts w:ascii="Calibri" w:cs="Calibri" w:eastAsia="Calibri" w:hAnsi="Calibri"/>
                <w:sz w:val="18"/>
                <w:szCs w:val="18"/>
                <w:color w:val="auto"/>
              </w:rPr>
              <w:t>State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4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(1,608 )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80"/>
              <w:spacing w:after="0" w:line="215" w:lineRule="exact"/>
              <w:rPr>
                <w:sz w:val="20"/>
                <w:szCs w:val="20"/>
                <w:color w:val="auto"/>
              </w:rPr>
            </w:pPr>
            <w:r>
              <w:rPr>
                <w:rFonts w:ascii="Calibri" w:cs="Calibri" w:eastAsia="Calibri" w:hAnsi="Calibri"/>
                <w:sz w:val="18"/>
                <w:szCs w:val="18"/>
                <w:color w:val="auto"/>
              </w:rPr>
              <w:t>(1,640 )</w:t>
            </w:r>
          </w:p>
        </w:tc>
        <w:tc>
          <w:tcPr>
            <w:tcW w:w="8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4880" w:type="dxa"/>
            <w:vAlign w:val="bottom"/>
            <w:shd w:val="clear" w:color="auto" w:fill="CCECFF"/>
          </w:tcPr>
          <w:p>
            <w:pPr>
              <w:ind w:left="180"/>
              <w:spacing w:after="0" w:line="216" w:lineRule="exact"/>
              <w:rPr>
                <w:sz w:val="20"/>
                <w:szCs w:val="20"/>
                <w:color w:val="auto"/>
              </w:rPr>
            </w:pPr>
            <w:r>
              <w:rPr>
                <w:rFonts w:ascii="Calibri" w:cs="Calibri" w:eastAsia="Calibri" w:hAnsi="Calibri"/>
                <w:sz w:val="18"/>
                <w:szCs w:val="18"/>
                <w:color w:val="auto"/>
              </w:rPr>
              <w:t>Internatonal</w:t>
            </w:r>
          </w:p>
        </w:tc>
        <w:tc>
          <w:tcPr>
            <w:tcW w:w="8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960" w:type="dxa"/>
            <w:vAlign w:val="bottom"/>
            <w:tcBorders>
              <w:right w:val="single" w:sz="8" w:color="CCECFF"/>
            </w:tcBorders>
            <w:gridSpan w:val="2"/>
            <w:shd w:val="clear" w:color="auto" w:fill="CCECFF"/>
          </w:tcPr>
          <w:p>
            <w:pPr>
              <w:jc w:val="right"/>
              <w:ind w:right="40"/>
              <w:spacing w:after="0" w:line="216" w:lineRule="exact"/>
              <w:rPr>
                <w:sz w:val="20"/>
                <w:szCs w:val="20"/>
                <w:color w:val="auto"/>
              </w:rPr>
            </w:pPr>
            <w:r>
              <w:rPr>
                <w:rFonts w:ascii="Calibri" w:cs="Calibri" w:eastAsia="Calibri" w:hAnsi="Calibri"/>
                <w:sz w:val="18"/>
                <w:szCs w:val="18"/>
                <w:color w:val="auto"/>
              </w:rPr>
              <w:t>(1,372 )</w:t>
            </w:r>
          </w:p>
        </w:tc>
        <w:tc>
          <w:tcPr>
            <w:tcW w:w="12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960" w:type="dxa"/>
            <w:vAlign w:val="bottom"/>
            <w:tcBorders>
              <w:right w:val="single" w:sz="8" w:color="CCECFF"/>
            </w:tcBorders>
            <w:gridSpan w:val="2"/>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(157 )</w:t>
            </w:r>
          </w:p>
        </w:tc>
        <w:tc>
          <w:tcPr>
            <w:tcW w:w="10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060" w:type="dxa"/>
            <w:vAlign w:val="bottom"/>
            <w:gridSpan w:val="3"/>
            <w:shd w:val="clear" w:color="auto" w:fill="CCECFF"/>
          </w:tcPr>
          <w:p>
            <w:pPr>
              <w:jc w:val="right"/>
              <w:ind w:right="260"/>
              <w:spacing w:after="0" w:line="216" w:lineRule="exact"/>
              <w:rPr>
                <w:sz w:val="20"/>
                <w:szCs w:val="20"/>
                <w:color w:val="auto"/>
              </w:rPr>
            </w:pPr>
            <w:r>
              <w:rPr>
                <w:rFonts w:ascii="Calibri" w:cs="Calibri" w:eastAsia="Calibri" w:hAnsi="Calibri"/>
                <w:sz w:val="18"/>
                <w:szCs w:val="18"/>
                <w:color w:val="auto"/>
              </w:rPr>
              <w:t>—</w:t>
            </w:r>
          </w:p>
        </w:tc>
      </w:tr>
      <w:tr>
        <w:trPr>
          <w:trHeight w:val="20"/>
        </w:trPr>
        <w:tc>
          <w:tcPr>
            <w:tcW w:w="620" w:type="dxa"/>
            <w:vAlign w:val="bottom"/>
          </w:tcPr>
          <w:p>
            <w:pPr>
              <w:spacing w:after="0" w:line="20" w:lineRule="exact"/>
              <w:rPr>
                <w:sz w:val="1"/>
                <w:szCs w:val="1"/>
                <w:color w:val="auto"/>
              </w:rPr>
            </w:pPr>
          </w:p>
        </w:tc>
        <w:tc>
          <w:tcPr>
            <w:tcW w:w="4880" w:type="dxa"/>
            <w:vAlign w:val="bottom"/>
            <w:shd w:val="clear" w:color="auto" w:fill="CCEC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right w:val="single" w:sz="8" w:color="CCECFF"/>
            </w:tcBorders>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right w:val="single" w:sz="8" w:color="CCECFF"/>
            </w:tcBorders>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right w:val="single" w:sz="8" w:color="CCECFF"/>
            </w:tcBorders>
            <w:shd w:val="clear" w:color="auto" w:fill="CCECFF"/>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4880" w:type="dxa"/>
            <w:vAlign w:val="bottom"/>
          </w:tcPr>
          <w:p>
            <w:pPr>
              <w:ind w:left="360"/>
              <w:spacing w:after="0" w:line="209" w:lineRule="exact"/>
              <w:rPr>
                <w:sz w:val="20"/>
                <w:szCs w:val="20"/>
                <w:color w:val="auto"/>
              </w:rPr>
            </w:pPr>
            <w:r>
              <w:rPr>
                <w:rFonts w:ascii="Calibri" w:cs="Calibri" w:eastAsia="Calibri" w:hAnsi="Calibri"/>
                <w:sz w:val="18"/>
                <w:szCs w:val="18"/>
                <w:color w:val="auto"/>
              </w:rPr>
              <w:t>Total deferred tax provision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40"/>
              <w:spacing w:after="0" w:line="209" w:lineRule="exact"/>
              <w:rPr>
                <w:sz w:val="20"/>
                <w:szCs w:val="20"/>
                <w:color w:val="auto"/>
              </w:rPr>
            </w:pPr>
            <w:r>
              <w:rPr>
                <w:rFonts w:ascii="Calibri" w:cs="Calibri" w:eastAsia="Calibri" w:hAnsi="Calibri"/>
                <w:sz w:val="18"/>
                <w:szCs w:val="18"/>
                <w:color w:val="auto"/>
              </w:rPr>
              <w:t>(1,372 )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spacing w:after="0" w:line="209" w:lineRule="exact"/>
              <w:rPr>
                <w:sz w:val="20"/>
                <w:szCs w:val="20"/>
                <w:color w:val="auto"/>
              </w:rPr>
            </w:pPr>
            <w:r>
              <w:rPr>
                <w:rFonts w:ascii="Calibri" w:cs="Calibri" w:eastAsia="Calibri" w:hAnsi="Calibri"/>
                <w:sz w:val="18"/>
                <w:szCs w:val="18"/>
                <w:color w:val="auto"/>
              </w:rPr>
              <w:t>(1,765 )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80"/>
              <w:spacing w:after="0" w:line="209" w:lineRule="exact"/>
              <w:rPr>
                <w:sz w:val="20"/>
                <w:szCs w:val="20"/>
                <w:color w:val="auto"/>
              </w:rPr>
            </w:pPr>
            <w:r>
              <w:rPr>
                <w:rFonts w:ascii="Calibri" w:cs="Calibri" w:eastAsia="Calibri" w:hAnsi="Calibri"/>
                <w:sz w:val="18"/>
                <w:szCs w:val="18"/>
                <w:color w:val="auto"/>
              </w:rPr>
              <w:t>(1,640 )</w:t>
            </w:r>
          </w:p>
        </w:tc>
        <w:tc>
          <w:tcPr>
            <w:tcW w:w="80" w:type="dxa"/>
            <w:vAlign w:val="bottom"/>
          </w:tcPr>
          <w:p>
            <w:pPr>
              <w:spacing w:after="0"/>
              <w:rPr>
                <w:sz w:val="18"/>
                <w:szCs w:val="18"/>
                <w:color w:val="auto"/>
              </w:rPr>
            </w:pPr>
          </w:p>
        </w:tc>
      </w:tr>
      <w:tr>
        <w:trPr>
          <w:trHeight w:val="250"/>
        </w:trPr>
        <w:tc>
          <w:tcPr>
            <w:tcW w:w="620" w:type="dxa"/>
            <w:vAlign w:val="bottom"/>
          </w:tcPr>
          <w:p>
            <w:pPr>
              <w:spacing w:after="0"/>
              <w:rPr>
                <w:sz w:val="21"/>
                <w:szCs w:val="21"/>
                <w:color w:val="auto"/>
              </w:rPr>
            </w:pPr>
          </w:p>
        </w:tc>
        <w:tc>
          <w:tcPr>
            <w:tcW w:w="4880" w:type="dxa"/>
            <w:vAlign w:val="bottom"/>
            <w:tcBorders>
              <w:bottom w:val="single" w:sz="8" w:color="CCECFF"/>
            </w:tcBorders>
            <w:shd w:val="clear" w:color="auto" w:fill="CCECFF"/>
          </w:tcPr>
          <w:p>
            <w:pPr>
              <w:ind w:left="540"/>
              <w:spacing w:after="0" w:line="210" w:lineRule="exact"/>
              <w:rPr>
                <w:sz w:val="20"/>
                <w:szCs w:val="20"/>
                <w:color w:val="auto"/>
              </w:rPr>
            </w:pPr>
            <w:r>
              <w:rPr>
                <w:rFonts w:ascii="Calibri" w:cs="Calibri" w:eastAsia="Calibri" w:hAnsi="Calibri"/>
                <w:sz w:val="18"/>
                <w:szCs w:val="18"/>
                <w:color w:val="auto"/>
              </w:rPr>
              <w:t>Total provision for (beneft from) income taxes</w:t>
            </w:r>
          </w:p>
        </w:tc>
        <w:tc>
          <w:tcPr>
            <w:tcW w:w="280" w:type="dxa"/>
            <w:vAlign w:val="bottom"/>
            <w:tcBorders>
              <w:top w:val="single" w:sz="8" w:color="auto"/>
              <w:bottom w:val="single" w:sz="8" w:color="auto"/>
            </w:tcBorders>
            <w:gridSpan w:val="2"/>
            <w:shd w:val="clear" w:color="auto" w:fill="CCEEFF"/>
          </w:tcPr>
          <w:p>
            <w:pPr>
              <w:jc w:val="right"/>
              <w:ind w:right="90"/>
              <w:spacing w:after="0" w:line="210" w:lineRule="exact"/>
              <w:rPr>
                <w:sz w:val="20"/>
                <w:szCs w:val="20"/>
                <w:color w:val="auto"/>
              </w:rPr>
            </w:pPr>
            <w:r>
              <w:rPr>
                <w:rFonts w:ascii="Calibri" w:cs="Calibri" w:eastAsia="Calibri" w:hAnsi="Calibri"/>
                <w:sz w:val="18"/>
                <w:szCs w:val="18"/>
                <w:color w:val="auto"/>
                <w:w w:val="87"/>
              </w:rPr>
              <w:t>$</w:t>
            </w:r>
          </w:p>
        </w:tc>
        <w:tc>
          <w:tcPr>
            <w:tcW w:w="840" w:type="dxa"/>
            <w:vAlign w:val="bottom"/>
            <w:tcBorders>
              <w:top w:val="single" w:sz="8" w:color="auto"/>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1,597</w:t>
            </w:r>
          </w:p>
        </w:tc>
        <w:tc>
          <w:tcPr>
            <w:tcW w:w="120" w:type="dxa"/>
            <w:vAlign w:val="bottom"/>
            <w:tcBorders>
              <w:bottom w:val="single" w:sz="8" w:color="CCEEFF"/>
              <w:right w:val="single" w:sz="8" w:color="CCECFF"/>
            </w:tcBorders>
            <w:shd w:val="clear" w:color="auto" w:fill="CCEEFF"/>
          </w:tcPr>
          <w:p>
            <w:pPr>
              <w:spacing w:after="0"/>
              <w:rPr>
                <w:sz w:val="21"/>
                <w:szCs w:val="21"/>
                <w:color w:val="auto"/>
              </w:rPr>
            </w:pPr>
          </w:p>
        </w:tc>
        <w:tc>
          <w:tcPr>
            <w:tcW w:w="120" w:type="dxa"/>
            <w:vAlign w:val="bottom"/>
            <w:tcBorders>
              <w:bottom w:val="single" w:sz="8" w:color="CCECFF"/>
            </w:tcBorders>
            <w:shd w:val="clear" w:color="auto" w:fill="CCEC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(1,825</w:t>
            </w:r>
          </w:p>
        </w:tc>
        <w:tc>
          <w:tcPr>
            <w:tcW w:w="120" w:type="dxa"/>
            <w:vAlign w:val="bottom"/>
            <w:tcBorders>
              <w:bottom w:val="single" w:sz="8" w:color="CCEEFF"/>
              <w:right w:val="single" w:sz="8" w:color="CCECFF"/>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72"/>
              </w:rPr>
              <w:t>)</w:t>
            </w:r>
          </w:p>
        </w:tc>
        <w:tc>
          <w:tcPr>
            <w:tcW w:w="10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line="210" w:lineRule="exact"/>
              <w:rPr>
                <w:sz w:val="20"/>
                <w:szCs w:val="20"/>
                <w:color w:val="auto"/>
              </w:rPr>
            </w:pPr>
            <w:r>
              <w:rPr>
                <w:rFonts w:ascii="Calibri" w:cs="Calibri" w:eastAsia="Calibri" w:hAnsi="Calibri"/>
                <w:sz w:val="18"/>
                <w:szCs w:val="18"/>
                <w:color w:val="auto"/>
              </w:rPr>
              <w:t>5,696</w:t>
            </w:r>
          </w:p>
        </w:tc>
        <w:tc>
          <w:tcPr>
            <w:tcW w:w="160" w:type="dxa"/>
            <w:vAlign w:val="bottom"/>
            <w:tcBorders>
              <w:bottom w:val="single" w:sz="8" w:color="CCEEFF"/>
              <w:right w:val="single" w:sz="8" w:color="CCECFF"/>
            </w:tcBorders>
            <w:shd w:val="clear" w:color="auto" w:fill="CCEEFF"/>
          </w:tcPr>
          <w:p>
            <w:pPr>
              <w:spacing w:after="0"/>
              <w:rPr>
                <w:sz w:val="21"/>
                <w:szCs w:val="21"/>
                <w:color w:val="auto"/>
              </w:rPr>
            </w:pPr>
          </w:p>
        </w:tc>
        <w:tc>
          <w:tcPr>
            <w:tcW w:w="80" w:type="dxa"/>
            <w:vAlign w:val="bottom"/>
            <w:tcBorders>
              <w:bottom w:val="single" w:sz="8" w:color="CCECFF"/>
            </w:tcBorders>
            <w:shd w:val="clear" w:color="auto" w:fill="CCEC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-2202180</wp:posOffset>
            </wp:positionV>
            <wp:extent cx="5143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-2185670</wp:posOffset>
            </wp:positionV>
            <wp:extent cx="5143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-2202180</wp:posOffset>
            </wp:positionV>
            <wp:extent cx="5143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-2185670</wp:posOffset>
            </wp:positionV>
            <wp:extent cx="5143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-2202180</wp:posOffset>
            </wp:positionV>
            <wp:extent cx="5143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-2185670</wp:posOffset>
            </wp:positionV>
            <wp:extent cx="5143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-873760</wp:posOffset>
            </wp:positionV>
            <wp:extent cx="5143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-873760</wp:posOffset>
            </wp:positionV>
            <wp:extent cx="5143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-873760</wp:posOffset>
            </wp:positionV>
            <wp:extent cx="5143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6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-316230</wp:posOffset>
            </wp:positionV>
            <wp:extent cx="5143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6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-316230</wp:posOffset>
            </wp:positionV>
            <wp:extent cx="5143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6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-316230</wp:posOffset>
            </wp:positionV>
            <wp:extent cx="5143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6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-24765</wp:posOffset>
            </wp:positionV>
            <wp:extent cx="5143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6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-8255</wp:posOffset>
            </wp:positionV>
            <wp:extent cx="5143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60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5143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6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-8255</wp:posOffset>
            </wp:positionV>
            <wp:extent cx="5143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6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5143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6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-8255</wp:posOffset>
            </wp:positionV>
            <wp:extent cx="5143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60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9"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The Company has incurred net operatng losses since incepton. The Company has not refected any beneft of such net operatng loss carryforwards in the accompanying fnancial statements. The Company has established a full valuaton allowance against its deferred tax assets due to the uncertainty surrounding the realizaton of such assets.</w:t>
      </w:r>
    </w:p>
    <w:p>
      <w:pPr>
        <w:spacing w:after="0" w:line="84"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Beginning in 2022, the Tax Cuts and Jobs Act of 2017 eliminated the right to deduct research and development expenditures for tax purposes in the period the expenses were incurred and instead requires all U.S. and foreign research and development expenditures to be amortzed over fve and 15 tax years, respectvely. Due to this required capitalizaton of research and development expenditures and the signifcant taxable income generated as a result of our sale of royaltes in July 2022, the Company has recorded current state income tax expense of $6.1 million for the year ended December 31, 2022. For the year ended December 31, 2023, the Company recognized an income tax beneft of $4.8 million atributable to modifcatons in its state apportonment methodology, and then ofset by an income tax expense of $3.0 million from foreign jurisdictons. For the year ended December 31, 2024, the Company recognized an income tax expense of $0.2 million for state tax, and income tax expense of $1.4 million from foreign jurisdictons.</w:t>
      </w:r>
    </w:p>
    <w:p>
      <w:pPr>
        <w:spacing w:after="0" w:line="8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efectve tax rate of our provision for income taxes difers from the federal statutory rate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60" w:type="dxa"/>
            <w:vAlign w:val="bottom"/>
            <w:gridSpan w:val="6"/>
          </w:tcPr>
          <w:p>
            <w:pPr>
              <w:ind w:left="1020"/>
              <w:spacing w:after="0"/>
              <w:rPr>
                <w:sz w:val="20"/>
                <w:szCs w:val="20"/>
                <w:color w:val="auto"/>
              </w:rPr>
            </w:pPr>
            <w:r>
              <w:rPr>
                <w:rFonts w:ascii="Calibri" w:cs="Calibri" w:eastAsia="Calibri" w:hAnsi="Calibri"/>
                <w:sz w:val="18"/>
                <w:szCs w:val="18"/>
                <w:b w:val="1"/>
                <w:bCs w:val="1"/>
                <w:color w:val="auto"/>
              </w:rPr>
              <w:t>Year Ended December 31,</w:t>
            </w: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40" w:type="dxa"/>
            <w:vAlign w:val="bottom"/>
            <w:vMerge w:val="restart"/>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100" w:type="dxa"/>
            <w:vAlign w:val="bottom"/>
            <w:tcBorders>
              <w:bottom w:val="single" w:sz="8" w:color="auto"/>
            </w:tcBorders>
          </w:tcPr>
          <w:p>
            <w:pPr>
              <w:jc w:val="right"/>
              <w:ind w:right="290"/>
              <w:spacing w:after="0" w:line="209" w:lineRule="exact"/>
              <w:rPr>
                <w:sz w:val="20"/>
                <w:szCs w:val="20"/>
                <w:color w:val="auto"/>
              </w:rPr>
            </w:pPr>
            <w:r>
              <w:rPr>
                <w:rFonts w:ascii="Calibri" w:cs="Calibri" w:eastAsia="Calibri" w:hAnsi="Calibri"/>
                <w:sz w:val="18"/>
                <w:szCs w:val="18"/>
                <w:b w:val="1"/>
                <w:bCs w:val="1"/>
                <w:color w:val="auto"/>
              </w:rPr>
              <w:t>2024</w:t>
            </w:r>
          </w:p>
        </w:tc>
        <w:tc>
          <w:tcPr>
            <w:tcW w:w="360" w:type="dxa"/>
            <w:vAlign w:val="bottom"/>
          </w:tcPr>
          <w:p>
            <w:pPr>
              <w:spacing w:after="0"/>
              <w:rPr>
                <w:sz w:val="18"/>
                <w:szCs w:val="18"/>
                <w:color w:val="auto"/>
              </w:rPr>
            </w:pPr>
          </w:p>
        </w:tc>
        <w:tc>
          <w:tcPr>
            <w:tcW w:w="1080" w:type="dxa"/>
            <w:vAlign w:val="bottom"/>
            <w:tcBorders>
              <w:bottom w:val="single" w:sz="8" w:color="auto"/>
            </w:tcBorders>
          </w:tcPr>
          <w:p>
            <w:pPr>
              <w:jc w:val="right"/>
              <w:ind w:right="290"/>
              <w:spacing w:after="0" w:line="209" w:lineRule="exact"/>
              <w:rPr>
                <w:sz w:val="20"/>
                <w:szCs w:val="20"/>
                <w:color w:val="auto"/>
              </w:rPr>
            </w:pPr>
            <w:r>
              <w:rPr>
                <w:rFonts w:ascii="Calibri" w:cs="Calibri" w:eastAsia="Calibri" w:hAnsi="Calibri"/>
                <w:sz w:val="18"/>
                <w:szCs w:val="18"/>
                <w:b w:val="1"/>
                <w:bCs w:val="1"/>
                <w:color w:val="auto"/>
              </w:rPr>
              <w:t>2023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0"/>
              <w:spacing w:after="0" w:line="209" w:lineRule="exact"/>
              <w:rPr>
                <w:sz w:val="20"/>
                <w:szCs w:val="20"/>
                <w:color w:val="auto"/>
              </w:rPr>
            </w:pPr>
            <w:r>
              <w:rPr>
                <w:rFonts w:ascii="Calibri" w:cs="Calibri" w:eastAsia="Calibri" w:hAnsi="Calibri"/>
                <w:sz w:val="18"/>
                <w:szCs w:val="18"/>
                <w:b w:val="1"/>
                <w:bCs w:val="1"/>
                <w:color w:val="auto"/>
              </w:rPr>
              <w:t>2022</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40" w:type="dxa"/>
            <w:vAlign w:val="bottom"/>
            <w:shd w:val="clear" w:color="auto" w:fill="CCECFF"/>
          </w:tcPr>
          <w:p>
            <w:pPr>
              <w:spacing w:after="0" w:line="210" w:lineRule="exact"/>
              <w:rPr>
                <w:sz w:val="20"/>
                <w:szCs w:val="20"/>
                <w:color w:val="auto"/>
              </w:rPr>
            </w:pPr>
            <w:r>
              <w:rPr>
                <w:rFonts w:ascii="Calibri" w:cs="Calibri" w:eastAsia="Calibri" w:hAnsi="Calibri"/>
                <w:sz w:val="18"/>
                <w:szCs w:val="18"/>
                <w:color w:val="auto"/>
              </w:rPr>
              <w:t>Federal statutory income tax rate</w:t>
            </w:r>
          </w:p>
        </w:tc>
        <w:tc>
          <w:tcPr>
            <w:tcW w:w="2500" w:type="dxa"/>
            <w:vAlign w:val="bottom"/>
            <w:gridSpan w:val="3"/>
            <w:shd w:val="clear" w:color="auto" w:fill="CCECFF"/>
          </w:tcPr>
          <w:p>
            <w:pPr>
              <w:jc w:val="right"/>
              <w:ind w:right="54"/>
              <w:spacing w:after="0" w:line="210" w:lineRule="exact"/>
              <w:rPr>
                <w:sz w:val="20"/>
                <w:szCs w:val="20"/>
                <w:color w:val="auto"/>
              </w:rPr>
            </w:pPr>
            <w:r>
              <w:rPr>
                <w:rFonts w:ascii="Calibri" w:cs="Calibri" w:eastAsia="Calibri" w:hAnsi="Calibri"/>
                <w:sz w:val="18"/>
                <w:szCs w:val="18"/>
                <w:color w:val="auto"/>
              </w:rPr>
              <w:t>21.0  %</w:t>
            </w:r>
          </w:p>
        </w:tc>
        <w:tc>
          <w:tcPr>
            <w:tcW w:w="108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21.0</w:t>
            </w:r>
          </w:p>
        </w:tc>
        <w:tc>
          <w:tcPr>
            <w:tcW w:w="80" w:type="dxa"/>
            <w:vAlign w:val="bottom"/>
            <w:shd w:val="clear" w:color="auto" w:fill="CCECFF"/>
          </w:tcPr>
          <w:p>
            <w:pPr>
              <w:spacing w:after="0"/>
              <w:rPr>
                <w:sz w:val="18"/>
                <w:szCs w:val="18"/>
                <w:color w:val="auto"/>
              </w:rPr>
            </w:pPr>
          </w:p>
        </w:tc>
        <w:tc>
          <w:tcPr>
            <w:tcW w:w="260" w:type="dxa"/>
            <w:vAlign w:val="bottom"/>
            <w:shd w:val="clear" w:color="auto" w:fill="CCECFF"/>
          </w:tcPr>
          <w:p>
            <w:pPr>
              <w:jc w:val="right"/>
              <w:ind w:right="30"/>
              <w:spacing w:after="0" w:line="210" w:lineRule="exact"/>
              <w:rPr>
                <w:sz w:val="20"/>
                <w:szCs w:val="20"/>
                <w:color w:val="auto"/>
              </w:rPr>
            </w:pPr>
            <w:r>
              <w:rPr>
                <w:rFonts w:ascii="Calibri" w:cs="Calibri" w:eastAsia="Calibri" w:hAnsi="Calibri"/>
                <w:sz w:val="18"/>
                <w:szCs w:val="18"/>
                <w:color w:val="auto"/>
                <w:w w:val="92"/>
              </w:rPr>
              <w:t>%</w:t>
            </w:r>
          </w:p>
        </w:tc>
        <w:tc>
          <w:tcPr>
            <w:tcW w:w="180" w:type="dxa"/>
            <w:vAlign w:val="bottom"/>
            <w:shd w:val="clear" w:color="auto" w:fill="CCECFF"/>
          </w:tcPr>
          <w:p>
            <w:pPr>
              <w:spacing w:after="0"/>
              <w:rPr>
                <w:sz w:val="18"/>
                <w:szCs w:val="18"/>
                <w:color w:val="auto"/>
              </w:rPr>
            </w:pPr>
          </w:p>
        </w:tc>
        <w:tc>
          <w:tcPr>
            <w:tcW w:w="1240" w:type="dxa"/>
            <w:vAlign w:val="bottom"/>
            <w:gridSpan w:val="2"/>
            <w:shd w:val="clear" w:color="auto" w:fill="CCECFF"/>
          </w:tcPr>
          <w:p>
            <w:pPr>
              <w:jc w:val="right"/>
              <w:ind w:right="74"/>
              <w:spacing w:after="0" w:line="210" w:lineRule="exact"/>
              <w:rPr>
                <w:sz w:val="20"/>
                <w:szCs w:val="20"/>
                <w:color w:val="auto"/>
              </w:rPr>
            </w:pPr>
            <w:r>
              <w:rPr>
                <w:rFonts w:ascii="Calibri" w:cs="Calibri" w:eastAsia="Calibri" w:hAnsi="Calibri"/>
                <w:sz w:val="18"/>
                <w:szCs w:val="18"/>
                <w:color w:val="auto"/>
              </w:rPr>
              <w:t>21.0  %</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640" w:type="dxa"/>
            <w:vAlign w:val="bottom"/>
          </w:tcPr>
          <w:p>
            <w:pPr>
              <w:spacing w:after="0" w:line="215" w:lineRule="exact"/>
              <w:rPr>
                <w:sz w:val="20"/>
                <w:szCs w:val="20"/>
                <w:color w:val="auto"/>
              </w:rPr>
            </w:pPr>
            <w:r>
              <w:rPr>
                <w:rFonts w:ascii="Calibri" w:cs="Calibri" w:eastAsia="Calibri" w:hAnsi="Calibri"/>
                <w:sz w:val="18"/>
                <w:szCs w:val="18"/>
                <w:color w:val="auto"/>
              </w:rPr>
              <w:t>State income taxes, net of federal beneft</w:t>
            </w:r>
          </w:p>
        </w:tc>
        <w:tc>
          <w:tcPr>
            <w:tcW w:w="1040" w:type="dxa"/>
            <w:vAlign w:val="bottom"/>
          </w:tcPr>
          <w:p>
            <w:pPr>
              <w:spacing w:after="0"/>
              <w:rPr>
                <w:sz w:val="18"/>
                <w:szCs w:val="18"/>
                <w:color w:val="auto"/>
              </w:rPr>
            </w:pPr>
          </w:p>
        </w:tc>
        <w:tc>
          <w:tcPr>
            <w:tcW w:w="1460" w:type="dxa"/>
            <w:vAlign w:val="bottom"/>
            <w:gridSpan w:val="2"/>
          </w:tcPr>
          <w:p>
            <w:pPr>
              <w:jc w:val="right"/>
              <w:ind w:right="314"/>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0.8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34"/>
              <w:spacing w:after="0" w:line="215" w:lineRule="exact"/>
              <w:rPr>
                <w:sz w:val="20"/>
                <w:szCs w:val="20"/>
                <w:color w:val="auto"/>
              </w:rPr>
            </w:pPr>
            <w:r>
              <w:rPr>
                <w:rFonts w:ascii="Calibri" w:cs="Calibri" w:eastAsia="Calibri" w:hAnsi="Calibri"/>
                <w:sz w:val="18"/>
                <w:szCs w:val="18"/>
                <w:color w:val="auto"/>
              </w:rPr>
              <w:t>(0.4 )</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3640" w:type="dxa"/>
            <w:vAlign w:val="bottom"/>
            <w:shd w:val="clear" w:color="auto" w:fill="CCECFF"/>
          </w:tcPr>
          <w:p>
            <w:pPr>
              <w:spacing w:after="0" w:line="216" w:lineRule="exact"/>
              <w:rPr>
                <w:sz w:val="20"/>
                <w:szCs w:val="20"/>
                <w:color w:val="auto"/>
              </w:rPr>
            </w:pPr>
            <w:r>
              <w:rPr>
                <w:rFonts w:ascii="Calibri" w:cs="Calibri" w:eastAsia="Calibri" w:hAnsi="Calibri"/>
                <w:sz w:val="18"/>
                <w:szCs w:val="18"/>
                <w:color w:val="auto"/>
              </w:rPr>
              <w:t>Federal tax credits</w:t>
            </w:r>
          </w:p>
        </w:tc>
        <w:tc>
          <w:tcPr>
            <w:tcW w:w="2140" w:type="dxa"/>
            <w:vAlign w:val="bottom"/>
            <w:gridSpan w:val="2"/>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10.8</w:t>
            </w:r>
          </w:p>
        </w:tc>
        <w:tc>
          <w:tcPr>
            <w:tcW w:w="360" w:type="dxa"/>
            <w:vAlign w:val="bottom"/>
            <w:shd w:val="clear" w:color="auto" w:fill="CCECFF"/>
          </w:tcPr>
          <w:p>
            <w:pPr>
              <w:spacing w:after="0"/>
              <w:rPr>
                <w:sz w:val="18"/>
                <w:szCs w:val="18"/>
                <w:color w:val="auto"/>
              </w:rPr>
            </w:pPr>
          </w:p>
        </w:tc>
        <w:tc>
          <w:tcPr>
            <w:tcW w:w="108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7.3</w:t>
            </w:r>
          </w:p>
        </w:tc>
        <w:tc>
          <w:tcPr>
            <w:tcW w:w="8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88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5.9</w:t>
            </w:r>
          </w:p>
        </w:tc>
        <w:tc>
          <w:tcPr>
            <w:tcW w:w="360" w:type="dxa"/>
            <w:vAlign w:val="bottom"/>
            <w:shd w:val="clear" w:color="auto" w:fill="CCEC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640" w:type="dxa"/>
            <w:vAlign w:val="bottom"/>
          </w:tcPr>
          <w:p>
            <w:pPr>
              <w:spacing w:after="0" w:line="215" w:lineRule="exact"/>
              <w:rPr>
                <w:sz w:val="20"/>
                <w:szCs w:val="20"/>
                <w:color w:val="auto"/>
              </w:rPr>
            </w:pPr>
            <w:r>
              <w:rPr>
                <w:rFonts w:ascii="Calibri" w:cs="Calibri" w:eastAsia="Calibri" w:hAnsi="Calibri"/>
                <w:sz w:val="18"/>
                <w:szCs w:val="18"/>
                <w:color w:val="auto"/>
              </w:rPr>
              <w:t>Other</w:t>
            </w:r>
          </w:p>
        </w:tc>
        <w:tc>
          <w:tcPr>
            <w:tcW w:w="21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0.1</w:t>
            </w:r>
          </w:p>
        </w:tc>
        <w:tc>
          <w:tcPr>
            <w:tcW w:w="360" w:type="dxa"/>
            <w:vAlign w:val="bottom"/>
          </w:tcPr>
          <w:p>
            <w:pPr>
              <w:spacing w:after="0"/>
              <w:rPr>
                <w:sz w:val="18"/>
                <w:szCs w:val="18"/>
                <w:color w:val="auto"/>
              </w:rPr>
            </w:pPr>
          </w:p>
        </w:tc>
        <w:tc>
          <w:tcPr>
            <w:tcW w:w="116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(0.7 )</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34"/>
              <w:spacing w:after="0" w:line="215" w:lineRule="exact"/>
              <w:rPr>
                <w:sz w:val="20"/>
                <w:szCs w:val="20"/>
                <w:color w:val="auto"/>
              </w:rPr>
            </w:pPr>
            <w:r>
              <w:rPr>
                <w:rFonts w:ascii="Calibri" w:cs="Calibri" w:eastAsia="Calibri" w:hAnsi="Calibri"/>
                <w:sz w:val="18"/>
                <w:szCs w:val="18"/>
                <w:color w:val="auto"/>
              </w:rPr>
              <w:t>(0.1 )</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3640" w:type="dxa"/>
            <w:vAlign w:val="bottom"/>
            <w:shd w:val="clear" w:color="auto" w:fill="CCEEFF"/>
          </w:tcPr>
          <w:p>
            <w:pPr>
              <w:spacing w:after="0" w:line="216" w:lineRule="exact"/>
              <w:rPr>
                <w:sz w:val="20"/>
                <w:szCs w:val="20"/>
                <w:color w:val="auto"/>
              </w:rPr>
            </w:pPr>
            <w:r>
              <w:rPr>
                <w:rFonts w:ascii="Calibri" w:cs="Calibri" w:eastAsia="Calibri" w:hAnsi="Calibri"/>
                <w:sz w:val="18"/>
                <w:szCs w:val="18"/>
                <w:color w:val="auto"/>
              </w:rPr>
              <w:t>Nondeductble permanent items</w:t>
            </w:r>
          </w:p>
        </w:tc>
        <w:tc>
          <w:tcPr>
            <w:tcW w:w="2500" w:type="dxa"/>
            <w:vAlign w:val="bottom"/>
            <w:gridSpan w:val="3"/>
            <w:shd w:val="clear" w:color="auto" w:fill="CCEEFF"/>
          </w:tcPr>
          <w:p>
            <w:pPr>
              <w:jc w:val="right"/>
              <w:ind w:right="234"/>
              <w:spacing w:after="0" w:line="216" w:lineRule="exact"/>
              <w:rPr>
                <w:sz w:val="20"/>
                <w:szCs w:val="20"/>
                <w:color w:val="auto"/>
              </w:rPr>
            </w:pPr>
            <w:r>
              <w:rPr>
                <w:rFonts w:ascii="Calibri" w:cs="Calibri" w:eastAsia="Calibri" w:hAnsi="Calibri"/>
                <w:sz w:val="18"/>
                <w:szCs w:val="18"/>
                <w:color w:val="auto"/>
              </w:rPr>
              <w:t>(1.1 )</w:t>
            </w:r>
          </w:p>
        </w:tc>
        <w:tc>
          <w:tcPr>
            <w:tcW w:w="1160" w:type="dxa"/>
            <w:vAlign w:val="bottom"/>
            <w:gridSpan w:val="2"/>
            <w:shd w:val="clear" w:color="auto" w:fill="CCEEFF"/>
          </w:tcPr>
          <w:p>
            <w:pPr>
              <w:jc w:val="right"/>
              <w:ind w:right="20"/>
              <w:spacing w:after="0" w:line="216" w:lineRule="exact"/>
              <w:rPr>
                <w:sz w:val="20"/>
                <w:szCs w:val="20"/>
                <w:color w:val="auto"/>
              </w:rPr>
            </w:pPr>
            <w:r>
              <w:rPr>
                <w:rFonts w:ascii="Calibri" w:cs="Calibri" w:eastAsia="Calibri" w:hAnsi="Calibri"/>
                <w:sz w:val="18"/>
                <w:szCs w:val="18"/>
                <w:color w:val="auto"/>
              </w:rPr>
              <w:t>(0.3 )</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34"/>
              <w:spacing w:after="0" w:line="216" w:lineRule="exact"/>
              <w:rPr>
                <w:sz w:val="20"/>
                <w:szCs w:val="20"/>
                <w:color w:val="auto"/>
              </w:rPr>
            </w:pPr>
            <w:r>
              <w:rPr>
                <w:rFonts w:ascii="Calibri" w:cs="Calibri" w:eastAsia="Calibri" w:hAnsi="Calibri"/>
                <w:sz w:val="18"/>
                <w:szCs w:val="18"/>
                <w:color w:val="auto"/>
              </w:rPr>
              <w:t>(0.6 )</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640" w:type="dxa"/>
            <w:vAlign w:val="bottom"/>
          </w:tcPr>
          <w:p>
            <w:pPr>
              <w:spacing w:after="0" w:line="215" w:lineRule="exact"/>
              <w:rPr>
                <w:sz w:val="20"/>
                <w:szCs w:val="20"/>
                <w:color w:val="auto"/>
              </w:rPr>
            </w:pPr>
            <w:r>
              <w:rPr>
                <w:rFonts w:ascii="Calibri" w:cs="Calibri" w:eastAsia="Calibri" w:hAnsi="Calibri"/>
                <w:sz w:val="18"/>
                <w:szCs w:val="18"/>
                <w:color w:val="auto"/>
              </w:rPr>
              <w:t>Stock-based compensaton</w:t>
            </w:r>
          </w:p>
        </w:tc>
        <w:tc>
          <w:tcPr>
            <w:tcW w:w="2500" w:type="dxa"/>
            <w:vAlign w:val="bottom"/>
            <w:gridSpan w:val="3"/>
          </w:tcPr>
          <w:p>
            <w:pPr>
              <w:jc w:val="right"/>
              <w:ind w:right="234"/>
              <w:spacing w:after="0" w:line="215" w:lineRule="exact"/>
              <w:rPr>
                <w:sz w:val="20"/>
                <w:szCs w:val="20"/>
                <w:color w:val="auto"/>
              </w:rPr>
            </w:pPr>
            <w:r>
              <w:rPr>
                <w:rFonts w:ascii="Calibri" w:cs="Calibri" w:eastAsia="Calibri" w:hAnsi="Calibri"/>
                <w:sz w:val="18"/>
                <w:szCs w:val="18"/>
                <w:color w:val="auto"/>
              </w:rPr>
              <w:t>(1.6 )</w:t>
            </w:r>
          </w:p>
        </w:tc>
        <w:tc>
          <w:tcPr>
            <w:tcW w:w="116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(1.8 )</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34"/>
              <w:spacing w:after="0" w:line="215" w:lineRule="exact"/>
              <w:rPr>
                <w:sz w:val="20"/>
                <w:szCs w:val="20"/>
                <w:color w:val="auto"/>
              </w:rPr>
            </w:pPr>
            <w:r>
              <w:rPr>
                <w:rFonts w:ascii="Calibri" w:cs="Calibri" w:eastAsia="Calibri" w:hAnsi="Calibri"/>
                <w:sz w:val="18"/>
                <w:szCs w:val="18"/>
                <w:color w:val="auto"/>
              </w:rPr>
              <w:t>(1.2 )</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3640" w:type="dxa"/>
            <w:vAlign w:val="bottom"/>
            <w:shd w:val="clear" w:color="auto" w:fill="CCEEFF"/>
          </w:tcPr>
          <w:p>
            <w:pPr>
              <w:spacing w:after="0" w:line="216" w:lineRule="exact"/>
              <w:rPr>
                <w:sz w:val="20"/>
                <w:szCs w:val="20"/>
                <w:color w:val="auto"/>
              </w:rPr>
            </w:pPr>
            <w:r>
              <w:rPr>
                <w:rFonts w:ascii="Calibri" w:cs="Calibri" w:eastAsia="Calibri" w:hAnsi="Calibri"/>
                <w:sz w:val="18"/>
                <w:szCs w:val="18"/>
                <w:color w:val="auto"/>
              </w:rPr>
              <w:t>Uncertain tax positons</w:t>
            </w:r>
          </w:p>
        </w:tc>
        <w:tc>
          <w:tcPr>
            <w:tcW w:w="2500" w:type="dxa"/>
            <w:vAlign w:val="bottom"/>
            <w:gridSpan w:val="3"/>
            <w:shd w:val="clear" w:color="auto" w:fill="CCEEFF"/>
          </w:tcPr>
          <w:p>
            <w:pPr>
              <w:jc w:val="right"/>
              <w:ind w:right="234"/>
              <w:spacing w:after="0" w:line="216" w:lineRule="exact"/>
              <w:rPr>
                <w:sz w:val="20"/>
                <w:szCs w:val="20"/>
                <w:color w:val="auto"/>
              </w:rPr>
            </w:pPr>
            <w:r>
              <w:rPr>
                <w:rFonts w:ascii="Calibri" w:cs="Calibri" w:eastAsia="Calibri" w:hAnsi="Calibri"/>
                <w:sz w:val="18"/>
                <w:szCs w:val="18"/>
                <w:color w:val="auto"/>
              </w:rPr>
              <w:t>(2.0 )</w:t>
            </w:r>
          </w:p>
        </w:tc>
        <w:tc>
          <w:tcPr>
            <w:tcW w:w="1160" w:type="dxa"/>
            <w:vAlign w:val="bottom"/>
            <w:gridSpan w:val="2"/>
            <w:shd w:val="clear" w:color="auto" w:fill="CCEEFF"/>
          </w:tcPr>
          <w:p>
            <w:pPr>
              <w:jc w:val="right"/>
              <w:ind w:right="20"/>
              <w:spacing w:after="0" w:line="216" w:lineRule="exact"/>
              <w:rPr>
                <w:sz w:val="20"/>
                <w:szCs w:val="20"/>
                <w:color w:val="auto"/>
              </w:rPr>
            </w:pPr>
            <w:r>
              <w:rPr>
                <w:rFonts w:ascii="Calibri" w:cs="Calibri" w:eastAsia="Calibri" w:hAnsi="Calibri"/>
                <w:sz w:val="18"/>
                <w:szCs w:val="18"/>
                <w:color w:val="auto"/>
              </w:rPr>
              <w:t>(1.4 )</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34"/>
              <w:spacing w:after="0" w:line="216" w:lineRule="exact"/>
              <w:rPr>
                <w:sz w:val="20"/>
                <w:szCs w:val="20"/>
                <w:color w:val="auto"/>
              </w:rPr>
            </w:pPr>
            <w:r>
              <w:rPr>
                <w:rFonts w:ascii="Calibri" w:cs="Calibri" w:eastAsia="Calibri" w:hAnsi="Calibri"/>
                <w:sz w:val="18"/>
                <w:szCs w:val="18"/>
                <w:color w:val="auto"/>
              </w:rPr>
              <w:t>(1.2 )</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640" w:type="dxa"/>
            <w:vAlign w:val="bottom"/>
          </w:tcPr>
          <w:p>
            <w:pPr>
              <w:spacing w:after="0" w:line="215" w:lineRule="exact"/>
              <w:rPr>
                <w:sz w:val="20"/>
                <w:szCs w:val="20"/>
                <w:color w:val="auto"/>
              </w:rPr>
            </w:pPr>
            <w:r>
              <w:rPr>
                <w:rFonts w:ascii="Calibri" w:cs="Calibri" w:eastAsia="Calibri" w:hAnsi="Calibri"/>
                <w:sz w:val="18"/>
                <w:szCs w:val="18"/>
                <w:color w:val="auto"/>
              </w:rPr>
              <w:t>Change in valuaton allowance</w:t>
            </w:r>
          </w:p>
        </w:tc>
        <w:tc>
          <w:tcPr>
            <w:tcW w:w="2500" w:type="dxa"/>
            <w:vAlign w:val="bottom"/>
            <w:gridSpan w:val="3"/>
          </w:tcPr>
          <w:p>
            <w:pPr>
              <w:jc w:val="right"/>
              <w:ind w:right="234"/>
              <w:spacing w:after="0" w:line="215" w:lineRule="exact"/>
              <w:rPr>
                <w:sz w:val="20"/>
                <w:szCs w:val="20"/>
                <w:color w:val="auto"/>
              </w:rPr>
            </w:pPr>
            <w:r>
              <w:rPr>
                <w:rFonts w:ascii="Calibri" w:cs="Calibri" w:eastAsia="Calibri" w:hAnsi="Calibri"/>
                <w:sz w:val="18"/>
                <w:szCs w:val="18"/>
                <w:color w:val="auto"/>
              </w:rPr>
              <w:t>(27.1 )</w:t>
            </w:r>
          </w:p>
        </w:tc>
        <w:tc>
          <w:tcPr>
            <w:tcW w:w="116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(24.1 )</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34"/>
              <w:spacing w:after="0" w:line="215" w:lineRule="exact"/>
              <w:rPr>
                <w:sz w:val="20"/>
                <w:szCs w:val="20"/>
                <w:color w:val="auto"/>
              </w:rPr>
            </w:pPr>
            <w:r>
              <w:rPr>
                <w:rFonts w:ascii="Calibri" w:cs="Calibri" w:eastAsia="Calibri" w:hAnsi="Calibri"/>
                <w:sz w:val="18"/>
                <w:szCs w:val="18"/>
                <w:color w:val="auto"/>
              </w:rPr>
              <w:t>(24.0 )</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3640" w:type="dxa"/>
            <w:vAlign w:val="bottom"/>
            <w:shd w:val="clear" w:color="auto" w:fill="CCEEFF"/>
          </w:tcPr>
          <w:p>
            <w:pPr>
              <w:spacing w:after="0" w:line="216" w:lineRule="exact"/>
              <w:rPr>
                <w:sz w:val="20"/>
                <w:szCs w:val="20"/>
                <w:color w:val="auto"/>
              </w:rPr>
            </w:pPr>
            <w:r>
              <w:rPr>
                <w:rFonts w:ascii="Calibri" w:cs="Calibri" w:eastAsia="Calibri" w:hAnsi="Calibri"/>
                <w:sz w:val="18"/>
                <w:szCs w:val="18"/>
                <w:color w:val="auto"/>
              </w:rPr>
              <w:t>Foreign rate diferental</w:t>
            </w:r>
          </w:p>
        </w:tc>
        <w:tc>
          <w:tcPr>
            <w:tcW w:w="2500" w:type="dxa"/>
            <w:vAlign w:val="bottom"/>
            <w:gridSpan w:val="3"/>
            <w:shd w:val="clear" w:color="auto" w:fill="CCEEFF"/>
          </w:tcPr>
          <w:p>
            <w:pPr>
              <w:jc w:val="right"/>
              <w:ind w:right="234"/>
              <w:spacing w:after="0" w:line="216" w:lineRule="exact"/>
              <w:rPr>
                <w:sz w:val="20"/>
                <w:szCs w:val="20"/>
                <w:color w:val="auto"/>
              </w:rPr>
            </w:pPr>
            <w:r>
              <w:rPr>
                <w:rFonts w:ascii="Calibri" w:cs="Calibri" w:eastAsia="Calibri" w:hAnsi="Calibri"/>
                <w:sz w:val="18"/>
                <w:szCs w:val="18"/>
                <w:color w:val="auto"/>
              </w:rPr>
              <w:t>(0.4 )</w:t>
            </w:r>
          </w:p>
        </w:tc>
        <w:tc>
          <w:tcPr>
            <w:tcW w:w="1160" w:type="dxa"/>
            <w:vAlign w:val="bottom"/>
            <w:gridSpan w:val="2"/>
            <w:shd w:val="clear" w:color="auto" w:fill="CCEEFF"/>
          </w:tcPr>
          <w:p>
            <w:pPr>
              <w:jc w:val="right"/>
              <w:ind w:right="20"/>
              <w:spacing w:after="0" w:line="216" w:lineRule="exact"/>
              <w:rPr>
                <w:sz w:val="20"/>
                <w:szCs w:val="20"/>
                <w:color w:val="auto"/>
              </w:rPr>
            </w:pPr>
            <w:r>
              <w:rPr>
                <w:rFonts w:ascii="Calibri" w:cs="Calibri" w:eastAsia="Calibri" w:hAnsi="Calibri"/>
                <w:sz w:val="18"/>
                <w:szCs w:val="18"/>
                <w:color w:val="auto"/>
              </w:rPr>
              <w:t>(0.5 )</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34"/>
              <w:spacing w:after="0" w:line="216" w:lineRule="exact"/>
              <w:rPr>
                <w:sz w:val="20"/>
                <w:szCs w:val="20"/>
                <w:color w:val="auto"/>
              </w:rPr>
            </w:pPr>
            <w:r>
              <w:rPr>
                <w:rFonts w:ascii="Calibri" w:cs="Calibri" w:eastAsia="Calibri" w:hAnsi="Calibri"/>
                <w:sz w:val="18"/>
                <w:szCs w:val="18"/>
                <w:color w:val="auto"/>
              </w:rPr>
              <w:t>(0.2 )</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40" w:type="dxa"/>
            <w:vAlign w:val="bottom"/>
          </w:tcPr>
          <w:p>
            <w:pPr>
              <w:spacing w:after="0" w:line="195" w:lineRule="exact"/>
              <w:rPr>
                <w:sz w:val="20"/>
                <w:szCs w:val="20"/>
                <w:color w:val="auto"/>
              </w:rPr>
            </w:pPr>
            <w:r>
              <w:rPr>
                <w:rFonts w:ascii="Calibri" w:cs="Calibri" w:eastAsia="Calibri" w:hAnsi="Calibri"/>
                <w:sz w:val="18"/>
                <w:szCs w:val="18"/>
                <w:color w:val="auto"/>
              </w:rPr>
              <w:t>Provision for income taxes</w:t>
            </w:r>
          </w:p>
        </w:tc>
        <w:tc>
          <w:tcPr>
            <w:tcW w:w="104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(0.3</w:t>
            </w:r>
          </w:p>
        </w:tc>
        <w:tc>
          <w:tcPr>
            <w:tcW w:w="360" w:type="dxa"/>
            <w:vAlign w:val="bottom"/>
          </w:tcPr>
          <w:p>
            <w:pPr>
              <w:jc w:val="right"/>
              <w:ind w:right="54"/>
              <w:spacing w:after="0" w:line="210" w:lineRule="exact"/>
              <w:rPr>
                <w:sz w:val="20"/>
                <w:szCs w:val="20"/>
                <w:color w:val="auto"/>
              </w:rPr>
            </w:pPr>
            <w:r>
              <w:rPr>
                <w:rFonts w:ascii="Calibri" w:cs="Calibri" w:eastAsia="Calibri" w:hAnsi="Calibri"/>
                <w:sz w:val="13"/>
                <w:szCs w:val="13"/>
                <w:color w:val="auto"/>
              </w:rPr>
              <w:t xml:space="preserve">) </w:t>
            </w:r>
            <w:r>
              <w:rPr>
                <w:rFonts w:ascii="Calibri" w:cs="Calibri" w:eastAsia="Calibri" w:hAnsi="Calibri"/>
                <w:sz w:val="22"/>
                <w:szCs w:val="22"/>
                <w:color w:val="auto"/>
                <w:vertAlign w:val="subscript"/>
              </w:rPr>
              <w:t>%</w:t>
            </w:r>
          </w:p>
        </w:tc>
        <w:tc>
          <w:tcPr>
            <w:tcW w:w="108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0.3</w:t>
            </w:r>
          </w:p>
        </w:tc>
        <w:tc>
          <w:tcPr>
            <w:tcW w:w="80" w:type="dxa"/>
            <w:vAlign w:val="bottom"/>
          </w:tcPr>
          <w:p>
            <w:pPr>
              <w:spacing w:after="0"/>
              <w:rPr>
                <w:sz w:val="18"/>
                <w:szCs w:val="18"/>
                <w:color w:val="auto"/>
              </w:rPr>
            </w:pPr>
          </w:p>
        </w:tc>
        <w:tc>
          <w:tcPr>
            <w:tcW w:w="260" w:type="dxa"/>
            <w:vAlign w:val="bottom"/>
          </w:tcPr>
          <w:p>
            <w:pPr>
              <w:jc w:val="right"/>
              <w:ind w:right="30"/>
              <w:spacing w:after="0" w:line="209" w:lineRule="exact"/>
              <w:rPr>
                <w:sz w:val="20"/>
                <w:szCs w:val="20"/>
                <w:color w:val="auto"/>
              </w:rPr>
            </w:pPr>
            <w:r>
              <w:rPr>
                <w:rFonts w:ascii="Calibri" w:cs="Calibri" w:eastAsia="Calibri" w:hAnsi="Calibri"/>
                <w:sz w:val="18"/>
                <w:szCs w:val="18"/>
                <w:color w:val="auto"/>
                <w:w w:val="92"/>
              </w:rPr>
              <w:t>%</w:t>
            </w: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(0.8</w:t>
            </w:r>
          </w:p>
        </w:tc>
        <w:tc>
          <w:tcPr>
            <w:tcW w:w="360" w:type="dxa"/>
            <w:vAlign w:val="bottom"/>
          </w:tcPr>
          <w:p>
            <w:pPr>
              <w:jc w:val="right"/>
              <w:ind w:right="74"/>
              <w:spacing w:after="0" w:line="210" w:lineRule="exact"/>
              <w:rPr>
                <w:sz w:val="20"/>
                <w:szCs w:val="20"/>
                <w:color w:val="auto"/>
              </w:rPr>
            </w:pPr>
            <w:r>
              <w:rPr>
                <w:rFonts w:ascii="Calibri" w:cs="Calibri" w:eastAsia="Calibri" w:hAnsi="Calibri"/>
                <w:sz w:val="13"/>
                <w:szCs w:val="13"/>
                <w:color w:val="auto"/>
              </w:rPr>
              <w:t xml:space="preserve">) </w:t>
            </w:r>
            <w:r>
              <w:rPr>
                <w:rFonts w:ascii="Calibri" w:cs="Calibri" w:eastAsia="Calibri" w:hAnsi="Calibri"/>
                <w:sz w:val="22"/>
                <w:szCs w:val="22"/>
                <w:color w:val="auto"/>
                <w:vertAlign w:val="subscript"/>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11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500" w:type="dxa"/>
            <w:vAlign w:val="bottom"/>
            <w:gridSpan w:val="3"/>
          </w:tcPr>
          <w:p>
            <w:pPr>
              <w:jc w:val="right"/>
              <w:ind w:right="1434"/>
              <w:spacing w:after="0"/>
              <w:rPr>
                <w:sz w:val="20"/>
                <w:szCs w:val="20"/>
                <w:color w:val="auto"/>
              </w:rPr>
            </w:pPr>
            <w:r>
              <w:rPr>
                <w:rFonts w:ascii="Calibri" w:cs="Calibri" w:eastAsia="Calibri" w:hAnsi="Calibri"/>
                <w:sz w:val="18"/>
                <w:szCs w:val="18"/>
                <w:color w:val="auto"/>
              </w:rPr>
              <w:t>F-33</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6"/>
        </w:trPr>
        <w:tc>
          <w:tcPr>
            <w:tcW w:w="114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6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6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7" w:name="page128"/>
    <w:bookmarkEnd w:id="127"/>
    <w:p>
      <w:pPr>
        <w:ind w:left="384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84"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tax efect of temporary diferences that give rise to signifcant portons of the deferred tax assets is presented below (in thousands):</w:t>
      </w:r>
    </w:p>
    <w:p>
      <w:pPr>
        <w:spacing w:after="0" w:line="118"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6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5"/>
          </w:tcPr>
          <w:p>
            <w:pPr>
              <w:jc w:val="right"/>
              <w:ind w:right="520"/>
              <w:spacing w:after="0"/>
              <w:rPr>
                <w:sz w:val="20"/>
                <w:szCs w:val="20"/>
                <w:color w:val="auto"/>
              </w:rPr>
            </w:pPr>
            <w:r>
              <w:rPr>
                <w:rFonts w:ascii="Calibri" w:cs="Calibri" w:eastAsia="Calibri" w:hAnsi="Calibri"/>
                <w:sz w:val="18"/>
                <w:szCs w:val="18"/>
                <w:b w:val="1"/>
                <w:bCs w:val="1"/>
                <w:color w:val="auto"/>
              </w:rPr>
              <w:t>Year Ended December 31,</w:t>
            </w:r>
          </w:p>
        </w:tc>
      </w:tr>
      <w:tr>
        <w:trPr>
          <w:trHeight w:val="23"/>
        </w:trPr>
        <w:tc>
          <w:tcPr>
            <w:tcW w:w="6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r>
      <w:tr>
        <w:trPr>
          <w:trHeight w:val="209"/>
        </w:trPr>
        <w:tc>
          <w:tcPr>
            <w:tcW w:w="6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line="209" w:lineRule="exact"/>
              <w:rPr>
                <w:sz w:val="20"/>
                <w:szCs w:val="20"/>
                <w:color w:val="auto"/>
              </w:rPr>
            </w:pPr>
            <w:r>
              <w:rPr>
                <w:rFonts w:ascii="Calibri" w:cs="Calibri" w:eastAsia="Calibri" w:hAnsi="Calibri"/>
                <w:sz w:val="18"/>
                <w:szCs w:val="18"/>
                <w:b w:val="1"/>
                <w:bCs w:val="1"/>
                <w:color w:val="auto"/>
              </w:rPr>
              <w:t>2024</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line="209" w:lineRule="exact"/>
              <w:rPr>
                <w:sz w:val="20"/>
                <w:szCs w:val="20"/>
                <w:color w:val="auto"/>
              </w:rPr>
            </w:pPr>
            <w:r>
              <w:rPr>
                <w:rFonts w:ascii="Calibri" w:cs="Calibri" w:eastAsia="Calibri" w:hAnsi="Calibri"/>
                <w:sz w:val="18"/>
                <w:szCs w:val="18"/>
                <w:b w:val="1"/>
                <w:bCs w:val="1"/>
                <w:color w:val="auto"/>
              </w:rPr>
              <w:t>2023</w:t>
            </w:r>
          </w:p>
        </w:tc>
        <w:tc>
          <w:tcPr>
            <w:tcW w:w="240" w:type="dxa"/>
            <w:vAlign w:val="bottom"/>
          </w:tcPr>
          <w:p>
            <w:pPr>
              <w:spacing w:after="0"/>
              <w:rPr>
                <w:sz w:val="18"/>
                <w:szCs w:val="18"/>
                <w:color w:val="auto"/>
              </w:rPr>
            </w:pPr>
          </w:p>
        </w:tc>
      </w:tr>
      <w:tr>
        <w:trPr>
          <w:trHeight w:val="210"/>
        </w:trPr>
        <w:tc>
          <w:tcPr>
            <w:tcW w:w="6300" w:type="dxa"/>
            <w:vAlign w:val="bottom"/>
            <w:shd w:val="clear" w:color="auto" w:fill="CCECFF"/>
          </w:tcPr>
          <w:p>
            <w:pPr>
              <w:spacing w:after="0" w:line="210" w:lineRule="exact"/>
              <w:rPr>
                <w:sz w:val="20"/>
                <w:szCs w:val="20"/>
                <w:color w:val="auto"/>
              </w:rPr>
            </w:pPr>
            <w:r>
              <w:rPr>
                <w:rFonts w:ascii="Calibri" w:cs="Calibri" w:eastAsia="Calibri" w:hAnsi="Calibri"/>
                <w:sz w:val="18"/>
                <w:szCs w:val="18"/>
                <w:color w:val="auto"/>
              </w:rPr>
              <w:t>Deferred tax assets:</w:t>
            </w:r>
          </w:p>
        </w:tc>
        <w:tc>
          <w:tcPr>
            <w:tcW w:w="20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9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r>
      <w:tr>
        <w:trPr>
          <w:trHeight w:val="215"/>
        </w:trPr>
        <w:tc>
          <w:tcPr>
            <w:tcW w:w="6300" w:type="dxa"/>
            <w:vAlign w:val="bottom"/>
          </w:tcPr>
          <w:p>
            <w:pPr>
              <w:ind w:left="180"/>
              <w:spacing w:after="0" w:line="215" w:lineRule="exact"/>
              <w:rPr>
                <w:sz w:val="20"/>
                <w:szCs w:val="20"/>
                <w:color w:val="auto"/>
              </w:rPr>
            </w:pPr>
            <w:r>
              <w:rPr>
                <w:rFonts w:ascii="Calibri" w:cs="Calibri" w:eastAsia="Calibri" w:hAnsi="Calibri"/>
                <w:sz w:val="18"/>
                <w:szCs w:val="18"/>
                <w:color w:val="auto"/>
              </w:rPr>
              <w:t>Loss carryforwards</w:t>
            </w:r>
          </w:p>
        </w:tc>
        <w:tc>
          <w:tcPr>
            <w:tcW w:w="2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309,301</w:t>
            </w:r>
          </w:p>
        </w:tc>
        <w:tc>
          <w:tcPr>
            <w:tcW w:w="220" w:type="dxa"/>
            <w:vAlign w:val="bottom"/>
          </w:tcPr>
          <w:p>
            <w:pPr>
              <w:spacing w:after="0"/>
              <w:rPr>
                <w:sz w:val="18"/>
                <w:szCs w:val="18"/>
                <w:color w:val="auto"/>
              </w:rPr>
            </w:pPr>
          </w:p>
        </w:tc>
        <w:tc>
          <w:tcPr>
            <w:tcW w:w="2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266,253</w:t>
            </w:r>
          </w:p>
        </w:tc>
        <w:tc>
          <w:tcPr>
            <w:tcW w:w="240" w:type="dxa"/>
            <w:vAlign w:val="bottom"/>
          </w:tcPr>
          <w:p>
            <w:pPr>
              <w:spacing w:after="0"/>
              <w:rPr>
                <w:sz w:val="18"/>
                <w:szCs w:val="18"/>
                <w:color w:val="auto"/>
              </w:rPr>
            </w:pPr>
          </w:p>
        </w:tc>
      </w:tr>
      <w:tr>
        <w:trPr>
          <w:trHeight w:val="217"/>
        </w:trPr>
        <w:tc>
          <w:tcPr>
            <w:tcW w:w="6300" w:type="dxa"/>
            <w:vAlign w:val="bottom"/>
            <w:shd w:val="clear" w:color="auto" w:fill="CCECFF"/>
          </w:tcPr>
          <w:p>
            <w:pPr>
              <w:ind w:left="180"/>
              <w:spacing w:after="0" w:line="216" w:lineRule="exact"/>
              <w:rPr>
                <w:sz w:val="20"/>
                <w:szCs w:val="20"/>
                <w:color w:val="auto"/>
              </w:rPr>
            </w:pPr>
            <w:r>
              <w:rPr>
                <w:rFonts w:ascii="Calibri" w:cs="Calibri" w:eastAsia="Calibri" w:hAnsi="Calibri"/>
                <w:sz w:val="18"/>
                <w:szCs w:val="18"/>
                <w:color w:val="auto"/>
              </w:rPr>
              <w:t>Tax credits</w:t>
            </w:r>
          </w:p>
        </w:tc>
        <w:tc>
          <w:tcPr>
            <w:tcW w:w="20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369,988</w:t>
            </w:r>
          </w:p>
        </w:tc>
        <w:tc>
          <w:tcPr>
            <w:tcW w:w="2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305,198</w:t>
            </w:r>
          </w:p>
        </w:tc>
        <w:tc>
          <w:tcPr>
            <w:tcW w:w="240" w:type="dxa"/>
            <w:vAlign w:val="bottom"/>
            <w:shd w:val="clear" w:color="auto" w:fill="CCECFF"/>
          </w:tcPr>
          <w:p>
            <w:pPr>
              <w:spacing w:after="0"/>
              <w:rPr>
                <w:sz w:val="18"/>
                <w:szCs w:val="18"/>
                <w:color w:val="auto"/>
              </w:rPr>
            </w:pPr>
          </w:p>
        </w:tc>
      </w:tr>
      <w:tr>
        <w:trPr>
          <w:trHeight w:val="215"/>
        </w:trPr>
        <w:tc>
          <w:tcPr>
            <w:tcW w:w="6300" w:type="dxa"/>
            <w:vAlign w:val="bottom"/>
          </w:tcPr>
          <w:p>
            <w:pPr>
              <w:ind w:left="180"/>
              <w:spacing w:after="0" w:line="215" w:lineRule="exact"/>
              <w:rPr>
                <w:sz w:val="20"/>
                <w:szCs w:val="20"/>
                <w:color w:val="auto"/>
              </w:rPr>
            </w:pPr>
            <w:r>
              <w:rPr>
                <w:rFonts w:ascii="Calibri" w:cs="Calibri" w:eastAsia="Calibri" w:hAnsi="Calibri"/>
                <w:sz w:val="18"/>
                <w:szCs w:val="18"/>
                <w:color w:val="auto"/>
              </w:rPr>
              <w:t>Stock optons</w:t>
            </w:r>
          </w:p>
        </w:tc>
        <w:tc>
          <w:tcPr>
            <w:tcW w:w="20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51,939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44,795</w:t>
            </w:r>
          </w:p>
        </w:tc>
        <w:tc>
          <w:tcPr>
            <w:tcW w:w="240" w:type="dxa"/>
            <w:vAlign w:val="bottom"/>
          </w:tcPr>
          <w:p>
            <w:pPr>
              <w:spacing w:after="0"/>
              <w:rPr>
                <w:sz w:val="18"/>
                <w:szCs w:val="18"/>
                <w:color w:val="auto"/>
              </w:rPr>
            </w:pPr>
          </w:p>
        </w:tc>
      </w:tr>
      <w:tr>
        <w:trPr>
          <w:trHeight w:val="217"/>
        </w:trPr>
        <w:tc>
          <w:tcPr>
            <w:tcW w:w="6300" w:type="dxa"/>
            <w:vAlign w:val="bottom"/>
            <w:shd w:val="clear" w:color="auto" w:fill="CCECFF"/>
          </w:tcPr>
          <w:p>
            <w:pPr>
              <w:ind w:left="180"/>
              <w:spacing w:after="0" w:line="216" w:lineRule="exact"/>
              <w:rPr>
                <w:sz w:val="20"/>
                <w:szCs w:val="20"/>
                <w:color w:val="auto"/>
              </w:rPr>
            </w:pPr>
            <w:r>
              <w:rPr>
                <w:rFonts w:ascii="Calibri" w:cs="Calibri" w:eastAsia="Calibri" w:hAnsi="Calibri"/>
                <w:sz w:val="18"/>
                <w:szCs w:val="18"/>
                <w:color w:val="auto"/>
              </w:rPr>
              <w:t>Accruals and reserves</w:t>
            </w:r>
          </w:p>
        </w:tc>
        <w:tc>
          <w:tcPr>
            <w:tcW w:w="20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32,140</w:t>
            </w:r>
          </w:p>
        </w:tc>
        <w:tc>
          <w:tcPr>
            <w:tcW w:w="2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27,694</w:t>
            </w:r>
          </w:p>
        </w:tc>
        <w:tc>
          <w:tcPr>
            <w:tcW w:w="240" w:type="dxa"/>
            <w:vAlign w:val="bottom"/>
            <w:shd w:val="clear" w:color="auto" w:fill="CCECFF"/>
          </w:tcPr>
          <w:p>
            <w:pPr>
              <w:spacing w:after="0"/>
              <w:rPr>
                <w:sz w:val="18"/>
                <w:szCs w:val="18"/>
                <w:color w:val="auto"/>
              </w:rPr>
            </w:pPr>
          </w:p>
        </w:tc>
      </w:tr>
      <w:tr>
        <w:trPr>
          <w:trHeight w:val="215"/>
        </w:trPr>
        <w:tc>
          <w:tcPr>
            <w:tcW w:w="6300" w:type="dxa"/>
            <w:vAlign w:val="bottom"/>
          </w:tcPr>
          <w:p>
            <w:pPr>
              <w:ind w:left="180"/>
              <w:spacing w:after="0" w:line="215" w:lineRule="exact"/>
              <w:rPr>
                <w:sz w:val="20"/>
                <w:szCs w:val="20"/>
                <w:color w:val="auto"/>
              </w:rPr>
            </w:pPr>
            <w:r>
              <w:rPr>
                <w:rFonts w:ascii="Calibri" w:cs="Calibri" w:eastAsia="Calibri" w:hAnsi="Calibri"/>
                <w:sz w:val="18"/>
                <w:szCs w:val="18"/>
                <w:color w:val="auto"/>
              </w:rPr>
              <w:t>Fixed assets and intangibles</w:t>
            </w:r>
          </w:p>
        </w:tc>
        <w:tc>
          <w:tcPr>
            <w:tcW w:w="20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32,391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33,853</w:t>
            </w:r>
          </w:p>
        </w:tc>
        <w:tc>
          <w:tcPr>
            <w:tcW w:w="240" w:type="dxa"/>
            <w:vAlign w:val="bottom"/>
          </w:tcPr>
          <w:p>
            <w:pPr>
              <w:spacing w:after="0"/>
              <w:rPr>
                <w:sz w:val="18"/>
                <w:szCs w:val="18"/>
                <w:color w:val="auto"/>
              </w:rPr>
            </w:pPr>
          </w:p>
        </w:tc>
      </w:tr>
      <w:tr>
        <w:trPr>
          <w:trHeight w:val="217"/>
        </w:trPr>
        <w:tc>
          <w:tcPr>
            <w:tcW w:w="6300" w:type="dxa"/>
            <w:vAlign w:val="bottom"/>
            <w:shd w:val="clear" w:color="auto" w:fill="CCEEFF"/>
          </w:tcPr>
          <w:p>
            <w:pPr>
              <w:ind w:left="180"/>
              <w:spacing w:after="0" w:line="216" w:lineRule="exact"/>
              <w:rPr>
                <w:sz w:val="20"/>
                <w:szCs w:val="20"/>
                <w:color w:val="auto"/>
              </w:rPr>
            </w:pPr>
            <w:r>
              <w:rPr>
                <w:rFonts w:ascii="Calibri" w:cs="Calibri" w:eastAsia="Calibri" w:hAnsi="Calibri"/>
                <w:sz w:val="18"/>
                <w:szCs w:val="18"/>
                <w:color w:val="auto"/>
              </w:rPr>
              <w:t>Liabilites for sales of future royaltes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196,664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16" w:lineRule="exact"/>
              <w:rPr>
                <w:sz w:val="20"/>
                <w:szCs w:val="20"/>
                <w:color w:val="auto"/>
              </w:rPr>
            </w:pPr>
            <w:r>
              <w:rPr>
                <w:rFonts w:ascii="Calibri" w:cs="Calibri" w:eastAsia="Calibri" w:hAnsi="Calibri"/>
                <w:sz w:val="18"/>
                <w:szCs w:val="18"/>
                <w:color w:val="auto"/>
              </w:rPr>
              <w:t>205,400</w:t>
            </w:r>
          </w:p>
        </w:tc>
        <w:tc>
          <w:tcPr>
            <w:tcW w:w="240" w:type="dxa"/>
            <w:vAlign w:val="bottom"/>
            <w:shd w:val="clear" w:color="auto" w:fill="CCEEFF"/>
          </w:tcPr>
          <w:p>
            <w:pPr>
              <w:spacing w:after="0"/>
              <w:rPr>
                <w:sz w:val="18"/>
                <w:szCs w:val="18"/>
                <w:color w:val="auto"/>
              </w:rPr>
            </w:pPr>
          </w:p>
        </w:tc>
      </w:tr>
      <w:tr>
        <w:trPr>
          <w:trHeight w:val="215"/>
        </w:trPr>
        <w:tc>
          <w:tcPr>
            <w:tcW w:w="6300" w:type="dxa"/>
            <w:vAlign w:val="bottom"/>
          </w:tcPr>
          <w:p>
            <w:pPr>
              <w:ind w:left="180"/>
              <w:spacing w:after="0" w:line="215" w:lineRule="exact"/>
              <w:rPr>
                <w:sz w:val="20"/>
                <w:szCs w:val="20"/>
                <w:color w:val="auto"/>
              </w:rPr>
            </w:pPr>
            <w:r>
              <w:rPr>
                <w:rFonts w:ascii="Calibri" w:cs="Calibri" w:eastAsia="Calibri" w:hAnsi="Calibri"/>
                <w:sz w:val="18"/>
                <w:szCs w:val="18"/>
                <w:color w:val="auto"/>
              </w:rPr>
              <w:t>Basis diference in equity investments</w:t>
            </w:r>
          </w:p>
        </w:tc>
        <w:tc>
          <w:tcPr>
            <w:tcW w:w="20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8,683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8,423</w:t>
            </w:r>
          </w:p>
        </w:tc>
        <w:tc>
          <w:tcPr>
            <w:tcW w:w="240" w:type="dxa"/>
            <w:vAlign w:val="bottom"/>
          </w:tcPr>
          <w:p>
            <w:pPr>
              <w:spacing w:after="0"/>
              <w:rPr>
                <w:sz w:val="18"/>
                <w:szCs w:val="18"/>
                <w:color w:val="auto"/>
              </w:rPr>
            </w:pPr>
          </w:p>
        </w:tc>
      </w:tr>
      <w:tr>
        <w:trPr>
          <w:trHeight w:val="217"/>
        </w:trPr>
        <w:tc>
          <w:tcPr>
            <w:tcW w:w="6300" w:type="dxa"/>
            <w:vAlign w:val="bottom"/>
            <w:shd w:val="clear" w:color="auto" w:fill="CCECFF"/>
          </w:tcPr>
          <w:p>
            <w:pPr>
              <w:ind w:left="180"/>
              <w:spacing w:after="0" w:line="216" w:lineRule="exact"/>
              <w:rPr>
                <w:sz w:val="20"/>
                <w:szCs w:val="20"/>
                <w:color w:val="auto"/>
              </w:rPr>
            </w:pPr>
            <w:r>
              <w:rPr>
                <w:rFonts w:ascii="Calibri" w:cs="Calibri" w:eastAsia="Calibri" w:hAnsi="Calibri"/>
                <w:sz w:val="18"/>
                <w:szCs w:val="18"/>
                <w:color w:val="auto"/>
              </w:rPr>
              <w:t>Capitalized research and development costs</w:t>
            </w:r>
          </w:p>
        </w:tc>
        <w:tc>
          <w:tcPr>
            <w:tcW w:w="20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211,969</w:t>
            </w:r>
          </w:p>
        </w:tc>
        <w:tc>
          <w:tcPr>
            <w:tcW w:w="2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line="216" w:lineRule="exact"/>
              <w:rPr>
                <w:sz w:val="20"/>
                <w:szCs w:val="20"/>
                <w:color w:val="auto"/>
              </w:rPr>
            </w:pPr>
            <w:r>
              <w:rPr>
                <w:rFonts w:ascii="Calibri" w:cs="Calibri" w:eastAsia="Calibri" w:hAnsi="Calibri"/>
                <w:sz w:val="18"/>
                <w:szCs w:val="18"/>
                <w:color w:val="auto"/>
              </w:rPr>
              <w:t>149,898</w:t>
            </w:r>
          </w:p>
        </w:tc>
        <w:tc>
          <w:tcPr>
            <w:tcW w:w="240" w:type="dxa"/>
            <w:vAlign w:val="bottom"/>
            <w:shd w:val="clear" w:color="auto" w:fill="CCECFF"/>
          </w:tcPr>
          <w:p>
            <w:pPr>
              <w:spacing w:after="0"/>
              <w:rPr>
                <w:sz w:val="18"/>
                <w:szCs w:val="18"/>
                <w:color w:val="auto"/>
              </w:rPr>
            </w:pPr>
          </w:p>
        </w:tc>
      </w:tr>
      <w:tr>
        <w:trPr>
          <w:trHeight w:val="215"/>
        </w:trPr>
        <w:tc>
          <w:tcPr>
            <w:tcW w:w="6300" w:type="dxa"/>
            <w:vAlign w:val="bottom"/>
          </w:tcPr>
          <w:p>
            <w:pPr>
              <w:ind w:left="180"/>
              <w:spacing w:after="0" w:line="215" w:lineRule="exact"/>
              <w:rPr>
                <w:sz w:val="20"/>
                <w:szCs w:val="20"/>
                <w:color w:val="auto"/>
              </w:rPr>
            </w:pPr>
            <w:r>
              <w:rPr>
                <w:rFonts w:ascii="Calibri" w:cs="Calibri" w:eastAsia="Calibri" w:hAnsi="Calibri"/>
                <w:sz w:val="18"/>
                <w:szCs w:val="18"/>
                <w:color w:val="auto"/>
              </w:rPr>
              <w:t>Other</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589</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281</w:t>
            </w:r>
          </w:p>
        </w:tc>
        <w:tc>
          <w:tcPr>
            <w:tcW w:w="240" w:type="dxa"/>
            <w:vAlign w:val="bottom"/>
          </w:tcPr>
          <w:p>
            <w:pPr>
              <w:spacing w:after="0"/>
              <w:rPr>
                <w:sz w:val="18"/>
                <w:szCs w:val="18"/>
                <w:color w:val="auto"/>
              </w:rPr>
            </w:pPr>
          </w:p>
        </w:tc>
      </w:tr>
      <w:tr>
        <w:trPr>
          <w:trHeight w:val="210"/>
        </w:trPr>
        <w:tc>
          <w:tcPr>
            <w:tcW w:w="6300" w:type="dxa"/>
            <w:vAlign w:val="bottom"/>
            <w:shd w:val="clear" w:color="auto" w:fill="CCECFF"/>
          </w:tcPr>
          <w:p>
            <w:pPr>
              <w:ind w:left="360"/>
              <w:spacing w:after="0" w:line="210" w:lineRule="exact"/>
              <w:rPr>
                <w:sz w:val="20"/>
                <w:szCs w:val="20"/>
                <w:color w:val="auto"/>
              </w:rPr>
            </w:pPr>
            <w:r>
              <w:rPr>
                <w:rFonts w:ascii="Calibri" w:cs="Calibri" w:eastAsia="Calibri" w:hAnsi="Calibri"/>
                <w:sz w:val="18"/>
                <w:szCs w:val="18"/>
                <w:color w:val="auto"/>
              </w:rPr>
              <w:t>Gross deferred tax assets</w:t>
            </w:r>
          </w:p>
        </w:tc>
        <w:tc>
          <w:tcPr>
            <w:tcW w:w="20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1,213,664</w:t>
            </w:r>
          </w:p>
        </w:tc>
        <w:tc>
          <w:tcPr>
            <w:tcW w:w="22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1,041,795</w:t>
            </w:r>
          </w:p>
        </w:tc>
        <w:tc>
          <w:tcPr>
            <w:tcW w:w="240" w:type="dxa"/>
            <w:vAlign w:val="bottom"/>
            <w:shd w:val="clear" w:color="auto" w:fill="CCECFF"/>
          </w:tcPr>
          <w:p>
            <w:pPr>
              <w:spacing w:after="0"/>
              <w:rPr>
                <w:sz w:val="18"/>
                <w:szCs w:val="18"/>
                <w:color w:val="auto"/>
              </w:rPr>
            </w:pPr>
          </w:p>
        </w:tc>
      </w:tr>
      <w:tr>
        <w:trPr>
          <w:trHeight w:val="223"/>
        </w:trPr>
        <w:tc>
          <w:tcPr>
            <w:tcW w:w="6300" w:type="dxa"/>
            <w:vAlign w:val="bottom"/>
          </w:tcPr>
          <w:p>
            <w:pPr>
              <w:ind w:left="360"/>
              <w:spacing w:after="0" w:line="215" w:lineRule="exact"/>
              <w:rPr>
                <w:sz w:val="20"/>
                <w:szCs w:val="20"/>
                <w:color w:val="auto"/>
              </w:rPr>
            </w:pPr>
            <w:r>
              <w:rPr>
                <w:rFonts w:ascii="Calibri" w:cs="Calibri" w:eastAsia="Calibri" w:hAnsi="Calibri"/>
                <w:sz w:val="18"/>
                <w:szCs w:val="18"/>
                <w:color w:val="auto"/>
              </w:rPr>
              <w:t>Valuaton allowance</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(1,206,514 )</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(1,035,836 )</w:t>
            </w:r>
          </w:p>
        </w:tc>
      </w:tr>
      <w:tr>
        <w:trPr>
          <w:trHeight w:val="215"/>
        </w:trPr>
        <w:tc>
          <w:tcPr>
            <w:tcW w:w="6300" w:type="dxa"/>
            <w:vAlign w:val="bottom"/>
            <w:tcBorders>
              <w:bottom w:val="single" w:sz="8" w:color="CCECFF"/>
            </w:tcBorders>
            <w:shd w:val="clear" w:color="auto" w:fill="CCECFF"/>
          </w:tcPr>
          <w:p>
            <w:pPr>
              <w:ind w:left="360"/>
              <w:spacing w:after="0" w:line="215" w:lineRule="exact"/>
              <w:rPr>
                <w:sz w:val="20"/>
                <w:szCs w:val="20"/>
                <w:color w:val="auto"/>
              </w:rPr>
            </w:pPr>
            <w:r>
              <w:rPr>
                <w:rFonts w:ascii="Calibri" w:cs="Calibri" w:eastAsia="Calibri" w:hAnsi="Calibri"/>
                <w:sz w:val="18"/>
                <w:szCs w:val="18"/>
                <w:color w:val="auto"/>
              </w:rPr>
              <w:t>Total deferred tax assets</w:t>
            </w:r>
          </w:p>
        </w:tc>
        <w:tc>
          <w:tcPr>
            <w:tcW w:w="200" w:type="dxa"/>
            <w:vAlign w:val="bottom"/>
            <w:tcBorders>
              <w:top w:val="single" w:sz="8" w:color="auto"/>
              <w:bottom w:val="single" w:sz="8" w:color="auto"/>
            </w:tcBorders>
            <w:shd w:val="clear" w:color="auto" w:fill="CCECFF"/>
          </w:tcPr>
          <w:p>
            <w:pPr>
              <w:spacing w:after="0"/>
              <w:rPr>
                <w:sz w:val="18"/>
                <w:szCs w:val="18"/>
                <w:color w:val="auto"/>
              </w:rPr>
            </w:pPr>
          </w:p>
        </w:tc>
        <w:tc>
          <w:tcPr>
            <w:tcW w:w="920" w:type="dxa"/>
            <w:vAlign w:val="bottom"/>
            <w:tcBorders>
              <w:top w:val="single" w:sz="8" w:color="auto"/>
              <w:bottom w:val="single" w:sz="8" w:color="auto"/>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7,150</w:t>
            </w:r>
          </w:p>
        </w:tc>
        <w:tc>
          <w:tcPr>
            <w:tcW w:w="220" w:type="dxa"/>
            <w:vAlign w:val="bottom"/>
            <w:tcBorders>
              <w:bottom w:val="single" w:sz="8" w:color="CCECFF"/>
            </w:tcBorders>
            <w:shd w:val="clear" w:color="auto" w:fill="CCECFF"/>
          </w:tcPr>
          <w:p>
            <w:pPr>
              <w:spacing w:after="0"/>
              <w:rPr>
                <w:sz w:val="18"/>
                <w:szCs w:val="18"/>
                <w:color w:val="auto"/>
              </w:rPr>
            </w:pPr>
          </w:p>
        </w:tc>
        <w:tc>
          <w:tcPr>
            <w:tcW w:w="200" w:type="dxa"/>
            <w:vAlign w:val="bottom"/>
            <w:tcBorders>
              <w:top w:val="single" w:sz="8" w:color="auto"/>
              <w:bottom w:val="single" w:sz="8" w:color="auto"/>
            </w:tcBorders>
            <w:shd w:val="clear" w:color="auto" w:fill="CCECFF"/>
          </w:tcPr>
          <w:p>
            <w:pPr>
              <w:spacing w:after="0"/>
              <w:rPr>
                <w:sz w:val="18"/>
                <w:szCs w:val="18"/>
                <w:color w:val="auto"/>
              </w:rPr>
            </w:pPr>
          </w:p>
        </w:tc>
        <w:tc>
          <w:tcPr>
            <w:tcW w:w="900" w:type="dxa"/>
            <w:vAlign w:val="bottom"/>
            <w:tcBorders>
              <w:top w:val="single" w:sz="8" w:color="auto"/>
              <w:bottom w:val="single" w:sz="8" w:color="auto"/>
            </w:tcBorders>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5,959</w:t>
            </w:r>
          </w:p>
        </w:tc>
        <w:tc>
          <w:tcPr>
            <w:tcW w:w="240" w:type="dxa"/>
            <w:vAlign w:val="bottom"/>
            <w:tcBorders>
              <w:bottom w:val="single" w:sz="8" w:color="CCECFF"/>
            </w:tcBorders>
            <w:shd w:val="clear" w:color="auto" w:fill="CCECFF"/>
          </w:tcPr>
          <w:p>
            <w:pPr>
              <w:spacing w:after="0"/>
              <w:rPr>
                <w:sz w:val="18"/>
                <w:szCs w:val="18"/>
                <w:color w:val="auto"/>
              </w:rPr>
            </w:pPr>
          </w:p>
        </w:tc>
      </w:tr>
      <w:tr>
        <w:trPr>
          <w:trHeight w:val="209"/>
        </w:trPr>
        <w:tc>
          <w:tcPr>
            <w:tcW w:w="6300" w:type="dxa"/>
            <w:vAlign w:val="bottom"/>
          </w:tcPr>
          <w:p>
            <w:pPr>
              <w:spacing w:after="0" w:line="209" w:lineRule="exact"/>
              <w:rPr>
                <w:sz w:val="20"/>
                <w:szCs w:val="20"/>
                <w:color w:val="auto"/>
              </w:rPr>
            </w:pPr>
            <w:r>
              <w:rPr>
                <w:rFonts w:ascii="Calibri" w:cs="Calibri" w:eastAsia="Calibri" w:hAnsi="Calibri"/>
                <w:sz w:val="18"/>
                <w:szCs w:val="18"/>
                <w:color w:val="auto"/>
              </w:rPr>
              <w:t>Deferred tax liabilites: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7"/>
        </w:trPr>
        <w:tc>
          <w:tcPr>
            <w:tcW w:w="6300" w:type="dxa"/>
            <w:vAlign w:val="bottom"/>
            <w:shd w:val="clear" w:color="auto" w:fill="CCECFF"/>
          </w:tcPr>
          <w:p>
            <w:pPr>
              <w:ind w:left="180"/>
              <w:spacing w:after="0" w:line="216" w:lineRule="exact"/>
              <w:rPr>
                <w:sz w:val="20"/>
                <w:szCs w:val="20"/>
                <w:color w:val="auto"/>
              </w:rPr>
            </w:pPr>
            <w:r>
              <w:rPr>
                <w:rFonts w:ascii="Calibri" w:cs="Calibri" w:eastAsia="Calibri" w:hAnsi="Calibri"/>
                <w:sz w:val="18"/>
                <w:szCs w:val="18"/>
                <w:color w:val="auto"/>
              </w:rPr>
              <w:t>In-process research and development</w:t>
            </w:r>
          </w:p>
        </w:tc>
        <w:tc>
          <w:tcPr>
            <w:tcW w:w="200" w:type="dxa"/>
            <w:vAlign w:val="bottom"/>
            <w:shd w:val="clear" w:color="auto" w:fill="CCECFF"/>
          </w:tcPr>
          <w:p>
            <w:pPr>
              <w:spacing w:after="0"/>
              <w:rPr>
                <w:sz w:val="18"/>
                <w:szCs w:val="18"/>
                <w:color w:val="auto"/>
              </w:rPr>
            </w:pPr>
          </w:p>
        </w:tc>
        <w:tc>
          <w:tcPr>
            <w:tcW w:w="1140" w:type="dxa"/>
            <w:vAlign w:val="bottom"/>
            <w:gridSpan w:val="2"/>
            <w:shd w:val="clear" w:color="auto" w:fill="CCECFF"/>
          </w:tcPr>
          <w:p>
            <w:pPr>
              <w:jc w:val="right"/>
              <w:ind w:right="160"/>
              <w:spacing w:after="0" w:line="216" w:lineRule="exact"/>
              <w:rPr>
                <w:sz w:val="20"/>
                <w:szCs w:val="20"/>
                <w:color w:val="auto"/>
              </w:rPr>
            </w:pPr>
            <w:r>
              <w:rPr>
                <w:rFonts w:ascii="Calibri" w:cs="Calibri" w:eastAsia="Calibri" w:hAnsi="Calibri"/>
                <w:sz w:val="18"/>
                <w:szCs w:val="18"/>
                <w:color w:val="auto"/>
              </w:rPr>
              <w:t>(30,058 )</w:t>
            </w:r>
          </w:p>
        </w:tc>
        <w:tc>
          <w:tcPr>
            <w:tcW w:w="200" w:type="dxa"/>
            <w:vAlign w:val="bottom"/>
            <w:shd w:val="clear" w:color="auto" w:fill="CCECFF"/>
          </w:tcPr>
          <w:p>
            <w:pPr>
              <w:spacing w:after="0"/>
              <w:rPr>
                <w:sz w:val="18"/>
                <w:szCs w:val="18"/>
                <w:color w:val="auto"/>
              </w:rPr>
            </w:pPr>
          </w:p>
        </w:tc>
        <w:tc>
          <w:tcPr>
            <w:tcW w:w="1140" w:type="dxa"/>
            <w:vAlign w:val="bottom"/>
            <w:gridSpan w:val="2"/>
            <w:shd w:val="clear" w:color="auto" w:fill="CCECFF"/>
          </w:tcPr>
          <w:p>
            <w:pPr>
              <w:jc w:val="right"/>
              <w:ind w:right="160"/>
              <w:spacing w:after="0" w:line="216" w:lineRule="exact"/>
              <w:rPr>
                <w:sz w:val="20"/>
                <w:szCs w:val="20"/>
                <w:color w:val="auto"/>
              </w:rPr>
            </w:pPr>
            <w:r>
              <w:rPr>
                <w:rFonts w:ascii="Calibri" w:cs="Calibri" w:eastAsia="Calibri" w:hAnsi="Calibri"/>
                <w:sz w:val="18"/>
                <w:szCs w:val="18"/>
                <w:color w:val="auto"/>
              </w:rPr>
              <w:t>(30,688 )</w:t>
            </w:r>
          </w:p>
        </w:tc>
      </w:tr>
      <w:tr>
        <w:trPr>
          <w:trHeight w:val="215"/>
        </w:trPr>
        <w:tc>
          <w:tcPr>
            <w:tcW w:w="6300" w:type="dxa"/>
            <w:vAlign w:val="bottom"/>
          </w:tcPr>
          <w:p>
            <w:pPr>
              <w:ind w:left="180"/>
              <w:spacing w:after="0" w:line="215" w:lineRule="exact"/>
              <w:rPr>
                <w:sz w:val="20"/>
                <w:szCs w:val="20"/>
                <w:color w:val="auto"/>
              </w:rPr>
            </w:pPr>
            <w:r>
              <w:rPr>
                <w:rFonts w:ascii="Calibri" w:cs="Calibri" w:eastAsia="Calibri" w:hAnsi="Calibri"/>
                <w:sz w:val="18"/>
                <w:szCs w:val="18"/>
                <w:color w:val="auto"/>
              </w:rPr>
              <w:t>Right-of-use lease assets</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(5,778 )</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(5,329 )</w:t>
            </w:r>
          </w:p>
        </w:tc>
      </w:tr>
      <w:tr>
        <w:trPr>
          <w:trHeight w:val="20"/>
        </w:trPr>
        <w:tc>
          <w:tcPr>
            <w:tcW w:w="6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6300" w:type="dxa"/>
            <w:vAlign w:val="bottom"/>
            <w:shd w:val="clear" w:color="auto" w:fill="CCECFF"/>
          </w:tcPr>
          <w:p>
            <w:pPr>
              <w:ind w:left="360"/>
              <w:spacing w:after="0" w:line="209" w:lineRule="exact"/>
              <w:rPr>
                <w:sz w:val="20"/>
                <w:szCs w:val="20"/>
                <w:color w:val="auto"/>
              </w:rPr>
            </w:pPr>
            <w:r>
              <w:rPr>
                <w:rFonts w:ascii="Calibri" w:cs="Calibri" w:eastAsia="Calibri" w:hAnsi="Calibri"/>
                <w:sz w:val="18"/>
                <w:szCs w:val="18"/>
                <w:color w:val="auto"/>
              </w:rPr>
              <w:t>Gross deferred tax liabilites</w:t>
            </w:r>
          </w:p>
        </w:tc>
        <w:tc>
          <w:tcPr>
            <w:tcW w:w="200" w:type="dxa"/>
            <w:vAlign w:val="bottom"/>
            <w:shd w:val="clear" w:color="auto" w:fill="CCECFF"/>
          </w:tcPr>
          <w:p>
            <w:pPr>
              <w:spacing w:after="0"/>
              <w:rPr>
                <w:sz w:val="18"/>
                <w:szCs w:val="18"/>
                <w:color w:val="auto"/>
              </w:rPr>
            </w:pPr>
          </w:p>
        </w:tc>
        <w:tc>
          <w:tcPr>
            <w:tcW w:w="1140" w:type="dxa"/>
            <w:vAlign w:val="bottom"/>
            <w:gridSpan w:val="2"/>
            <w:shd w:val="clear" w:color="auto" w:fill="CCECFF"/>
          </w:tcPr>
          <w:p>
            <w:pPr>
              <w:jc w:val="right"/>
              <w:ind w:right="160"/>
              <w:spacing w:after="0" w:line="209" w:lineRule="exact"/>
              <w:rPr>
                <w:sz w:val="20"/>
                <w:szCs w:val="20"/>
                <w:color w:val="auto"/>
              </w:rPr>
            </w:pPr>
            <w:r>
              <w:rPr>
                <w:rFonts w:ascii="Calibri" w:cs="Calibri" w:eastAsia="Calibri" w:hAnsi="Calibri"/>
                <w:sz w:val="18"/>
                <w:szCs w:val="18"/>
                <w:color w:val="auto"/>
              </w:rPr>
              <w:t>(35,836 )</w:t>
            </w:r>
          </w:p>
        </w:tc>
        <w:tc>
          <w:tcPr>
            <w:tcW w:w="200" w:type="dxa"/>
            <w:vAlign w:val="bottom"/>
            <w:shd w:val="clear" w:color="auto" w:fill="CCECFF"/>
          </w:tcPr>
          <w:p>
            <w:pPr>
              <w:spacing w:after="0"/>
              <w:rPr>
                <w:sz w:val="18"/>
                <w:szCs w:val="18"/>
                <w:color w:val="auto"/>
              </w:rPr>
            </w:pPr>
          </w:p>
        </w:tc>
        <w:tc>
          <w:tcPr>
            <w:tcW w:w="1140" w:type="dxa"/>
            <w:vAlign w:val="bottom"/>
            <w:gridSpan w:val="2"/>
            <w:shd w:val="clear" w:color="auto" w:fill="CCECFF"/>
          </w:tcPr>
          <w:p>
            <w:pPr>
              <w:jc w:val="right"/>
              <w:ind w:right="160"/>
              <w:spacing w:after="0" w:line="209" w:lineRule="exact"/>
              <w:rPr>
                <w:sz w:val="20"/>
                <w:szCs w:val="20"/>
                <w:color w:val="auto"/>
              </w:rPr>
            </w:pPr>
            <w:r>
              <w:rPr>
                <w:rFonts w:ascii="Calibri" w:cs="Calibri" w:eastAsia="Calibri" w:hAnsi="Calibri"/>
                <w:sz w:val="18"/>
                <w:szCs w:val="18"/>
                <w:color w:val="auto"/>
              </w:rPr>
              <w:t>(36,017 )</w:t>
            </w:r>
          </w:p>
        </w:tc>
      </w:tr>
      <w:tr>
        <w:trPr>
          <w:trHeight w:val="20"/>
        </w:trPr>
        <w:tc>
          <w:tcPr>
            <w:tcW w:w="6300" w:type="dxa"/>
            <w:vAlign w:val="bottom"/>
            <w:shd w:val="clear" w:color="auto" w:fill="CCEC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r>
      <w:tr>
        <w:trPr>
          <w:trHeight w:val="209"/>
        </w:trPr>
        <w:tc>
          <w:tcPr>
            <w:tcW w:w="6300" w:type="dxa"/>
            <w:vAlign w:val="bottom"/>
          </w:tcPr>
          <w:p>
            <w:pPr>
              <w:ind w:left="540"/>
              <w:spacing w:after="0" w:line="209" w:lineRule="exact"/>
              <w:rPr>
                <w:sz w:val="20"/>
                <w:szCs w:val="20"/>
                <w:color w:val="auto"/>
              </w:rPr>
            </w:pPr>
            <w:r>
              <w:rPr>
                <w:rFonts w:ascii="Calibri" w:cs="Calibri" w:eastAsia="Calibri" w:hAnsi="Calibri"/>
                <w:sz w:val="18"/>
                <w:szCs w:val="18"/>
                <w:color w:val="auto"/>
              </w:rPr>
              <w:t>Net deferred tax liabilites</w:t>
            </w:r>
          </w:p>
        </w:tc>
        <w:tc>
          <w:tcPr>
            <w:tcW w:w="200" w:type="dxa"/>
            <w:vAlign w:val="bottom"/>
          </w:tcPr>
          <w:p>
            <w:pPr>
              <w:jc w:val="right"/>
              <w:ind w:right="10"/>
              <w:spacing w:after="0" w:line="209" w:lineRule="exact"/>
              <w:rPr>
                <w:sz w:val="20"/>
                <w:szCs w:val="20"/>
                <w:color w:val="auto"/>
              </w:rPr>
            </w:pPr>
            <w:r>
              <w:rPr>
                <w:rFonts w:ascii="Calibri" w:cs="Calibri" w:eastAsia="Calibri" w:hAnsi="Calibri"/>
                <w:sz w:val="18"/>
                <w:szCs w:val="18"/>
                <w:color w:val="auto"/>
                <w:w w:val="87"/>
              </w:rPr>
              <w:t>$</w:t>
            </w:r>
          </w:p>
        </w:tc>
        <w:tc>
          <w:tcPr>
            <w:tcW w:w="1140" w:type="dxa"/>
            <w:vAlign w:val="bottom"/>
            <w:gridSpan w:val="2"/>
          </w:tcPr>
          <w:p>
            <w:pPr>
              <w:jc w:val="right"/>
              <w:ind w:right="160"/>
              <w:spacing w:after="0" w:line="209" w:lineRule="exact"/>
              <w:rPr>
                <w:sz w:val="20"/>
                <w:szCs w:val="20"/>
                <w:color w:val="auto"/>
              </w:rPr>
            </w:pPr>
            <w:r>
              <w:rPr>
                <w:rFonts w:ascii="Calibri" w:cs="Calibri" w:eastAsia="Calibri" w:hAnsi="Calibri"/>
                <w:sz w:val="18"/>
                <w:szCs w:val="18"/>
                <w:color w:val="auto"/>
              </w:rPr>
              <w:t>(28,686 )</w:t>
            </w:r>
          </w:p>
        </w:tc>
        <w:tc>
          <w:tcPr>
            <w:tcW w:w="200" w:type="dxa"/>
            <w:vAlign w:val="bottom"/>
          </w:tcPr>
          <w:p>
            <w:pPr>
              <w:jc w:val="right"/>
              <w:ind w:right="10"/>
              <w:spacing w:after="0" w:line="209" w:lineRule="exact"/>
              <w:rPr>
                <w:sz w:val="20"/>
                <w:szCs w:val="20"/>
                <w:color w:val="auto"/>
              </w:rPr>
            </w:pPr>
            <w:r>
              <w:rPr>
                <w:rFonts w:ascii="Calibri" w:cs="Calibri" w:eastAsia="Calibri" w:hAnsi="Calibri"/>
                <w:sz w:val="18"/>
                <w:szCs w:val="18"/>
                <w:color w:val="auto"/>
                <w:w w:val="87"/>
              </w:rPr>
              <w:t>$</w:t>
            </w:r>
          </w:p>
        </w:tc>
        <w:tc>
          <w:tcPr>
            <w:tcW w:w="1140" w:type="dxa"/>
            <w:vAlign w:val="bottom"/>
            <w:gridSpan w:val="2"/>
          </w:tcPr>
          <w:p>
            <w:pPr>
              <w:jc w:val="right"/>
              <w:ind w:right="160"/>
              <w:spacing w:after="0" w:line="209" w:lineRule="exact"/>
              <w:rPr>
                <w:sz w:val="20"/>
                <w:szCs w:val="20"/>
                <w:color w:val="auto"/>
              </w:rPr>
            </w:pPr>
            <w:r>
              <w:rPr>
                <w:rFonts w:ascii="Calibri" w:cs="Calibri" w:eastAsia="Calibri" w:hAnsi="Calibri"/>
                <w:sz w:val="18"/>
                <w:szCs w:val="18"/>
                <w:color w:val="auto"/>
              </w:rPr>
              <w:t>(30,058 )</w:t>
            </w:r>
          </w:p>
        </w:tc>
      </w:tr>
      <w:tr>
        <w:trPr>
          <w:trHeight w:val="20"/>
        </w:trPr>
        <w:tc>
          <w:tcPr>
            <w:tcW w:w="6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-736600</wp:posOffset>
            </wp:positionV>
            <wp:extent cx="5143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6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-736600</wp:posOffset>
            </wp:positionV>
            <wp:extent cx="5143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6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-170815</wp:posOffset>
            </wp:positionV>
            <wp:extent cx="5143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6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-170815</wp:posOffset>
            </wp:positionV>
            <wp:extent cx="5143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61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As of December 31, 2024 and 2023, the Company had approximately $1,190.5 million and $1,004.8 million, respectvely, of federal net operatng loss carryforwards available to reduce future taxable income that will begin to expire in 2031. As of December 31, 2024 and 2023, the Company had approximately $744.4 million and $659.9 million, respectvely, of state net operatng loss carryforwards available to reduce future taxable income that will begin to expire in 2031.</w:t>
      </w:r>
    </w:p>
    <w:p>
      <w:pPr>
        <w:spacing w:after="0" w:line="84" w:lineRule="exact"/>
        <w:rPr>
          <w:sz w:val="20"/>
          <w:szCs w:val="20"/>
          <w:color w:val="auto"/>
        </w:rPr>
      </w:pPr>
    </w:p>
    <w:p>
      <w:pPr>
        <w:ind w:right="240" w:firstLine="509"/>
        <w:spacing w:after="0" w:line="254" w:lineRule="auto"/>
        <w:rPr>
          <w:sz w:val="20"/>
          <w:szCs w:val="20"/>
          <w:color w:val="auto"/>
        </w:rPr>
      </w:pPr>
      <w:r>
        <w:rPr>
          <w:rFonts w:ascii="Calibri" w:cs="Calibri" w:eastAsia="Calibri" w:hAnsi="Calibri"/>
          <w:sz w:val="17"/>
          <w:szCs w:val="17"/>
          <w:color w:val="auto"/>
        </w:rPr>
        <w:t>As of December 31, 2024 and 2023, the Company had federal research tax credit carryforwards of approximately $45.1 million and $46.9 million, respectvely, available to reduce future tax liabilites that will begin to expire in 2031. As of December 31, 2024 and 2023, the Company had state research credit carryforwards of $92.0 million and $74.4 million, respectvely, available to reduce future tax liabilites that will be carried forward indefnitely.</w:t>
      </w:r>
    </w:p>
    <w:p>
      <w:pPr>
        <w:spacing w:after="0" w:line="70" w:lineRule="exact"/>
        <w:rPr>
          <w:sz w:val="20"/>
          <w:szCs w:val="20"/>
          <w:color w:val="auto"/>
        </w:rPr>
      </w:pPr>
    </w:p>
    <w:p>
      <w:pPr>
        <w:ind w:right="380" w:firstLine="509"/>
        <w:spacing w:after="0" w:line="235" w:lineRule="auto"/>
        <w:rPr>
          <w:sz w:val="20"/>
          <w:szCs w:val="20"/>
          <w:color w:val="auto"/>
        </w:rPr>
      </w:pPr>
      <w:r>
        <w:rPr>
          <w:rFonts w:ascii="Calibri" w:cs="Calibri" w:eastAsia="Calibri" w:hAnsi="Calibri"/>
          <w:sz w:val="18"/>
          <w:szCs w:val="18"/>
          <w:color w:val="auto"/>
        </w:rPr>
        <w:t>As of December 31, 2024 and 2023, the Company had federal Orphan Drug Credits of $338.5 million and $269.6 million, respectvely, available to reduce future tax liabilites that will begin to expire in 2031.</w:t>
      </w:r>
    </w:p>
    <w:p>
      <w:pPr>
        <w:spacing w:after="0" w:line="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Company’s ability to use net operatng loss and tax credit carryforwards to reduce future taxable income and liabilites may be subject to annual limitatons pursuant to Internal Revenue Code Sectons 382 and 383 as a result of ownership changes in the past and future. As a result of ownership changes in 2012 and 2011, $3.6 million of federal net operatng loss carryforwards, $3.6 million of state net operatng loss carryforwards, and $0.2 million of federal tax credits are permanently limited. Deferred tax assets for net operatng losses and tax credits have been reduced and a corresponding adjustment to the valuaton allowance has been recorded.</w:t>
      </w:r>
    </w:p>
    <w:p>
      <w:pPr>
        <w:spacing w:after="0" w:line="80"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valuaton allowance increased by $170.7 million and $141.3 million during the years ended December 31, 2024 and 2023, respectvely.</w:t>
      </w:r>
    </w:p>
    <w:p>
      <w:pPr>
        <w:spacing w:after="0" w:line="82" w:lineRule="exact"/>
        <w:rPr>
          <w:sz w:val="20"/>
          <w:szCs w:val="20"/>
          <w:color w:val="auto"/>
        </w:rPr>
      </w:pPr>
    </w:p>
    <w:p>
      <w:pPr>
        <w:ind w:right="440" w:firstLine="509"/>
        <w:spacing w:after="0" w:line="235" w:lineRule="auto"/>
        <w:rPr>
          <w:sz w:val="20"/>
          <w:szCs w:val="20"/>
          <w:color w:val="auto"/>
        </w:rPr>
      </w:pPr>
      <w:r>
        <w:rPr>
          <w:rFonts w:ascii="Calibri" w:cs="Calibri" w:eastAsia="Calibri" w:hAnsi="Calibri"/>
          <w:sz w:val="18"/>
          <w:szCs w:val="18"/>
          <w:color w:val="auto"/>
        </w:rPr>
        <w:t>The Company recorded unrecognized tax benefts for uncertaintes in income taxes. A reconciliaton of the Company’s unrecognized tax benefts follows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4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Calibri" w:cs="Calibri" w:eastAsia="Calibri" w:hAnsi="Calibri"/>
                <w:sz w:val="18"/>
                <w:szCs w:val="18"/>
                <w:b w:val="1"/>
                <w:bCs w:val="1"/>
                <w:color w:val="auto"/>
              </w:rPr>
              <w:t>December 31,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
        </w:trPr>
        <w:tc>
          <w:tcPr>
            <w:tcW w:w="11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09"/>
        </w:trPr>
        <w:tc>
          <w:tcPr>
            <w:tcW w:w="11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0"/>
              <w:spacing w:after="0" w:line="209" w:lineRule="exact"/>
              <w:rPr>
                <w:sz w:val="20"/>
                <w:szCs w:val="20"/>
                <w:color w:val="auto"/>
              </w:rPr>
            </w:pPr>
            <w:r>
              <w:rPr>
                <w:rFonts w:ascii="Calibri" w:cs="Calibri" w:eastAsia="Calibri" w:hAnsi="Calibri"/>
                <w:sz w:val="18"/>
                <w:szCs w:val="18"/>
                <w:b w:val="1"/>
                <w:bCs w:val="1"/>
                <w:color w:val="auto"/>
              </w:rPr>
              <w:t>2024</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line="209" w:lineRule="exact"/>
              <w:rPr>
                <w:sz w:val="20"/>
                <w:szCs w:val="20"/>
                <w:color w:val="auto"/>
              </w:rPr>
            </w:pPr>
            <w:r>
              <w:rPr>
                <w:rFonts w:ascii="Calibri" w:cs="Calibri" w:eastAsia="Calibri" w:hAnsi="Calibri"/>
                <w:sz w:val="18"/>
                <w:szCs w:val="18"/>
                <w:b w:val="1"/>
                <w:bCs w:val="1"/>
                <w:color w:val="auto"/>
              </w:rPr>
              <w:t>2023</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0"/>
              <w:spacing w:after="0" w:line="209" w:lineRule="exact"/>
              <w:rPr>
                <w:sz w:val="20"/>
                <w:szCs w:val="20"/>
                <w:color w:val="auto"/>
              </w:rPr>
            </w:pPr>
            <w:r>
              <w:rPr>
                <w:rFonts w:ascii="Calibri" w:cs="Calibri" w:eastAsia="Calibri" w:hAnsi="Calibri"/>
                <w:sz w:val="18"/>
                <w:szCs w:val="18"/>
                <w:b w:val="1"/>
                <w:bCs w:val="1"/>
                <w:color w:val="auto"/>
              </w:rPr>
              <w:t>2022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060" w:type="dxa"/>
            <w:vAlign w:val="bottom"/>
            <w:shd w:val="clear" w:color="auto" w:fill="CCECFF"/>
          </w:tcPr>
          <w:p>
            <w:pPr>
              <w:spacing w:after="0" w:line="210" w:lineRule="exact"/>
              <w:rPr>
                <w:sz w:val="20"/>
                <w:szCs w:val="20"/>
                <w:color w:val="auto"/>
              </w:rPr>
            </w:pPr>
            <w:r>
              <w:rPr>
                <w:rFonts w:ascii="Calibri" w:cs="Calibri" w:eastAsia="Calibri" w:hAnsi="Calibri"/>
                <w:sz w:val="18"/>
                <w:szCs w:val="18"/>
                <w:color w:val="auto"/>
              </w:rPr>
              <w:t>Balance at beginning of year</w:t>
            </w:r>
          </w:p>
        </w:tc>
        <w:tc>
          <w:tcPr>
            <w:tcW w:w="1140" w:type="dxa"/>
            <w:vAlign w:val="bottom"/>
            <w:gridSpan w:val="2"/>
            <w:shd w:val="clear" w:color="auto" w:fill="CCECFF"/>
          </w:tcPr>
          <w:p>
            <w:pPr>
              <w:jc w:val="right"/>
              <w:ind w:right="50"/>
              <w:spacing w:after="0" w:line="210"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79,998</w:t>
            </w:r>
          </w:p>
        </w:tc>
        <w:tc>
          <w:tcPr>
            <w:tcW w:w="480" w:type="dxa"/>
            <w:vAlign w:val="bottom"/>
            <w:gridSpan w:val="2"/>
            <w:shd w:val="clear" w:color="auto" w:fill="CCECFF"/>
          </w:tcPr>
          <w:p>
            <w:pPr>
              <w:jc w:val="right"/>
              <w:ind w:right="70"/>
              <w:spacing w:after="0" w:line="210" w:lineRule="exact"/>
              <w:rPr>
                <w:sz w:val="20"/>
                <w:szCs w:val="20"/>
                <w:color w:val="auto"/>
              </w:rPr>
            </w:pPr>
            <w:r>
              <w:rPr>
                <w:rFonts w:ascii="Calibri" w:cs="Calibri" w:eastAsia="Calibri" w:hAnsi="Calibri"/>
                <w:sz w:val="18"/>
                <w:szCs w:val="18"/>
                <w:color w:val="auto"/>
              </w:rPr>
              <w:t>$</w:t>
            </w:r>
          </w:p>
        </w:tc>
        <w:tc>
          <w:tcPr>
            <w:tcW w:w="90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66,794</w:t>
            </w:r>
          </w:p>
        </w:tc>
        <w:tc>
          <w:tcPr>
            <w:tcW w:w="480" w:type="dxa"/>
            <w:vAlign w:val="bottom"/>
            <w:gridSpan w:val="2"/>
            <w:shd w:val="clear" w:color="auto" w:fill="CCECFF"/>
          </w:tcPr>
          <w:p>
            <w:pPr>
              <w:jc w:val="right"/>
              <w:ind w:right="50"/>
              <w:spacing w:after="0" w:line="210"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55,360</w:t>
            </w:r>
          </w:p>
        </w:tc>
        <w:tc>
          <w:tcPr>
            <w:tcW w:w="80" w:type="dxa"/>
            <w:vAlign w:val="bottom"/>
            <w:shd w:val="clear" w:color="auto" w:fill="CCECFF"/>
          </w:tcPr>
          <w:p>
            <w:pPr>
              <w:spacing w:after="0"/>
              <w:rPr>
                <w:sz w:val="18"/>
                <w:szCs w:val="18"/>
                <w:color w:val="auto"/>
              </w:rPr>
            </w:pPr>
          </w:p>
        </w:tc>
        <w:tc>
          <w:tcPr>
            <w:tcW w:w="1120" w:type="dxa"/>
            <w:vAlign w:val="bottom"/>
          </w:tcPr>
          <w:p>
            <w:pPr>
              <w:spacing w:after="0"/>
              <w:rPr>
                <w:sz w:val="18"/>
                <w:szCs w:val="18"/>
                <w:color w:val="auto"/>
              </w:rPr>
            </w:pPr>
          </w:p>
        </w:tc>
      </w:tr>
      <w:tr>
        <w:trPr>
          <w:trHeight w:val="194"/>
        </w:trPr>
        <w:tc>
          <w:tcPr>
            <w:tcW w:w="1140" w:type="dxa"/>
            <w:vAlign w:val="bottom"/>
          </w:tcPr>
          <w:p>
            <w:pPr>
              <w:spacing w:after="0"/>
              <w:rPr>
                <w:sz w:val="16"/>
                <w:szCs w:val="16"/>
                <w:color w:val="auto"/>
              </w:rPr>
            </w:pPr>
          </w:p>
        </w:tc>
        <w:tc>
          <w:tcPr>
            <w:tcW w:w="4060" w:type="dxa"/>
            <w:vAlign w:val="bottom"/>
          </w:tcPr>
          <w:p>
            <w:pPr>
              <w:ind w:left="180"/>
              <w:spacing w:after="0" w:line="194" w:lineRule="exact"/>
              <w:rPr>
                <w:sz w:val="20"/>
                <w:szCs w:val="20"/>
                <w:color w:val="auto"/>
              </w:rPr>
            </w:pPr>
            <w:r>
              <w:rPr>
                <w:rFonts w:ascii="Calibri" w:cs="Calibri" w:eastAsia="Calibri" w:hAnsi="Calibri"/>
                <w:sz w:val="18"/>
                <w:szCs w:val="18"/>
                <w:color w:val="auto"/>
              </w:rPr>
              <w:t>Additons based on tax positons related to current</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5"/>
        </w:trPr>
        <w:tc>
          <w:tcPr>
            <w:tcW w:w="1140" w:type="dxa"/>
            <w:vAlign w:val="bottom"/>
          </w:tcPr>
          <w:p>
            <w:pPr>
              <w:spacing w:after="0"/>
              <w:rPr>
                <w:sz w:val="18"/>
                <w:szCs w:val="18"/>
                <w:color w:val="auto"/>
              </w:rPr>
            </w:pPr>
          </w:p>
        </w:tc>
        <w:tc>
          <w:tcPr>
            <w:tcW w:w="4060" w:type="dxa"/>
            <w:vAlign w:val="bottom"/>
          </w:tcPr>
          <w:p>
            <w:pPr>
              <w:ind w:left="300"/>
              <w:spacing w:after="0" w:line="215" w:lineRule="exact"/>
              <w:rPr>
                <w:sz w:val="20"/>
                <w:szCs w:val="20"/>
                <w:color w:val="auto"/>
              </w:rPr>
            </w:pPr>
            <w:r>
              <w:rPr>
                <w:rFonts w:ascii="Calibri" w:cs="Calibri" w:eastAsia="Calibri" w:hAnsi="Calibri"/>
                <w:sz w:val="18"/>
                <w:szCs w:val="18"/>
                <w:color w:val="auto"/>
              </w:rPr>
              <w:t>year</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14,825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12,562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11,316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
        </w:trPr>
        <w:tc>
          <w:tcPr>
            <w:tcW w:w="11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1140" w:type="dxa"/>
            <w:vAlign w:val="bottom"/>
          </w:tcPr>
          <w:p>
            <w:pPr>
              <w:spacing w:after="0"/>
              <w:rPr>
                <w:sz w:val="18"/>
                <w:szCs w:val="18"/>
                <w:color w:val="auto"/>
              </w:rPr>
            </w:pPr>
          </w:p>
        </w:tc>
        <w:tc>
          <w:tcPr>
            <w:tcW w:w="4060" w:type="dxa"/>
            <w:vAlign w:val="bottom"/>
            <w:shd w:val="clear" w:color="auto" w:fill="CCECFF"/>
          </w:tcPr>
          <w:p>
            <w:pPr>
              <w:ind w:left="180"/>
              <w:spacing w:after="0" w:line="215" w:lineRule="exact"/>
              <w:rPr>
                <w:sz w:val="20"/>
                <w:szCs w:val="20"/>
                <w:color w:val="auto"/>
              </w:rPr>
            </w:pPr>
            <w:r>
              <w:rPr>
                <w:rFonts w:ascii="Calibri" w:cs="Calibri" w:eastAsia="Calibri" w:hAnsi="Calibri"/>
                <w:sz w:val="18"/>
                <w:szCs w:val="18"/>
                <w:color w:val="auto"/>
              </w:rPr>
              <w:t>Additons for tax positons of prior years</w:t>
            </w:r>
          </w:p>
        </w:tc>
        <w:tc>
          <w:tcPr>
            <w:tcW w:w="9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2,173</w:t>
            </w:r>
          </w:p>
        </w:tc>
        <w:tc>
          <w:tcPr>
            <w:tcW w:w="2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900" w:type="dxa"/>
            <w:vAlign w:val="bottom"/>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642</w:t>
            </w:r>
          </w:p>
        </w:tc>
        <w:tc>
          <w:tcPr>
            <w:tcW w:w="24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line="215" w:lineRule="exact"/>
              <w:rPr>
                <w:sz w:val="20"/>
                <w:szCs w:val="20"/>
                <w:color w:val="auto"/>
              </w:rPr>
            </w:pPr>
            <w:r>
              <w:rPr>
                <w:rFonts w:ascii="Calibri" w:cs="Calibri" w:eastAsia="Calibri" w:hAnsi="Calibri"/>
                <w:sz w:val="18"/>
                <w:szCs w:val="18"/>
                <w:color w:val="auto"/>
              </w:rPr>
              <w:t>377</w:t>
            </w:r>
          </w:p>
        </w:tc>
        <w:tc>
          <w:tcPr>
            <w:tcW w:w="80" w:type="dxa"/>
            <w:vAlign w:val="bottom"/>
            <w:shd w:val="clear" w:color="auto" w:fill="CCECFF"/>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4060" w:type="dxa"/>
            <w:vAlign w:val="bottom"/>
          </w:tcPr>
          <w:p>
            <w:pPr>
              <w:ind w:left="180"/>
              <w:spacing w:after="0" w:line="215" w:lineRule="exact"/>
              <w:rPr>
                <w:sz w:val="20"/>
                <w:szCs w:val="20"/>
                <w:color w:val="auto"/>
              </w:rPr>
            </w:pPr>
            <w:r>
              <w:rPr>
                <w:rFonts w:ascii="Calibri" w:cs="Calibri" w:eastAsia="Calibri" w:hAnsi="Calibri"/>
                <w:sz w:val="18"/>
                <w:szCs w:val="18"/>
                <w:color w:val="auto"/>
              </w:rPr>
              <w:t>Reductons for tax positons of prior years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(259 )</w:t>
            </w:r>
          </w:p>
        </w:tc>
        <w:tc>
          <w:tcPr>
            <w:tcW w:w="1120" w:type="dxa"/>
            <w:vAlign w:val="bottom"/>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4060" w:type="dxa"/>
            <w:vAlign w:val="bottom"/>
            <w:tcBorders>
              <w:bottom w:val="single" w:sz="8" w:color="CCECFF"/>
            </w:tcBorders>
            <w:shd w:val="clear" w:color="auto" w:fill="CCECFF"/>
          </w:tcPr>
          <w:p>
            <w:pPr>
              <w:spacing w:after="0" w:line="210" w:lineRule="exact"/>
              <w:rPr>
                <w:sz w:val="20"/>
                <w:szCs w:val="20"/>
                <w:color w:val="auto"/>
              </w:rPr>
            </w:pPr>
            <w:r>
              <w:rPr>
                <w:rFonts w:ascii="Calibri" w:cs="Calibri" w:eastAsia="Calibri" w:hAnsi="Calibri"/>
                <w:sz w:val="18"/>
                <w:szCs w:val="18"/>
                <w:color w:val="auto"/>
              </w:rPr>
              <w:t>Balance at end of year</w:t>
            </w:r>
          </w:p>
        </w:tc>
        <w:tc>
          <w:tcPr>
            <w:tcW w:w="90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top w:val="single" w:sz="8" w:color="auto"/>
              <w:bottom w:val="single" w:sz="8" w:color="auto"/>
            </w:tcBorders>
            <w:shd w:val="clear" w:color="auto" w:fill="CCECFF"/>
          </w:tcPr>
          <w:p>
            <w:pPr>
              <w:jc w:val="right"/>
              <w:ind w:right="50"/>
              <w:spacing w:after="0" w:line="210" w:lineRule="exact"/>
              <w:rPr>
                <w:sz w:val="20"/>
                <w:szCs w:val="20"/>
                <w:color w:val="auto"/>
              </w:rPr>
            </w:pPr>
            <w:r>
              <w:rPr>
                <w:rFonts w:ascii="Calibri" w:cs="Calibri" w:eastAsia="Calibri" w:hAnsi="Calibri"/>
                <w:sz w:val="18"/>
                <w:szCs w:val="18"/>
                <w:color w:val="auto"/>
                <w:w w:val="87"/>
              </w:rPr>
              <w:t>$</w:t>
            </w:r>
          </w:p>
        </w:tc>
        <w:tc>
          <w:tcPr>
            <w:tcW w:w="920" w:type="dxa"/>
            <w:vAlign w:val="bottom"/>
            <w:tcBorders>
              <w:top w:val="single" w:sz="8" w:color="auto"/>
              <w:bottom w:val="single" w:sz="8" w:color="auto"/>
            </w:tcBorders>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96,996</w:t>
            </w:r>
          </w:p>
        </w:tc>
        <w:tc>
          <w:tcPr>
            <w:tcW w:w="22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top w:val="single" w:sz="8" w:color="auto"/>
              <w:bottom w:val="single" w:sz="8" w:color="auto"/>
            </w:tcBorders>
            <w:shd w:val="clear" w:color="auto" w:fill="CCECFF"/>
          </w:tcPr>
          <w:p>
            <w:pPr>
              <w:jc w:val="right"/>
              <w:ind w:right="70"/>
              <w:spacing w:after="0" w:line="210" w:lineRule="exact"/>
              <w:rPr>
                <w:sz w:val="20"/>
                <w:szCs w:val="20"/>
                <w:color w:val="auto"/>
              </w:rPr>
            </w:pPr>
            <w:r>
              <w:rPr>
                <w:rFonts w:ascii="Calibri" w:cs="Calibri" w:eastAsia="Calibri" w:hAnsi="Calibri"/>
                <w:sz w:val="18"/>
                <w:szCs w:val="18"/>
                <w:color w:val="auto"/>
                <w:w w:val="87"/>
              </w:rPr>
              <w:t>$</w:t>
            </w:r>
          </w:p>
        </w:tc>
        <w:tc>
          <w:tcPr>
            <w:tcW w:w="900" w:type="dxa"/>
            <w:vAlign w:val="bottom"/>
            <w:tcBorders>
              <w:top w:val="single" w:sz="8" w:color="auto"/>
              <w:bottom w:val="single" w:sz="8" w:color="auto"/>
            </w:tcBorders>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79,998</w:t>
            </w:r>
          </w:p>
        </w:tc>
        <w:tc>
          <w:tcPr>
            <w:tcW w:w="240" w:type="dxa"/>
            <w:vAlign w:val="bottom"/>
            <w:tcBorders>
              <w:bottom w:val="single" w:sz="8" w:color="CCECFF"/>
            </w:tcBorders>
            <w:shd w:val="clear" w:color="auto" w:fill="CCECFF"/>
          </w:tcPr>
          <w:p>
            <w:pPr>
              <w:spacing w:after="0"/>
              <w:rPr>
                <w:sz w:val="21"/>
                <w:szCs w:val="21"/>
                <w:color w:val="auto"/>
              </w:rPr>
            </w:pPr>
          </w:p>
        </w:tc>
        <w:tc>
          <w:tcPr>
            <w:tcW w:w="240" w:type="dxa"/>
            <w:vAlign w:val="bottom"/>
            <w:tcBorders>
              <w:top w:val="single" w:sz="8" w:color="auto"/>
              <w:bottom w:val="single" w:sz="8" w:color="auto"/>
            </w:tcBorders>
            <w:shd w:val="clear" w:color="auto" w:fill="CCECFF"/>
          </w:tcPr>
          <w:p>
            <w:pPr>
              <w:jc w:val="right"/>
              <w:ind w:right="50"/>
              <w:spacing w:after="0" w:line="210" w:lineRule="exact"/>
              <w:rPr>
                <w:sz w:val="20"/>
                <w:szCs w:val="20"/>
                <w:color w:val="auto"/>
              </w:rPr>
            </w:pPr>
            <w:r>
              <w:rPr>
                <w:rFonts w:ascii="Calibri" w:cs="Calibri" w:eastAsia="Calibri" w:hAnsi="Calibri"/>
                <w:sz w:val="18"/>
                <w:szCs w:val="18"/>
                <w:color w:val="auto"/>
                <w:w w:val="87"/>
              </w:rPr>
              <w:t>$</w:t>
            </w:r>
          </w:p>
        </w:tc>
        <w:tc>
          <w:tcPr>
            <w:tcW w:w="920" w:type="dxa"/>
            <w:vAlign w:val="bottom"/>
            <w:tcBorders>
              <w:top w:val="single" w:sz="8" w:color="auto"/>
              <w:bottom w:val="single" w:sz="8" w:color="auto"/>
            </w:tcBorders>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66,794</w:t>
            </w:r>
          </w:p>
        </w:tc>
        <w:tc>
          <w:tcPr>
            <w:tcW w:w="80" w:type="dxa"/>
            <w:vAlign w:val="bottom"/>
            <w:tcBorders>
              <w:bottom w:val="single" w:sz="8" w:color="CCECFF"/>
            </w:tcBorders>
            <w:shd w:val="clear" w:color="auto" w:fill="CCECFF"/>
          </w:tcPr>
          <w:p>
            <w:pPr>
              <w:spacing w:after="0"/>
              <w:rPr>
                <w:sz w:val="21"/>
                <w:szCs w:val="21"/>
                <w:color w:val="auto"/>
              </w:rPr>
            </w:pPr>
          </w:p>
        </w:tc>
        <w:tc>
          <w:tcPr>
            <w:tcW w:w="1120" w:type="dxa"/>
            <w:vAlign w:val="bottom"/>
          </w:tcPr>
          <w:p>
            <w:pPr>
              <w:spacing w:after="0"/>
              <w:rPr>
                <w:sz w:val="21"/>
                <w:szCs w:val="21"/>
                <w:color w:val="auto"/>
              </w:rPr>
            </w:pPr>
          </w:p>
        </w:tc>
      </w:tr>
      <w:tr>
        <w:trPr>
          <w:trHeight w:val="389"/>
        </w:trPr>
        <w:tc>
          <w:tcPr>
            <w:tcW w:w="11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140" w:type="dxa"/>
            <w:vAlign w:val="bottom"/>
            <w:gridSpan w:val="2"/>
          </w:tcPr>
          <w:p>
            <w:pPr>
              <w:jc w:val="right"/>
              <w:ind w:right="470"/>
              <w:spacing w:after="0"/>
              <w:rPr>
                <w:sz w:val="20"/>
                <w:szCs w:val="20"/>
                <w:color w:val="auto"/>
              </w:rPr>
            </w:pPr>
            <w:r>
              <w:rPr>
                <w:rFonts w:ascii="Calibri" w:cs="Calibri" w:eastAsia="Calibri" w:hAnsi="Calibri"/>
                <w:sz w:val="18"/>
                <w:szCs w:val="18"/>
                <w:color w:val="auto"/>
              </w:rPr>
              <w:t>F-34</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86"/>
        </w:trPr>
        <w:tc>
          <w:tcPr>
            <w:tcW w:w="114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-796290</wp:posOffset>
            </wp:positionV>
            <wp:extent cx="5143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61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-779145</wp:posOffset>
            </wp:positionV>
            <wp:extent cx="5143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61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-796290</wp:posOffset>
            </wp:positionV>
            <wp:extent cx="5143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61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-779145</wp:posOffset>
            </wp:positionV>
            <wp:extent cx="5143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6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-796290</wp:posOffset>
            </wp:positionV>
            <wp:extent cx="51435"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6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-779145</wp:posOffset>
            </wp:positionV>
            <wp:extent cx="5143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6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6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6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8" w:name="page129"/>
    <w:bookmarkEnd w:id="128"/>
    <w:p>
      <w:pPr>
        <w:ind w:left="384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81"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Approximately $1.3 million in unrecognized tax benefts would impact the Company’s efectve tax rate if recognized. The Company has elected to include interest and penaltes as a component of tax expense. For the years ended December 31, 2024 and 2023, the Company recognized accrued interest and penaltes of $0.1 million and $0.2 million, respectvely, as a component of income tax expense. No accrued interest and penaltes were recognized as a component of income tax expense during the year ended December 31, 2022. The Company does not antcipate that the amount of existng unrecognized tax benefts will signifcantly increase or decrease during the next year.</w:t>
      </w:r>
    </w:p>
    <w:p>
      <w:pPr>
        <w:spacing w:after="0" w:line="85"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It is the Company’s intenton to reinvest the earnings of its non-U.S. subsidiaries in their operatons. As of December 31, 2024, the Company had not made a provision for any incremental foreign withholding taxes on approximately $13.0 million of the excess of the amount of net income for fnancial reportng over the tax basis of investments in foreign subsidiaries that are essentally permanent in duraton. If these earnings were repatriated to the U.S., the deferred tax liability associated with these temporary diferences would result in a nominal amount of withholding taxes.</w:t>
      </w:r>
    </w:p>
    <w:p>
      <w:pPr>
        <w:spacing w:after="0" w:line="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 fles income tax returns in the U.S. federal, 40 state tax jurisdictons, and ten foreign countries. The federal and state income tax returns from incepton to December 31, 2024 remain subject to examinaton.</w:t>
      </w:r>
    </w:p>
    <w:p>
      <w:pPr>
        <w:spacing w:after="0" w:line="240" w:lineRule="exact"/>
        <w:rPr>
          <w:sz w:val="20"/>
          <w:szCs w:val="20"/>
          <w:color w:val="auto"/>
        </w:rPr>
      </w:pPr>
    </w:p>
    <w:p>
      <w:pPr>
        <w:ind w:left="520" w:hanging="512"/>
        <w:spacing w:after="0"/>
        <w:tabs>
          <w:tab w:leader="none" w:pos="520" w:val="left"/>
        </w:tabs>
        <w:numPr>
          <w:ilvl w:val="0"/>
          <w:numId w:val="56"/>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Commitments and Contngencies</w:t>
      </w:r>
    </w:p>
    <w:p>
      <w:pPr>
        <w:spacing w:after="0" w:line="82" w:lineRule="exact"/>
        <w:rPr>
          <w:sz w:val="20"/>
          <w:szCs w:val="20"/>
          <w:color w:val="auto"/>
        </w:rPr>
      </w:pPr>
    </w:p>
    <w:p>
      <w:pPr>
        <w:jc w:val="both"/>
        <w:ind w:right="40" w:firstLine="509"/>
        <w:spacing w:after="0" w:line="254" w:lineRule="auto"/>
        <w:rPr>
          <w:sz w:val="20"/>
          <w:szCs w:val="20"/>
          <w:color w:val="auto"/>
        </w:rPr>
      </w:pPr>
      <w:r>
        <w:rPr>
          <w:rFonts w:ascii="Calibri" w:cs="Calibri" w:eastAsia="Calibri" w:hAnsi="Calibri"/>
          <w:sz w:val="17"/>
          <w:szCs w:val="17"/>
          <w:color w:val="auto"/>
        </w:rPr>
        <w:t>The Company has various manufacturing, constructon, clinical, research, and other contracts with vendors in the conduct of the normal course of its business. Other than as noted below, contracts are terminable, with varying provisions regarding terminaton. If a contract with a specifc vendor were to be terminated, the Company would only be obligated for the products or services that the Company had received at the tme the terminaton became efectve.</w:t>
      </w:r>
    </w:p>
    <w:p>
      <w:pPr>
        <w:spacing w:after="0" w:line="70" w:lineRule="exact"/>
        <w:rPr>
          <w:sz w:val="20"/>
          <w:szCs w:val="20"/>
          <w:color w:val="auto"/>
        </w:rPr>
      </w:pPr>
    </w:p>
    <w:p>
      <w:pPr>
        <w:jc w:val="both"/>
        <w:ind w:right="60" w:firstLine="509"/>
        <w:spacing w:after="0" w:line="235" w:lineRule="auto"/>
        <w:rPr>
          <w:sz w:val="20"/>
          <w:szCs w:val="20"/>
          <w:color w:val="auto"/>
        </w:rPr>
      </w:pPr>
      <w:r>
        <w:rPr>
          <w:rFonts w:ascii="Calibri" w:cs="Calibri" w:eastAsia="Calibri" w:hAnsi="Calibri"/>
          <w:sz w:val="18"/>
          <w:szCs w:val="18"/>
          <w:color w:val="auto"/>
        </w:rPr>
        <w:t>Manufacturing and service contract obligatons primarily relate to the manufacture of inventory for our approved products, the majority of which are due in the next 12 months.</w:t>
      </w:r>
    </w:p>
    <w:p>
      <w:pPr>
        <w:spacing w:after="0" w:line="83"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As of December 31, 2024, the aggregate payments under contractually-binding manufacturing and service agreements are as follows (in thousands):</w:t>
      </w:r>
    </w:p>
    <w:p>
      <w:pPr>
        <w:spacing w:after="0" w:line="125"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4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0" w:type="dxa"/>
            <w:vAlign w:val="bottom"/>
            <w:gridSpan w:val="4"/>
          </w:tcPr>
          <w:p>
            <w:pPr>
              <w:jc w:val="center"/>
              <w:spacing w:after="0"/>
              <w:rPr>
                <w:sz w:val="20"/>
                <w:szCs w:val="20"/>
                <w:color w:val="auto"/>
              </w:rPr>
            </w:pPr>
            <w:r>
              <w:rPr>
                <w:rFonts w:ascii="Calibri" w:cs="Calibri" w:eastAsia="Calibri" w:hAnsi="Calibri"/>
                <w:sz w:val="18"/>
                <w:szCs w:val="18"/>
                <w:b w:val="1"/>
                <w:bCs w:val="1"/>
                <w:color w:val="auto"/>
                <w:w w:val="97"/>
              </w:rPr>
              <w:t>Year Ended December 31,</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8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2025</w:t>
            </w:r>
          </w:p>
        </w:tc>
        <w:tc>
          <w:tcPr>
            <w:tcW w:w="5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0"/>
              <w:spacing w:after="0" w:line="209" w:lineRule="exact"/>
              <w:rPr>
                <w:sz w:val="20"/>
                <w:szCs w:val="20"/>
                <w:color w:val="auto"/>
              </w:rPr>
            </w:pPr>
            <w:r>
              <w:rPr>
                <w:rFonts w:ascii="Calibri" w:cs="Calibri" w:eastAsia="Calibri" w:hAnsi="Calibri"/>
                <w:sz w:val="18"/>
                <w:szCs w:val="18"/>
                <w:b w:val="1"/>
                <w:bCs w:val="1"/>
                <w:color w:val="auto"/>
              </w:rPr>
              <w:t>2026</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0"/>
              <w:spacing w:after="0" w:line="209" w:lineRule="exact"/>
              <w:rPr>
                <w:sz w:val="20"/>
                <w:szCs w:val="20"/>
                <w:color w:val="auto"/>
              </w:rPr>
            </w:pPr>
            <w:r>
              <w:rPr>
                <w:rFonts w:ascii="Calibri" w:cs="Calibri" w:eastAsia="Calibri" w:hAnsi="Calibri"/>
                <w:sz w:val="18"/>
                <w:szCs w:val="18"/>
                <w:b w:val="1"/>
                <w:bCs w:val="1"/>
                <w:color w:val="auto"/>
              </w:rPr>
              <w:t>Total</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CFF"/>
          </w:tcPr>
          <w:p>
            <w:pPr>
              <w:spacing w:after="0" w:line="210" w:lineRule="exact"/>
              <w:rPr>
                <w:sz w:val="20"/>
                <w:szCs w:val="20"/>
                <w:color w:val="auto"/>
              </w:rPr>
            </w:pPr>
            <w:r>
              <w:rPr>
                <w:rFonts w:ascii="Calibri" w:cs="Calibri" w:eastAsia="Calibri" w:hAnsi="Calibri"/>
                <w:sz w:val="18"/>
                <w:szCs w:val="18"/>
                <w:color w:val="auto"/>
              </w:rPr>
              <w:t>Manufacturing and Services</w:t>
            </w:r>
          </w:p>
        </w:tc>
        <w:tc>
          <w:tcPr>
            <w:tcW w:w="860" w:type="dxa"/>
            <w:vAlign w:val="bottom"/>
            <w:shd w:val="clear" w:color="auto" w:fill="CCECFF"/>
          </w:tcPr>
          <w:p>
            <w:pPr>
              <w:jc w:val="right"/>
              <w:ind w:right="670"/>
              <w:spacing w:after="0" w:line="210" w:lineRule="exact"/>
              <w:rPr>
                <w:sz w:val="20"/>
                <w:szCs w:val="20"/>
                <w:color w:val="auto"/>
              </w:rPr>
            </w:pPr>
            <w:r>
              <w:rPr>
                <w:rFonts w:ascii="Calibri" w:cs="Calibri" w:eastAsia="Calibri" w:hAnsi="Calibri"/>
                <w:sz w:val="18"/>
                <w:szCs w:val="18"/>
                <w:color w:val="auto"/>
                <w:w w:val="87"/>
              </w:rPr>
              <w:t>$</w:t>
            </w:r>
          </w:p>
        </w:tc>
        <w:tc>
          <w:tcPr>
            <w:tcW w:w="52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w w:val="95"/>
              </w:rPr>
              <w:t>33,842</w:t>
            </w:r>
          </w:p>
        </w:tc>
        <w:tc>
          <w:tcPr>
            <w:tcW w:w="600" w:type="dxa"/>
            <w:vAlign w:val="bottom"/>
            <w:gridSpan w:val="2"/>
            <w:shd w:val="clear" w:color="auto" w:fill="CCECFF"/>
          </w:tcPr>
          <w:p>
            <w:pPr>
              <w:jc w:val="right"/>
              <w:ind w:right="200"/>
              <w:spacing w:after="0" w:line="210" w:lineRule="exact"/>
              <w:rPr>
                <w:sz w:val="20"/>
                <w:szCs w:val="20"/>
                <w:color w:val="auto"/>
              </w:rPr>
            </w:pPr>
            <w:r>
              <w:rPr>
                <w:rFonts w:ascii="Calibri" w:cs="Calibri" w:eastAsia="Calibri" w:hAnsi="Calibri"/>
                <w:sz w:val="18"/>
                <w:szCs w:val="18"/>
                <w:color w:val="auto"/>
              </w:rPr>
              <w:t>$</w:t>
            </w:r>
          </w:p>
        </w:tc>
        <w:tc>
          <w:tcPr>
            <w:tcW w:w="110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9,145</w:t>
            </w:r>
          </w:p>
        </w:tc>
        <w:tc>
          <w:tcPr>
            <w:tcW w:w="300" w:type="dxa"/>
            <w:vAlign w:val="bottom"/>
            <w:shd w:val="clear" w:color="auto" w:fill="CCECFF"/>
          </w:tcPr>
          <w:p>
            <w:pPr>
              <w:spacing w:after="0"/>
              <w:rPr>
                <w:sz w:val="18"/>
                <w:szCs w:val="18"/>
                <w:color w:val="auto"/>
              </w:rPr>
            </w:pPr>
          </w:p>
        </w:tc>
        <w:tc>
          <w:tcPr>
            <w:tcW w:w="300" w:type="dxa"/>
            <w:vAlign w:val="bottom"/>
            <w:shd w:val="clear" w:color="auto" w:fill="CCECFF"/>
          </w:tcPr>
          <w:p>
            <w:pPr>
              <w:jc w:val="right"/>
              <w:ind w:right="110"/>
              <w:spacing w:after="0" w:line="210" w:lineRule="exact"/>
              <w:rPr>
                <w:sz w:val="20"/>
                <w:szCs w:val="20"/>
                <w:color w:val="auto"/>
              </w:rPr>
            </w:pPr>
            <w:r>
              <w:rPr>
                <w:rFonts w:ascii="Calibri" w:cs="Calibri" w:eastAsia="Calibri" w:hAnsi="Calibri"/>
                <w:sz w:val="18"/>
                <w:szCs w:val="18"/>
                <w:color w:val="auto"/>
                <w:w w:val="87"/>
              </w:rPr>
              <w:t>$</w:t>
            </w:r>
          </w:p>
        </w:tc>
        <w:tc>
          <w:tcPr>
            <w:tcW w:w="1100" w:type="dxa"/>
            <w:vAlign w:val="bottom"/>
            <w:shd w:val="clear" w:color="auto" w:fill="CCECFF"/>
          </w:tcPr>
          <w:p>
            <w:pPr>
              <w:jc w:val="right"/>
              <w:spacing w:after="0" w:line="210" w:lineRule="exact"/>
              <w:rPr>
                <w:sz w:val="20"/>
                <w:szCs w:val="20"/>
                <w:color w:val="auto"/>
              </w:rPr>
            </w:pPr>
            <w:r>
              <w:rPr>
                <w:rFonts w:ascii="Calibri" w:cs="Calibri" w:eastAsia="Calibri" w:hAnsi="Calibri"/>
                <w:sz w:val="18"/>
                <w:szCs w:val="18"/>
                <w:color w:val="auto"/>
              </w:rPr>
              <w:t>42,987</w:t>
            </w:r>
          </w:p>
        </w:tc>
        <w:tc>
          <w:tcPr>
            <w:tcW w:w="8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right="320" w:firstLine="509"/>
        <w:spacing w:after="0" w:line="235" w:lineRule="auto"/>
        <w:rPr>
          <w:sz w:val="20"/>
          <w:szCs w:val="20"/>
          <w:color w:val="auto"/>
        </w:rPr>
      </w:pPr>
      <w:r>
        <w:rPr>
          <w:rFonts w:ascii="Calibri" w:cs="Calibri" w:eastAsia="Calibri" w:hAnsi="Calibri"/>
          <w:sz w:val="18"/>
          <w:szCs w:val="18"/>
          <w:color w:val="auto"/>
        </w:rPr>
        <w:t>The terms of certain of the Company’s licenses, royaltes, development and collaboraton agreements, as well as other research and development actvites, require the Company to pay potental future milestone payments based on product development success. The amount and tming of such obligatons are unknown or uncertain. These potental obligatons are further described in “Note 9. License and Research Agreements.”</w:t>
      </w:r>
    </w:p>
    <w:p>
      <w:pPr>
        <w:spacing w:after="0" w:line="79"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See “Note 10. Leases” for lease commitments.</w:t>
      </w:r>
    </w:p>
    <w:p>
      <w:pPr>
        <w:spacing w:after="0" w:line="2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Contngencies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the ordinary course of business, the Company may become party to various claims and complaints. See “Item 3. Legal Proceedings” for material legal proceedings the Company is aware of. The process of resolving maters through litgaton or other means is inherently uncertain, however management does not believe that any ultmate liability resultng from any of these potental claims will have a material adverse efect on its results of operatons, fnancial positon, or liquidity.</w:t>
      </w:r>
    </w:p>
    <w:p>
      <w:pPr>
        <w:spacing w:after="0" w:line="24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Guarantees and Indemnifcatons</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 indemnifes each of its directors and ofcers for certain events or occurrences, subject to certain limits, while the director or ofcer is or was serving at the Company’s request in such capacity, as permited under Delaware law and in accordance with its certfcate of incorporaton and bylaws. The term of the indemnifcaton period lasts as long as a director or ofcer may be subject to any proceeding arising out of acts or omissions of such director and ofcer in such capacity. The maximum amount of potental future indemnifcaton is unlimited; however, the Company currently holds director liability insurance. This insurance allows the transfer of risk associated with the Company’s exposure and may enable it to recover a porton of any future amounts paid. The Company believes that the fair value of these indemnifcaton obligatons is minimal. Accordingly, it has not recognized any liabilites relatng to these obligatons for any period presented.</w:t>
      </w:r>
    </w:p>
    <w:p>
      <w:pPr>
        <w:spacing w:after="0" w:line="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9" w:name="page130"/>
    <w:bookmarkEnd w:id="129"/>
    <w:p>
      <w:pPr>
        <w:ind w:left="3840"/>
        <w:spacing w:after="0"/>
        <w:rPr>
          <w:sz w:val="20"/>
          <w:szCs w:val="20"/>
          <w:color w:val="auto"/>
        </w:rPr>
      </w:pPr>
      <w:r>
        <w:rPr>
          <w:rFonts w:ascii="Times New Roman" w:cs="Times New Roman" w:eastAsia="Times New Roman" w:hAnsi="Times New Roman"/>
          <w:sz w:val="18"/>
          <w:szCs w:val="18"/>
          <w:b w:val="1"/>
          <w:bCs w:val="1"/>
          <w:color w:val="auto"/>
        </w:rPr>
        <w:t>ULTRAGENYX PHARMACEUTICAL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19" w:lineRule="exact"/>
        <w:rPr>
          <w:sz w:val="20"/>
          <w:szCs w:val="20"/>
          <w:color w:val="auto"/>
        </w:rPr>
      </w:pPr>
    </w:p>
    <w:p>
      <w:pPr>
        <w:ind w:left="520" w:hanging="512"/>
        <w:spacing w:after="0"/>
        <w:tabs>
          <w:tab w:leader="none" w:pos="520" w:val="left"/>
        </w:tabs>
        <w:numPr>
          <w:ilvl w:val="0"/>
          <w:numId w:val="57"/>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Related Party Transacton</w:t>
      </w:r>
    </w:p>
    <w:p>
      <w:pPr>
        <w:spacing w:after="0" w:line="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July 2022, the Company entered into an agreement with a non-proft foundaton in which two members of the Company’s board of directors, including the Company’s Chief Executve Ofcer, at the tme also served as board members of the foundaton, whereby an aggregate $1.0 million contributon is being paid to the foundaton over a four-year period, beginning in the third quarter of 2022, to support rare disease educaton and awareness. As a result, the Company recorded $0.3 million, $0.3 million, and $0.3 million as research and development expense for this agreement for the years ended December 31, 2024, 2023, and 2022, respectvely.</w:t>
      </w:r>
    </w:p>
    <w:p>
      <w:pPr>
        <w:spacing w:after="0" w:line="242" w:lineRule="exact"/>
        <w:rPr>
          <w:sz w:val="20"/>
          <w:szCs w:val="20"/>
          <w:color w:val="auto"/>
        </w:rPr>
      </w:pPr>
    </w:p>
    <w:p>
      <w:pPr>
        <w:ind w:left="520" w:hanging="512"/>
        <w:spacing w:after="0"/>
        <w:tabs>
          <w:tab w:leader="none" w:pos="520" w:val="left"/>
        </w:tabs>
        <w:numPr>
          <w:ilvl w:val="0"/>
          <w:numId w:val="58"/>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Net Loss per Share</w:t>
      </w:r>
    </w:p>
    <w:p>
      <w:pPr>
        <w:spacing w:after="0" w:line="8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The following table sets forth the computaton of the basic and diluted net loss per share during the years ended December 31, 2024, 2023, and 2022 (in thousands, except share and per share data):</w:t>
      </w:r>
    </w:p>
    <w:p>
      <w:pPr>
        <w:spacing w:after="0" w:line="105"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4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80" w:type="dxa"/>
            <w:vAlign w:val="bottom"/>
            <w:gridSpan w:val="6"/>
          </w:tcPr>
          <w:p>
            <w:pPr>
              <w:jc w:val="right"/>
              <w:ind w:right="10"/>
              <w:spacing w:after="0"/>
              <w:rPr>
                <w:sz w:val="20"/>
                <w:szCs w:val="20"/>
                <w:color w:val="auto"/>
              </w:rPr>
            </w:pPr>
            <w:r>
              <w:rPr>
                <w:rFonts w:ascii="Calibri" w:cs="Calibri" w:eastAsia="Calibri" w:hAnsi="Calibri"/>
                <w:sz w:val="18"/>
                <w:szCs w:val="18"/>
                <w:b w:val="1"/>
                <w:bCs w:val="1"/>
                <w:color w:val="auto"/>
              </w:rPr>
              <w:t>Year Ended December 31,</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line="209" w:lineRule="exact"/>
              <w:rPr>
                <w:sz w:val="20"/>
                <w:szCs w:val="20"/>
                <w:color w:val="auto"/>
              </w:rPr>
            </w:pPr>
            <w:r>
              <w:rPr>
                <w:rFonts w:ascii="Calibri" w:cs="Calibri" w:eastAsia="Calibri" w:hAnsi="Calibri"/>
                <w:sz w:val="18"/>
                <w:szCs w:val="18"/>
                <w:b w:val="1"/>
                <w:bCs w:val="1"/>
                <w:color w:val="auto"/>
              </w:rPr>
              <w:t>2024</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line="209" w:lineRule="exact"/>
              <w:rPr>
                <w:sz w:val="20"/>
                <w:szCs w:val="20"/>
                <w:color w:val="auto"/>
              </w:rPr>
            </w:pPr>
            <w:r>
              <w:rPr>
                <w:rFonts w:ascii="Calibri" w:cs="Calibri" w:eastAsia="Calibri" w:hAnsi="Calibri"/>
                <w:sz w:val="18"/>
                <w:szCs w:val="18"/>
                <w:b w:val="1"/>
                <w:bCs w:val="1"/>
                <w:color w:val="auto"/>
              </w:rPr>
              <w:t>2023</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line="209" w:lineRule="exact"/>
              <w:rPr>
                <w:sz w:val="20"/>
                <w:szCs w:val="20"/>
                <w:color w:val="auto"/>
              </w:rPr>
            </w:pPr>
            <w:r>
              <w:rPr>
                <w:rFonts w:ascii="Calibri" w:cs="Calibri" w:eastAsia="Calibri" w:hAnsi="Calibri"/>
                <w:sz w:val="18"/>
                <w:szCs w:val="18"/>
                <w:b w:val="1"/>
                <w:bCs w:val="1"/>
                <w:color w:val="auto"/>
              </w:rPr>
              <w:t>2022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CFF"/>
          </w:tcPr>
          <w:p>
            <w:pPr>
              <w:spacing w:after="0" w:line="210" w:lineRule="exact"/>
              <w:rPr>
                <w:sz w:val="20"/>
                <w:szCs w:val="20"/>
                <w:color w:val="auto"/>
              </w:rPr>
            </w:pPr>
            <w:r>
              <w:rPr>
                <w:rFonts w:ascii="Calibri" w:cs="Calibri" w:eastAsia="Calibri" w:hAnsi="Calibri"/>
                <w:sz w:val="18"/>
                <w:szCs w:val="18"/>
                <w:color w:val="auto"/>
              </w:rPr>
              <w:t>Numerator:</w:t>
            </w:r>
          </w:p>
        </w:tc>
        <w:tc>
          <w:tcPr>
            <w:tcW w:w="220" w:type="dxa"/>
            <w:vAlign w:val="bottom"/>
            <w:shd w:val="clear" w:color="auto" w:fill="CCECFF"/>
          </w:tcPr>
          <w:p>
            <w:pPr>
              <w:spacing w:after="0"/>
              <w:rPr>
                <w:sz w:val="18"/>
                <w:szCs w:val="18"/>
                <w:color w:val="auto"/>
              </w:rPr>
            </w:pPr>
          </w:p>
        </w:tc>
        <w:tc>
          <w:tcPr>
            <w:tcW w:w="9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94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94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60" w:type="dxa"/>
            <w:vAlign w:val="bottom"/>
          </w:tcPr>
          <w:p>
            <w:pPr>
              <w:ind w:left="180"/>
              <w:spacing w:after="0" w:line="215" w:lineRule="exact"/>
              <w:rPr>
                <w:sz w:val="20"/>
                <w:szCs w:val="20"/>
                <w:color w:val="auto"/>
              </w:rPr>
            </w:pPr>
            <w:r>
              <w:rPr>
                <w:rFonts w:ascii="Calibri" w:cs="Calibri" w:eastAsia="Calibri" w:hAnsi="Calibri"/>
                <w:sz w:val="18"/>
                <w:szCs w:val="18"/>
                <w:color w:val="auto"/>
              </w:rPr>
              <w:t>Net loss</w:t>
            </w: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(569,183 )</w:t>
            </w: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(606,639 )</w:t>
            </w: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102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(707,421 )</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60" w:type="dxa"/>
            <w:vAlign w:val="bottom"/>
            <w:shd w:val="clear" w:color="auto" w:fill="CCECFF"/>
          </w:tcPr>
          <w:p>
            <w:pPr>
              <w:spacing w:after="0" w:line="197" w:lineRule="exact"/>
              <w:rPr>
                <w:sz w:val="20"/>
                <w:szCs w:val="20"/>
                <w:color w:val="auto"/>
              </w:rPr>
            </w:pPr>
            <w:r>
              <w:rPr>
                <w:rFonts w:ascii="Calibri" w:cs="Calibri" w:eastAsia="Calibri" w:hAnsi="Calibri"/>
                <w:sz w:val="18"/>
                <w:szCs w:val="18"/>
                <w:color w:val="auto"/>
              </w:rPr>
              <w:t>Denominator:</w:t>
            </w:r>
          </w:p>
        </w:tc>
        <w:tc>
          <w:tcPr>
            <w:tcW w:w="220" w:type="dxa"/>
            <w:vAlign w:val="bottom"/>
            <w:shd w:val="clear" w:color="auto" w:fill="CCECFF"/>
          </w:tcPr>
          <w:p>
            <w:pPr>
              <w:spacing w:after="0"/>
              <w:rPr>
                <w:sz w:val="17"/>
                <w:szCs w:val="17"/>
                <w:color w:val="auto"/>
              </w:rPr>
            </w:pPr>
          </w:p>
        </w:tc>
        <w:tc>
          <w:tcPr>
            <w:tcW w:w="94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94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94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960" w:type="dxa"/>
            <w:vAlign w:val="bottom"/>
          </w:tcPr>
          <w:p>
            <w:pPr>
              <w:ind w:left="180"/>
              <w:spacing w:after="0" w:line="194" w:lineRule="exact"/>
              <w:rPr>
                <w:sz w:val="20"/>
                <w:szCs w:val="20"/>
                <w:color w:val="auto"/>
              </w:rPr>
            </w:pPr>
            <w:r>
              <w:rPr>
                <w:rFonts w:ascii="Calibri" w:cs="Calibri" w:eastAsia="Calibri" w:hAnsi="Calibri"/>
                <w:sz w:val="18"/>
                <w:szCs w:val="18"/>
                <w:color w:val="auto"/>
              </w:rPr>
              <w:t>Weighted-average shares used to compute net loss per</w:t>
            </w:r>
          </w:p>
        </w:tc>
        <w:tc>
          <w:tcPr>
            <w:tcW w:w="2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Calibri" w:cs="Calibri" w:eastAsia="Calibri" w:hAnsi="Calibri"/>
                <w:sz w:val="18"/>
                <w:szCs w:val="18"/>
                <w:color w:val="auto"/>
              </w:rPr>
              <w:t>90,538,118</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Calibri" w:cs="Calibri" w:eastAsia="Calibri" w:hAnsi="Calibri"/>
                <w:sz w:val="18"/>
                <w:szCs w:val="18"/>
                <w:color w:val="auto"/>
              </w:rPr>
              <w:t>73,543,862</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Calibri" w:cs="Calibri" w:eastAsia="Calibri" w:hAnsi="Calibri"/>
                <w:sz w:val="18"/>
                <w:szCs w:val="18"/>
                <w:color w:val="auto"/>
              </w:rPr>
              <w:t>69,914,225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960" w:type="dxa"/>
            <w:vAlign w:val="bottom"/>
          </w:tcPr>
          <w:p>
            <w:pPr>
              <w:ind w:left="300"/>
              <w:spacing w:after="0" w:line="198" w:lineRule="exact"/>
              <w:rPr>
                <w:sz w:val="20"/>
                <w:szCs w:val="20"/>
                <w:color w:val="auto"/>
              </w:rPr>
            </w:pPr>
            <w:r>
              <w:rPr>
                <w:rFonts w:ascii="Calibri" w:cs="Calibri" w:eastAsia="Calibri" w:hAnsi="Calibri"/>
                <w:sz w:val="18"/>
                <w:szCs w:val="18"/>
                <w:color w:val="auto"/>
              </w:rPr>
              <w:t>share, basic and diluted</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CFF"/>
          </w:tcPr>
          <w:p>
            <w:pPr>
              <w:spacing w:after="0" w:line="196" w:lineRule="exact"/>
              <w:rPr>
                <w:sz w:val="20"/>
                <w:szCs w:val="20"/>
                <w:color w:val="auto"/>
              </w:rPr>
            </w:pPr>
            <w:r>
              <w:rPr>
                <w:rFonts w:ascii="Calibri" w:cs="Calibri" w:eastAsia="Calibri" w:hAnsi="Calibri"/>
                <w:sz w:val="18"/>
                <w:szCs w:val="18"/>
                <w:color w:val="auto"/>
              </w:rPr>
              <w:t>Net loss per share, basic and diluted</w:t>
            </w:r>
          </w:p>
        </w:tc>
        <w:tc>
          <w:tcPr>
            <w:tcW w:w="220" w:type="dxa"/>
            <w:vAlign w:val="bottom"/>
            <w:shd w:val="clear" w:color="auto" w:fill="CCECFF"/>
          </w:tcPr>
          <w:p>
            <w:pPr>
              <w:jc w:val="right"/>
              <w:ind w:right="30"/>
              <w:spacing w:after="0" w:line="196" w:lineRule="exact"/>
              <w:rPr>
                <w:sz w:val="20"/>
                <w:szCs w:val="20"/>
                <w:color w:val="auto"/>
              </w:rPr>
            </w:pPr>
            <w:r>
              <w:rPr>
                <w:rFonts w:ascii="Calibri" w:cs="Calibri" w:eastAsia="Calibri" w:hAnsi="Calibri"/>
                <w:sz w:val="18"/>
                <w:szCs w:val="18"/>
                <w:color w:val="auto"/>
                <w:w w:val="87"/>
              </w:rPr>
              <w:t>$</w:t>
            </w:r>
          </w:p>
        </w:tc>
        <w:tc>
          <w:tcPr>
            <w:tcW w:w="1160" w:type="dxa"/>
            <w:vAlign w:val="bottom"/>
            <w:gridSpan w:val="2"/>
            <w:shd w:val="clear" w:color="auto" w:fill="CCECFF"/>
          </w:tcPr>
          <w:p>
            <w:pPr>
              <w:jc w:val="right"/>
              <w:ind w:right="160"/>
              <w:spacing w:after="0" w:line="196" w:lineRule="exact"/>
              <w:rPr>
                <w:sz w:val="20"/>
                <w:szCs w:val="20"/>
                <w:color w:val="auto"/>
              </w:rPr>
            </w:pPr>
            <w:r>
              <w:rPr>
                <w:rFonts w:ascii="Calibri" w:cs="Calibri" w:eastAsia="Calibri" w:hAnsi="Calibri"/>
                <w:sz w:val="18"/>
                <w:szCs w:val="18"/>
                <w:color w:val="auto"/>
              </w:rPr>
              <w:t>(6.29 )</w:t>
            </w:r>
          </w:p>
        </w:tc>
        <w:tc>
          <w:tcPr>
            <w:tcW w:w="220" w:type="dxa"/>
            <w:vAlign w:val="bottom"/>
            <w:shd w:val="clear" w:color="auto" w:fill="CCECFF"/>
          </w:tcPr>
          <w:p>
            <w:pPr>
              <w:jc w:val="right"/>
              <w:ind w:right="30"/>
              <w:spacing w:after="0" w:line="196" w:lineRule="exact"/>
              <w:rPr>
                <w:sz w:val="20"/>
                <w:szCs w:val="20"/>
                <w:color w:val="auto"/>
              </w:rPr>
            </w:pPr>
            <w:r>
              <w:rPr>
                <w:rFonts w:ascii="Calibri" w:cs="Calibri" w:eastAsia="Calibri" w:hAnsi="Calibri"/>
                <w:sz w:val="18"/>
                <w:szCs w:val="18"/>
                <w:color w:val="auto"/>
                <w:w w:val="87"/>
              </w:rPr>
              <w:t>$</w:t>
            </w:r>
          </w:p>
        </w:tc>
        <w:tc>
          <w:tcPr>
            <w:tcW w:w="1180" w:type="dxa"/>
            <w:vAlign w:val="bottom"/>
            <w:gridSpan w:val="2"/>
            <w:shd w:val="clear" w:color="auto" w:fill="CCECFF"/>
          </w:tcPr>
          <w:p>
            <w:pPr>
              <w:jc w:val="right"/>
              <w:ind w:right="180"/>
              <w:spacing w:after="0" w:line="196" w:lineRule="exact"/>
              <w:rPr>
                <w:sz w:val="20"/>
                <w:szCs w:val="20"/>
                <w:color w:val="auto"/>
              </w:rPr>
            </w:pPr>
            <w:r>
              <w:rPr>
                <w:rFonts w:ascii="Calibri" w:cs="Calibri" w:eastAsia="Calibri" w:hAnsi="Calibri"/>
                <w:sz w:val="18"/>
                <w:szCs w:val="18"/>
                <w:color w:val="auto"/>
              </w:rPr>
              <w:t>(8.25 )</w:t>
            </w:r>
          </w:p>
        </w:tc>
        <w:tc>
          <w:tcPr>
            <w:tcW w:w="220" w:type="dxa"/>
            <w:vAlign w:val="bottom"/>
            <w:shd w:val="clear" w:color="auto" w:fill="CCECFF"/>
          </w:tcPr>
          <w:p>
            <w:pPr>
              <w:jc w:val="right"/>
              <w:ind w:right="30"/>
              <w:spacing w:after="0" w:line="196" w:lineRule="exact"/>
              <w:rPr>
                <w:sz w:val="20"/>
                <w:szCs w:val="20"/>
                <w:color w:val="auto"/>
              </w:rPr>
            </w:pPr>
            <w:r>
              <w:rPr>
                <w:rFonts w:ascii="Calibri" w:cs="Calibri" w:eastAsia="Calibri" w:hAnsi="Calibri"/>
                <w:sz w:val="18"/>
                <w:szCs w:val="18"/>
                <w:color w:val="auto"/>
                <w:w w:val="87"/>
              </w:rPr>
              <w:t>$</w:t>
            </w:r>
          </w:p>
        </w:tc>
        <w:tc>
          <w:tcPr>
            <w:tcW w:w="1020" w:type="dxa"/>
            <w:vAlign w:val="bottom"/>
            <w:gridSpan w:val="2"/>
            <w:shd w:val="clear" w:color="auto" w:fill="CCECFF"/>
          </w:tcPr>
          <w:p>
            <w:pPr>
              <w:jc w:val="right"/>
              <w:ind w:right="20"/>
              <w:spacing w:after="0" w:line="196" w:lineRule="exact"/>
              <w:rPr>
                <w:sz w:val="20"/>
                <w:szCs w:val="20"/>
                <w:color w:val="auto"/>
              </w:rPr>
            </w:pPr>
            <w:r>
              <w:rPr>
                <w:rFonts w:ascii="Calibri" w:cs="Calibri" w:eastAsia="Calibri" w:hAnsi="Calibri"/>
                <w:sz w:val="18"/>
                <w:szCs w:val="18"/>
                <w:color w:val="auto"/>
              </w:rPr>
              <w:t>(10.12 )</w:t>
            </w:r>
          </w:p>
        </w:tc>
        <w:tc>
          <w:tcPr>
            <w:tcW w:w="0" w:type="dxa"/>
            <w:vAlign w:val="bottom"/>
          </w:tcPr>
          <w:p>
            <w:pPr>
              <w:spacing w:after="0"/>
              <w:rPr>
                <w:sz w:val="1"/>
                <w:szCs w:val="1"/>
                <w:color w:val="auto"/>
              </w:rPr>
            </w:pPr>
          </w:p>
        </w:tc>
      </w:tr>
      <w:tr>
        <w:trPr>
          <w:trHeight w:val="20"/>
        </w:trPr>
        <w:tc>
          <w:tcPr>
            <w:tcW w:w="496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-24765</wp:posOffset>
            </wp:positionV>
            <wp:extent cx="5143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6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-7620</wp:posOffset>
            </wp:positionV>
            <wp:extent cx="5143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6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-24765</wp:posOffset>
            </wp:positionV>
            <wp:extent cx="5143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6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5143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6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6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63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6" w:lineRule="exact"/>
        <w:rPr>
          <w:sz w:val="20"/>
          <w:szCs w:val="20"/>
          <w:color w:val="auto"/>
        </w:rPr>
      </w:pPr>
    </w:p>
    <w:p>
      <w:pPr>
        <w:ind w:right="340" w:firstLine="509"/>
        <w:spacing w:after="0" w:line="235" w:lineRule="auto"/>
        <w:rPr>
          <w:sz w:val="20"/>
          <w:szCs w:val="20"/>
          <w:color w:val="auto"/>
        </w:rPr>
      </w:pPr>
      <w:r>
        <w:rPr>
          <w:rFonts w:ascii="Calibri" w:cs="Calibri" w:eastAsia="Calibri" w:hAnsi="Calibri"/>
          <w:sz w:val="18"/>
          <w:szCs w:val="18"/>
          <w:color w:val="auto"/>
        </w:rPr>
        <w:t>The following weighted-average outstanding common stock equivalents were excluded from the computaton of diluted net loss per share for the periods presented because including them would have been antdilutve:</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364" w:lineRule="exact"/>
        <w:rPr>
          <w:sz w:val="20"/>
          <w:szCs w:val="20"/>
          <w:color w:val="auto"/>
        </w:rPr>
      </w:pPr>
    </w:p>
    <w:p>
      <w:pPr>
        <w:ind w:left="1140"/>
        <w:spacing w:after="0"/>
        <w:rPr>
          <w:sz w:val="20"/>
          <w:szCs w:val="20"/>
          <w:color w:val="auto"/>
        </w:rPr>
      </w:pPr>
      <w:r>
        <w:rPr>
          <w:rFonts w:ascii="Calibri" w:cs="Calibri" w:eastAsia="Calibri" w:hAnsi="Calibri"/>
          <w:sz w:val="18"/>
          <w:szCs w:val="18"/>
          <w:color w:val="auto"/>
        </w:rPr>
        <w:t>Optons to purchase common stock,</w:t>
      </w:r>
    </w:p>
    <w:p>
      <w:pPr>
        <w:spacing w:after="0" w:line="1" w:lineRule="exact"/>
        <w:rPr>
          <w:sz w:val="20"/>
          <w:szCs w:val="20"/>
          <w:color w:val="auto"/>
        </w:rPr>
      </w:pPr>
    </w:p>
    <w:p>
      <w:pPr>
        <w:ind w:left="1140" w:right="480" w:firstLine="159"/>
        <w:spacing w:after="0" w:line="235" w:lineRule="auto"/>
        <w:rPr>
          <w:sz w:val="20"/>
          <w:szCs w:val="20"/>
          <w:color w:val="auto"/>
        </w:rPr>
      </w:pPr>
      <w:r>
        <w:rPr>
          <w:rFonts w:ascii="Calibri" w:cs="Calibri" w:eastAsia="Calibri" w:hAnsi="Calibri"/>
          <w:sz w:val="18"/>
          <w:szCs w:val="18"/>
          <w:color w:val="auto"/>
        </w:rPr>
        <w:t>restricted stock units, and performance stock units Employee stock purchase plan</w:t>
      </w:r>
    </w:p>
    <w:p>
      <w:pPr>
        <w:spacing w:after="0" w:line="200" w:lineRule="exact"/>
        <w:rPr>
          <w:sz w:val="20"/>
          <w:szCs w:val="20"/>
          <w:color w:val="auto"/>
        </w:rPr>
      </w:pPr>
    </w:p>
    <w:p>
      <w:pPr>
        <w:spacing w:after="0" w:line="323" w:lineRule="exact"/>
        <w:rPr>
          <w:sz w:val="20"/>
          <w:szCs w:val="20"/>
          <w:color w:val="auto"/>
        </w:rPr>
      </w:pPr>
    </w:p>
    <w:p>
      <w:pPr>
        <w:ind w:left="520" w:hanging="512"/>
        <w:spacing w:after="0"/>
        <w:tabs>
          <w:tab w:leader="none" w:pos="520" w:val="left"/>
        </w:tabs>
        <w:numPr>
          <w:ilvl w:val="0"/>
          <w:numId w:val="59"/>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Accumulated Other Comprehensive (Loss) Income</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jc w:val="center"/>
        <w:ind w:right="1220"/>
        <w:spacing w:after="0"/>
        <w:rPr>
          <w:sz w:val="20"/>
          <w:szCs w:val="20"/>
          <w:color w:val="auto"/>
        </w:rPr>
      </w:pPr>
      <w:r>
        <w:rPr>
          <w:rFonts w:ascii="Calibri" w:cs="Calibri" w:eastAsia="Calibri" w:hAnsi="Calibri"/>
          <w:sz w:val="18"/>
          <w:szCs w:val="18"/>
          <w:b w:val="1"/>
          <w:bCs w:val="1"/>
          <w:color w:val="auto"/>
        </w:rPr>
        <w:t>Year Ended December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60" w:type="dxa"/>
            <w:vAlign w:val="bottom"/>
            <w:tcBorders>
              <w:top w:val="single" w:sz="8" w:color="auto"/>
              <w:bottom w:val="single" w:sz="8" w:color="auto"/>
            </w:tcBorders>
          </w:tcPr>
          <w:p>
            <w:pPr>
              <w:jc w:val="right"/>
              <w:ind w:right="310"/>
              <w:spacing w:after="0"/>
              <w:rPr>
                <w:sz w:val="20"/>
                <w:szCs w:val="20"/>
                <w:color w:val="auto"/>
              </w:rPr>
            </w:pPr>
            <w:r>
              <w:rPr>
                <w:rFonts w:ascii="Calibri" w:cs="Calibri" w:eastAsia="Calibri" w:hAnsi="Calibri"/>
                <w:sz w:val="18"/>
                <w:szCs w:val="18"/>
                <w:b w:val="1"/>
                <w:bCs w:val="1"/>
                <w:color w:val="auto"/>
              </w:rPr>
              <w:t>2024</w:t>
            </w: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30"/>
              <w:spacing w:after="0"/>
              <w:rPr>
                <w:sz w:val="20"/>
                <w:szCs w:val="20"/>
                <w:color w:val="auto"/>
              </w:rPr>
            </w:pPr>
            <w:r>
              <w:rPr>
                <w:rFonts w:ascii="Calibri" w:cs="Calibri" w:eastAsia="Calibri" w:hAnsi="Calibri"/>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Calibri" w:cs="Calibri" w:eastAsia="Calibri" w:hAnsi="Calibri"/>
                <w:sz w:val="18"/>
                <w:szCs w:val="18"/>
                <w:b w:val="1"/>
                <w:bCs w:val="1"/>
                <w:color w:val="auto"/>
              </w:rPr>
              <w:t>2022</w:t>
            </w:r>
          </w:p>
        </w:tc>
        <w:tc>
          <w:tcPr>
            <w:tcW w:w="0" w:type="dxa"/>
            <w:vAlign w:val="bottom"/>
          </w:tcPr>
          <w:p>
            <w:pPr>
              <w:spacing w:after="0"/>
              <w:rPr>
                <w:sz w:val="1"/>
                <w:szCs w:val="1"/>
                <w:color w:val="auto"/>
              </w:rPr>
            </w:pPr>
          </w:p>
        </w:tc>
      </w:tr>
      <w:tr>
        <w:trPr>
          <w:trHeight w:val="295"/>
        </w:trPr>
        <w:tc>
          <w:tcPr>
            <w:tcW w:w="1160" w:type="dxa"/>
            <w:vAlign w:val="bottom"/>
          </w:tcPr>
          <w:p>
            <w:pPr>
              <w:jc w:val="right"/>
              <w:spacing w:after="0"/>
              <w:rPr>
                <w:sz w:val="20"/>
                <w:szCs w:val="20"/>
                <w:color w:val="auto"/>
              </w:rPr>
            </w:pPr>
            <w:r>
              <w:rPr>
                <w:rFonts w:ascii="Calibri" w:cs="Calibri" w:eastAsia="Calibri" w:hAnsi="Calibri"/>
                <w:sz w:val="18"/>
                <w:szCs w:val="18"/>
                <w:color w:val="auto"/>
              </w:rPr>
              <w:t>16,284,470</w:t>
            </w:r>
          </w:p>
        </w:tc>
        <w:tc>
          <w:tcPr>
            <w:tcW w:w="1400" w:type="dxa"/>
            <w:vAlign w:val="bottom"/>
            <w:gridSpan w:val="2"/>
          </w:tcPr>
          <w:p>
            <w:pPr>
              <w:jc w:val="right"/>
              <w:spacing w:after="0"/>
              <w:rPr>
                <w:sz w:val="20"/>
                <w:szCs w:val="20"/>
                <w:color w:val="auto"/>
              </w:rPr>
            </w:pPr>
            <w:r>
              <w:rPr>
                <w:rFonts w:ascii="Calibri" w:cs="Calibri" w:eastAsia="Calibri" w:hAnsi="Calibri"/>
                <w:sz w:val="18"/>
                <w:szCs w:val="18"/>
                <w:color w:val="auto"/>
              </w:rPr>
              <w:t>14,152,286</w:t>
            </w:r>
          </w:p>
        </w:tc>
        <w:tc>
          <w:tcPr>
            <w:tcW w:w="1360" w:type="dxa"/>
            <w:vAlign w:val="bottom"/>
            <w:gridSpan w:val="2"/>
          </w:tcPr>
          <w:p>
            <w:pPr>
              <w:jc w:val="right"/>
              <w:spacing w:after="0"/>
              <w:rPr>
                <w:sz w:val="20"/>
                <w:szCs w:val="20"/>
                <w:color w:val="auto"/>
              </w:rPr>
            </w:pPr>
            <w:r>
              <w:rPr>
                <w:rFonts w:ascii="Calibri" w:cs="Calibri" w:eastAsia="Calibri" w:hAnsi="Calibri"/>
                <w:sz w:val="18"/>
                <w:szCs w:val="18"/>
                <w:color w:val="auto"/>
              </w:rPr>
              <w:t>11,290,935</w:t>
            </w:r>
          </w:p>
        </w:tc>
        <w:tc>
          <w:tcPr>
            <w:tcW w:w="0" w:type="dxa"/>
            <w:vAlign w:val="bottom"/>
          </w:tcPr>
          <w:p>
            <w:pPr>
              <w:spacing w:after="0"/>
              <w:rPr>
                <w:sz w:val="1"/>
                <w:szCs w:val="1"/>
                <w:color w:val="auto"/>
              </w:rPr>
            </w:pPr>
          </w:p>
        </w:tc>
      </w:tr>
      <w:tr>
        <w:trPr>
          <w:trHeight w:val="324"/>
        </w:trPr>
        <w:tc>
          <w:tcPr>
            <w:tcW w:w="1160" w:type="dxa"/>
            <w:vAlign w:val="bottom"/>
          </w:tcPr>
          <w:p>
            <w:pPr>
              <w:jc w:val="right"/>
              <w:spacing w:after="0"/>
              <w:rPr>
                <w:sz w:val="20"/>
                <w:szCs w:val="20"/>
                <w:color w:val="auto"/>
              </w:rPr>
            </w:pPr>
            <w:r>
              <w:rPr>
                <w:rFonts w:ascii="Calibri" w:cs="Calibri" w:eastAsia="Calibri" w:hAnsi="Calibri"/>
                <w:sz w:val="18"/>
                <w:szCs w:val="18"/>
                <w:color w:val="auto"/>
              </w:rPr>
              <w:t>7,790</w:t>
            </w:r>
          </w:p>
        </w:tc>
        <w:tc>
          <w:tcPr>
            <w:tcW w:w="1400" w:type="dxa"/>
            <w:vAlign w:val="bottom"/>
            <w:gridSpan w:val="2"/>
          </w:tcPr>
          <w:p>
            <w:pPr>
              <w:jc w:val="right"/>
              <w:spacing w:after="0"/>
              <w:rPr>
                <w:sz w:val="20"/>
                <w:szCs w:val="20"/>
                <w:color w:val="auto"/>
              </w:rPr>
            </w:pPr>
            <w:r>
              <w:rPr>
                <w:rFonts w:ascii="Calibri" w:cs="Calibri" w:eastAsia="Calibri" w:hAnsi="Calibri"/>
                <w:sz w:val="18"/>
                <w:szCs w:val="18"/>
                <w:color w:val="auto"/>
              </w:rPr>
              <w:t>8,450</w:t>
            </w:r>
          </w:p>
        </w:tc>
        <w:tc>
          <w:tcPr>
            <w:tcW w:w="1360" w:type="dxa"/>
            <w:vAlign w:val="bottom"/>
            <w:gridSpan w:val="2"/>
          </w:tcPr>
          <w:p>
            <w:pPr>
              <w:jc w:val="right"/>
              <w:spacing w:after="0"/>
              <w:rPr>
                <w:sz w:val="20"/>
                <w:szCs w:val="20"/>
                <w:color w:val="auto"/>
              </w:rPr>
            </w:pPr>
            <w:r>
              <w:rPr>
                <w:rFonts w:ascii="Calibri" w:cs="Calibri" w:eastAsia="Calibri" w:hAnsi="Calibri"/>
                <w:sz w:val="18"/>
                <w:szCs w:val="18"/>
                <w:color w:val="auto"/>
              </w:rPr>
              <w:t>7,581</w:t>
            </w:r>
          </w:p>
        </w:tc>
        <w:tc>
          <w:tcPr>
            <w:tcW w:w="0" w:type="dxa"/>
            <w:vAlign w:val="bottom"/>
          </w:tcPr>
          <w:p>
            <w:pPr>
              <w:spacing w:after="0"/>
              <w:rPr>
                <w:sz w:val="1"/>
                <w:szCs w:val="1"/>
                <w:color w:val="auto"/>
              </w:rPr>
            </w:pPr>
          </w:p>
        </w:tc>
      </w:tr>
      <w:tr>
        <w:trPr>
          <w:trHeight w:val="23"/>
        </w:trPr>
        <w:tc>
          <w:tcPr>
            <w:tcW w:w="116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16,292,260</w:t>
            </w:r>
          </w:p>
        </w:tc>
        <w:tc>
          <w:tcPr>
            <w:tcW w:w="240" w:type="dxa"/>
            <w:vAlign w:val="bottom"/>
            <w:vMerge w:val="continue"/>
          </w:tcPr>
          <w:p>
            <w:pPr>
              <w:spacing w:after="0"/>
              <w:rPr>
                <w:sz w:val="18"/>
                <w:szCs w:val="18"/>
                <w:color w:val="auto"/>
              </w:rPr>
            </w:pPr>
          </w:p>
        </w:tc>
        <w:tc>
          <w:tcPr>
            <w:tcW w:w="11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14,160,736</w:t>
            </w:r>
          </w:p>
        </w:tc>
        <w:tc>
          <w:tcPr>
            <w:tcW w:w="220" w:type="dxa"/>
            <w:vAlign w:val="bottom"/>
            <w:vMerge w:val="continue"/>
          </w:tcPr>
          <w:p>
            <w:pPr>
              <w:spacing w:after="0"/>
              <w:rPr>
                <w:sz w:val="18"/>
                <w:szCs w:val="18"/>
                <w:color w:val="auto"/>
              </w:rPr>
            </w:pPr>
          </w:p>
        </w:tc>
        <w:tc>
          <w:tcPr>
            <w:tcW w:w="11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11,298,516</w:t>
            </w:r>
          </w:p>
        </w:tc>
        <w:tc>
          <w:tcPr>
            <w:tcW w:w="0" w:type="dxa"/>
            <w:vAlign w:val="bottom"/>
          </w:tcPr>
          <w:p>
            <w:pPr>
              <w:spacing w:after="0"/>
              <w:rPr>
                <w:sz w:val="1"/>
                <w:szCs w:val="1"/>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-582295</wp:posOffset>
            </wp:positionV>
            <wp:extent cx="5700395" cy="27432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631">
                      <a:extLst>
                        <a:ext uri="{28A0092B-C50C-407E-A947-70E740481C1C}"/>
                      </a:extLst>
                    </a:blip>
                    <a:srcRect/>
                    <a:stretch>
                      <a:fillRect/>
                    </a:stretch>
                  </pic:blipFill>
                  <pic:spPr bwMode="auto">
                    <a:xfrm>
                      <a:off x="0" y="0"/>
                      <a:ext cx="5700395" cy="274320"/>
                    </a:xfrm>
                    <a:prstGeom prst="rect">
                      <a:avLst/>
                    </a:prstGeom>
                    <a:noFill/>
                  </pic:spPr>
                </pic:pic>
              </a:graphicData>
            </a:graphic>
          </wp:anchor>
        </w:drawing>
        <w:drawing>
          <wp:anchor simplePos="0" relativeHeight="251657728" behindDoc="1" locked="0" layoutInCell="0" allowOverlap="1">
            <wp:simplePos x="0" y="0"/>
            <wp:positionH relativeFrom="column">
              <wp:posOffset>-3160395</wp:posOffset>
            </wp:positionH>
            <wp:positionV relativeFrom="paragraph">
              <wp:posOffset>-170815</wp:posOffset>
            </wp:positionV>
            <wp:extent cx="5700395" cy="17145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632">
                      <a:extLst>
                        <a:ext uri="{28A0092B-C50C-407E-A947-70E740481C1C}"/>
                      </a:extLst>
                    </a:blip>
                    <a:srcRect/>
                    <a:stretch>
                      <a:fillRect/>
                    </a:stretch>
                  </pic:blipFill>
                  <pic:spPr bwMode="auto">
                    <a:xfrm>
                      <a:off x="0" y="0"/>
                      <a:ext cx="5700395" cy="171450"/>
                    </a:xfrm>
                    <a:prstGeom prst="rect">
                      <a:avLst/>
                    </a:prstGeom>
                    <a:noFill/>
                  </pic:spPr>
                </pic:pic>
              </a:graphicData>
            </a:graphic>
          </wp:anchor>
        </w:drawing>
      </w:r>
    </w:p>
    <w:p>
      <w:pPr>
        <w:spacing w:after="0" w:line="526" w:lineRule="exact"/>
        <w:rPr>
          <w:sz w:val="20"/>
          <w:szCs w:val="20"/>
          <w:color w:val="auto"/>
        </w:rPr>
      </w:pPr>
    </w:p>
    <w:p>
      <w:pPr>
        <w:sectPr>
          <w:pgSz w:w="11900" w:h="16838" w:orient="portrait"/>
          <w:cols w:equalWidth="0" w:num="2">
            <w:col w:w="5400" w:space="720"/>
            <w:col w:w="5120"/>
          </w:cols>
          <w:pgMar w:left="320" w:top="765" w:right="339" w:bottom="1440" w:gutter="0" w:footer="0" w:header="0"/>
          <w:type w:val="continuous"/>
        </w:sectPr>
      </w:pPr>
    </w:p>
    <w:p>
      <w:pPr>
        <w:ind w:left="520"/>
        <w:spacing w:after="0"/>
        <w:rPr>
          <w:sz w:val="20"/>
          <w:szCs w:val="20"/>
          <w:color w:val="auto"/>
        </w:rPr>
      </w:pPr>
      <w:r>
        <w:rPr>
          <w:rFonts w:ascii="Calibri" w:cs="Calibri" w:eastAsia="Calibri" w:hAnsi="Calibri"/>
          <w:sz w:val="18"/>
          <w:szCs w:val="18"/>
          <w:color w:val="auto"/>
        </w:rPr>
        <w:t>Total accumulated other comprehensive (loss) income consisted of the following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4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780" w:type="dxa"/>
            <w:vAlign w:val="bottom"/>
            <w:gridSpan w:val="4"/>
          </w:tcPr>
          <w:p>
            <w:pPr>
              <w:jc w:val="right"/>
              <w:ind w:right="110"/>
              <w:spacing w:after="0"/>
              <w:rPr>
                <w:sz w:val="20"/>
                <w:szCs w:val="20"/>
                <w:color w:val="auto"/>
              </w:rPr>
            </w:pPr>
            <w:r>
              <w:rPr>
                <w:rFonts w:ascii="Calibri" w:cs="Calibri" w:eastAsia="Calibri" w:hAnsi="Calibri"/>
                <w:sz w:val="18"/>
                <w:szCs w:val="18"/>
                <w:b w:val="1"/>
                <w:bCs w:val="1"/>
                <w:color w:val="auto"/>
              </w:rPr>
              <w:t>Year Ended December 31,</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420" w:type="dxa"/>
            <w:vAlign w:val="bottom"/>
            <w:vMerge w:val="restart"/>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9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2024</w:t>
            </w:r>
          </w:p>
        </w:tc>
        <w:tc>
          <w:tcPr>
            <w:tcW w:w="5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2023</w:t>
            </w: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180" w:type="dxa"/>
            <w:vAlign w:val="bottom"/>
            <w:shd w:val="clear" w:color="auto" w:fill="CCECFF"/>
          </w:tcPr>
          <w:p>
            <w:pPr>
              <w:spacing w:after="0" w:line="210" w:lineRule="exact"/>
              <w:rPr>
                <w:sz w:val="20"/>
                <w:szCs w:val="20"/>
                <w:color w:val="auto"/>
              </w:rPr>
            </w:pPr>
            <w:r>
              <w:rPr>
                <w:rFonts w:ascii="Calibri" w:cs="Calibri" w:eastAsia="Calibri" w:hAnsi="Calibri"/>
                <w:sz w:val="18"/>
                <w:szCs w:val="18"/>
                <w:color w:val="auto"/>
              </w:rPr>
              <w:t>Cumulatve foreign currency translaton adjustment</w:t>
            </w:r>
          </w:p>
        </w:tc>
        <w:tc>
          <w:tcPr>
            <w:tcW w:w="2380" w:type="dxa"/>
            <w:vAlign w:val="bottom"/>
            <w:gridSpan w:val="2"/>
            <w:shd w:val="clear" w:color="auto" w:fill="CCECFF"/>
          </w:tcPr>
          <w:p>
            <w:pPr>
              <w:jc w:val="right"/>
              <w:ind w:right="790"/>
              <w:spacing w:after="0" w:line="210" w:lineRule="exact"/>
              <w:rPr>
                <w:sz w:val="20"/>
                <w:szCs w:val="20"/>
                <w:color w:val="auto"/>
              </w:rPr>
            </w:pPr>
            <w:r>
              <w:rPr>
                <w:rFonts w:ascii="Calibri" w:cs="Calibri" w:eastAsia="Calibri" w:hAnsi="Calibri"/>
                <w:sz w:val="18"/>
                <w:szCs w:val="18"/>
                <w:color w:val="auto"/>
              </w:rPr>
              <w:t>$</w:t>
            </w:r>
          </w:p>
        </w:tc>
        <w:tc>
          <w:tcPr>
            <w:tcW w:w="820" w:type="dxa"/>
            <w:vAlign w:val="bottom"/>
            <w:gridSpan w:val="2"/>
            <w:shd w:val="clear" w:color="auto" w:fill="CCECFF"/>
          </w:tcPr>
          <w:p>
            <w:pPr>
              <w:jc w:val="right"/>
              <w:ind w:right="220"/>
              <w:spacing w:after="0" w:line="210" w:lineRule="exact"/>
              <w:rPr>
                <w:sz w:val="20"/>
                <w:szCs w:val="20"/>
                <w:color w:val="auto"/>
              </w:rPr>
            </w:pPr>
            <w:r>
              <w:rPr>
                <w:rFonts w:ascii="Calibri" w:cs="Calibri" w:eastAsia="Calibri" w:hAnsi="Calibri"/>
                <w:sz w:val="18"/>
                <w:szCs w:val="18"/>
                <w:color w:val="auto"/>
              </w:rPr>
              <w:t>(1,650 )</w:t>
            </w:r>
          </w:p>
        </w:tc>
        <w:tc>
          <w:tcPr>
            <w:tcW w:w="1000" w:type="dxa"/>
            <w:vAlign w:val="bottom"/>
            <w:shd w:val="clear" w:color="auto" w:fill="CCECFF"/>
          </w:tcPr>
          <w:p>
            <w:pPr>
              <w:jc w:val="right"/>
              <w:ind w:right="810"/>
              <w:spacing w:after="0" w:line="210" w:lineRule="exact"/>
              <w:rPr>
                <w:sz w:val="20"/>
                <w:szCs w:val="20"/>
                <w:color w:val="auto"/>
              </w:rPr>
            </w:pPr>
            <w:r>
              <w:rPr>
                <w:rFonts w:ascii="Calibri" w:cs="Calibri" w:eastAsia="Calibri" w:hAnsi="Calibri"/>
                <w:sz w:val="18"/>
                <w:szCs w:val="18"/>
                <w:color w:val="auto"/>
                <w:w w:val="87"/>
              </w:rPr>
              <w:t>$</w:t>
            </w:r>
          </w:p>
        </w:tc>
        <w:tc>
          <w:tcPr>
            <w:tcW w:w="600" w:type="dxa"/>
            <w:vAlign w:val="bottom"/>
            <w:gridSpan w:val="2"/>
            <w:shd w:val="clear" w:color="auto" w:fill="CCECFF"/>
          </w:tcPr>
          <w:p>
            <w:pPr>
              <w:jc w:val="right"/>
              <w:ind w:right="20"/>
              <w:spacing w:after="0" w:line="210" w:lineRule="exact"/>
              <w:rPr>
                <w:sz w:val="20"/>
                <w:szCs w:val="20"/>
                <w:color w:val="auto"/>
              </w:rPr>
            </w:pPr>
            <w:r>
              <w:rPr>
                <w:rFonts w:ascii="Calibri" w:cs="Calibri" w:eastAsia="Calibri" w:hAnsi="Calibri"/>
                <w:sz w:val="18"/>
                <w:szCs w:val="18"/>
                <w:color w:val="auto"/>
              </w:rPr>
              <w:t>(606 )</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180" w:type="dxa"/>
            <w:vAlign w:val="bottom"/>
          </w:tcPr>
          <w:p>
            <w:pPr>
              <w:spacing w:after="0" w:line="215" w:lineRule="exact"/>
              <w:rPr>
                <w:sz w:val="20"/>
                <w:szCs w:val="20"/>
                <w:color w:val="auto"/>
              </w:rPr>
            </w:pPr>
            <w:r>
              <w:rPr>
                <w:rFonts w:ascii="Calibri" w:cs="Calibri" w:eastAsia="Calibri" w:hAnsi="Calibri"/>
                <w:sz w:val="18"/>
                <w:szCs w:val="18"/>
                <w:color w:val="auto"/>
              </w:rPr>
              <w:t>Unrealized gain (loss) on securites available-for-sale</w:t>
            </w:r>
          </w:p>
        </w:tc>
        <w:tc>
          <w:tcPr>
            <w:tcW w:w="14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1,007</w:t>
            </w:r>
          </w:p>
        </w:tc>
        <w:tc>
          <w:tcPr>
            <w:tcW w:w="2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1,253</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4180" w:type="dxa"/>
            <w:vAlign w:val="bottom"/>
            <w:shd w:val="clear" w:color="auto" w:fill="CCECFF"/>
          </w:tcPr>
          <w:p>
            <w:pPr>
              <w:ind w:left="160"/>
              <w:spacing w:after="0" w:line="209" w:lineRule="exact"/>
              <w:rPr>
                <w:sz w:val="20"/>
                <w:szCs w:val="20"/>
                <w:color w:val="auto"/>
              </w:rPr>
            </w:pPr>
            <w:r>
              <w:rPr>
                <w:rFonts w:ascii="Calibri" w:cs="Calibri" w:eastAsia="Calibri" w:hAnsi="Calibri"/>
                <w:sz w:val="18"/>
                <w:szCs w:val="18"/>
                <w:color w:val="auto"/>
              </w:rPr>
              <w:t>Total accumulated other comprehensive (loss) income</w:t>
            </w:r>
          </w:p>
        </w:tc>
        <w:tc>
          <w:tcPr>
            <w:tcW w:w="2380" w:type="dxa"/>
            <w:vAlign w:val="bottom"/>
            <w:gridSpan w:val="2"/>
            <w:shd w:val="clear" w:color="auto" w:fill="CCECFF"/>
          </w:tcPr>
          <w:p>
            <w:pPr>
              <w:jc w:val="right"/>
              <w:ind w:right="790"/>
              <w:spacing w:after="0" w:line="209" w:lineRule="exact"/>
              <w:rPr>
                <w:sz w:val="20"/>
                <w:szCs w:val="20"/>
                <w:color w:val="auto"/>
              </w:rPr>
            </w:pPr>
            <w:r>
              <w:rPr>
                <w:rFonts w:ascii="Calibri" w:cs="Calibri" w:eastAsia="Calibri" w:hAnsi="Calibri"/>
                <w:sz w:val="18"/>
                <w:szCs w:val="18"/>
                <w:color w:val="auto"/>
              </w:rPr>
              <w:t>$</w:t>
            </w:r>
          </w:p>
        </w:tc>
        <w:tc>
          <w:tcPr>
            <w:tcW w:w="820" w:type="dxa"/>
            <w:vAlign w:val="bottom"/>
            <w:gridSpan w:val="2"/>
            <w:shd w:val="clear" w:color="auto" w:fill="CCECFF"/>
          </w:tcPr>
          <w:p>
            <w:pPr>
              <w:jc w:val="right"/>
              <w:ind w:right="220"/>
              <w:spacing w:after="0" w:line="209" w:lineRule="exact"/>
              <w:rPr>
                <w:sz w:val="20"/>
                <w:szCs w:val="20"/>
                <w:color w:val="auto"/>
              </w:rPr>
            </w:pPr>
            <w:r>
              <w:rPr>
                <w:rFonts w:ascii="Calibri" w:cs="Calibri" w:eastAsia="Calibri" w:hAnsi="Calibri"/>
                <w:sz w:val="18"/>
                <w:szCs w:val="18"/>
                <w:color w:val="auto"/>
              </w:rPr>
              <w:t>(643 )</w:t>
            </w:r>
          </w:p>
        </w:tc>
        <w:tc>
          <w:tcPr>
            <w:tcW w:w="1000" w:type="dxa"/>
            <w:vAlign w:val="bottom"/>
            <w:shd w:val="clear" w:color="auto" w:fill="CCECFF"/>
          </w:tcPr>
          <w:p>
            <w:pPr>
              <w:jc w:val="right"/>
              <w:ind w:right="810"/>
              <w:spacing w:after="0" w:line="209" w:lineRule="exact"/>
              <w:rPr>
                <w:sz w:val="20"/>
                <w:szCs w:val="20"/>
                <w:color w:val="auto"/>
              </w:rPr>
            </w:pPr>
            <w:r>
              <w:rPr>
                <w:rFonts w:ascii="Calibri" w:cs="Calibri" w:eastAsia="Calibri" w:hAnsi="Calibri"/>
                <w:sz w:val="18"/>
                <w:szCs w:val="18"/>
                <w:color w:val="auto"/>
                <w:w w:val="87"/>
              </w:rPr>
              <w:t>$</w:t>
            </w:r>
          </w:p>
        </w:tc>
        <w:tc>
          <w:tcPr>
            <w:tcW w:w="520" w:type="dxa"/>
            <w:vAlign w:val="bottom"/>
            <w:shd w:val="clear" w:color="auto" w:fill="CCECFF"/>
          </w:tcPr>
          <w:p>
            <w:pPr>
              <w:jc w:val="right"/>
              <w:spacing w:after="0" w:line="209" w:lineRule="exact"/>
              <w:rPr>
                <w:sz w:val="20"/>
                <w:szCs w:val="20"/>
                <w:color w:val="auto"/>
              </w:rPr>
            </w:pPr>
            <w:r>
              <w:rPr>
                <w:rFonts w:ascii="Calibri" w:cs="Calibri" w:eastAsia="Calibri" w:hAnsi="Calibri"/>
                <w:sz w:val="18"/>
                <w:szCs w:val="18"/>
                <w:color w:val="auto"/>
              </w:rPr>
              <w:t>647</w:t>
            </w:r>
          </w:p>
        </w:tc>
        <w:tc>
          <w:tcPr>
            <w:tcW w:w="80" w:type="dxa"/>
            <w:vAlign w:val="bottom"/>
            <w:shd w:val="clear" w:color="auto" w:fill="CCECFF"/>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9"/>
        </w:trPr>
        <w:tc>
          <w:tcPr>
            <w:tcW w:w="1140" w:type="dxa"/>
            <w:vAlign w:val="bottom"/>
          </w:tcPr>
          <w:p>
            <w:pPr>
              <w:spacing w:after="0"/>
              <w:rPr>
                <w:sz w:val="24"/>
                <w:szCs w:val="24"/>
                <w:color w:val="auto"/>
              </w:rPr>
            </w:pPr>
          </w:p>
        </w:tc>
        <w:tc>
          <w:tcPr>
            <w:tcW w:w="4180" w:type="dxa"/>
            <w:vAlign w:val="bottom"/>
            <w:tcBorders>
              <w:top w:val="single" w:sz="8" w:color="CCECFF"/>
            </w:tcBorders>
          </w:tcPr>
          <w:p>
            <w:pPr>
              <w:spacing w:after="0"/>
              <w:rPr>
                <w:sz w:val="24"/>
                <w:szCs w:val="24"/>
                <w:color w:val="auto"/>
              </w:rPr>
            </w:pPr>
          </w:p>
        </w:tc>
        <w:tc>
          <w:tcPr>
            <w:tcW w:w="1420" w:type="dxa"/>
            <w:vAlign w:val="bottom"/>
            <w:tcBorders>
              <w:top w:val="single" w:sz="8" w:color="CCECFF"/>
            </w:tcBorders>
          </w:tcPr>
          <w:p>
            <w:pPr>
              <w:ind w:left="140"/>
              <w:spacing w:after="0"/>
              <w:rPr>
                <w:sz w:val="20"/>
                <w:szCs w:val="20"/>
                <w:color w:val="auto"/>
              </w:rPr>
            </w:pPr>
            <w:r>
              <w:rPr>
                <w:rFonts w:ascii="Calibri" w:cs="Calibri" w:eastAsia="Calibri" w:hAnsi="Calibri"/>
                <w:sz w:val="18"/>
                <w:szCs w:val="18"/>
                <w:color w:val="auto"/>
              </w:rPr>
              <w:t>F-36</w:t>
            </w:r>
          </w:p>
        </w:tc>
        <w:tc>
          <w:tcPr>
            <w:tcW w:w="9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80" w:type="dxa"/>
            <w:vAlign w:val="bottom"/>
            <w:tcBorders>
              <w:top w:val="single" w:sz="8" w:color="CCECFF"/>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CCECFF"/>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6"/>
        </w:trPr>
        <w:tc>
          <w:tcPr>
            <w:tcW w:w="114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-916940</wp:posOffset>
            </wp:positionV>
            <wp:extent cx="51435"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6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-899795</wp:posOffset>
            </wp:positionV>
            <wp:extent cx="5143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6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-916940</wp:posOffset>
            </wp:positionV>
            <wp:extent cx="5143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6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-899795</wp:posOffset>
            </wp:positionV>
            <wp:extent cx="5143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6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6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6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30" w:name="page131"/>
    <w:bookmarkEnd w:id="130"/>
    <w:p>
      <w:pPr>
        <w:jc w:val="right"/>
        <w:spacing w:after="0"/>
        <w:rPr>
          <w:sz w:val="20"/>
          <w:szCs w:val="20"/>
          <w:color w:val="auto"/>
        </w:rPr>
      </w:pPr>
      <w:r>
        <w:rPr>
          <w:rFonts w:ascii="Calibri" w:cs="Calibri" w:eastAsia="Calibri" w:hAnsi="Calibri"/>
          <w:sz w:val="14"/>
          <w:szCs w:val="14"/>
          <w:b w:val="1"/>
          <w:bCs w:val="1"/>
          <w:color w:val="auto"/>
        </w:rPr>
        <w:t>Exhibit 10.15</w:t>
      </w:r>
    </w:p>
    <w:p>
      <w:pPr>
        <w:spacing w:after="0" w:line="181" w:lineRule="exact"/>
        <w:rPr>
          <w:sz w:val="20"/>
          <w:szCs w:val="20"/>
          <w:color w:val="auto"/>
        </w:rPr>
      </w:pPr>
    </w:p>
    <w:p>
      <w:pPr>
        <w:ind w:right="240" w:firstLine="8"/>
        <w:spacing w:after="0" w:line="245" w:lineRule="auto"/>
        <w:tabs>
          <w:tab w:leader="none" w:pos="341" w:val="left"/>
        </w:tabs>
        <w:numPr>
          <w:ilvl w:val="0"/>
          <w:numId w:val="60"/>
        </w:numPr>
        <w:rPr>
          <w:rFonts w:ascii="Calibri" w:cs="Calibri" w:eastAsia="Calibri" w:hAnsi="Calibri"/>
          <w:sz w:val="14"/>
          <w:szCs w:val="14"/>
          <w:b w:val="1"/>
          <w:bCs w:val="1"/>
          <w:color w:val="auto"/>
        </w:rPr>
      </w:pPr>
      <w:r>
        <w:rPr>
          <w:rFonts w:ascii="Calibri" w:cs="Calibri" w:eastAsia="Calibri" w:hAnsi="Calibri"/>
          <w:sz w:val="14"/>
          <w:szCs w:val="14"/>
          <w:b w:val="1"/>
          <w:bCs w:val="1"/>
          <w:color w:val="auto"/>
        </w:rPr>
        <w:t>= CERTAIN CONFIDENTIAL INFORMATION CONTAINED IN THIS DOCUMENT, MARKED BY BRACKETS, HAS BEEN OMITTED BECAUSE THE INFORMATION (I) IS NOT MATERIAL AND (II) THE TYPE THAT THE REGISTRANT TREATS A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November 18,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99"/>
        <w:spacing w:after="0"/>
        <w:tabs>
          <w:tab w:leader="none" w:pos="260" w:val="left"/>
        </w:tabs>
        <w:rPr>
          <w:sz w:val="20"/>
          <w:szCs w:val="20"/>
          <w:color w:val="auto"/>
        </w:rPr>
      </w:pPr>
      <w:r>
        <w:rPr>
          <w:rFonts w:ascii="Calibri" w:cs="Calibri" w:eastAsia="Calibri" w:hAnsi="Calibri"/>
          <w:sz w:val="20"/>
          <w:szCs w:val="20"/>
          <w:b w:val="1"/>
          <w:bCs w:val="1"/>
          <w:color w:val="auto"/>
        </w:rPr>
        <w:t>KYOWA KIRIN INC.</w:t>
      </w:r>
      <w:r>
        <w:rPr>
          <w:sz w:val="20"/>
          <w:szCs w:val="20"/>
          <w:color w:val="auto"/>
        </w:rPr>
        <w:tab/>
      </w:r>
      <w:r>
        <w:rPr>
          <w:rFonts w:ascii="Calibri" w:cs="Calibri" w:eastAsia="Calibri" w:hAnsi="Calibri"/>
          <w:sz w:val="19"/>
          <w:szCs w:val="19"/>
          <w:b w:val="1"/>
          <w:bCs w:val="1"/>
          <w:color w:val="auto"/>
        </w:rPr>
        <w:t>(1)</w:t>
      </w:r>
    </w:p>
    <w:p>
      <w:pPr>
        <w:spacing w:after="0" w:line="336"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AND</w:t>
      </w:r>
    </w:p>
    <w:p>
      <w:pPr>
        <w:spacing w:after="0" w:line="336" w:lineRule="exact"/>
        <w:rPr>
          <w:sz w:val="20"/>
          <w:szCs w:val="20"/>
          <w:color w:val="auto"/>
        </w:rPr>
      </w:pPr>
    </w:p>
    <w:p>
      <w:pPr>
        <w:jc w:val="center"/>
        <w:ind w:right="-99"/>
        <w:spacing w:after="0"/>
        <w:rPr>
          <w:sz w:val="20"/>
          <w:szCs w:val="20"/>
          <w:color w:val="auto"/>
        </w:rPr>
      </w:pPr>
      <w:r>
        <w:rPr>
          <w:rFonts w:ascii="Calibri" w:cs="Calibri" w:eastAsia="Calibri" w:hAnsi="Calibri"/>
          <w:sz w:val="20"/>
          <w:szCs w:val="20"/>
          <w:b w:val="1"/>
          <w:bCs w:val="1"/>
          <w:color w:val="auto"/>
        </w:rPr>
        <w:t>ULTRAGENYX PHARMACEUTICAL INC.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SUPPLY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497205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6" w:right="339" w:bottom="1440" w:gutter="0" w:footer="0" w:header="0"/>
        </w:sectPr>
      </w:pPr>
    </w:p>
    <w:bookmarkStart w:id="131" w:name="page132"/>
    <w:bookmarkEnd w:id="131"/>
    <w:p>
      <w:pPr>
        <w:jc w:val="right"/>
        <w:ind w:right="4059"/>
        <w:spacing w:after="0"/>
        <w:rPr>
          <w:sz w:val="20"/>
          <w:szCs w:val="20"/>
          <w:color w:val="auto"/>
        </w:rPr>
      </w:pPr>
      <w:r>
        <w:rPr>
          <w:rFonts w:ascii="Calibri" w:cs="Calibri" w:eastAsia="Calibri" w:hAnsi="Calibri"/>
          <w:sz w:val="20"/>
          <w:szCs w:val="20"/>
          <w:b w:val="1"/>
          <w:bCs w:val="1"/>
          <w:u w:val="single" w:color="auto"/>
          <w:color w:val="auto"/>
        </w:rPr>
        <w:t>CONTENTS</w:t>
      </w:r>
    </w:p>
    <w:p>
      <w:pPr>
        <w:spacing w:after="0" w:line="269" w:lineRule="exact"/>
        <w:rPr>
          <w:sz w:val="20"/>
          <w:szCs w:val="20"/>
          <w:color w:val="auto"/>
        </w:rPr>
      </w:pPr>
    </w:p>
    <w:p>
      <w:pPr>
        <w:ind w:left="20"/>
        <w:spacing w:after="0"/>
        <w:tabs>
          <w:tab w:leader="none" w:pos="720" w:val="left"/>
        </w:tabs>
        <w:rPr>
          <w:sz w:val="20"/>
          <w:szCs w:val="20"/>
          <w:color w:val="auto"/>
        </w:rPr>
      </w:pPr>
      <w:r>
        <w:rPr>
          <w:rFonts w:ascii="Calibri" w:cs="Calibri" w:eastAsia="Calibri" w:hAnsi="Calibri"/>
          <w:sz w:val="20"/>
          <w:szCs w:val="20"/>
          <w:b w:val="1"/>
          <w:bCs w:val="1"/>
          <w:color w:val="auto"/>
        </w:rPr>
        <w:t>Clause</w:t>
        <w:tab/>
        <w:t>Heading Page</w:t>
      </w:r>
    </w:p>
    <w:p>
      <w:pPr>
        <w:spacing w:after="0" w:line="282" w:lineRule="exact"/>
        <w:rPr>
          <w:sz w:val="20"/>
          <w:szCs w:val="20"/>
          <w:color w:val="auto"/>
        </w:rPr>
      </w:pPr>
    </w:p>
    <w:p>
      <w:pPr>
        <w:ind w:left="760" w:hanging="752"/>
        <w:spacing w:after="0"/>
        <w:tabs>
          <w:tab w:leader="none" w:pos="760" w:val="left"/>
        </w:tabs>
        <w:numPr>
          <w:ilvl w:val="0"/>
          <w:numId w:val="61"/>
        </w:numPr>
        <w:rPr>
          <w:rFonts w:ascii="Arial" w:cs="Arial" w:eastAsia="Arial" w:hAnsi="Arial"/>
          <w:sz w:val="20"/>
          <w:szCs w:val="20"/>
          <w:color w:val="auto"/>
        </w:rPr>
      </w:pPr>
      <w:r>
        <w:rPr>
          <w:rFonts w:ascii="Calibri" w:cs="Calibri" w:eastAsia="Calibri" w:hAnsi="Calibri"/>
          <w:sz w:val="20"/>
          <w:szCs w:val="20"/>
          <w:color w:val="auto"/>
        </w:rPr>
        <w:t>DEFINITIONS 3</w:t>
      </w:r>
    </w:p>
    <w:p>
      <w:pPr>
        <w:spacing w:after="0" w:line="282" w:lineRule="exact"/>
        <w:rPr>
          <w:sz w:val="20"/>
          <w:szCs w:val="20"/>
          <w:color w:val="auto"/>
        </w:rPr>
      </w:pPr>
    </w:p>
    <w:p>
      <w:pPr>
        <w:ind w:left="760" w:hanging="752"/>
        <w:spacing w:after="0"/>
        <w:tabs>
          <w:tab w:leader="none" w:pos="760" w:val="left"/>
        </w:tabs>
        <w:numPr>
          <w:ilvl w:val="0"/>
          <w:numId w:val="62"/>
        </w:numPr>
        <w:rPr>
          <w:rFonts w:ascii="Arial" w:cs="Arial" w:eastAsia="Arial" w:hAnsi="Arial"/>
          <w:sz w:val="20"/>
          <w:szCs w:val="20"/>
          <w:color w:val="auto"/>
        </w:rPr>
      </w:pPr>
      <w:r>
        <w:rPr>
          <w:rFonts w:ascii="Calibri" w:cs="Calibri" w:eastAsia="Calibri" w:hAnsi="Calibri"/>
          <w:sz w:val="20"/>
          <w:szCs w:val="20"/>
          <w:color w:val="auto"/>
        </w:rPr>
        <w:t>DURATION  10</w:t>
      </w:r>
    </w:p>
    <w:p>
      <w:pPr>
        <w:spacing w:after="0" w:line="296" w:lineRule="exact"/>
        <w:rPr>
          <w:sz w:val="20"/>
          <w:szCs w:val="20"/>
          <w:color w:val="auto"/>
        </w:rPr>
      </w:pPr>
    </w:p>
    <w:p>
      <w:pPr>
        <w:ind w:left="760" w:hanging="752"/>
        <w:spacing w:after="0"/>
        <w:tabs>
          <w:tab w:leader="none" w:pos="760" w:val="left"/>
        </w:tabs>
        <w:numPr>
          <w:ilvl w:val="0"/>
          <w:numId w:val="63"/>
        </w:numPr>
        <w:rPr>
          <w:rFonts w:ascii="Arial" w:cs="Arial" w:eastAsia="Arial" w:hAnsi="Arial"/>
          <w:sz w:val="20"/>
          <w:szCs w:val="20"/>
          <w:color w:val="auto"/>
        </w:rPr>
      </w:pPr>
      <w:r>
        <w:rPr>
          <w:rFonts w:ascii="Calibri" w:cs="Calibri" w:eastAsia="Calibri" w:hAnsi="Calibri"/>
          <w:sz w:val="20"/>
          <w:szCs w:val="20"/>
          <w:color w:val="auto"/>
        </w:rPr>
        <w:t>APPOINTMENT   10</w:t>
      </w:r>
    </w:p>
    <w:p>
      <w:pPr>
        <w:spacing w:after="0" w:line="282" w:lineRule="exact"/>
        <w:rPr>
          <w:sz w:val="20"/>
          <w:szCs w:val="20"/>
          <w:color w:val="auto"/>
        </w:rPr>
      </w:pPr>
    </w:p>
    <w:p>
      <w:pPr>
        <w:ind w:left="760" w:hanging="752"/>
        <w:spacing w:after="0"/>
        <w:tabs>
          <w:tab w:leader="none" w:pos="760" w:val="left"/>
        </w:tabs>
        <w:numPr>
          <w:ilvl w:val="0"/>
          <w:numId w:val="64"/>
        </w:numPr>
        <w:rPr>
          <w:rFonts w:ascii="Arial" w:cs="Arial" w:eastAsia="Arial" w:hAnsi="Arial"/>
          <w:sz w:val="20"/>
          <w:szCs w:val="20"/>
          <w:color w:val="auto"/>
        </w:rPr>
      </w:pPr>
      <w:r>
        <w:rPr>
          <w:rFonts w:ascii="Calibri" w:cs="Calibri" w:eastAsia="Calibri" w:hAnsi="Calibri"/>
          <w:sz w:val="20"/>
          <w:szCs w:val="20"/>
          <w:color w:val="auto"/>
        </w:rPr>
        <w:t>EXCLUSIVITY 10</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40" w:type="dxa"/>
            <w:vAlign w:val="bottom"/>
          </w:tcPr>
          <w:p>
            <w:pPr>
              <w:jc w:val="right"/>
              <w:ind w:right="221"/>
              <w:spacing w:after="0"/>
              <w:rPr>
                <w:sz w:val="20"/>
                <w:szCs w:val="20"/>
                <w:color w:val="auto"/>
              </w:rPr>
            </w:pPr>
            <w:r>
              <w:rPr>
                <w:rFonts w:ascii="Arial" w:cs="Arial" w:eastAsia="Arial" w:hAnsi="Arial"/>
                <w:sz w:val="20"/>
                <w:szCs w:val="20"/>
                <w:color w:val="auto"/>
                <w:w w:val="89"/>
              </w:rPr>
              <w:t>5</w:t>
            </w:r>
          </w:p>
        </w:tc>
        <w:tc>
          <w:tcPr>
            <w:tcW w:w="6020" w:type="dxa"/>
            <w:vAlign w:val="bottom"/>
            <w:gridSpan w:val="3"/>
          </w:tcPr>
          <w:p>
            <w:pPr>
              <w:ind w:left="320"/>
              <w:spacing w:after="0"/>
              <w:rPr>
                <w:sz w:val="20"/>
                <w:szCs w:val="20"/>
                <w:color w:val="auto"/>
              </w:rPr>
            </w:pPr>
            <w:r>
              <w:rPr>
                <w:rFonts w:ascii="Calibri" w:cs="Calibri" w:eastAsia="Calibri" w:hAnsi="Calibri"/>
                <w:sz w:val="20"/>
                <w:szCs w:val="20"/>
                <w:color w:val="auto"/>
              </w:rPr>
              <w:t>APPROVALS, AUTHORISATIONS, PRICING AND REIMBURSEMENT  11</w:t>
            </w:r>
          </w:p>
        </w:tc>
      </w:tr>
      <w:tr>
        <w:trPr>
          <w:trHeight w:val="527"/>
        </w:trPr>
        <w:tc>
          <w:tcPr>
            <w:tcW w:w="440" w:type="dxa"/>
            <w:vAlign w:val="bottom"/>
          </w:tcPr>
          <w:p>
            <w:pPr>
              <w:jc w:val="right"/>
              <w:ind w:right="221"/>
              <w:spacing w:after="0"/>
              <w:rPr>
                <w:sz w:val="20"/>
                <w:szCs w:val="20"/>
                <w:color w:val="auto"/>
              </w:rPr>
            </w:pPr>
            <w:r>
              <w:rPr>
                <w:rFonts w:ascii="Arial" w:cs="Arial" w:eastAsia="Arial" w:hAnsi="Arial"/>
                <w:sz w:val="20"/>
                <w:szCs w:val="20"/>
                <w:color w:val="auto"/>
                <w:w w:val="89"/>
              </w:rPr>
              <w:t>6</w:t>
            </w:r>
          </w:p>
        </w:tc>
        <w:tc>
          <w:tcPr>
            <w:tcW w:w="2340" w:type="dxa"/>
            <w:vAlign w:val="bottom"/>
          </w:tcPr>
          <w:p>
            <w:pPr>
              <w:ind w:left="320"/>
              <w:spacing w:after="0"/>
              <w:rPr>
                <w:sz w:val="20"/>
                <w:szCs w:val="20"/>
                <w:color w:val="auto"/>
              </w:rPr>
            </w:pPr>
            <w:r>
              <w:rPr>
                <w:rFonts w:ascii="Calibri" w:cs="Calibri" w:eastAsia="Calibri" w:hAnsi="Calibri"/>
                <w:sz w:val="20"/>
                <w:szCs w:val="20"/>
                <w:color w:val="auto"/>
              </w:rPr>
              <w:t>SUPPLY OF PRODUCTS</w:t>
            </w:r>
          </w:p>
        </w:tc>
        <w:tc>
          <w:tcPr>
            <w:tcW w:w="1540" w:type="dxa"/>
            <w:vAlign w:val="bottom"/>
          </w:tcPr>
          <w:p>
            <w:pPr>
              <w:jc w:val="right"/>
              <w:ind w:right="1061"/>
              <w:spacing w:after="0"/>
              <w:rPr>
                <w:sz w:val="20"/>
                <w:szCs w:val="20"/>
                <w:color w:val="auto"/>
              </w:rPr>
            </w:pPr>
            <w:r>
              <w:rPr>
                <w:rFonts w:ascii="Calibri" w:cs="Calibri" w:eastAsia="Calibri" w:hAnsi="Calibri"/>
                <w:sz w:val="20"/>
                <w:szCs w:val="20"/>
                <w:color w:val="auto"/>
              </w:rPr>
              <w:t>11</w:t>
            </w:r>
          </w:p>
        </w:tc>
        <w:tc>
          <w:tcPr>
            <w:tcW w:w="2140" w:type="dxa"/>
            <w:vAlign w:val="bottom"/>
          </w:tcPr>
          <w:p>
            <w:pPr>
              <w:spacing w:after="0"/>
              <w:rPr>
                <w:sz w:val="24"/>
                <w:szCs w:val="24"/>
                <w:color w:val="auto"/>
              </w:rPr>
            </w:pPr>
          </w:p>
        </w:tc>
      </w:tr>
      <w:tr>
        <w:trPr>
          <w:trHeight w:val="540"/>
        </w:trPr>
        <w:tc>
          <w:tcPr>
            <w:tcW w:w="440" w:type="dxa"/>
            <w:vAlign w:val="bottom"/>
          </w:tcPr>
          <w:p>
            <w:pPr>
              <w:jc w:val="right"/>
              <w:ind w:right="221"/>
              <w:spacing w:after="0"/>
              <w:rPr>
                <w:sz w:val="20"/>
                <w:szCs w:val="20"/>
                <w:color w:val="auto"/>
              </w:rPr>
            </w:pPr>
            <w:r>
              <w:rPr>
                <w:rFonts w:ascii="Arial" w:cs="Arial" w:eastAsia="Arial" w:hAnsi="Arial"/>
                <w:sz w:val="20"/>
                <w:szCs w:val="20"/>
                <w:color w:val="auto"/>
                <w:w w:val="89"/>
              </w:rPr>
              <w:t>7</w:t>
            </w:r>
          </w:p>
        </w:tc>
        <w:tc>
          <w:tcPr>
            <w:tcW w:w="3880" w:type="dxa"/>
            <w:vAlign w:val="bottom"/>
            <w:gridSpan w:val="2"/>
          </w:tcPr>
          <w:p>
            <w:pPr>
              <w:ind w:left="320"/>
              <w:spacing w:after="0"/>
              <w:rPr>
                <w:sz w:val="20"/>
                <w:szCs w:val="20"/>
                <w:color w:val="auto"/>
              </w:rPr>
            </w:pPr>
            <w:r>
              <w:rPr>
                <w:rFonts w:ascii="Calibri" w:cs="Calibri" w:eastAsia="Calibri" w:hAnsi="Calibri"/>
                <w:sz w:val="20"/>
                <w:szCs w:val="20"/>
                <w:color w:val="auto"/>
              </w:rPr>
              <w:t>DELIVERY AND ACCEPTANCE OF PRODUCT</w:t>
            </w:r>
          </w:p>
        </w:tc>
        <w:tc>
          <w:tcPr>
            <w:tcW w:w="2140" w:type="dxa"/>
            <w:vAlign w:val="bottom"/>
          </w:tcPr>
          <w:p>
            <w:pPr>
              <w:jc w:val="right"/>
              <w:ind w:right="1741"/>
              <w:spacing w:after="0"/>
              <w:rPr>
                <w:sz w:val="20"/>
                <w:szCs w:val="20"/>
                <w:color w:val="auto"/>
              </w:rPr>
            </w:pPr>
            <w:r>
              <w:rPr>
                <w:rFonts w:ascii="Calibri" w:cs="Calibri" w:eastAsia="Calibri" w:hAnsi="Calibri"/>
                <w:sz w:val="20"/>
                <w:szCs w:val="20"/>
                <w:color w:val="auto"/>
              </w:rPr>
              <w:t>14</w:t>
            </w:r>
          </w:p>
        </w:tc>
      </w:tr>
      <w:tr>
        <w:trPr>
          <w:trHeight w:val="527"/>
        </w:trPr>
        <w:tc>
          <w:tcPr>
            <w:tcW w:w="440" w:type="dxa"/>
            <w:vAlign w:val="bottom"/>
          </w:tcPr>
          <w:p>
            <w:pPr>
              <w:jc w:val="right"/>
              <w:ind w:right="221"/>
              <w:spacing w:after="0"/>
              <w:rPr>
                <w:sz w:val="20"/>
                <w:szCs w:val="20"/>
                <w:color w:val="auto"/>
              </w:rPr>
            </w:pPr>
            <w:r>
              <w:rPr>
                <w:rFonts w:ascii="Arial" w:cs="Arial" w:eastAsia="Arial" w:hAnsi="Arial"/>
                <w:sz w:val="20"/>
                <w:szCs w:val="20"/>
                <w:color w:val="auto"/>
                <w:w w:val="89"/>
              </w:rPr>
              <w:t>8</w:t>
            </w:r>
          </w:p>
        </w:tc>
        <w:tc>
          <w:tcPr>
            <w:tcW w:w="2340" w:type="dxa"/>
            <w:vAlign w:val="bottom"/>
          </w:tcPr>
          <w:p>
            <w:pPr>
              <w:ind w:left="320"/>
              <w:spacing w:after="0"/>
              <w:rPr>
                <w:sz w:val="20"/>
                <w:szCs w:val="20"/>
                <w:color w:val="auto"/>
              </w:rPr>
            </w:pPr>
            <w:r>
              <w:rPr>
                <w:rFonts w:ascii="Calibri" w:cs="Calibri" w:eastAsia="Calibri" w:hAnsi="Calibri"/>
                <w:sz w:val="20"/>
                <w:szCs w:val="20"/>
                <w:color w:val="auto"/>
              </w:rPr>
              <w:t>RISK AND TITLE  16</w:t>
            </w:r>
          </w:p>
        </w:tc>
        <w:tc>
          <w:tcPr>
            <w:tcW w:w="15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540"/>
        </w:trPr>
        <w:tc>
          <w:tcPr>
            <w:tcW w:w="440" w:type="dxa"/>
            <w:vAlign w:val="bottom"/>
          </w:tcPr>
          <w:p>
            <w:pPr>
              <w:jc w:val="right"/>
              <w:ind w:right="221"/>
              <w:spacing w:after="0"/>
              <w:rPr>
                <w:sz w:val="20"/>
                <w:szCs w:val="20"/>
                <w:color w:val="auto"/>
              </w:rPr>
            </w:pPr>
            <w:r>
              <w:rPr>
                <w:rFonts w:ascii="Arial" w:cs="Arial" w:eastAsia="Arial" w:hAnsi="Arial"/>
                <w:sz w:val="20"/>
                <w:szCs w:val="20"/>
                <w:color w:val="auto"/>
                <w:w w:val="89"/>
              </w:rPr>
              <w:t>9</w:t>
            </w:r>
          </w:p>
        </w:tc>
        <w:tc>
          <w:tcPr>
            <w:tcW w:w="3880" w:type="dxa"/>
            <w:vAlign w:val="bottom"/>
            <w:gridSpan w:val="2"/>
          </w:tcPr>
          <w:p>
            <w:pPr>
              <w:ind w:left="320"/>
              <w:spacing w:after="0"/>
              <w:rPr>
                <w:sz w:val="20"/>
                <w:szCs w:val="20"/>
                <w:color w:val="auto"/>
              </w:rPr>
            </w:pPr>
            <w:r>
              <w:rPr>
                <w:rFonts w:ascii="Calibri" w:cs="Calibri" w:eastAsia="Calibri" w:hAnsi="Calibri"/>
                <w:sz w:val="20"/>
                <w:szCs w:val="20"/>
                <w:color w:val="auto"/>
              </w:rPr>
              <w:t>PRODUCT SAFETY, RETURN AND RECALL</w:t>
            </w:r>
          </w:p>
        </w:tc>
        <w:tc>
          <w:tcPr>
            <w:tcW w:w="2140" w:type="dxa"/>
            <w:vAlign w:val="bottom"/>
          </w:tcPr>
          <w:p>
            <w:pPr>
              <w:jc w:val="right"/>
              <w:ind w:right="1741"/>
              <w:spacing w:after="0"/>
              <w:rPr>
                <w:sz w:val="20"/>
                <w:szCs w:val="20"/>
                <w:color w:val="auto"/>
              </w:rPr>
            </w:pPr>
            <w:r>
              <w:rPr>
                <w:rFonts w:ascii="Calibri" w:cs="Calibri" w:eastAsia="Calibri" w:hAnsi="Calibri"/>
                <w:sz w:val="20"/>
                <w:szCs w:val="20"/>
                <w:color w:val="auto"/>
              </w:rPr>
              <w:t>16</w:t>
            </w:r>
          </w:p>
        </w:tc>
      </w:tr>
    </w:tbl>
    <w:p>
      <w:pPr>
        <w:spacing w:after="0" w:line="266" w:lineRule="exact"/>
        <w:rPr>
          <w:sz w:val="20"/>
          <w:szCs w:val="20"/>
          <w:color w:val="auto"/>
        </w:rPr>
      </w:pPr>
    </w:p>
    <w:p>
      <w:pPr>
        <w:ind w:left="760" w:hanging="752"/>
        <w:spacing w:after="0"/>
        <w:tabs>
          <w:tab w:leader="none" w:pos="760" w:val="left"/>
        </w:tabs>
        <w:numPr>
          <w:ilvl w:val="0"/>
          <w:numId w:val="65"/>
        </w:numPr>
        <w:rPr>
          <w:rFonts w:ascii="Arial" w:cs="Arial" w:eastAsia="Arial" w:hAnsi="Arial"/>
          <w:sz w:val="20"/>
          <w:szCs w:val="20"/>
          <w:color w:val="auto"/>
        </w:rPr>
      </w:pPr>
      <w:r>
        <w:rPr>
          <w:rFonts w:ascii="Calibri" w:cs="Calibri" w:eastAsia="Calibri" w:hAnsi="Calibri"/>
          <w:sz w:val="20"/>
          <w:szCs w:val="20"/>
          <w:color w:val="auto"/>
        </w:rPr>
        <w:t>PRICE AND PAYMENT 17</w:t>
      </w:r>
    </w:p>
    <w:p>
      <w:pPr>
        <w:spacing w:after="0" w:line="285" w:lineRule="exact"/>
        <w:rPr>
          <w:sz w:val="20"/>
          <w:szCs w:val="20"/>
          <w:color w:val="auto"/>
        </w:rPr>
      </w:pPr>
    </w:p>
    <w:p>
      <w:pPr>
        <w:spacing w:after="0"/>
        <w:tabs>
          <w:tab w:leader="none" w:pos="740" w:val="left"/>
          <w:tab w:leader="none" w:pos="3660" w:val="left"/>
        </w:tabs>
        <w:rPr>
          <w:sz w:val="20"/>
          <w:szCs w:val="20"/>
          <w:color w:val="auto"/>
        </w:rPr>
      </w:pPr>
      <w:r>
        <w:rPr>
          <w:rFonts w:ascii="Arial" w:cs="Arial" w:eastAsia="Arial" w:hAnsi="Arial"/>
          <w:sz w:val="20"/>
          <w:szCs w:val="20"/>
          <w:color w:val="auto"/>
        </w:rPr>
        <w:t>11</w:t>
      </w:r>
      <w:r>
        <w:rPr>
          <w:sz w:val="20"/>
          <w:szCs w:val="20"/>
          <w:color w:val="auto"/>
        </w:rPr>
        <w:tab/>
      </w:r>
      <w:r>
        <w:rPr>
          <w:rFonts w:ascii="Calibri" w:cs="Calibri" w:eastAsia="Calibri" w:hAnsi="Calibri"/>
          <w:sz w:val="20"/>
          <w:szCs w:val="20"/>
          <w:color w:val="auto"/>
        </w:rPr>
        <w:t>KYOWA KIRIN'S UNDERTAKINGS</w:t>
      </w:r>
      <w:r>
        <w:rPr>
          <w:sz w:val="20"/>
          <w:szCs w:val="20"/>
          <w:color w:val="auto"/>
        </w:rPr>
        <w:tab/>
      </w:r>
      <w:r>
        <w:rPr>
          <w:rFonts w:ascii="Calibri" w:cs="Calibri" w:eastAsia="Calibri" w:hAnsi="Calibri"/>
          <w:sz w:val="19"/>
          <w:szCs w:val="19"/>
          <w:color w:val="auto"/>
        </w:rPr>
        <w:t>18</w:t>
      </w:r>
    </w:p>
    <w:p>
      <w:pPr>
        <w:spacing w:after="0" w:line="293" w:lineRule="exact"/>
        <w:rPr>
          <w:sz w:val="20"/>
          <w:szCs w:val="20"/>
          <w:color w:val="auto"/>
        </w:rPr>
      </w:pPr>
    </w:p>
    <w:p>
      <w:pPr>
        <w:ind w:left="760" w:hanging="752"/>
        <w:spacing w:after="0"/>
        <w:tabs>
          <w:tab w:leader="none" w:pos="760" w:val="left"/>
        </w:tabs>
        <w:numPr>
          <w:ilvl w:val="0"/>
          <w:numId w:val="66"/>
        </w:numPr>
        <w:rPr>
          <w:rFonts w:ascii="Arial" w:cs="Arial" w:eastAsia="Arial" w:hAnsi="Arial"/>
          <w:sz w:val="20"/>
          <w:szCs w:val="20"/>
          <w:color w:val="auto"/>
        </w:rPr>
      </w:pPr>
      <w:r>
        <w:rPr>
          <w:rFonts w:ascii="Calibri" w:cs="Calibri" w:eastAsia="Calibri" w:hAnsi="Calibri"/>
          <w:sz w:val="20"/>
          <w:szCs w:val="20"/>
          <w:color w:val="auto"/>
        </w:rPr>
        <w:t>UGNX OBLIGATIONS  18</w:t>
      </w:r>
    </w:p>
    <w:p>
      <w:pPr>
        <w:spacing w:after="0" w:line="285" w:lineRule="exact"/>
        <w:rPr>
          <w:sz w:val="20"/>
          <w:szCs w:val="20"/>
          <w:color w:val="auto"/>
        </w:rPr>
      </w:pPr>
    </w:p>
    <w:p>
      <w:pPr>
        <w:spacing w:after="0"/>
        <w:tabs>
          <w:tab w:leader="none" w:pos="740" w:val="left"/>
          <w:tab w:leader="none" w:pos="4760" w:val="left"/>
        </w:tabs>
        <w:rPr>
          <w:sz w:val="20"/>
          <w:szCs w:val="20"/>
          <w:color w:val="auto"/>
        </w:rPr>
      </w:pPr>
      <w:r>
        <w:rPr>
          <w:rFonts w:ascii="Arial" w:cs="Arial" w:eastAsia="Arial" w:hAnsi="Arial"/>
          <w:sz w:val="20"/>
          <w:szCs w:val="20"/>
          <w:color w:val="auto"/>
        </w:rPr>
        <w:t>13</w:t>
      </w:r>
      <w:r>
        <w:rPr>
          <w:sz w:val="20"/>
          <w:szCs w:val="20"/>
          <w:color w:val="auto"/>
        </w:rPr>
        <w:tab/>
      </w:r>
      <w:r>
        <w:rPr>
          <w:rFonts w:ascii="Calibri" w:cs="Calibri" w:eastAsia="Calibri" w:hAnsi="Calibri"/>
          <w:sz w:val="20"/>
          <w:szCs w:val="20"/>
          <w:color w:val="auto"/>
        </w:rPr>
        <w:t>COMPLIANCE WITH LAWS AND REGULATIONS</w:t>
      </w:r>
      <w:r>
        <w:rPr>
          <w:sz w:val="20"/>
          <w:szCs w:val="20"/>
          <w:color w:val="auto"/>
        </w:rPr>
        <w:tab/>
      </w:r>
      <w:r>
        <w:rPr>
          <w:rFonts w:ascii="Calibri" w:cs="Calibri" w:eastAsia="Calibri" w:hAnsi="Calibri"/>
          <w:sz w:val="19"/>
          <w:szCs w:val="19"/>
          <w:color w:val="auto"/>
        </w:rPr>
        <w:t>19</w:t>
      </w:r>
    </w:p>
    <w:p>
      <w:pPr>
        <w:spacing w:after="0" w:line="293" w:lineRule="exact"/>
        <w:rPr>
          <w:sz w:val="20"/>
          <w:szCs w:val="20"/>
          <w:color w:val="auto"/>
        </w:rPr>
      </w:pPr>
    </w:p>
    <w:p>
      <w:pPr>
        <w:ind w:left="760" w:hanging="752"/>
        <w:spacing w:after="0"/>
        <w:tabs>
          <w:tab w:leader="none" w:pos="760" w:val="left"/>
        </w:tabs>
        <w:numPr>
          <w:ilvl w:val="0"/>
          <w:numId w:val="67"/>
        </w:numPr>
        <w:rPr>
          <w:rFonts w:ascii="Arial" w:cs="Arial" w:eastAsia="Arial" w:hAnsi="Arial"/>
          <w:sz w:val="20"/>
          <w:szCs w:val="20"/>
          <w:color w:val="auto"/>
        </w:rPr>
      </w:pPr>
      <w:r>
        <w:rPr>
          <w:rFonts w:ascii="Calibri" w:cs="Calibri" w:eastAsia="Calibri" w:hAnsi="Calibri"/>
          <w:sz w:val="20"/>
          <w:szCs w:val="20"/>
          <w:color w:val="auto"/>
        </w:rPr>
        <w:t>RECORD KEEPING AND COOPERATION WITH INSPECTION 19</w:t>
      </w:r>
    </w:p>
    <w:p>
      <w:pPr>
        <w:spacing w:after="0" w:line="295" w:lineRule="exact"/>
        <w:rPr>
          <w:rFonts w:ascii="Arial" w:cs="Arial" w:eastAsia="Arial" w:hAnsi="Arial"/>
          <w:sz w:val="20"/>
          <w:szCs w:val="20"/>
          <w:color w:val="auto"/>
        </w:rPr>
      </w:pPr>
    </w:p>
    <w:p>
      <w:pPr>
        <w:ind w:left="760" w:hanging="752"/>
        <w:spacing w:after="0"/>
        <w:tabs>
          <w:tab w:leader="none" w:pos="760" w:val="left"/>
        </w:tabs>
        <w:numPr>
          <w:ilvl w:val="0"/>
          <w:numId w:val="67"/>
        </w:numPr>
        <w:rPr>
          <w:rFonts w:ascii="Arial" w:cs="Arial" w:eastAsia="Arial" w:hAnsi="Arial"/>
          <w:sz w:val="20"/>
          <w:szCs w:val="20"/>
          <w:color w:val="auto"/>
        </w:rPr>
      </w:pPr>
      <w:r>
        <w:rPr>
          <w:rFonts w:ascii="Calibri" w:cs="Calibri" w:eastAsia="Calibri" w:hAnsi="Calibri"/>
          <w:sz w:val="20"/>
          <w:szCs w:val="20"/>
          <w:color w:val="auto"/>
        </w:rPr>
        <w:t>REPORTING PROCEDURE  20</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00" w:type="dxa"/>
            <w:vAlign w:val="bottom"/>
          </w:tcPr>
          <w:p>
            <w:pPr>
              <w:jc w:val="right"/>
              <w:ind w:right="181"/>
              <w:spacing w:after="0"/>
              <w:rPr>
                <w:sz w:val="20"/>
                <w:szCs w:val="20"/>
                <w:color w:val="auto"/>
              </w:rPr>
            </w:pPr>
            <w:r>
              <w:rPr>
                <w:rFonts w:ascii="Arial" w:cs="Arial" w:eastAsia="Arial" w:hAnsi="Arial"/>
                <w:sz w:val="20"/>
                <w:szCs w:val="20"/>
                <w:color w:val="auto"/>
                <w:w w:val="89"/>
              </w:rPr>
              <w:t>16</w:t>
            </w:r>
          </w:p>
        </w:tc>
        <w:tc>
          <w:tcPr>
            <w:tcW w:w="2300" w:type="dxa"/>
            <w:vAlign w:val="bottom"/>
          </w:tcPr>
          <w:p>
            <w:pPr>
              <w:ind w:left="260"/>
              <w:spacing w:after="0"/>
              <w:rPr>
                <w:sz w:val="20"/>
                <w:szCs w:val="20"/>
                <w:color w:val="auto"/>
              </w:rPr>
            </w:pPr>
            <w:r>
              <w:rPr>
                <w:rFonts w:ascii="Calibri" w:cs="Calibri" w:eastAsia="Calibri" w:hAnsi="Calibri"/>
                <w:sz w:val="20"/>
                <w:szCs w:val="20"/>
                <w:color w:val="auto"/>
              </w:rPr>
              <w:t>DATA PROTECTION   20</w:t>
            </w:r>
          </w:p>
        </w:tc>
      </w:tr>
      <w:tr>
        <w:trPr>
          <w:trHeight w:val="527"/>
        </w:trPr>
        <w:tc>
          <w:tcPr>
            <w:tcW w:w="500" w:type="dxa"/>
            <w:vAlign w:val="bottom"/>
          </w:tcPr>
          <w:p>
            <w:pPr>
              <w:jc w:val="right"/>
              <w:ind w:right="181"/>
              <w:spacing w:after="0"/>
              <w:rPr>
                <w:sz w:val="20"/>
                <w:szCs w:val="20"/>
                <w:color w:val="auto"/>
              </w:rPr>
            </w:pPr>
            <w:r>
              <w:rPr>
                <w:rFonts w:ascii="Arial" w:cs="Arial" w:eastAsia="Arial" w:hAnsi="Arial"/>
                <w:sz w:val="20"/>
                <w:szCs w:val="20"/>
                <w:color w:val="auto"/>
                <w:w w:val="89"/>
              </w:rPr>
              <w:t>17</w:t>
            </w:r>
          </w:p>
        </w:tc>
        <w:tc>
          <w:tcPr>
            <w:tcW w:w="2300" w:type="dxa"/>
            <w:vAlign w:val="bottom"/>
          </w:tcPr>
          <w:p>
            <w:pPr>
              <w:ind w:left="260"/>
              <w:spacing w:after="0"/>
              <w:rPr>
                <w:sz w:val="20"/>
                <w:szCs w:val="20"/>
                <w:color w:val="auto"/>
              </w:rPr>
            </w:pPr>
            <w:r>
              <w:rPr>
                <w:rFonts w:ascii="Calibri" w:cs="Calibri" w:eastAsia="Calibri" w:hAnsi="Calibri"/>
                <w:sz w:val="20"/>
                <w:szCs w:val="20"/>
                <w:color w:val="auto"/>
              </w:rPr>
              <w:t>ANTI BRIBERY    21</w:t>
            </w:r>
          </w:p>
        </w:tc>
      </w:tr>
    </w:tbl>
    <w:p>
      <w:pPr>
        <w:spacing w:after="0" w:line="280" w:lineRule="exact"/>
        <w:rPr>
          <w:sz w:val="20"/>
          <w:szCs w:val="20"/>
          <w:color w:val="auto"/>
        </w:rPr>
      </w:pPr>
    </w:p>
    <w:p>
      <w:pPr>
        <w:ind w:left="760" w:hanging="752"/>
        <w:spacing w:after="0"/>
        <w:tabs>
          <w:tab w:leader="none" w:pos="760" w:val="left"/>
        </w:tabs>
        <w:numPr>
          <w:ilvl w:val="0"/>
          <w:numId w:val="68"/>
        </w:numPr>
        <w:rPr>
          <w:rFonts w:ascii="Arial" w:cs="Arial" w:eastAsia="Arial" w:hAnsi="Arial"/>
          <w:sz w:val="20"/>
          <w:szCs w:val="20"/>
          <w:color w:val="auto"/>
        </w:rPr>
      </w:pPr>
      <w:r>
        <w:rPr>
          <w:rFonts w:ascii="Calibri" w:cs="Calibri" w:eastAsia="Calibri" w:hAnsi="Calibri"/>
          <w:sz w:val="20"/>
          <w:szCs w:val="20"/>
          <w:color w:val="auto"/>
        </w:rPr>
        <w:t>FORCE MAJEURE 22</w:t>
      </w:r>
    </w:p>
    <w:p>
      <w:pPr>
        <w:spacing w:after="0" w:line="282" w:lineRule="exact"/>
        <w:rPr>
          <w:rFonts w:ascii="Arial" w:cs="Arial" w:eastAsia="Arial" w:hAnsi="Arial"/>
          <w:sz w:val="20"/>
          <w:szCs w:val="20"/>
          <w:color w:val="auto"/>
        </w:rPr>
      </w:pPr>
    </w:p>
    <w:p>
      <w:pPr>
        <w:ind w:left="760" w:hanging="752"/>
        <w:spacing w:after="0"/>
        <w:tabs>
          <w:tab w:leader="none" w:pos="760" w:val="left"/>
        </w:tabs>
        <w:numPr>
          <w:ilvl w:val="0"/>
          <w:numId w:val="68"/>
        </w:numPr>
        <w:rPr>
          <w:rFonts w:ascii="Arial" w:cs="Arial" w:eastAsia="Arial" w:hAnsi="Arial"/>
          <w:sz w:val="20"/>
          <w:szCs w:val="20"/>
          <w:color w:val="auto"/>
        </w:rPr>
      </w:pPr>
      <w:r>
        <w:rPr>
          <w:rFonts w:ascii="Calibri" w:cs="Calibri" w:eastAsia="Calibri" w:hAnsi="Calibri"/>
          <w:sz w:val="20"/>
          <w:szCs w:val="20"/>
          <w:color w:val="auto"/>
        </w:rPr>
        <w:t>LIABILITY</w:t>
      </w:r>
      <w:r>
        <w:rPr>
          <w:rFonts w:ascii="Calibri" w:cs="Calibri" w:eastAsia="Calibri" w:hAnsi="Calibri"/>
          <w:sz w:val="19"/>
          <w:szCs w:val="19"/>
          <w:color w:val="auto"/>
        </w:rPr>
        <w:t>22</w:t>
      </w:r>
    </w:p>
    <w:p>
      <w:pPr>
        <w:spacing w:after="0" w:line="295" w:lineRule="exact"/>
        <w:rPr>
          <w:rFonts w:ascii="Arial" w:cs="Arial" w:eastAsia="Arial" w:hAnsi="Arial"/>
          <w:sz w:val="20"/>
          <w:szCs w:val="20"/>
          <w:color w:val="auto"/>
        </w:rPr>
      </w:pPr>
    </w:p>
    <w:p>
      <w:pPr>
        <w:ind w:left="760" w:hanging="752"/>
        <w:spacing w:after="0"/>
        <w:tabs>
          <w:tab w:leader="none" w:pos="760" w:val="left"/>
        </w:tabs>
        <w:numPr>
          <w:ilvl w:val="0"/>
          <w:numId w:val="68"/>
        </w:numPr>
        <w:rPr>
          <w:rFonts w:ascii="Arial" w:cs="Arial" w:eastAsia="Arial" w:hAnsi="Arial"/>
          <w:sz w:val="20"/>
          <w:szCs w:val="20"/>
          <w:color w:val="auto"/>
        </w:rPr>
      </w:pPr>
      <w:r>
        <w:rPr>
          <w:rFonts w:ascii="Calibri" w:cs="Calibri" w:eastAsia="Calibri" w:hAnsi="Calibri"/>
          <w:sz w:val="20"/>
          <w:szCs w:val="20"/>
          <w:color w:val="auto"/>
        </w:rPr>
        <w:t>INDEMNITY  23</w:t>
      </w:r>
    </w:p>
    <w:p>
      <w:pPr>
        <w:spacing w:after="0" w:line="282" w:lineRule="exact"/>
        <w:rPr>
          <w:rFonts w:ascii="Arial" w:cs="Arial" w:eastAsia="Arial" w:hAnsi="Arial"/>
          <w:sz w:val="20"/>
          <w:szCs w:val="20"/>
          <w:color w:val="auto"/>
        </w:rPr>
      </w:pPr>
    </w:p>
    <w:p>
      <w:pPr>
        <w:ind w:left="760" w:hanging="752"/>
        <w:spacing w:after="0"/>
        <w:tabs>
          <w:tab w:leader="none" w:pos="760" w:val="left"/>
        </w:tabs>
        <w:numPr>
          <w:ilvl w:val="0"/>
          <w:numId w:val="68"/>
        </w:numPr>
        <w:rPr>
          <w:rFonts w:ascii="Arial" w:cs="Arial" w:eastAsia="Arial" w:hAnsi="Arial"/>
          <w:sz w:val="20"/>
          <w:szCs w:val="20"/>
          <w:color w:val="auto"/>
        </w:rPr>
      </w:pPr>
      <w:r>
        <w:rPr>
          <w:rFonts w:ascii="Calibri" w:cs="Calibri" w:eastAsia="Calibri" w:hAnsi="Calibri"/>
          <w:sz w:val="20"/>
          <w:szCs w:val="20"/>
          <w:color w:val="auto"/>
        </w:rPr>
        <w:t>INSURANCE  24</w:t>
      </w:r>
    </w:p>
    <w:p>
      <w:pPr>
        <w:spacing w:after="0" w:line="295" w:lineRule="exact"/>
        <w:rPr>
          <w:rFonts w:ascii="Arial" w:cs="Arial" w:eastAsia="Arial" w:hAnsi="Arial"/>
          <w:sz w:val="20"/>
          <w:szCs w:val="20"/>
          <w:color w:val="auto"/>
        </w:rPr>
      </w:pPr>
    </w:p>
    <w:p>
      <w:pPr>
        <w:ind w:left="760" w:hanging="752"/>
        <w:spacing w:after="0"/>
        <w:tabs>
          <w:tab w:leader="none" w:pos="760" w:val="left"/>
        </w:tabs>
        <w:numPr>
          <w:ilvl w:val="0"/>
          <w:numId w:val="68"/>
        </w:numPr>
        <w:rPr>
          <w:rFonts w:ascii="Arial" w:cs="Arial" w:eastAsia="Arial" w:hAnsi="Arial"/>
          <w:sz w:val="20"/>
          <w:szCs w:val="20"/>
          <w:color w:val="auto"/>
        </w:rPr>
      </w:pPr>
      <w:r>
        <w:rPr>
          <w:rFonts w:ascii="Calibri" w:cs="Calibri" w:eastAsia="Calibri" w:hAnsi="Calibri"/>
          <w:sz w:val="20"/>
          <w:szCs w:val="20"/>
          <w:color w:val="auto"/>
        </w:rPr>
        <w:t>TERMINATION   24</w:t>
      </w:r>
    </w:p>
    <w:p>
      <w:pPr>
        <w:spacing w:after="0" w:line="282" w:lineRule="exact"/>
        <w:rPr>
          <w:rFonts w:ascii="Arial" w:cs="Arial" w:eastAsia="Arial" w:hAnsi="Arial"/>
          <w:sz w:val="20"/>
          <w:szCs w:val="20"/>
          <w:color w:val="auto"/>
        </w:rPr>
      </w:pPr>
    </w:p>
    <w:p>
      <w:pPr>
        <w:ind w:left="760" w:hanging="752"/>
        <w:spacing w:after="0"/>
        <w:tabs>
          <w:tab w:leader="none" w:pos="760" w:val="left"/>
        </w:tabs>
        <w:numPr>
          <w:ilvl w:val="0"/>
          <w:numId w:val="68"/>
        </w:numPr>
        <w:rPr>
          <w:rFonts w:ascii="Arial" w:cs="Arial" w:eastAsia="Arial" w:hAnsi="Arial"/>
          <w:sz w:val="20"/>
          <w:szCs w:val="20"/>
          <w:color w:val="auto"/>
        </w:rPr>
      </w:pPr>
      <w:r>
        <w:rPr>
          <w:rFonts w:ascii="Calibri" w:cs="Calibri" w:eastAsia="Calibri" w:hAnsi="Calibri"/>
          <w:sz w:val="20"/>
          <w:szCs w:val="20"/>
          <w:color w:val="auto"/>
        </w:rPr>
        <w:t>CONSEQUENCES OF TERMINATION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616585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59"/>
          </w:cols>
          <w:pgMar w:left="500" w:top="1401" w:right="1440" w:bottom="1440" w:gutter="0" w:footer="0" w:header="0"/>
        </w:sectPr>
      </w:pPr>
    </w:p>
    <w:bookmarkStart w:id="132" w:name="page133"/>
    <w:bookmarkEnd w:id="132"/>
    <w:p>
      <w:pPr>
        <w:spacing w:after="0" w:line="374" w:lineRule="exact"/>
        <w:rPr>
          <w:sz w:val="20"/>
          <w:szCs w:val="20"/>
          <w:color w:val="auto"/>
        </w:rPr>
      </w:pPr>
    </w:p>
    <w:p>
      <w:pPr>
        <w:ind w:left="5200"/>
        <w:spacing w:after="0"/>
        <w:rPr>
          <w:sz w:val="20"/>
          <w:szCs w:val="20"/>
          <w:color w:val="auto"/>
        </w:rPr>
      </w:pPr>
      <w:r>
        <w:rPr>
          <w:rFonts w:ascii="Calibri" w:cs="Calibri" w:eastAsia="Calibri" w:hAnsi="Calibri"/>
          <w:sz w:val="18"/>
          <w:szCs w:val="18"/>
          <w:b w:val="1"/>
          <w:bCs w:val="1"/>
          <w:color w:val="auto"/>
        </w:rPr>
        <w:t>-i-</w:t>
      </w:r>
    </w:p>
    <w:p>
      <w:pPr>
        <w:spacing w:after="0" w:line="87" w:lineRule="exact"/>
        <w:rPr>
          <w:sz w:val="20"/>
          <w:szCs w:val="20"/>
          <w:color w:val="auto"/>
        </w:rPr>
      </w:pPr>
    </w:p>
    <w:p>
      <w:pPr>
        <w:spacing w:after="0"/>
        <w:tabs>
          <w:tab w:leader="none" w:pos="740" w:val="left"/>
          <w:tab w:leader="none" w:pos="2560" w:val="left"/>
        </w:tabs>
        <w:rPr>
          <w:sz w:val="20"/>
          <w:szCs w:val="20"/>
          <w:color w:val="auto"/>
        </w:rPr>
      </w:pPr>
      <w:r>
        <w:rPr>
          <w:rFonts w:ascii="Arial" w:cs="Arial" w:eastAsia="Arial" w:hAnsi="Arial"/>
          <w:sz w:val="20"/>
          <w:szCs w:val="20"/>
          <w:color w:val="auto"/>
        </w:rPr>
        <w:t>24</w:t>
      </w:r>
      <w:r>
        <w:rPr>
          <w:sz w:val="20"/>
          <w:szCs w:val="20"/>
          <w:color w:val="auto"/>
        </w:rPr>
        <w:tab/>
      </w:r>
      <w:r>
        <w:rPr>
          <w:rFonts w:ascii="Calibri" w:cs="Calibri" w:eastAsia="Calibri" w:hAnsi="Calibri"/>
          <w:sz w:val="20"/>
          <w:szCs w:val="20"/>
          <w:color w:val="auto"/>
        </w:rPr>
        <w:t>CONFIDENTIALITY</w:t>
      </w:r>
      <w:r>
        <w:rPr>
          <w:sz w:val="20"/>
          <w:szCs w:val="20"/>
          <w:color w:val="auto"/>
        </w:rPr>
        <w:tab/>
      </w:r>
      <w:r>
        <w:rPr>
          <w:rFonts w:ascii="Calibri" w:cs="Calibri" w:eastAsia="Calibri" w:hAnsi="Calibri"/>
          <w:sz w:val="20"/>
          <w:szCs w:val="20"/>
          <w:color w:val="auto"/>
        </w:rPr>
        <w:t>25</w:t>
      </w:r>
    </w:p>
    <w:p>
      <w:pPr>
        <w:spacing w:after="0" w:line="307" w:lineRule="exact"/>
        <w:rPr>
          <w:sz w:val="20"/>
          <w:szCs w:val="20"/>
          <w:color w:val="auto"/>
        </w:rPr>
      </w:pPr>
    </w:p>
    <w:p>
      <w:pPr>
        <w:ind w:left="760" w:hanging="752"/>
        <w:spacing w:after="0"/>
        <w:tabs>
          <w:tab w:leader="none" w:pos="760" w:val="left"/>
        </w:tabs>
        <w:numPr>
          <w:ilvl w:val="0"/>
          <w:numId w:val="69"/>
        </w:numPr>
        <w:rPr>
          <w:rFonts w:ascii="Arial" w:cs="Arial" w:eastAsia="Arial" w:hAnsi="Arial"/>
          <w:sz w:val="20"/>
          <w:szCs w:val="20"/>
          <w:color w:val="auto"/>
        </w:rPr>
      </w:pPr>
      <w:r>
        <w:rPr>
          <w:rFonts w:ascii="Calibri" w:cs="Calibri" w:eastAsia="Calibri" w:hAnsi="Calibri"/>
          <w:sz w:val="20"/>
          <w:szCs w:val="20"/>
          <w:color w:val="auto"/>
        </w:rPr>
        <w:t>PARTIES 26</w:t>
      </w:r>
    </w:p>
    <w:p>
      <w:pPr>
        <w:spacing w:after="0" w:line="282" w:lineRule="exact"/>
        <w:rPr>
          <w:rFonts w:ascii="Arial" w:cs="Arial" w:eastAsia="Arial" w:hAnsi="Arial"/>
          <w:sz w:val="20"/>
          <w:szCs w:val="20"/>
          <w:color w:val="auto"/>
        </w:rPr>
      </w:pPr>
    </w:p>
    <w:p>
      <w:pPr>
        <w:ind w:left="760" w:hanging="752"/>
        <w:spacing w:after="0"/>
        <w:tabs>
          <w:tab w:leader="none" w:pos="760" w:val="left"/>
        </w:tabs>
        <w:numPr>
          <w:ilvl w:val="0"/>
          <w:numId w:val="69"/>
        </w:numPr>
        <w:rPr>
          <w:rFonts w:ascii="Arial" w:cs="Arial" w:eastAsia="Arial" w:hAnsi="Arial"/>
          <w:sz w:val="20"/>
          <w:szCs w:val="20"/>
          <w:color w:val="auto"/>
        </w:rPr>
      </w:pPr>
      <w:r>
        <w:rPr>
          <w:rFonts w:ascii="Calibri" w:cs="Calibri" w:eastAsia="Calibri" w:hAnsi="Calibri"/>
          <w:sz w:val="20"/>
          <w:szCs w:val="20"/>
          <w:color w:val="auto"/>
        </w:rPr>
        <w:t>CONSTRUCTION AND INTERPRETATION OF THIS AGREEMENT 26</w:t>
      </w:r>
    </w:p>
    <w:p>
      <w:pPr>
        <w:spacing w:after="0" w:line="295" w:lineRule="exact"/>
        <w:rPr>
          <w:rFonts w:ascii="Arial" w:cs="Arial" w:eastAsia="Arial" w:hAnsi="Arial"/>
          <w:sz w:val="20"/>
          <w:szCs w:val="20"/>
          <w:color w:val="auto"/>
        </w:rPr>
      </w:pPr>
    </w:p>
    <w:p>
      <w:pPr>
        <w:ind w:left="760" w:hanging="752"/>
        <w:spacing w:after="0"/>
        <w:tabs>
          <w:tab w:leader="none" w:pos="760" w:val="left"/>
        </w:tabs>
        <w:numPr>
          <w:ilvl w:val="0"/>
          <w:numId w:val="69"/>
        </w:numPr>
        <w:rPr>
          <w:rFonts w:ascii="Arial" w:cs="Arial" w:eastAsia="Arial" w:hAnsi="Arial"/>
          <w:sz w:val="20"/>
          <w:szCs w:val="20"/>
          <w:color w:val="auto"/>
        </w:rPr>
      </w:pPr>
      <w:r>
        <w:rPr>
          <w:rFonts w:ascii="Calibri" w:cs="Calibri" w:eastAsia="Calibri" w:hAnsi="Calibri"/>
          <w:sz w:val="20"/>
          <w:szCs w:val="20"/>
          <w:color w:val="auto"/>
        </w:rPr>
        <w:t>CONTRACT ADMINISTRATION  28</w:t>
      </w:r>
    </w:p>
    <w:p>
      <w:pPr>
        <w:spacing w:after="0" w:line="282" w:lineRule="exact"/>
        <w:rPr>
          <w:rFonts w:ascii="Arial" w:cs="Arial" w:eastAsia="Arial" w:hAnsi="Arial"/>
          <w:sz w:val="20"/>
          <w:szCs w:val="20"/>
          <w:color w:val="auto"/>
        </w:rPr>
      </w:pPr>
    </w:p>
    <w:p>
      <w:pPr>
        <w:ind w:left="760" w:hanging="752"/>
        <w:spacing w:after="0"/>
        <w:tabs>
          <w:tab w:leader="none" w:pos="760" w:val="left"/>
        </w:tabs>
        <w:numPr>
          <w:ilvl w:val="0"/>
          <w:numId w:val="69"/>
        </w:numPr>
        <w:rPr>
          <w:rFonts w:ascii="Arial" w:cs="Arial" w:eastAsia="Arial" w:hAnsi="Arial"/>
          <w:sz w:val="20"/>
          <w:szCs w:val="20"/>
          <w:color w:val="auto"/>
        </w:rPr>
      </w:pPr>
      <w:r>
        <w:rPr>
          <w:rFonts w:ascii="Calibri" w:cs="Calibri" w:eastAsia="Calibri" w:hAnsi="Calibri"/>
          <w:sz w:val="20"/>
          <w:szCs w:val="20"/>
          <w:color w:val="auto"/>
        </w:rPr>
        <w:t>DISPUTE RESOLUTION PROCEDURE 29</w:t>
      </w:r>
    </w:p>
    <w:p>
      <w:pPr>
        <w:spacing w:after="0" w:line="285" w:lineRule="exact"/>
        <w:rPr>
          <w:sz w:val="20"/>
          <w:szCs w:val="20"/>
          <w:color w:val="auto"/>
        </w:rPr>
      </w:pPr>
    </w:p>
    <w:p>
      <w:pPr>
        <w:spacing w:after="0"/>
        <w:tabs>
          <w:tab w:leader="none" w:pos="740" w:val="left"/>
          <w:tab w:leader="none" w:pos="2940" w:val="left"/>
        </w:tabs>
        <w:rPr>
          <w:sz w:val="20"/>
          <w:szCs w:val="20"/>
          <w:color w:val="auto"/>
        </w:rPr>
      </w:pPr>
      <w:r>
        <w:rPr>
          <w:rFonts w:ascii="Arial" w:cs="Arial" w:eastAsia="Arial" w:hAnsi="Arial"/>
          <w:sz w:val="20"/>
          <w:szCs w:val="20"/>
          <w:color w:val="auto"/>
        </w:rPr>
        <w:t>29</w:t>
      </w:r>
      <w:r>
        <w:rPr>
          <w:sz w:val="20"/>
          <w:szCs w:val="20"/>
          <w:color w:val="auto"/>
        </w:rPr>
        <w:tab/>
      </w:r>
      <w:r>
        <w:rPr>
          <w:rFonts w:ascii="Calibri" w:cs="Calibri" w:eastAsia="Calibri" w:hAnsi="Calibri"/>
          <w:sz w:val="20"/>
          <w:szCs w:val="20"/>
          <w:color w:val="auto"/>
        </w:rPr>
        <w:t>LAW AND JURISDICTION</w:t>
      </w:r>
      <w:r>
        <w:rPr>
          <w:sz w:val="20"/>
          <w:szCs w:val="20"/>
          <w:color w:val="auto"/>
        </w:rPr>
        <w:tab/>
      </w:r>
      <w:r>
        <w:rPr>
          <w:rFonts w:ascii="Calibri" w:cs="Calibri" w:eastAsia="Calibri" w:hAnsi="Calibri"/>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760730</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59"/>
          </w:cols>
          <w:pgMar w:left="500" w:top="1440" w:right="1440" w:bottom="1440" w:gutter="0" w:footer="0" w:header="0"/>
        </w:sectPr>
      </w:pPr>
    </w:p>
    <w:bookmarkStart w:id="133" w:name="page134"/>
    <w:bookmarkEnd w:id="1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59"/>
        <w:spacing w:after="0"/>
        <w:rPr>
          <w:sz w:val="20"/>
          <w:szCs w:val="20"/>
          <w:color w:val="auto"/>
        </w:rPr>
      </w:pPr>
      <w:r>
        <w:rPr>
          <w:rFonts w:ascii="Calibri" w:cs="Calibri" w:eastAsia="Calibri" w:hAnsi="Calibri"/>
          <w:sz w:val="16"/>
          <w:szCs w:val="16"/>
          <w:b w:val="1"/>
          <w:bCs w:val="1"/>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237490</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4" w:name="page135"/>
    <w:bookmarkEnd w:id="134"/>
    <w:p>
      <w:pPr>
        <w:ind w:left="12"/>
        <w:spacing w:after="0"/>
        <w:rPr>
          <w:sz w:val="20"/>
          <w:szCs w:val="20"/>
          <w:color w:val="auto"/>
        </w:rPr>
      </w:pPr>
      <w:r>
        <w:rPr>
          <w:rFonts w:ascii="Calibri" w:cs="Calibri" w:eastAsia="Calibri" w:hAnsi="Calibri"/>
          <w:sz w:val="20"/>
          <w:szCs w:val="20"/>
          <w:b w:val="1"/>
          <w:bCs w:val="1"/>
          <w:color w:val="auto"/>
        </w:rPr>
        <w:t xml:space="preserve">THIS AGREEMENT </w:t>
      </w:r>
      <w:r>
        <w:rPr>
          <w:rFonts w:ascii="Calibri" w:cs="Calibri" w:eastAsia="Calibri" w:hAnsi="Calibri"/>
          <w:sz w:val="20"/>
          <w:szCs w:val="20"/>
          <w:color w:val="auto"/>
        </w:rPr>
        <w:t>is made on October 27, 2020</w:t>
      </w:r>
    </w:p>
    <w:p>
      <w:pPr>
        <w:spacing w:after="0" w:line="336" w:lineRule="exact"/>
        <w:rPr>
          <w:sz w:val="20"/>
          <w:szCs w:val="20"/>
          <w:color w:val="auto"/>
        </w:rPr>
      </w:pPr>
    </w:p>
    <w:p>
      <w:pPr>
        <w:ind w:left="12"/>
        <w:spacing w:after="0"/>
        <w:rPr>
          <w:sz w:val="20"/>
          <w:szCs w:val="20"/>
          <w:color w:val="auto"/>
        </w:rPr>
      </w:pPr>
      <w:r>
        <w:rPr>
          <w:rFonts w:ascii="Calibri" w:cs="Calibri" w:eastAsia="Calibri" w:hAnsi="Calibri"/>
          <w:sz w:val="20"/>
          <w:szCs w:val="20"/>
          <w:b w:val="1"/>
          <w:bCs w:val="1"/>
          <w:color w:val="auto"/>
        </w:rPr>
        <w:t>BETWEEN</w:t>
      </w:r>
    </w:p>
    <w:p>
      <w:pPr>
        <w:spacing w:after="0" w:line="238" w:lineRule="exact"/>
        <w:rPr>
          <w:sz w:val="20"/>
          <w:szCs w:val="20"/>
          <w:color w:val="auto"/>
        </w:rPr>
      </w:pPr>
    </w:p>
    <w:p>
      <w:pPr>
        <w:ind w:left="732" w:hanging="732"/>
        <w:spacing w:after="0" w:line="234" w:lineRule="auto"/>
        <w:tabs>
          <w:tab w:leader="none" w:pos="732" w:val="left"/>
        </w:tabs>
        <w:numPr>
          <w:ilvl w:val="0"/>
          <w:numId w:val="70"/>
        </w:numPr>
        <w:rPr>
          <w:rFonts w:ascii="Arial" w:cs="Arial" w:eastAsia="Arial" w:hAnsi="Arial"/>
          <w:sz w:val="20"/>
          <w:szCs w:val="20"/>
          <w:b w:val="1"/>
          <w:bCs w:val="1"/>
          <w:color w:val="auto"/>
        </w:rPr>
      </w:pPr>
      <w:r>
        <w:rPr>
          <w:rFonts w:ascii="Calibri" w:cs="Calibri" w:eastAsia="Calibri" w:hAnsi="Calibri"/>
          <w:sz w:val="20"/>
          <w:szCs w:val="20"/>
          <w:b w:val="1"/>
          <w:bCs w:val="1"/>
          <w:color w:val="auto"/>
        </w:rPr>
        <w:t xml:space="preserve">Kyowa Kirin, Inc., </w:t>
      </w:r>
      <w:r>
        <w:rPr>
          <w:rFonts w:ascii="Calibri" w:cs="Calibri" w:eastAsia="Calibri" w:hAnsi="Calibri"/>
          <w:sz w:val="20"/>
          <w:szCs w:val="20"/>
          <w:color w:val="auto"/>
        </w:rPr>
        <w:t>a corporaton organized and existng under the laws of Delaware, having its principal ofce at 135 Route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202/206, Suite 6 Bedminster, New Jersey 07921,</w:t>
      </w:r>
    </w:p>
    <w:p>
      <w:pPr>
        <w:spacing w:after="0" w:line="1" w:lineRule="exact"/>
        <w:rPr>
          <w:rFonts w:ascii="Arial" w:cs="Arial" w:eastAsia="Arial" w:hAnsi="Arial"/>
          <w:sz w:val="20"/>
          <w:szCs w:val="20"/>
          <w:b w:val="1"/>
          <w:bCs w:val="1"/>
          <w:color w:val="auto"/>
        </w:rPr>
      </w:pPr>
    </w:p>
    <w:p>
      <w:pPr>
        <w:ind w:left="752"/>
        <w:spacing w:after="0" w:line="238" w:lineRule="auto"/>
        <w:rPr>
          <w:rFonts w:ascii="Arial" w:cs="Arial" w:eastAsia="Arial" w:hAnsi="Arial"/>
          <w:sz w:val="20"/>
          <w:szCs w:val="20"/>
          <w:b w:val="1"/>
          <w:bCs w:val="1"/>
          <w:color w:val="auto"/>
        </w:rPr>
      </w:pPr>
      <w:r>
        <w:rPr>
          <w:rFonts w:ascii="Calibri" w:cs="Calibri" w:eastAsia="Calibri" w:hAnsi="Calibri"/>
          <w:sz w:val="20"/>
          <w:szCs w:val="20"/>
          <w:color w:val="auto"/>
        </w:rPr>
        <w:t>USA ("</w:t>
      </w:r>
      <w:r>
        <w:rPr>
          <w:rFonts w:ascii="Calibri" w:cs="Calibri" w:eastAsia="Calibri" w:hAnsi="Calibri"/>
          <w:sz w:val="20"/>
          <w:szCs w:val="20"/>
          <w:b w:val="1"/>
          <w:bCs w:val="1"/>
          <w:color w:val="auto"/>
        </w:rPr>
        <w:t>Kyowa Kirin</w:t>
      </w:r>
      <w:r>
        <w:rPr>
          <w:rFonts w:ascii="Calibri" w:cs="Calibri" w:eastAsia="Calibri" w:hAnsi="Calibri"/>
          <w:sz w:val="20"/>
          <w:szCs w:val="20"/>
          <w:color w:val="auto"/>
        </w:rPr>
        <w:t>"); and</w:t>
      </w:r>
    </w:p>
    <w:p>
      <w:pPr>
        <w:spacing w:after="0" w:line="238" w:lineRule="exact"/>
        <w:rPr>
          <w:rFonts w:ascii="Arial" w:cs="Arial" w:eastAsia="Arial" w:hAnsi="Arial"/>
          <w:sz w:val="20"/>
          <w:szCs w:val="20"/>
          <w:b w:val="1"/>
          <w:bCs w:val="1"/>
          <w:color w:val="auto"/>
        </w:rPr>
      </w:pPr>
    </w:p>
    <w:p>
      <w:pPr>
        <w:ind w:left="732" w:hanging="732"/>
        <w:spacing w:after="0" w:line="234" w:lineRule="auto"/>
        <w:tabs>
          <w:tab w:leader="none" w:pos="732" w:val="left"/>
        </w:tabs>
        <w:numPr>
          <w:ilvl w:val="0"/>
          <w:numId w:val="70"/>
        </w:numPr>
        <w:rPr>
          <w:rFonts w:ascii="Arial" w:cs="Arial" w:eastAsia="Arial" w:hAnsi="Arial"/>
          <w:sz w:val="20"/>
          <w:szCs w:val="20"/>
          <w:b w:val="1"/>
          <w:bCs w:val="1"/>
          <w:color w:val="auto"/>
        </w:rPr>
      </w:pPr>
      <w:r>
        <w:rPr>
          <w:rFonts w:ascii="Calibri" w:cs="Calibri" w:eastAsia="Calibri" w:hAnsi="Calibri"/>
          <w:sz w:val="20"/>
          <w:szCs w:val="20"/>
          <w:b w:val="1"/>
          <w:bCs w:val="1"/>
          <w:color w:val="auto"/>
        </w:rPr>
        <w:t xml:space="preserve">ULTRAGENYX PHARMACEUTICAL INC. </w:t>
      </w:r>
      <w:r>
        <w:rPr>
          <w:rFonts w:ascii="Calibri" w:cs="Calibri" w:eastAsia="Calibri" w:hAnsi="Calibri"/>
          <w:sz w:val="20"/>
          <w:szCs w:val="20"/>
          <w:color w:val="auto"/>
        </w:rPr>
        <w:t>a company organised and existng under the laws of Delaware, USA with an address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at 60 Leveroni Ct, Novato, CA, 94949, USA and its afliates (collectvely referred to herein as “</w:t>
      </w:r>
      <w:r>
        <w:rPr>
          <w:rFonts w:ascii="Calibri" w:cs="Calibri" w:eastAsia="Calibri" w:hAnsi="Calibri"/>
          <w:sz w:val="20"/>
          <w:szCs w:val="20"/>
          <w:b w:val="1"/>
          <w:bCs w:val="1"/>
          <w:color w:val="auto"/>
        </w:rPr>
        <w:t>UGNX</w:t>
      </w:r>
      <w:r>
        <w:rPr>
          <w:rFonts w:ascii="Calibri" w:cs="Calibri" w:eastAsia="Calibri" w:hAnsi="Calibri"/>
          <w:sz w:val="20"/>
          <w:szCs w:val="20"/>
          <w:color w:val="auto"/>
        </w:rPr>
        <w:t>”)</w:t>
      </w:r>
    </w:p>
    <w:p>
      <w:pPr>
        <w:spacing w:after="0" w:line="216" w:lineRule="exact"/>
        <w:rPr>
          <w:sz w:val="20"/>
          <w:szCs w:val="20"/>
          <w:color w:val="auto"/>
        </w:rPr>
      </w:pPr>
    </w:p>
    <w:p>
      <w:pPr>
        <w:ind w:left="12"/>
        <w:spacing w:after="0"/>
        <w:rPr>
          <w:sz w:val="20"/>
          <w:szCs w:val="20"/>
          <w:color w:val="auto"/>
        </w:rPr>
      </w:pPr>
      <w:r>
        <w:rPr>
          <w:rFonts w:ascii="Calibri" w:cs="Calibri" w:eastAsia="Calibri" w:hAnsi="Calibri"/>
          <w:sz w:val="20"/>
          <w:szCs w:val="20"/>
          <w:b w:val="1"/>
          <w:bCs w:val="1"/>
          <w:color w:val="auto"/>
        </w:rPr>
        <w:t>BACKGROUND</w:t>
      </w:r>
    </w:p>
    <w:p>
      <w:pPr>
        <w:spacing w:after="0" w:line="360" w:lineRule="exact"/>
        <w:rPr>
          <w:sz w:val="20"/>
          <w:szCs w:val="20"/>
          <w:color w:val="auto"/>
        </w:rPr>
      </w:pPr>
    </w:p>
    <w:p>
      <w:pPr>
        <w:jc w:val="both"/>
        <w:ind w:left="752" w:hanging="738"/>
        <w:spacing w:after="0" w:line="236" w:lineRule="auto"/>
        <w:tabs>
          <w:tab w:leader="none" w:pos="752" w:val="left"/>
        </w:tabs>
        <w:numPr>
          <w:ilvl w:val="1"/>
          <w:numId w:val="71"/>
        </w:numPr>
        <w:rPr>
          <w:rFonts w:ascii="Arial" w:cs="Arial" w:eastAsia="Arial" w:hAnsi="Arial"/>
          <w:sz w:val="20"/>
          <w:szCs w:val="20"/>
          <w:color w:val="auto"/>
        </w:rPr>
      </w:pPr>
      <w:r>
        <w:rPr>
          <w:rFonts w:ascii="Calibri" w:cs="Calibri" w:eastAsia="Calibri" w:hAnsi="Calibri"/>
          <w:sz w:val="20"/>
          <w:szCs w:val="20"/>
          <w:color w:val="auto"/>
        </w:rPr>
        <w:t>Kyowa Kirin’s parent company Kyowa Kirin Co., Ltd. (formerly Kyowa Hakko Kirin Co., Ltd. (KHK)) and UGNX entered into a Collaboraton and License Agreement relatng to the Product (as defned below) dated 29 August 2013, as amended, (the “</w:t>
      </w:r>
      <w:r>
        <w:rPr>
          <w:rFonts w:ascii="Calibri" w:cs="Calibri" w:eastAsia="Calibri" w:hAnsi="Calibri"/>
          <w:sz w:val="20"/>
          <w:szCs w:val="20"/>
          <w:b w:val="1"/>
          <w:bCs w:val="1"/>
          <w:color w:val="auto"/>
        </w:rPr>
        <w:t>Collaboraton Agreement</w:t>
      </w:r>
      <w:r>
        <w:rPr>
          <w:rFonts w:ascii="Calibri" w:cs="Calibri" w:eastAsia="Calibri" w:hAnsi="Calibri"/>
          <w:sz w:val="20"/>
          <w:szCs w:val="20"/>
          <w:color w:val="auto"/>
        </w:rPr>
        <w:t>”) under which KHK and UGNX have been collaboratng on the development and commercialisaton of the Product.</w:t>
      </w:r>
    </w:p>
    <w:p>
      <w:pPr>
        <w:spacing w:after="0" w:line="231" w:lineRule="exact"/>
        <w:rPr>
          <w:rFonts w:ascii="Arial" w:cs="Arial" w:eastAsia="Arial" w:hAnsi="Arial"/>
          <w:sz w:val="20"/>
          <w:szCs w:val="20"/>
          <w:color w:val="auto"/>
        </w:rPr>
      </w:pPr>
    </w:p>
    <w:p>
      <w:pPr>
        <w:ind w:left="752" w:hanging="738"/>
        <w:spacing w:after="0"/>
        <w:tabs>
          <w:tab w:leader="none" w:pos="752" w:val="left"/>
        </w:tabs>
        <w:numPr>
          <w:ilvl w:val="1"/>
          <w:numId w:val="71"/>
        </w:numPr>
        <w:rPr>
          <w:rFonts w:ascii="Arial" w:cs="Arial" w:eastAsia="Arial" w:hAnsi="Arial"/>
          <w:sz w:val="20"/>
          <w:szCs w:val="20"/>
          <w:color w:val="auto"/>
        </w:rPr>
      </w:pPr>
      <w:r>
        <w:rPr>
          <w:rFonts w:ascii="Calibri" w:cs="Calibri" w:eastAsia="Calibri" w:hAnsi="Calibri"/>
          <w:sz w:val="20"/>
          <w:szCs w:val="20"/>
          <w:color w:val="auto"/>
        </w:rPr>
        <w:t>KHK has licensed the right to develop, register and commercialise the Product in the Territory (as defned below) to UGNX.</w:t>
      </w:r>
    </w:p>
    <w:p>
      <w:pPr>
        <w:spacing w:after="0" w:line="228" w:lineRule="exact"/>
        <w:rPr>
          <w:rFonts w:ascii="Arial" w:cs="Arial" w:eastAsia="Arial" w:hAnsi="Arial"/>
          <w:sz w:val="20"/>
          <w:szCs w:val="20"/>
          <w:color w:val="auto"/>
        </w:rPr>
      </w:pPr>
    </w:p>
    <w:p>
      <w:pPr>
        <w:ind w:left="752" w:hanging="738"/>
        <w:spacing w:after="0"/>
        <w:tabs>
          <w:tab w:leader="none" w:pos="752" w:val="left"/>
        </w:tabs>
        <w:numPr>
          <w:ilvl w:val="1"/>
          <w:numId w:val="71"/>
        </w:numPr>
        <w:rPr>
          <w:rFonts w:ascii="Arial" w:cs="Arial" w:eastAsia="Arial" w:hAnsi="Arial"/>
          <w:sz w:val="20"/>
          <w:szCs w:val="20"/>
          <w:color w:val="auto"/>
        </w:rPr>
      </w:pPr>
      <w:r>
        <w:rPr>
          <w:rFonts w:ascii="Calibri" w:cs="Calibri" w:eastAsia="Calibri" w:hAnsi="Calibri"/>
          <w:sz w:val="20"/>
          <w:szCs w:val="20"/>
          <w:color w:val="auto"/>
        </w:rPr>
        <w:t>Kyowa Kirin has initated commercial supply of Product including in the United States and the European Union (EU).</w:t>
      </w:r>
    </w:p>
    <w:p>
      <w:pPr>
        <w:spacing w:after="0" w:line="238" w:lineRule="exact"/>
        <w:rPr>
          <w:rFonts w:ascii="Arial" w:cs="Arial" w:eastAsia="Arial" w:hAnsi="Arial"/>
          <w:sz w:val="20"/>
          <w:szCs w:val="20"/>
          <w:color w:val="auto"/>
        </w:rPr>
      </w:pPr>
    </w:p>
    <w:p>
      <w:pPr>
        <w:ind w:left="732" w:hanging="732"/>
        <w:spacing w:after="0" w:line="234" w:lineRule="auto"/>
        <w:tabs>
          <w:tab w:leader="none" w:pos="732" w:val="left"/>
        </w:tabs>
        <w:numPr>
          <w:ilvl w:val="0"/>
          <w:numId w:val="72"/>
        </w:numPr>
        <w:rPr>
          <w:rFonts w:ascii="Arial" w:cs="Arial" w:eastAsia="Arial" w:hAnsi="Arial"/>
          <w:sz w:val="20"/>
          <w:szCs w:val="20"/>
          <w:color w:val="auto"/>
        </w:rPr>
      </w:pPr>
      <w:r>
        <w:rPr>
          <w:rFonts w:ascii="Calibri" w:cs="Calibri" w:eastAsia="Calibri" w:hAnsi="Calibri"/>
          <w:sz w:val="20"/>
          <w:szCs w:val="20"/>
          <w:color w:val="auto"/>
        </w:rPr>
        <w:t>UGNX wishes to make use of the Kyowa Kirin commercial supply capabilites for UGNX supply of Commercial Product in the Territory and Kyowa Kirin has agreed to this on the terms and conditons of this Agreement and in consideraton of them.</w:t>
      </w:r>
    </w:p>
    <w:p>
      <w:pPr>
        <w:spacing w:after="0" w:line="239" w:lineRule="exact"/>
        <w:rPr>
          <w:rFonts w:ascii="Arial" w:cs="Arial" w:eastAsia="Arial" w:hAnsi="Arial"/>
          <w:sz w:val="20"/>
          <w:szCs w:val="20"/>
          <w:color w:val="auto"/>
        </w:rPr>
      </w:pPr>
    </w:p>
    <w:p>
      <w:pPr>
        <w:ind w:left="732" w:hanging="732"/>
        <w:spacing w:after="0" w:line="234" w:lineRule="auto"/>
        <w:tabs>
          <w:tab w:leader="none" w:pos="732" w:val="left"/>
        </w:tabs>
        <w:numPr>
          <w:ilvl w:val="0"/>
          <w:numId w:val="72"/>
        </w:numPr>
        <w:rPr>
          <w:rFonts w:ascii="Arial" w:cs="Arial" w:eastAsia="Arial" w:hAnsi="Arial"/>
          <w:sz w:val="20"/>
          <w:szCs w:val="20"/>
          <w:color w:val="auto"/>
        </w:rPr>
      </w:pPr>
      <w:r>
        <w:rPr>
          <w:rFonts w:ascii="Calibri" w:cs="Calibri" w:eastAsia="Calibri" w:hAnsi="Calibri"/>
          <w:sz w:val="20"/>
          <w:szCs w:val="20"/>
          <w:color w:val="auto"/>
        </w:rPr>
        <w:t xml:space="preserve">Kyowa Kirin and UGNX entered into an Early Access Supply Agreement dated 12 March 2018 (as amended and restated 15 November 2018) (the </w:t>
      </w:r>
      <w:r>
        <w:rPr>
          <w:rFonts w:ascii="Calibri" w:cs="Calibri" w:eastAsia="Calibri" w:hAnsi="Calibri"/>
          <w:sz w:val="20"/>
          <w:szCs w:val="20"/>
          <w:b w:val="1"/>
          <w:bCs w:val="1"/>
          <w:color w:val="auto"/>
        </w:rPr>
        <w:t>“EAP Agreement”</w:t>
      </w:r>
      <w:r>
        <w:rPr>
          <w:rFonts w:ascii="Calibri" w:cs="Calibri" w:eastAsia="Calibri" w:hAnsi="Calibri"/>
          <w:sz w:val="20"/>
          <w:szCs w:val="20"/>
          <w:color w:val="auto"/>
        </w:rPr>
        <w:t>) for Early Access Programme supply of the Product in the Territory.</w:t>
      </w:r>
    </w:p>
    <w:p>
      <w:pPr>
        <w:spacing w:after="0" w:line="216" w:lineRule="exact"/>
        <w:rPr>
          <w:sz w:val="20"/>
          <w:szCs w:val="20"/>
          <w:color w:val="auto"/>
        </w:rPr>
      </w:pPr>
    </w:p>
    <w:p>
      <w:pPr>
        <w:ind w:left="12"/>
        <w:spacing w:after="0"/>
        <w:rPr>
          <w:sz w:val="20"/>
          <w:szCs w:val="20"/>
          <w:color w:val="auto"/>
        </w:rPr>
      </w:pPr>
      <w:r>
        <w:rPr>
          <w:rFonts w:ascii="Calibri" w:cs="Calibri" w:eastAsia="Calibri" w:hAnsi="Calibri"/>
          <w:sz w:val="20"/>
          <w:szCs w:val="20"/>
          <w:b w:val="1"/>
          <w:bCs w:val="1"/>
          <w:color w:val="auto"/>
        </w:rPr>
        <w:t>THE PARTIES THEREFORE AGREE AS FOLLOWS</w:t>
      </w:r>
      <w:r>
        <w:rPr>
          <w:rFonts w:ascii="Calibri" w:cs="Calibri" w:eastAsia="Calibri" w:hAnsi="Calibri"/>
          <w:sz w:val="20"/>
          <w:szCs w:val="20"/>
          <w:color w:val="auto"/>
        </w:rPr>
        <w:t>:</w:t>
      </w:r>
    </w:p>
    <w:p>
      <w:pPr>
        <w:spacing w:after="0" w:line="228" w:lineRule="exact"/>
        <w:rPr>
          <w:sz w:val="20"/>
          <w:szCs w:val="20"/>
          <w:color w:val="auto"/>
        </w:rPr>
      </w:pPr>
    </w:p>
    <w:p>
      <w:pPr>
        <w:ind w:left="752" w:hanging="752"/>
        <w:spacing w:after="0"/>
        <w:tabs>
          <w:tab w:leader="none" w:pos="752" w:val="left"/>
        </w:tabs>
        <w:numPr>
          <w:ilvl w:val="0"/>
          <w:numId w:val="73"/>
        </w:numPr>
        <w:rPr>
          <w:rFonts w:ascii="Arial" w:cs="Arial" w:eastAsia="Arial" w:hAnsi="Arial"/>
          <w:sz w:val="20"/>
          <w:szCs w:val="20"/>
          <w:b w:val="1"/>
          <w:bCs w:val="1"/>
          <w:color w:val="auto"/>
        </w:rPr>
      </w:pPr>
      <w:r>
        <w:rPr>
          <w:rFonts w:ascii="Calibri" w:cs="Calibri" w:eastAsia="Calibri" w:hAnsi="Calibri"/>
          <w:sz w:val="20"/>
          <w:szCs w:val="20"/>
          <w:b w:val="1"/>
          <w:bCs w:val="1"/>
          <w:color w:val="auto"/>
        </w:rPr>
        <w:t>DEFINITIONS</w:t>
      </w:r>
    </w:p>
    <w:p>
      <w:pPr>
        <w:spacing w:after="0" w:line="218" w:lineRule="exact"/>
        <w:rPr>
          <w:sz w:val="20"/>
          <w:szCs w:val="20"/>
          <w:color w:val="auto"/>
        </w:rPr>
      </w:pPr>
    </w:p>
    <w:p>
      <w:pPr>
        <w:ind w:left="12"/>
        <w:spacing w:after="0"/>
        <w:tabs>
          <w:tab w:leader="none" w:pos="732" w:val="left"/>
        </w:tabs>
        <w:rPr>
          <w:sz w:val="20"/>
          <w:szCs w:val="20"/>
          <w:color w:val="auto"/>
        </w:rPr>
      </w:pPr>
      <w:r>
        <w:rPr>
          <w:rFonts w:ascii="Arial" w:cs="Arial" w:eastAsia="Arial" w:hAnsi="Arial"/>
          <w:sz w:val="20"/>
          <w:szCs w:val="20"/>
          <w:color w:val="auto"/>
        </w:rPr>
        <w:t>1.1</w:t>
      </w:r>
      <w:r>
        <w:rPr>
          <w:sz w:val="20"/>
          <w:szCs w:val="20"/>
          <w:color w:val="auto"/>
        </w:rPr>
        <w:tab/>
      </w:r>
      <w:r>
        <w:rPr>
          <w:rFonts w:ascii="Calibri" w:cs="Calibri" w:eastAsia="Calibri" w:hAnsi="Calibri"/>
          <w:sz w:val="20"/>
          <w:szCs w:val="20"/>
          <w:color w:val="auto"/>
        </w:rPr>
        <w:t>In this Agreement, the following words and expressions have the following meanings:</w:t>
      </w:r>
    </w:p>
    <w:p>
      <w:pPr>
        <w:spacing w:after="0" w:line="361" w:lineRule="exact"/>
        <w:rPr>
          <w:sz w:val="20"/>
          <w:szCs w:val="20"/>
          <w:color w:val="auto"/>
        </w:rPr>
      </w:pPr>
    </w:p>
    <w:p>
      <w:pPr>
        <w:ind w:left="812"/>
        <w:spacing w:after="0"/>
        <w:tabs>
          <w:tab w:leader="none" w:pos="3312" w:val="left"/>
        </w:tabs>
        <w:rPr>
          <w:sz w:val="20"/>
          <w:szCs w:val="20"/>
          <w:color w:val="auto"/>
        </w:rPr>
      </w:pPr>
      <w:r>
        <w:rPr>
          <w:rFonts w:ascii="Calibri" w:cs="Calibri" w:eastAsia="Calibri" w:hAnsi="Calibri"/>
          <w:sz w:val="20"/>
          <w:szCs w:val="20"/>
          <w:b w:val="1"/>
          <w:bCs w:val="1"/>
          <w:color w:val="auto"/>
        </w:rPr>
        <w:t>Afliate</w:t>
      </w:r>
      <w:r>
        <w:rPr>
          <w:sz w:val="20"/>
          <w:szCs w:val="20"/>
          <w:color w:val="auto"/>
        </w:rPr>
        <w:tab/>
      </w:r>
      <w:r>
        <w:rPr>
          <w:rFonts w:ascii="Calibri" w:cs="Calibri" w:eastAsia="Calibri" w:hAnsi="Calibri"/>
          <w:sz w:val="20"/>
          <w:szCs w:val="20"/>
          <w:color w:val="auto"/>
        </w:rPr>
        <w:t>a person or entty that directly or indirectly Controls, is Controlled by, or is under common</w:t>
      </w:r>
    </w:p>
    <w:p>
      <w:pPr>
        <w:ind w:left="3332"/>
        <w:spacing w:after="0" w:line="238" w:lineRule="auto"/>
        <w:rPr>
          <w:sz w:val="20"/>
          <w:szCs w:val="20"/>
          <w:color w:val="auto"/>
        </w:rPr>
      </w:pPr>
      <w:r>
        <w:rPr>
          <w:rFonts w:ascii="Calibri" w:cs="Calibri" w:eastAsia="Calibri" w:hAnsi="Calibri"/>
          <w:sz w:val="20"/>
          <w:szCs w:val="20"/>
          <w:color w:val="auto"/>
        </w:rPr>
        <w:t>Control with the person or entty specifed;</w:t>
      </w:r>
    </w:p>
    <w:p>
      <w:pPr>
        <w:sectPr>
          <w:pgSz w:w="11900" w:h="16838" w:orient="portrait"/>
          <w:cols w:equalWidth="0" w:num="1">
            <w:col w:w="10852"/>
          </w:cols>
          <w:pgMar w:left="508" w:top="1388" w:right="539" w:bottom="1440" w:gutter="0" w:footer="0" w:header="0"/>
        </w:sectPr>
      </w:pPr>
    </w:p>
    <w:p>
      <w:pPr>
        <w:spacing w:after="0" w:line="391" w:lineRule="exact"/>
        <w:rPr>
          <w:sz w:val="20"/>
          <w:szCs w:val="20"/>
          <w:color w:val="auto"/>
        </w:rPr>
      </w:pPr>
    </w:p>
    <w:p>
      <w:pPr>
        <w:jc w:val="center"/>
        <w:ind w:left="696"/>
        <w:spacing w:after="0"/>
        <w:rPr>
          <w:sz w:val="20"/>
          <w:szCs w:val="20"/>
          <w:color w:val="auto"/>
        </w:rPr>
      </w:pPr>
      <w:r>
        <w:rPr>
          <w:rFonts w:ascii="Calibri" w:cs="Calibri" w:eastAsia="Calibri" w:hAnsi="Calibri"/>
          <w:sz w:val="20"/>
          <w:szCs w:val="20"/>
          <w:b w:val="1"/>
          <w:bCs w:val="1"/>
          <w:color w:val="auto"/>
        </w:rPr>
        <w:t>Agreed Supply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12"/>
        <w:spacing w:after="0"/>
        <w:rPr>
          <w:sz w:val="20"/>
          <w:szCs w:val="20"/>
          <w:color w:val="auto"/>
        </w:rPr>
      </w:pPr>
      <w:r>
        <w:rPr>
          <w:rFonts w:ascii="Calibri" w:cs="Calibri" w:eastAsia="Calibri" w:hAnsi="Calibri"/>
          <w:sz w:val="20"/>
          <w:szCs w:val="20"/>
          <w:b w:val="1"/>
          <w:bCs w:val="1"/>
          <w:color w:val="auto"/>
        </w:rPr>
        <w:t>Ant-Bribery Law</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jc w:val="both"/>
        <w:ind w:left="4" w:right="120" w:hanging="4"/>
        <w:spacing w:after="0"/>
        <w:tabs>
          <w:tab w:leader="none" w:pos="275" w:val="left"/>
        </w:tabs>
        <w:numPr>
          <w:ilvl w:val="0"/>
          <w:numId w:val="74"/>
        </w:numPr>
        <w:rPr>
          <w:rFonts w:ascii="Calibri" w:cs="Calibri" w:eastAsia="Calibri" w:hAnsi="Calibri"/>
          <w:sz w:val="20"/>
          <w:szCs w:val="20"/>
          <w:color w:val="auto"/>
        </w:rPr>
      </w:pPr>
      <w:r>
        <w:rPr>
          <w:rFonts w:ascii="Calibri" w:cs="Calibri" w:eastAsia="Calibri" w:hAnsi="Calibri"/>
          <w:sz w:val="20"/>
          <w:szCs w:val="20"/>
          <w:color w:val="auto"/>
        </w:rPr>
        <w:t>thirty-fve percent (35%) of Net Sales for Product sold in the Territory prior to January 1, 2023 and (b) thirty percent (30%) of Net Sales for Product sold in the Territory thereafer;</w:t>
      </w:r>
    </w:p>
    <w:p>
      <w:pPr>
        <w:spacing w:after="0" w:line="200" w:lineRule="exact"/>
        <w:rPr>
          <w:sz w:val="20"/>
          <w:szCs w:val="20"/>
          <w:color w:val="auto"/>
        </w:rPr>
      </w:pPr>
    </w:p>
    <w:p>
      <w:pPr>
        <w:spacing w:after="0" w:line="392" w:lineRule="exact"/>
        <w:rPr>
          <w:sz w:val="20"/>
          <w:szCs w:val="20"/>
          <w:color w:val="auto"/>
        </w:rPr>
      </w:pPr>
    </w:p>
    <w:p>
      <w:pPr>
        <w:ind w:left="4" w:right="460"/>
        <w:spacing w:after="0" w:line="234" w:lineRule="auto"/>
        <w:rPr>
          <w:sz w:val="20"/>
          <w:szCs w:val="20"/>
          <w:color w:val="auto"/>
        </w:rPr>
      </w:pPr>
      <w:r>
        <w:rPr>
          <w:rFonts w:ascii="Calibri" w:cs="Calibri" w:eastAsia="Calibri" w:hAnsi="Calibri"/>
          <w:sz w:val="20"/>
          <w:szCs w:val="20"/>
          <w:color w:val="auto"/>
        </w:rPr>
        <w:t>all Applicable Laws addressing public corrupton or commercial bribery whether in the Territory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-2239645</wp:posOffset>
            </wp:positionH>
            <wp:positionV relativeFrom="paragraph">
              <wp:posOffset>394970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608" w:space="720"/>
            <w:col w:w="7524"/>
          </w:cols>
          <w:pgMar w:left="508" w:top="1388" w:right="539" w:bottom="1440" w:gutter="0" w:footer="0" w:header="0"/>
          <w:type w:val="continuous"/>
        </w:sectPr>
      </w:pPr>
    </w:p>
    <w:bookmarkStart w:id="135" w:name="page136"/>
    <w:bookmarkEnd w:id="135"/>
    <w:p>
      <w:pPr>
        <w:spacing w:after="0" w:line="5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Associated Person</w:t>
      </w:r>
    </w:p>
    <w:p>
      <w:pPr>
        <w:spacing w:after="0" w:line="29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Batch Documentaton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Bribery Ofence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right="60"/>
        <w:spacing w:after="0" w:line="234" w:lineRule="auto"/>
        <w:rPr>
          <w:sz w:val="20"/>
          <w:szCs w:val="20"/>
          <w:color w:val="auto"/>
        </w:rPr>
      </w:pPr>
      <w:r>
        <w:rPr>
          <w:rFonts w:ascii="Calibri" w:cs="Calibri" w:eastAsia="Calibri" w:hAnsi="Calibri"/>
          <w:sz w:val="20"/>
          <w:szCs w:val="20"/>
          <w:color w:val="auto"/>
        </w:rPr>
        <w:t>all natonal, supranatonal, foreign or local laws (including case law), legislaton, statutes, statutory instruments, rules, regulatons,</w:t>
      </w:r>
    </w:p>
    <w:p>
      <w:pPr>
        <w:spacing w:after="0"/>
        <w:rPr>
          <w:sz w:val="20"/>
          <w:szCs w:val="20"/>
          <w:color w:val="auto"/>
        </w:rPr>
      </w:pPr>
      <w:r>
        <w:rPr>
          <w:rFonts w:ascii="Calibri" w:cs="Calibri" w:eastAsia="Calibri" w:hAnsi="Calibri"/>
          <w:sz w:val="20"/>
          <w:szCs w:val="20"/>
          <w:color w:val="auto"/>
        </w:rPr>
        <w:t>edicts, by-laws or directons or guidance from government or</w:t>
      </w:r>
    </w:p>
    <w:p>
      <w:pPr>
        <w:spacing w:after="0" w:line="22"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governmental agencies including any rules, regulatons, guidelines or other requirements of relevant regulatory authorites which have the force of law;</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alibri" w:cs="Calibri" w:eastAsia="Calibri" w:hAnsi="Calibri"/>
          <w:sz w:val="20"/>
          <w:szCs w:val="20"/>
          <w:color w:val="auto"/>
        </w:rPr>
        <w:t>has the meaning set out in Clause 17.2(a);</w:t>
      </w:r>
    </w:p>
    <w:p>
      <w:pPr>
        <w:spacing w:after="0" w:line="306"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20"/>
          <w:szCs w:val="20"/>
          <w:color w:val="auto"/>
        </w:rPr>
        <w:t>The complete set of informaton, data and results applicable to one batch relatng to the Manufacturing, control and release of the</w:t>
      </w:r>
    </w:p>
    <w:p>
      <w:pPr>
        <w:spacing w:after="0"/>
        <w:rPr>
          <w:sz w:val="20"/>
          <w:szCs w:val="20"/>
          <w:color w:val="auto"/>
        </w:rPr>
      </w:pPr>
      <w:r>
        <w:rPr>
          <w:rFonts w:ascii="Calibri" w:cs="Calibri" w:eastAsia="Calibri" w:hAnsi="Calibri"/>
          <w:sz w:val="20"/>
          <w:szCs w:val="20"/>
          <w:color w:val="auto"/>
        </w:rPr>
        <w:t>partcular batch, including but not limited to the applicable</w:t>
      </w:r>
    </w:p>
    <w:p>
      <w:pPr>
        <w:spacing w:after="0" w:line="252"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executed drug substance and drug product Batch records, laboratory control results and in-process control results, any applicable Deviaton and investgaton reports and the Certfcate of Analysis, Certfcate of Compliance, Change requests, which are required to comply with all applicable cGMP requirements;</w:t>
      </w:r>
    </w:p>
    <w:p>
      <w:pPr>
        <w:spacing w:after="0" w:line="394" w:lineRule="exact"/>
        <w:rPr>
          <w:sz w:val="20"/>
          <w:szCs w:val="20"/>
          <w:color w:val="auto"/>
        </w:rPr>
      </w:pPr>
    </w:p>
    <w:p>
      <w:pPr>
        <w:spacing w:after="0"/>
        <w:rPr>
          <w:sz w:val="20"/>
          <w:szCs w:val="20"/>
          <w:color w:val="auto"/>
        </w:rPr>
      </w:pPr>
      <w:r>
        <w:rPr>
          <w:rFonts w:ascii="Calibri" w:cs="Calibri" w:eastAsia="Calibri" w:hAnsi="Calibri"/>
          <w:sz w:val="20"/>
          <w:szCs w:val="20"/>
          <w:color w:val="auto"/>
        </w:rPr>
        <w:t>has the meaning set out in Clause 17.1(a);</w:t>
      </w:r>
    </w:p>
    <w:p>
      <w:pPr>
        <w:spacing w:after="0" w:line="591" w:lineRule="exact"/>
        <w:rPr>
          <w:sz w:val="20"/>
          <w:szCs w:val="20"/>
          <w:color w:val="auto"/>
        </w:rPr>
      </w:pPr>
    </w:p>
    <w:p>
      <w:pPr>
        <w:sectPr>
          <w:pgSz w:w="11900" w:h="16838" w:orient="portrait"/>
          <w:cols w:equalWidth="0" w:num="2">
            <w:col w:w="1840" w:space="720"/>
            <w:col w:w="7360"/>
          </w:cols>
          <w:pgMar w:left="1320" w:top="1440" w:right="659" w:bottom="1440" w:gutter="0" w:footer="0" w:header="0"/>
        </w:sectPr>
      </w:pPr>
    </w:p>
    <w:p>
      <w:pPr>
        <w:spacing w:after="0" w:line="82" w:lineRule="exact"/>
        <w:rPr>
          <w:sz w:val="20"/>
          <w:szCs w:val="20"/>
          <w:color w:val="auto"/>
        </w:rPr>
      </w:pPr>
    </w:p>
    <w:p>
      <w:pPr>
        <w:spacing w:after="0"/>
        <w:tabs>
          <w:tab w:leader="none" w:pos="2540" w:val="left"/>
        </w:tabs>
        <w:rPr>
          <w:sz w:val="20"/>
          <w:szCs w:val="20"/>
          <w:color w:val="auto"/>
        </w:rPr>
      </w:pPr>
      <w:r>
        <w:rPr>
          <w:rFonts w:ascii="Calibri" w:cs="Calibri" w:eastAsia="Calibri" w:hAnsi="Calibri"/>
          <w:sz w:val="20"/>
          <w:szCs w:val="20"/>
          <w:b w:val="1"/>
          <w:bCs w:val="1"/>
          <w:color w:val="auto"/>
        </w:rPr>
        <w:t>Business Day</w:t>
      </w:r>
      <w:r>
        <w:rPr>
          <w:sz w:val="20"/>
          <w:szCs w:val="20"/>
          <w:color w:val="auto"/>
        </w:rPr>
        <w:tab/>
      </w:r>
      <w:r>
        <w:rPr>
          <w:rFonts w:ascii="Calibri" w:cs="Calibri" w:eastAsia="Calibri" w:hAnsi="Calibri"/>
          <w:sz w:val="20"/>
          <w:szCs w:val="20"/>
          <w:color w:val="auto"/>
        </w:rPr>
        <w:t>any day which is not a Saturday, a Sunday or a bank or public holiday in the United States</w:t>
      </w:r>
    </w:p>
    <w:p>
      <w:pPr>
        <w:ind w:left="2560"/>
        <w:spacing w:after="0" w:line="238" w:lineRule="auto"/>
        <w:rPr>
          <w:sz w:val="20"/>
          <w:szCs w:val="20"/>
          <w:color w:val="auto"/>
        </w:rPr>
      </w:pPr>
      <w:r>
        <w:rPr>
          <w:rFonts w:ascii="Calibri" w:cs="Calibri" w:eastAsia="Calibri" w:hAnsi="Calibri"/>
          <w:sz w:val="20"/>
          <w:szCs w:val="20"/>
          <w:color w:val="auto"/>
        </w:rPr>
        <w:t>of America;</w:t>
      </w:r>
    </w:p>
    <w:p>
      <w:pPr>
        <w:spacing w:after="0" w:line="391" w:lineRule="exact"/>
        <w:rPr>
          <w:sz w:val="20"/>
          <w:szCs w:val="20"/>
          <w:color w:val="auto"/>
        </w:rPr>
      </w:pPr>
    </w:p>
    <w:p>
      <w:pPr>
        <w:spacing w:after="0"/>
        <w:tabs>
          <w:tab w:leader="none" w:pos="2540" w:val="left"/>
        </w:tabs>
        <w:rPr>
          <w:sz w:val="20"/>
          <w:szCs w:val="20"/>
          <w:color w:val="auto"/>
        </w:rPr>
      </w:pPr>
      <w:r>
        <w:rPr>
          <w:rFonts w:ascii="Calibri" w:cs="Calibri" w:eastAsia="Calibri" w:hAnsi="Calibri"/>
          <w:sz w:val="20"/>
          <w:szCs w:val="20"/>
          <w:b w:val="1"/>
          <w:bCs w:val="1"/>
          <w:color w:val="auto"/>
        </w:rPr>
        <w:t>Chairman</w:t>
      </w:r>
      <w:r>
        <w:rPr>
          <w:sz w:val="20"/>
          <w:szCs w:val="20"/>
          <w:color w:val="auto"/>
        </w:rPr>
        <w:tab/>
      </w:r>
      <w:r>
        <w:rPr>
          <w:rFonts w:ascii="Calibri" w:cs="Calibri" w:eastAsia="Calibri" w:hAnsi="Calibri"/>
          <w:sz w:val="20"/>
          <w:szCs w:val="20"/>
          <w:color w:val="auto"/>
        </w:rPr>
        <w:t>has the meaning set out in Clause 28.4; has the meaning set out in</w:t>
      </w:r>
    </w:p>
    <w:p>
      <w:pPr>
        <w:ind w:left="2560"/>
        <w:spacing w:after="0" w:line="238" w:lineRule="auto"/>
        <w:rPr>
          <w:sz w:val="20"/>
          <w:szCs w:val="20"/>
          <w:color w:val="auto"/>
        </w:rPr>
      </w:pPr>
      <w:r>
        <w:rPr>
          <w:rFonts w:ascii="Calibri" w:cs="Calibri" w:eastAsia="Calibri" w:hAnsi="Calibri"/>
          <w:sz w:val="20"/>
          <w:szCs w:val="20"/>
          <w:color w:val="auto"/>
        </w:rPr>
        <w:t>Background (A).</w:t>
      </w:r>
    </w:p>
    <w:p>
      <w:pPr>
        <w:spacing w:after="0" w:line="5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Collaboraton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2540" w:val="left"/>
        </w:tabs>
        <w:rPr>
          <w:sz w:val="20"/>
          <w:szCs w:val="20"/>
          <w:color w:val="auto"/>
        </w:rPr>
      </w:pPr>
      <w:r>
        <w:rPr>
          <w:rFonts w:ascii="Calibri" w:cs="Calibri" w:eastAsia="Calibri" w:hAnsi="Calibri"/>
          <w:sz w:val="20"/>
          <w:szCs w:val="20"/>
          <w:b w:val="1"/>
          <w:bCs w:val="1"/>
          <w:color w:val="auto"/>
        </w:rPr>
        <w:t>Commencement Date</w:t>
      </w:r>
      <w:r>
        <w:rPr>
          <w:sz w:val="20"/>
          <w:szCs w:val="20"/>
          <w:color w:val="auto"/>
        </w:rPr>
        <w:tab/>
      </w:r>
      <w:r>
        <w:rPr>
          <w:rFonts w:ascii="Calibri" w:cs="Calibri" w:eastAsia="Calibri" w:hAnsi="Calibri"/>
          <w:sz w:val="20"/>
          <w:szCs w:val="20"/>
          <w:color w:val="auto"/>
        </w:rPr>
        <w:t>November 02, 2020;</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2540" w:val="left"/>
        </w:tabs>
        <w:rPr>
          <w:sz w:val="20"/>
          <w:szCs w:val="20"/>
          <w:color w:val="auto"/>
        </w:rPr>
      </w:pPr>
      <w:r>
        <w:rPr>
          <w:rFonts w:ascii="Calibri" w:cs="Calibri" w:eastAsia="Calibri" w:hAnsi="Calibri"/>
          <w:sz w:val="20"/>
          <w:szCs w:val="20"/>
          <w:b w:val="1"/>
          <w:bCs w:val="1"/>
          <w:color w:val="auto"/>
        </w:rPr>
        <w:t>Commercially Reasonable</w:t>
      </w:r>
      <w:r>
        <w:rPr>
          <w:sz w:val="20"/>
          <w:szCs w:val="20"/>
          <w:color w:val="auto"/>
        </w:rPr>
        <w:tab/>
      </w:r>
      <w:r>
        <w:rPr>
          <w:rFonts w:ascii="Calibri" w:cs="Calibri" w:eastAsia="Calibri" w:hAnsi="Calibri"/>
          <w:sz w:val="20"/>
          <w:szCs w:val="20"/>
          <w:color w:val="auto"/>
        </w:rPr>
        <w:t>with respect to the development, manufacture or commercialisaton of the Product,</w:t>
      </w:r>
    </w:p>
    <w:p>
      <w:pPr>
        <w:spacing w:after="0" w:line="238" w:lineRule="auto"/>
        <w:tabs>
          <w:tab w:leader="none" w:pos="2540" w:val="left"/>
        </w:tabs>
        <w:rPr>
          <w:sz w:val="20"/>
          <w:szCs w:val="20"/>
          <w:color w:val="auto"/>
        </w:rPr>
      </w:pPr>
      <w:r>
        <w:rPr>
          <w:rFonts w:ascii="Calibri" w:cs="Calibri" w:eastAsia="Calibri" w:hAnsi="Calibri"/>
          <w:sz w:val="20"/>
          <w:szCs w:val="20"/>
          <w:b w:val="1"/>
          <w:bCs w:val="1"/>
          <w:color w:val="auto"/>
        </w:rPr>
        <w:t>Eforts</w:t>
      </w:r>
      <w:r>
        <w:rPr>
          <w:sz w:val="20"/>
          <w:szCs w:val="20"/>
          <w:color w:val="auto"/>
        </w:rPr>
        <w:tab/>
      </w:r>
      <w:r>
        <w:rPr>
          <w:rFonts w:ascii="Calibri" w:cs="Calibri" w:eastAsia="Calibri" w:hAnsi="Calibri"/>
          <w:sz w:val="20"/>
          <w:szCs w:val="20"/>
          <w:color w:val="auto"/>
        </w:rPr>
        <w:t>conductng such tasks using such eforts and resources that are typically used by a</w:t>
      </w:r>
    </w:p>
    <w:p>
      <w:pPr>
        <w:ind w:left="2560"/>
        <w:spacing w:after="0"/>
        <w:rPr>
          <w:sz w:val="20"/>
          <w:szCs w:val="20"/>
          <w:color w:val="auto"/>
        </w:rPr>
      </w:pPr>
      <w:r>
        <w:rPr>
          <w:rFonts w:ascii="Calibri" w:cs="Calibri" w:eastAsia="Calibri" w:hAnsi="Calibri"/>
          <w:sz w:val="20"/>
          <w:szCs w:val="20"/>
          <w:color w:val="auto"/>
        </w:rPr>
        <w:t>pharmaceutcal company in conductng the same tasks on its own orphan or rare disease</w:t>
      </w:r>
    </w:p>
    <w:p>
      <w:pPr>
        <w:ind w:left="2560"/>
        <w:spacing w:after="0" w:line="238" w:lineRule="auto"/>
        <w:rPr>
          <w:sz w:val="20"/>
          <w:szCs w:val="20"/>
          <w:color w:val="auto"/>
        </w:rPr>
      </w:pPr>
      <w:r>
        <w:rPr>
          <w:rFonts w:ascii="Calibri" w:cs="Calibri" w:eastAsia="Calibri" w:hAnsi="Calibri"/>
          <w:sz w:val="20"/>
          <w:szCs w:val="20"/>
          <w:color w:val="auto"/>
        </w:rPr>
        <w:t>compounds or products with similar commercial and scientfc potental at a similar stage</w:t>
      </w:r>
    </w:p>
    <w:p>
      <w:pPr>
        <w:ind w:left="2560"/>
        <w:spacing w:after="0"/>
        <w:rPr>
          <w:sz w:val="20"/>
          <w:szCs w:val="20"/>
          <w:color w:val="auto"/>
        </w:rPr>
      </w:pPr>
      <w:r>
        <w:rPr>
          <w:rFonts w:ascii="Calibri" w:cs="Calibri" w:eastAsia="Calibri" w:hAnsi="Calibri"/>
          <w:sz w:val="20"/>
          <w:szCs w:val="20"/>
          <w:color w:val="auto"/>
        </w:rPr>
        <w:t>in their lifecycle and in a similar therapeutc area, taking into consideraton [***] and all</w:t>
      </w:r>
    </w:p>
    <w:p>
      <w:pPr>
        <w:ind w:left="2560"/>
        <w:spacing w:after="0" w:line="238" w:lineRule="auto"/>
        <w:rPr>
          <w:sz w:val="20"/>
          <w:szCs w:val="20"/>
          <w:color w:val="auto"/>
        </w:rPr>
      </w:pPr>
      <w:r>
        <w:rPr>
          <w:rFonts w:ascii="Calibri" w:cs="Calibri" w:eastAsia="Calibri" w:hAnsi="Calibri"/>
          <w:sz w:val="20"/>
          <w:szCs w:val="20"/>
          <w:color w:val="auto"/>
        </w:rPr>
        <w:t>other factors that are typically taken into consideraton by pharmaceutcal companies</w:t>
      </w:r>
    </w:p>
    <w:p>
      <w:pPr>
        <w:ind w:left="2560"/>
        <w:spacing w:after="0"/>
        <w:rPr>
          <w:sz w:val="20"/>
          <w:szCs w:val="20"/>
          <w:color w:val="auto"/>
        </w:rPr>
      </w:pPr>
      <w:r>
        <w:rPr>
          <w:rFonts w:ascii="Calibri" w:cs="Calibri" w:eastAsia="Calibri" w:hAnsi="Calibri"/>
          <w:sz w:val="20"/>
          <w:szCs w:val="20"/>
          <w:color w:val="auto"/>
        </w:rPr>
        <w:t>when determining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1679575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20"/>
          </w:cols>
          <w:pgMar w:left="1320" w:top="1440" w:right="659" w:bottom="1440" w:gutter="0" w:footer="0" w:header="0"/>
          <w:type w:val="continuous"/>
        </w:sectPr>
      </w:pPr>
    </w:p>
    <w:bookmarkStart w:id="136" w:name="page137"/>
    <w:bookmarkEnd w:id="136"/>
    <w:p>
      <w:pPr>
        <w:spacing w:after="0" w:line="66" w:lineRule="exact"/>
        <w:rPr>
          <w:sz w:val="20"/>
          <w:szCs w:val="20"/>
          <w:color w:val="auto"/>
        </w:rPr>
      </w:pPr>
    </w:p>
    <w:p>
      <w:pPr>
        <w:jc w:val="both"/>
        <w:ind w:left="2500" w:right="160"/>
        <w:spacing w:after="0" w:line="236" w:lineRule="auto"/>
        <w:rPr>
          <w:sz w:val="20"/>
          <w:szCs w:val="20"/>
          <w:color w:val="auto"/>
        </w:rPr>
      </w:pPr>
      <w:r>
        <w:rPr>
          <w:rFonts w:ascii="Calibri" w:cs="Calibri" w:eastAsia="Calibri" w:hAnsi="Calibri"/>
          <w:sz w:val="20"/>
          <w:szCs w:val="20"/>
          <w:color w:val="auto"/>
        </w:rPr>
        <w:t>the level of eforts and resources to apply to such tasks with respect to its own orphan or rare disease similar compounds or products (as described above). Commercially Reasonable Eforts shall be determined with respect to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320" w:type="dxa"/>
            <w:vAlign w:val="bottom"/>
          </w:tcPr>
          <w:p>
            <w:pPr>
              <w:spacing w:after="0"/>
              <w:rPr>
                <w:sz w:val="20"/>
                <w:szCs w:val="20"/>
                <w:color w:val="auto"/>
              </w:rPr>
            </w:pPr>
            <w:r>
              <w:rPr>
                <w:rFonts w:ascii="Calibri" w:cs="Calibri" w:eastAsia="Calibri" w:hAnsi="Calibri"/>
                <w:sz w:val="20"/>
                <w:szCs w:val="20"/>
                <w:b w:val="1"/>
                <w:bCs w:val="1"/>
                <w:color w:val="auto"/>
              </w:rPr>
              <w:t>Confdental Informaton</w:t>
            </w:r>
          </w:p>
        </w:tc>
        <w:tc>
          <w:tcPr>
            <w:tcW w:w="7600" w:type="dxa"/>
            <w:vAlign w:val="bottom"/>
            <w:gridSpan w:val="3"/>
          </w:tcPr>
          <w:p>
            <w:pPr>
              <w:ind w:left="260"/>
              <w:spacing w:after="0"/>
              <w:rPr>
                <w:sz w:val="20"/>
                <w:szCs w:val="20"/>
                <w:color w:val="auto"/>
              </w:rPr>
            </w:pPr>
            <w:r>
              <w:rPr>
                <w:rFonts w:ascii="Calibri" w:cs="Calibri" w:eastAsia="Calibri" w:hAnsi="Calibri"/>
                <w:sz w:val="20"/>
                <w:szCs w:val="20"/>
                <w:color w:val="auto"/>
              </w:rPr>
              <w:t>the provisions of this Agreement and all informaton which is secret or otherwise not</w:t>
            </w:r>
          </w:p>
        </w:tc>
      </w:tr>
      <w:tr>
        <w:trPr>
          <w:trHeight w:val="243"/>
        </w:trPr>
        <w:tc>
          <w:tcPr>
            <w:tcW w:w="2320" w:type="dxa"/>
            <w:vAlign w:val="bottom"/>
          </w:tcPr>
          <w:p>
            <w:pPr>
              <w:spacing w:after="0"/>
              <w:rPr>
                <w:sz w:val="21"/>
                <w:szCs w:val="21"/>
                <w:color w:val="auto"/>
              </w:rPr>
            </w:pPr>
          </w:p>
        </w:tc>
        <w:tc>
          <w:tcPr>
            <w:tcW w:w="7600" w:type="dxa"/>
            <w:vAlign w:val="bottom"/>
            <w:gridSpan w:val="3"/>
          </w:tcPr>
          <w:p>
            <w:pPr>
              <w:ind w:left="260"/>
              <w:spacing w:after="0" w:line="243" w:lineRule="exact"/>
              <w:rPr>
                <w:sz w:val="20"/>
                <w:szCs w:val="20"/>
                <w:color w:val="auto"/>
              </w:rPr>
            </w:pPr>
            <w:r>
              <w:rPr>
                <w:rFonts w:ascii="Calibri" w:cs="Calibri" w:eastAsia="Calibri" w:hAnsi="Calibri"/>
                <w:sz w:val="20"/>
                <w:szCs w:val="20"/>
                <w:color w:val="auto"/>
              </w:rPr>
              <w:t>publicly available (in both cases either in its entrety or in part) including commercial,</w:t>
            </w:r>
          </w:p>
        </w:tc>
      </w:tr>
      <w:tr>
        <w:trPr>
          <w:trHeight w:val="243"/>
        </w:trPr>
        <w:tc>
          <w:tcPr>
            <w:tcW w:w="2320" w:type="dxa"/>
            <w:vAlign w:val="bottom"/>
          </w:tcPr>
          <w:p>
            <w:pPr>
              <w:spacing w:after="0"/>
              <w:rPr>
                <w:sz w:val="21"/>
                <w:szCs w:val="21"/>
                <w:color w:val="auto"/>
              </w:rPr>
            </w:pPr>
          </w:p>
        </w:tc>
        <w:tc>
          <w:tcPr>
            <w:tcW w:w="7600" w:type="dxa"/>
            <w:vAlign w:val="bottom"/>
            <w:gridSpan w:val="3"/>
          </w:tcPr>
          <w:p>
            <w:pPr>
              <w:ind w:left="260"/>
              <w:spacing w:after="0" w:line="243" w:lineRule="exact"/>
              <w:rPr>
                <w:sz w:val="20"/>
                <w:szCs w:val="20"/>
                <w:color w:val="auto"/>
              </w:rPr>
            </w:pPr>
            <w:r>
              <w:rPr>
                <w:rFonts w:ascii="Calibri" w:cs="Calibri" w:eastAsia="Calibri" w:hAnsi="Calibri"/>
                <w:sz w:val="20"/>
                <w:szCs w:val="20"/>
                <w:color w:val="auto"/>
              </w:rPr>
              <w:t>fnancial, marketng or technical informaton, know-how, trade secrets or business</w:t>
            </w:r>
          </w:p>
        </w:tc>
      </w:tr>
      <w:tr>
        <w:trPr>
          <w:trHeight w:val="243"/>
        </w:trPr>
        <w:tc>
          <w:tcPr>
            <w:tcW w:w="2320" w:type="dxa"/>
            <w:vAlign w:val="bottom"/>
          </w:tcPr>
          <w:p>
            <w:pPr>
              <w:spacing w:after="0"/>
              <w:rPr>
                <w:sz w:val="21"/>
                <w:szCs w:val="21"/>
                <w:color w:val="auto"/>
              </w:rPr>
            </w:pPr>
          </w:p>
        </w:tc>
        <w:tc>
          <w:tcPr>
            <w:tcW w:w="7600" w:type="dxa"/>
            <w:vAlign w:val="bottom"/>
            <w:gridSpan w:val="3"/>
          </w:tcPr>
          <w:p>
            <w:pPr>
              <w:ind w:left="260"/>
              <w:spacing w:after="0" w:line="243" w:lineRule="exact"/>
              <w:rPr>
                <w:sz w:val="20"/>
                <w:szCs w:val="20"/>
                <w:color w:val="auto"/>
              </w:rPr>
            </w:pPr>
            <w:r>
              <w:rPr>
                <w:rFonts w:ascii="Calibri" w:cs="Calibri" w:eastAsia="Calibri" w:hAnsi="Calibri"/>
                <w:sz w:val="20"/>
                <w:szCs w:val="20"/>
                <w:color w:val="auto"/>
              </w:rPr>
              <w:t>methods, or Data, in all cases whether disclosed orally or in writng before or afer the</w:t>
            </w:r>
          </w:p>
        </w:tc>
      </w:tr>
      <w:tr>
        <w:trPr>
          <w:trHeight w:val="243"/>
        </w:trPr>
        <w:tc>
          <w:tcPr>
            <w:tcW w:w="2320" w:type="dxa"/>
            <w:vAlign w:val="bottom"/>
          </w:tcPr>
          <w:p>
            <w:pPr>
              <w:spacing w:after="0"/>
              <w:rPr>
                <w:sz w:val="21"/>
                <w:szCs w:val="21"/>
                <w:color w:val="auto"/>
              </w:rPr>
            </w:pPr>
          </w:p>
        </w:tc>
        <w:tc>
          <w:tcPr>
            <w:tcW w:w="6760" w:type="dxa"/>
            <w:vAlign w:val="bottom"/>
            <w:gridSpan w:val="2"/>
          </w:tcPr>
          <w:p>
            <w:pPr>
              <w:ind w:left="260"/>
              <w:spacing w:after="0" w:line="243" w:lineRule="exact"/>
              <w:rPr>
                <w:sz w:val="20"/>
                <w:szCs w:val="20"/>
                <w:color w:val="auto"/>
              </w:rPr>
            </w:pPr>
            <w:r>
              <w:rPr>
                <w:rFonts w:ascii="Calibri" w:cs="Calibri" w:eastAsia="Calibri" w:hAnsi="Calibri"/>
                <w:sz w:val="20"/>
                <w:szCs w:val="20"/>
                <w:color w:val="auto"/>
              </w:rPr>
              <w:t>date of this Agreement;</w:t>
            </w:r>
          </w:p>
        </w:tc>
        <w:tc>
          <w:tcPr>
            <w:tcW w:w="840" w:type="dxa"/>
            <w:vAlign w:val="bottom"/>
          </w:tcPr>
          <w:p>
            <w:pPr>
              <w:spacing w:after="0"/>
              <w:rPr>
                <w:sz w:val="21"/>
                <w:szCs w:val="21"/>
                <w:color w:val="auto"/>
              </w:rPr>
            </w:pPr>
          </w:p>
        </w:tc>
      </w:tr>
      <w:tr>
        <w:trPr>
          <w:trHeight w:val="918"/>
        </w:trPr>
        <w:tc>
          <w:tcPr>
            <w:tcW w:w="2320" w:type="dxa"/>
            <w:vAlign w:val="bottom"/>
          </w:tcPr>
          <w:p>
            <w:pPr>
              <w:spacing w:after="0"/>
              <w:rPr>
                <w:sz w:val="20"/>
                <w:szCs w:val="20"/>
                <w:color w:val="auto"/>
              </w:rPr>
            </w:pPr>
            <w:r>
              <w:rPr>
                <w:rFonts w:ascii="Calibri" w:cs="Calibri" w:eastAsia="Calibri" w:hAnsi="Calibri"/>
                <w:sz w:val="20"/>
                <w:szCs w:val="20"/>
                <w:b w:val="1"/>
                <w:bCs w:val="1"/>
                <w:color w:val="auto"/>
              </w:rPr>
              <w:t>Control</w:t>
            </w:r>
          </w:p>
        </w:tc>
        <w:tc>
          <w:tcPr>
            <w:tcW w:w="7600" w:type="dxa"/>
            <w:vAlign w:val="bottom"/>
            <w:gridSpan w:val="3"/>
          </w:tcPr>
          <w:p>
            <w:pPr>
              <w:ind w:left="260"/>
              <w:spacing w:after="0"/>
              <w:rPr>
                <w:sz w:val="20"/>
                <w:szCs w:val="20"/>
                <w:color w:val="auto"/>
              </w:rPr>
            </w:pPr>
            <w:r>
              <w:rPr>
                <w:rFonts w:ascii="Calibri" w:cs="Calibri" w:eastAsia="Calibri" w:hAnsi="Calibri"/>
                <w:sz w:val="20"/>
                <w:szCs w:val="20"/>
                <w:color w:val="auto"/>
              </w:rPr>
              <w:t>that a person (i) possesses, directly or indirectly, the power to direct or cause the</w:t>
            </w:r>
          </w:p>
        </w:tc>
      </w:tr>
      <w:tr>
        <w:trPr>
          <w:trHeight w:val="243"/>
        </w:trPr>
        <w:tc>
          <w:tcPr>
            <w:tcW w:w="2320" w:type="dxa"/>
            <w:vAlign w:val="bottom"/>
          </w:tcPr>
          <w:p>
            <w:pPr>
              <w:spacing w:after="0"/>
              <w:rPr>
                <w:sz w:val="21"/>
                <w:szCs w:val="21"/>
                <w:color w:val="auto"/>
              </w:rPr>
            </w:pPr>
          </w:p>
        </w:tc>
        <w:tc>
          <w:tcPr>
            <w:tcW w:w="7600" w:type="dxa"/>
            <w:vAlign w:val="bottom"/>
            <w:gridSpan w:val="3"/>
          </w:tcPr>
          <w:p>
            <w:pPr>
              <w:ind w:left="260"/>
              <w:spacing w:after="0" w:line="243" w:lineRule="exact"/>
              <w:rPr>
                <w:sz w:val="20"/>
                <w:szCs w:val="20"/>
                <w:color w:val="auto"/>
              </w:rPr>
            </w:pPr>
            <w:r>
              <w:rPr>
                <w:rFonts w:ascii="Calibri" w:cs="Calibri" w:eastAsia="Calibri" w:hAnsi="Calibri"/>
                <w:sz w:val="20"/>
                <w:szCs w:val="20"/>
                <w:color w:val="auto"/>
              </w:rPr>
              <w:t>directon of the management and policies of the other Person (whether through the</w:t>
            </w:r>
          </w:p>
        </w:tc>
      </w:tr>
      <w:tr>
        <w:trPr>
          <w:trHeight w:val="243"/>
        </w:trPr>
        <w:tc>
          <w:tcPr>
            <w:tcW w:w="2320" w:type="dxa"/>
            <w:vAlign w:val="bottom"/>
          </w:tcPr>
          <w:p>
            <w:pPr>
              <w:spacing w:after="0"/>
              <w:rPr>
                <w:sz w:val="21"/>
                <w:szCs w:val="21"/>
                <w:color w:val="auto"/>
              </w:rPr>
            </w:pPr>
          </w:p>
        </w:tc>
        <w:tc>
          <w:tcPr>
            <w:tcW w:w="7600" w:type="dxa"/>
            <w:vAlign w:val="bottom"/>
            <w:gridSpan w:val="3"/>
          </w:tcPr>
          <w:p>
            <w:pPr>
              <w:ind w:left="260"/>
              <w:spacing w:after="0" w:line="243" w:lineRule="exact"/>
              <w:rPr>
                <w:sz w:val="20"/>
                <w:szCs w:val="20"/>
                <w:color w:val="auto"/>
              </w:rPr>
            </w:pPr>
            <w:r>
              <w:rPr>
                <w:rFonts w:ascii="Calibri" w:cs="Calibri" w:eastAsia="Calibri" w:hAnsi="Calibri"/>
                <w:sz w:val="20"/>
                <w:szCs w:val="20"/>
                <w:color w:val="auto"/>
              </w:rPr>
              <w:t>ownership of votng shares or power, ability to appoint directors, by contract or</w:t>
            </w:r>
          </w:p>
        </w:tc>
      </w:tr>
      <w:tr>
        <w:trPr>
          <w:trHeight w:val="243"/>
        </w:trPr>
        <w:tc>
          <w:tcPr>
            <w:tcW w:w="2320" w:type="dxa"/>
            <w:vAlign w:val="bottom"/>
          </w:tcPr>
          <w:p>
            <w:pPr>
              <w:spacing w:after="0"/>
              <w:rPr>
                <w:sz w:val="21"/>
                <w:szCs w:val="21"/>
                <w:color w:val="auto"/>
              </w:rPr>
            </w:pPr>
          </w:p>
        </w:tc>
        <w:tc>
          <w:tcPr>
            <w:tcW w:w="6760" w:type="dxa"/>
            <w:vAlign w:val="bottom"/>
            <w:gridSpan w:val="2"/>
          </w:tcPr>
          <w:p>
            <w:pPr>
              <w:ind w:left="260"/>
              <w:spacing w:after="0" w:line="243" w:lineRule="exact"/>
              <w:rPr>
                <w:sz w:val="20"/>
                <w:szCs w:val="20"/>
                <w:color w:val="auto"/>
              </w:rPr>
            </w:pPr>
            <w:r>
              <w:rPr>
                <w:rFonts w:ascii="Calibri" w:cs="Calibri" w:eastAsia="Calibri" w:hAnsi="Calibri"/>
                <w:sz w:val="20"/>
                <w:szCs w:val="20"/>
                <w:color w:val="auto"/>
              </w:rPr>
              <w:t>otherwise) or</w:t>
            </w:r>
          </w:p>
        </w:tc>
        <w:tc>
          <w:tcPr>
            <w:tcW w:w="840" w:type="dxa"/>
            <w:vAlign w:val="bottom"/>
          </w:tcPr>
          <w:p>
            <w:pPr>
              <w:spacing w:after="0"/>
              <w:rPr>
                <w:sz w:val="21"/>
                <w:szCs w:val="21"/>
                <w:color w:val="auto"/>
              </w:rPr>
            </w:pPr>
          </w:p>
        </w:tc>
      </w:tr>
      <w:tr>
        <w:trPr>
          <w:trHeight w:val="243"/>
        </w:trPr>
        <w:tc>
          <w:tcPr>
            <w:tcW w:w="2320" w:type="dxa"/>
            <w:vAlign w:val="bottom"/>
          </w:tcPr>
          <w:p>
            <w:pPr>
              <w:spacing w:after="0"/>
              <w:rPr>
                <w:sz w:val="21"/>
                <w:szCs w:val="21"/>
                <w:color w:val="auto"/>
              </w:rPr>
            </w:pPr>
          </w:p>
        </w:tc>
        <w:tc>
          <w:tcPr>
            <w:tcW w:w="7600" w:type="dxa"/>
            <w:vAlign w:val="bottom"/>
            <w:gridSpan w:val="3"/>
          </w:tcPr>
          <w:p>
            <w:pPr>
              <w:ind w:left="260"/>
              <w:spacing w:after="0" w:line="243" w:lineRule="exact"/>
              <w:rPr>
                <w:sz w:val="20"/>
                <w:szCs w:val="20"/>
                <w:color w:val="auto"/>
              </w:rPr>
            </w:pPr>
            <w:r>
              <w:rPr>
                <w:rFonts w:ascii="Calibri" w:cs="Calibri" w:eastAsia="Calibri" w:hAnsi="Calibri"/>
                <w:sz w:val="20"/>
                <w:szCs w:val="20"/>
                <w:color w:val="auto"/>
              </w:rPr>
              <w:t>(ii) owns directly or indirectly, ffy percent (50%) or more of the votng securites or</w:t>
            </w:r>
          </w:p>
        </w:tc>
      </w:tr>
      <w:tr>
        <w:trPr>
          <w:trHeight w:val="243"/>
        </w:trPr>
        <w:tc>
          <w:tcPr>
            <w:tcW w:w="2320" w:type="dxa"/>
            <w:vAlign w:val="bottom"/>
          </w:tcPr>
          <w:p>
            <w:pPr>
              <w:spacing w:after="0"/>
              <w:rPr>
                <w:sz w:val="21"/>
                <w:szCs w:val="21"/>
                <w:color w:val="auto"/>
              </w:rPr>
            </w:pPr>
          </w:p>
        </w:tc>
        <w:tc>
          <w:tcPr>
            <w:tcW w:w="7600" w:type="dxa"/>
            <w:vAlign w:val="bottom"/>
            <w:gridSpan w:val="3"/>
          </w:tcPr>
          <w:p>
            <w:pPr>
              <w:ind w:left="260"/>
              <w:spacing w:after="0" w:line="243" w:lineRule="exact"/>
              <w:rPr>
                <w:sz w:val="20"/>
                <w:szCs w:val="20"/>
                <w:color w:val="auto"/>
              </w:rPr>
            </w:pPr>
            <w:r>
              <w:rPr>
                <w:rFonts w:ascii="Calibri" w:cs="Calibri" w:eastAsia="Calibri" w:hAnsi="Calibri"/>
                <w:sz w:val="20"/>
                <w:szCs w:val="20"/>
                <w:color w:val="auto"/>
              </w:rPr>
              <w:t>other ownership interest of the other Person. For purposes of this defniton, “Person”</w:t>
            </w:r>
          </w:p>
        </w:tc>
      </w:tr>
      <w:tr>
        <w:trPr>
          <w:trHeight w:val="243"/>
        </w:trPr>
        <w:tc>
          <w:tcPr>
            <w:tcW w:w="2320" w:type="dxa"/>
            <w:vAlign w:val="bottom"/>
          </w:tcPr>
          <w:p>
            <w:pPr>
              <w:spacing w:after="0"/>
              <w:rPr>
                <w:sz w:val="21"/>
                <w:szCs w:val="21"/>
                <w:color w:val="auto"/>
              </w:rPr>
            </w:pPr>
          </w:p>
        </w:tc>
        <w:tc>
          <w:tcPr>
            <w:tcW w:w="7600" w:type="dxa"/>
            <w:vAlign w:val="bottom"/>
            <w:gridSpan w:val="3"/>
          </w:tcPr>
          <w:p>
            <w:pPr>
              <w:ind w:left="260"/>
              <w:spacing w:after="0" w:line="243" w:lineRule="exact"/>
              <w:rPr>
                <w:sz w:val="20"/>
                <w:szCs w:val="20"/>
                <w:color w:val="auto"/>
              </w:rPr>
            </w:pPr>
            <w:r>
              <w:rPr>
                <w:rFonts w:ascii="Calibri" w:cs="Calibri" w:eastAsia="Calibri" w:hAnsi="Calibri"/>
                <w:sz w:val="20"/>
                <w:szCs w:val="20"/>
                <w:color w:val="auto"/>
              </w:rPr>
              <w:t>means an individual, a corporaton or a partnership. "Controls" and "Controlled" shall be</w:t>
            </w:r>
          </w:p>
        </w:tc>
      </w:tr>
      <w:tr>
        <w:trPr>
          <w:trHeight w:val="243"/>
        </w:trPr>
        <w:tc>
          <w:tcPr>
            <w:tcW w:w="2320" w:type="dxa"/>
            <w:vAlign w:val="bottom"/>
          </w:tcPr>
          <w:p>
            <w:pPr>
              <w:spacing w:after="0"/>
              <w:rPr>
                <w:sz w:val="21"/>
                <w:szCs w:val="21"/>
                <w:color w:val="auto"/>
              </w:rPr>
            </w:pPr>
          </w:p>
        </w:tc>
        <w:tc>
          <w:tcPr>
            <w:tcW w:w="6760" w:type="dxa"/>
            <w:vAlign w:val="bottom"/>
            <w:gridSpan w:val="2"/>
          </w:tcPr>
          <w:p>
            <w:pPr>
              <w:ind w:left="260"/>
              <w:spacing w:after="0" w:line="243" w:lineRule="exact"/>
              <w:rPr>
                <w:sz w:val="20"/>
                <w:szCs w:val="20"/>
                <w:color w:val="auto"/>
              </w:rPr>
            </w:pPr>
            <w:r>
              <w:rPr>
                <w:rFonts w:ascii="Calibri" w:cs="Calibri" w:eastAsia="Calibri" w:hAnsi="Calibri"/>
                <w:sz w:val="20"/>
                <w:szCs w:val="20"/>
                <w:color w:val="auto"/>
              </w:rPr>
              <w:t>interpreted accordingly;</w:t>
            </w:r>
          </w:p>
        </w:tc>
        <w:tc>
          <w:tcPr>
            <w:tcW w:w="840" w:type="dxa"/>
            <w:vAlign w:val="bottom"/>
          </w:tcPr>
          <w:p>
            <w:pPr>
              <w:spacing w:after="0"/>
              <w:rPr>
                <w:sz w:val="21"/>
                <w:szCs w:val="21"/>
                <w:color w:val="auto"/>
              </w:rPr>
            </w:pPr>
          </w:p>
        </w:tc>
      </w:tr>
      <w:tr>
        <w:trPr>
          <w:trHeight w:val="931"/>
        </w:trPr>
        <w:tc>
          <w:tcPr>
            <w:tcW w:w="2320" w:type="dxa"/>
            <w:vAlign w:val="bottom"/>
          </w:tcPr>
          <w:p>
            <w:pPr>
              <w:spacing w:after="0"/>
              <w:rPr>
                <w:sz w:val="20"/>
                <w:szCs w:val="20"/>
                <w:color w:val="auto"/>
              </w:rPr>
            </w:pPr>
            <w:r>
              <w:rPr>
                <w:rFonts w:ascii="Calibri" w:cs="Calibri" w:eastAsia="Calibri" w:hAnsi="Calibri"/>
                <w:sz w:val="20"/>
                <w:szCs w:val="20"/>
                <w:b w:val="1"/>
                <w:bCs w:val="1"/>
                <w:color w:val="auto"/>
              </w:rPr>
              <w:t>Dispute</w:t>
            </w:r>
          </w:p>
        </w:tc>
        <w:tc>
          <w:tcPr>
            <w:tcW w:w="6760" w:type="dxa"/>
            <w:vAlign w:val="bottom"/>
            <w:gridSpan w:val="2"/>
          </w:tcPr>
          <w:p>
            <w:pPr>
              <w:ind w:left="260"/>
              <w:spacing w:after="0"/>
              <w:rPr>
                <w:sz w:val="20"/>
                <w:szCs w:val="20"/>
                <w:color w:val="auto"/>
              </w:rPr>
            </w:pPr>
            <w:r>
              <w:rPr>
                <w:rFonts w:ascii="Calibri" w:cs="Calibri" w:eastAsia="Calibri" w:hAnsi="Calibri"/>
                <w:sz w:val="20"/>
                <w:szCs w:val="20"/>
                <w:color w:val="auto"/>
              </w:rPr>
              <w:t>has the meaning set out in Clause 28.1;</w:t>
            </w:r>
          </w:p>
        </w:tc>
        <w:tc>
          <w:tcPr>
            <w:tcW w:w="840" w:type="dxa"/>
            <w:vAlign w:val="bottom"/>
          </w:tcPr>
          <w:p>
            <w:pPr>
              <w:spacing w:after="0"/>
              <w:rPr>
                <w:sz w:val="24"/>
                <w:szCs w:val="24"/>
                <w:color w:val="auto"/>
              </w:rPr>
            </w:pPr>
          </w:p>
        </w:tc>
      </w:tr>
      <w:tr>
        <w:trPr>
          <w:trHeight w:val="621"/>
        </w:trPr>
        <w:tc>
          <w:tcPr>
            <w:tcW w:w="9920" w:type="dxa"/>
            <w:vAlign w:val="bottom"/>
            <w:gridSpan w:val="4"/>
          </w:tcPr>
          <w:p>
            <w:pPr>
              <w:spacing w:after="0"/>
              <w:rPr>
                <w:sz w:val="20"/>
                <w:szCs w:val="20"/>
                <w:color w:val="auto"/>
              </w:rPr>
            </w:pPr>
            <w:r>
              <w:rPr>
                <w:rFonts w:ascii="Calibri" w:cs="Calibri" w:eastAsia="Calibri" w:hAnsi="Calibri"/>
                <w:sz w:val="20"/>
                <w:szCs w:val="20"/>
                <w:b w:val="1"/>
                <w:bCs w:val="1"/>
                <w:color w:val="auto"/>
              </w:rPr>
              <w:t xml:space="preserve">Early Access Programme or   </w:t>
            </w:r>
            <w:r>
              <w:rPr>
                <w:rFonts w:ascii="Calibri" w:cs="Calibri" w:eastAsia="Calibri" w:hAnsi="Calibri"/>
                <w:sz w:val="20"/>
                <w:szCs w:val="20"/>
                <w:color w:val="auto"/>
              </w:rPr>
              <w:t>a mechanism that enables patents with an unmet medical need to be provided with</w:t>
            </w:r>
          </w:p>
        </w:tc>
      </w:tr>
      <w:tr>
        <w:trPr>
          <w:trHeight w:val="243"/>
        </w:trPr>
        <w:tc>
          <w:tcPr>
            <w:tcW w:w="2320" w:type="dxa"/>
            <w:vAlign w:val="bottom"/>
          </w:tcPr>
          <w:p>
            <w:pPr>
              <w:spacing w:after="0" w:line="243" w:lineRule="exact"/>
              <w:rPr>
                <w:sz w:val="20"/>
                <w:szCs w:val="20"/>
                <w:color w:val="auto"/>
              </w:rPr>
            </w:pPr>
            <w:r>
              <w:rPr>
                <w:rFonts w:ascii="Calibri" w:cs="Calibri" w:eastAsia="Calibri" w:hAnsi="Calibri"/>
                <w:sz w:val="20"/>
                <w:szCs w:val="20"/>
                <w:b w:val="1"/>
                <w:bCs w:val="1"/>
                <w:color w:val="auto"/>
              </w:rPr>
              <w:t>EAP</w:t>
            </w:r>
          </w:p>
        </w:tc>
        <w:tc>
          <w:tcPr>
            <w:tcW w:w="6760" w:type="dxa"/>
            <w:vAlign w:val="bottom"/>
            <w:gridSpan w:val="2"/>
          </w:tcPr>
          <w:p>
            <w:pPr>
              <w:ind w:left="260"/>
              <w:spacing w:after="0" w:line="243" w:lineRule="exact"/>
              <w:rPr>
                <w:sz w:val="20"/>
                <w:szCs w:val="20"/>
                <w:color w:val="auto"/>
              </w:rPr>
            </w:pPr>
            <w:r>
              <w:rPr>
                <w:rFonts w:ascii="Calibri" w:cs="Calibri" w:eastAsia="Calibri" w:hAnsi="Calibri"/>
                <w:sz w:val="20"/>
                <w:szCs w:val="20"/>
                <w:color w:val="auto"/>
              </w:rPr>
              <w:t>access to a medicine, prior to it being made</w:t>
            </w:r>
          </w:p>
        </w:tc>
        <w:tc>
          <w:tcPr>
            <w:tcW w:w="840" w:type="dxa"/>
            <w:vAlign w:val="bottom"/>
          </w:tcPr>
          <w:p>
            <w:pPr>
              <w:spacing w:after="0"/>
              <w:rPr>
                <w:sz w:val="21"/>
                <w:szCs w:val="21"/>
                <w:color w:val="auto"/>
              </w:rPr>
            </w:pPr>
          </w:p>
        </w:tc>
      </w:tr>
      <w:tr>
        <w:trPr>
          <w:trHeight w:val="283"/>
        </w:trPr>
        <w:tc>
          <w:tcPr>
            <w:tcW w:w="2320" w:type="dxa"/>
            <w:vAlign w:val="bottom"/>
          </w:tcPr>
          <w:p>
            <w:pPr>
              <w:spacing w:after="0"/>
              <w:rPr>
                <w:sz w:val="24"/>
                <w:szCs w:val="24"/>
                <w:color w:val="auto"/>
              </w:rPr>
            </w:pPr>
          </w:p>
        </w:tc>
        <w:tc>
          <w:tcPr>
            <w:tcW w:w="7600" w:type="dxa"/>
            <w:vAlign w:val="bottom"/>
            <w:gridSpan w:val="3"/>
          </w:tcPr>
          <w:p>
            <w:pPr>
              <w:ind w:left="260"/>
              <w:spacing w:after="0"/>
              <w:rPr>
                <w:sz w:val="20"/>
                <w:szCs w:val="20"/>
                <w:color w:val="auto"/>
              </w:rPr>
            </w:pPr>
            <w:r>
              <w:rPr>
                <w:rFonts w:ascii="Calibri" w:cs="Calibri" w:eastAsia="Calibri" w:hAnsi="Calibri"/>
                <w:sz w:val="20"/>
                <w:szCs w:val="20"/>
                <w:color w:val="auto"/>
              </w:rPr>
              <w:t>commercially available in that country. Dependent upon natonal regulaton, Early Access</w:t>
            </w:r>
          </w:p>
        </w:tc>
      </w:tr>
      <w:tr>
        <w:trPr>
          <w:trHeight w:val="243"/>
        </w:trPr>
        <w:tc>
          <w:tcPr>
            <w:tcW w:w="2320" w:type="dxa"/>
            <w:vAlign w:val="bottom"/>
          </w:tcPr>
          <w:p>
            <w:pPr>
              <w:spacing w:after="0"/>
              <w:rPr>
                <w:sz w:val="21"/>
                <w:szCs w:val="21"/>
                <w:color w:val="auto"/>
              </w:rPr>
            </w:pPr>
          </w:p>
        </w:tc>
        <w:tc>
          <w:tcPr>
            <w:tcW w:w="1320" w:type="dxa"/>
            <w:vAlign w:val="bottom"/>
          </w:tcPr>
          <w:p>
            <w:pPr>
              <w:ind w:left="260"/>
              <w:spacing w:after="0" w:line="243" w:lineRule="exact"/>
              <w:rPr>
                <w:sz w:val="20"/>
                <w:szCs w:val="20"/>
                <w:color w:val="auto"/>
              </w:rPr>
            </w:pPr>
            <w:r>
              <w:rPr>
                <w:rFonts w:ascii="Calibri" w:cs="Calibri" w:eastAsia="Calibri" w:hAnsi="Calibri"/>
                <w:sz w:val="20"/>
                <w:szCs w:val="20"/>
                <w:color w:val="auto"/>
              </w:rPr>
              <w:t>Programmes</w:t>
            </w:r>
          </w:p>
        </w:tc>
        <w:tc>
          <w:tcPr>
            <w:tcW w:w="5440" w:type="dxa"/>
            <w:vAlign w:val="bottom"/>
          </w:tcPr>
          <w:p>
            <w:pPr>
              <w:ind w:left="120"/>
              <w:spacing w:after="0" w:line="243" w:lineRule="exact"/>
              <w:rPr>
                <w:sz w:val="20"/>
                <w:szCs w:val="20"/>
                <w:color w:val="auto"/>
              </w:rPr>
            </w:pPr>
            <w:r>
              <w:rPr>
                <w:rFonts w:ascii="Calibri" w:cs="Calibri" w:eastAsia="Calibri" w:hAnsi="Calibri"/>
                <w:sz w:val="20"/>
                <w:szCs w:val="20"/>
                <w:color w:val="auto"/>
              </w:rPr>
              <w:t>may  encompass  Early  Access   to   Medicines   Schemes</w:t>
            </w:r>
          </w:p>
        </w:tc>
        <w:tc>
          <w:tcPr>
            <w:tcW w:w="840" w:type="dxa"/>
            <w:vAlign w:val="bottom"/>
          </w:tcPr>
          <w:p>
            <w:pPr>
              <w:ind w:left="160"/>
              <w:spacing w:after="0" w:line="243" w:lineRule="exact"/>
              <w:rPr>
                <w:sz w:val="20"/>
                <w:szCs w:val="20"/>
                <w:color w:val="auto"/>
              </w:rPr>
            </w:pPr>
            <w:r>
              <w:rPr>
                <w:rFonts w:ascii="Calibri" w:cs="Calibri" w:eastAsia="Calibri" w:hAnsi="Calibri"/>
                <w:sz w:val="20"/>
                <w:szCs w:val="20"/>
                <w:color w:val="auto"/>
              </w:rPr>
              <w:t>(EAMS),</w:t>
            </w:r>
          </w:p>
        </w:tc>
      </w:tr>
      <w:tr>
        <w:trPr>
          <w:trHeight w:val="243"/>
        </w:trPr>
        <w:tc>
          <w:tcPr>
            <w:tcW w:w="2320" w:type="dxa"/>
            <w:vAlign w:val="bottom"/>
          </w:tcPr>
          <w:p>
            <w:pPr>
              <w:spacing w:after="0"/>
              <w:rPr>
                <w:sz w:val="21"/>
                <w:szCs w:val="21"/>
                <w:color w:val="auto"/>
              </w:rPr>
            </w:pPr>
          </w:p>
        </w:tc>
        <w:tc>
          <w:tcPr>
            <w:tcW w:w="6760" w:type="dxa"/>
            <w:vAlign w:val="bottom"/>
            <w:gridSpan w:val="2"/>
          </w:tcPr>
          <w:p>
            <w:pPr>
              <w:ind w:left="260"/>
              <w:spacing w:after="0" w:line="243" w:lineRule="exact"/>
              <w:rPr>
                <w:sz w:val="20"/>
                <w:szCs w:val="20"/>
                <w:color w:val="auto"/>
              </w:rPr>
            </w:pPr>
            <w:r>
              <w:rPr>
                <w:rFonts w:ascii="Calibri" w:cs="Calibri" w:eastAsia="Calibri" w:hAnsi="Calibri"/>
                <w:sz w:val="20"/>
                <w:szCs w:val="20"/>
                <w:color w:val="auto"/>
              </w:rPr>
              <w:t>Authorisaton for</w:t>
            </w:r>
          </w:p>
        </w:tc>
        <w:tc>
          <w:tcPr>
            <w:tcW w:w="840" w:type="dxa"/>
            <w:vAlign w:val="bottom"/>
          </w:tcPr>
          <w:p>
            <w:pPr>
              <w:spacing w:after="0"/>
              <w:rPr>
                <w:sz w:val="21"/>
                <w:szCs w:val="21"/>
                <w:color w:val="auto"/>
              </w:rPr>
            </w:pPr>
          </w:p>
        </w:tc>
      </w:tr>
      <w:tr>
        <w:trPr>
          <w:trHeight w:val="243"/>
        </w:trPr>
        <w:tc>
          <w:tcPr>
            <w:tcW w:w="2320" w:type="dxa"/>
            <w:vAlign w:val="bottom"/>
          </w:tcPr>
          <w:p>
            <w:pPr>
              <w:spacing w:after="0"/>
              <w:rPr>
                <w:sz w:val="21"/>
                <w:szCs w:val="21"/>
                <w:color w:val="auto"/>
              </w:rPr>
            </w:pPr>
          </w:p>
        </w:tc>
        <w:tc>
          <w:tcPr>
            <w:tcW w:w="6760" w:type="dxa"/>
            <w:vAlign w:val="bottom"/>
            <w:gridSpan w:val="2"/>
          </w:tcPr>
          <w:p>
            <w:pPr>
              <w:ind w:left="260"/>
              <w:spacing w:after="0" w:line="243" w:lineRule="exact"/>
              <w:rPr>
                <w:sz w:val="20"/>
                <w:szCs w:val="20"/>
                <w:color w:val="auto"/>
              </w:rPr>
            </w:pPr>
            <w:r>
              <w:rPr>
                <w:rFonts w:ascii="Calibri" w:cs="Calibri" w:eastAsia="Calibri" w:hAnsi="Calibri"/>
                <w:sz w:val="20"/>
                <w:szCs w:val="20"/>
                <w:color w:val="auto"/>
              </w:rPr>
              <w:t>Temporary Utlisaton (ATU), Compassionate Use Programmes</w:t>
            </w:r>
          </w:p>
        </w:tc>
        <w:tc>
          <w:tcPr>
            <w:tcW w:w="840" w:type="dxa"/>
            <w:vAlign w:val="bottom"/>
          </w:tcPr>
          <w:p>
            <w:pPr>
              <w:spacing w:after="0"/>
              <w:rPr>
                <w:sz w:val="21"/>
                <w:szCs w:val="21"/>
                <w:color w:val="auto"/>
              </w:rPr>
            </w:pPr>
          </w:p>
        </w:tc>
      </w:tr>
      <w:tr>
        <w:trPr>
          <w:trHeight w:val="324"/>
        </w:trPr>
        <w:tc>
          <w:tcPr>
            <w:tcW w:w="2320" w:type="dxa"/>
            <w:vAlign w:val="bottom"/>
          </w:tcPr>
          <w:p>
            <w:pPr>
              <w:spacing w:after="0"/>
              <w:rPr>
                <w:sz w:val="24"/>
                <w:szCs w:val="24"/>
                <w:color w:val="auto"/>
              </w:rPr>
            </w:pPr>
          </w:p>
        </w:tc>
        <w:tc>
          <w:tcPr>
            <w:tcW w:w="6760" w:type="dxa"/>
            <w:vAlign w:val="bottom"/>
            <w:gridSpan w:val="2"/>
          </w:tcPr>
          <w:p>
            <w:pPr>
              <w:ind w:left="260"/>
              <w:spacing w:after="0"/>
              <w:rPr>
                <w:sz w:val="20"/>
                <w:szCs w:val="20"/>
                <w:color w:val="auto"/>
              </w:rPr>
            </w:pPr>
            <w:r>
              <w:rPr>
                <w:rFonts w:ascii="Calibri" w:cs="Calibri" w:eastAsia="Calibri" w:hAnsi="Calibri"/>
                <w:sz w:val="20"/>
                <w:szCs w:val="20"/>
                <w:color w:val="auto"/>
              </w:rPr>
              <w:t>(CUP) and Named Patent Programmes (NPP). has the meaning set out in</w:t>
            </w:r>
          </w:p>
        </w:tc>
        <w:tc>
          <w:tcPr>
            <w:tcW w:w="840" w:type="dxa"/>
            <w:vAlign w:val="bottom"/>
          </w:tcPr>
          <w:p>
            <w:pPr>
              <w:spacing w:after="0"/>
              <w:rPr>
                <w:sz w:val="24"/>
                <w:szCs w:val="24"/>
                <w:color w:val="auto"/>
              </w:rPr>
            </w:pPr>
          </w:p>
        </w:tc>
      </w:tr>
      <w:tr>
        <w:trPr>
          <w:trHeight w:val="243"/>
        </w:trPr>
        <w:tc>
          <w:tcPr>
            <w:tcW w:w="2320" w:type="dxa"/>
            <w:vAlign w:val="bottom"/>
          </w:tcPr>
          <w:p>
            <w:pPr>
              <w:spacing w:after="0"/>
              <w:rPr>
                <w:sz w:val="21"/>
                <w:szCs w:val="21"/>
                <w:color w:val="auto"/>
              </w:rPr>
            </w:pPr>
          </w:p>
        </w:tc>
        <w:tc>
          <w:tcPr>
            <w:tcW w:w="1320" w:type="dxa"/>
            <w:vAlign w:val="bottom"/>
          </w:tcPr>
          <w:p>
            <w:pPr>
              <w:ind w:left="260"/>
              <w:spacing w:after="0" w:line="243" w:lineRule="exact"/>
              <w:rPr>
                <w:sz w:val="20"/>
                <w:szCs w:val="20"/>
                <w:color w:val="auto"/>
              </w:rPr>
            </w:pPr>
            <w:r>
              <w:rPr>
                <w:rFonts w:ascii="Calibri" w:cs="Calibri" w:eastAsia="Calibri" w:hAnsi="Calibri"/>
                <w:sz w:val="20"/>
                <w:szCs w:val="20"/>
                <w:color w:val="auto"/>
              </w:rPr>
              <w:t>Clause 6.7;</w:t>
            </w:r>
          </w:p>
        </w:tc>
        <w:tc>
          <w:tcPr>
            <w:tcW w:w="54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432"/>
        </w:trPr>
        <w:tc>
          <w:tcPr>
            <w:tcW w:w="2320" w:type="dxa"/>
            <w:vAlign w:val="bottom"/>
          </w:tcPr>
          <w:p>
            <w:pPr>
              <w:spacing w:after="0"/>
              <w:rPr>
                <w:sz w:val="20"/>
                <w:szCs w:val="20"/>
                <w:color w:val="auto"/>
              </w:rPr>
            </w:pPr>
            <w:r>
              <w:rPr>
                <w:rFonts w:ascii="Calibri" w:cs="Calibri" w:eastAsia="Calibri" w:hAnsi="Calibri"/>
                <w:sz w:val="20"/>
                <w:szCs w:val="20"/>
                <w:b w:val="1"/>
                <w:bCs w:val="1"/>
                <w:color w:val="auto"/>
              </w:rPr>
              <w:t>Fixed Forecast Period</w:t>
            </w:r>
          </w:p>
        </w:tc>
        <w:tc>
          <w:tcPr>
            <w:tcW w:w="13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792"/>
        </w:trPr>
        <w:tc>
          <w:tcPr>
            <w:tcW w:w="2320" w:type="dxa"/>
            <w:vAlign w:val="bottom"/>
          </w:tcPr>
          <w:p>
            <w:pPr>
              <w:spacing w:after="0"/>
              <w:rPr>
                <w:sz w:val="20"/>
                <w:szCs w:val="20"/>
                <w:color w:val="auto"/>
              </w:rPr>
            </w:pPr>
            <w:r>
              <w:rPr>
                <w:rFonts w:ascii="Calibri" w:cs="Calibri" w:eastAsia="Calibri" w:hAnsi="Calibri"/>
                <w:sz w:val="20"/>
                <w:szCs w:val="20"/>
                <w:b w:val="1"/>
                <w:bCs w:val="1"/>
                <w:color w:val="auto"/>
              </w:rPr>
              <w:t>For-Cause Audit</w:t>
            </w:r>
          </w:p>
        </w:tc>
        <w:tc>
          <w:tcPr>
            <w:tcW w:w="6760" w:type="dxa"/>
            <w:vAlign w:val="bottom"/>
            <w:gridSpan w:val="2"/>
          </w:tcPr>
          <w:p>
            <w:pPr>
              <w:ind w:left="260"/>
              <w:spacing w:after="0"/>
              <w:rPr>
                <w:sz w:val="20"/>
                <w:szCs w:val="20"/>
                <w:color w:val="auto"/>
              </w:rPr>
            </w:pPr>
            <w:r>
              <w:rPr>
                <w:rFonts w:ascii="Calibri" w:cs="Calibri" w:eastAsia="Calibri" w:hAnsi="Calibri"/>
                <w:sz w:val="20"/>
                <w:szCs w:val="20"/>
                <w:color w:val="auto"/>
              </w:rPr>
              <w:t>an audit of manufacturing records of Kyowa Kirin or its subcontractors, and/or</w:t>
            </w:r>
          </w:p>
        </w:tc>
        <w:tc>
          <w:tcPr>
            <w:tcW w:w="840" w:type="dxa"/>
            <w:vAlign w:val="bottom"/>
          </w:tcPr>
          <w:p>
            <w:pPr>
              <w:ind w:left="80"/>
              <w:spacing w:after="0"/>
              <w:rPr>
                <w:sz w:val="20"/>
                <w:szCs w:val="20"/>
                <w:color w:val="auto"/>
              </w:rPr>
            </w:pPr>
            <w:r>
              <w:rPr>
                <w:rFonts w:ascii="Calibri" w:cs="Calibri" w:eastAsia="Calibri" w:hAnsi="Calibri"/>
                <w:sz w:val="20"/>
                <w:szCs w:val="20"/>
                <w:color w:val="auto"/>
              </w:rPr>
              <w:t>an</w:t>
            </w:r>
          </w:p>
        </w:tc>
      </w:tr>
      <w:tr>
        <w:trPr>
          <w:trHeight w:val="234"/>
        </w:trPr>
        <w:tc>
          <w:tcPr>
            <w:tcW w:w="2320" w:type="dxa"/>
            <w:vAlign w:val="bottom"/>
          </w:tcPr>
          <w:p>
            <w:pPr>
              <w:spacing w:after="0"/>
              <w:rPr>
                <w:sz w:val="20"/>
                <w:szCs w:val="20"/>
                <w:color w:val="auto"/>
              </w:rPr>
            </w:pPr>
          </w:p>
        </w:tc>
        <w:tc>
          <w:tcPr>
            <w:tcW w:w="1320" w:type="dxa"/>
            <w:vAlign w:val="bottom"/>
          </w:tcPr>
          <w:p>
            <w:pPr>
              <w:ind w:left="260"/>
              <w:spacing w:after="0" w:line="234" w:lineRule="exact"/>
              <w:rPr>
                <w:sz w:val="20"/>
                <w:szCs w:val="20"/>
                <w:color w:val="auto"/>
              </w:rPr>
            </w:pPr>
            <w:r>
              <w:rPr>
                <w:rFonts w:ascii="Calibri" w:cs="Calibri" w:eastAsia="Calibri" w:hAnsi="Calibri"/>
                <w:sz w:val="20"/>
                <w:szCs w:val="20"/>
                <w:color w:val="auto"/>
              </w:rPr>
              <w:t>inspecton</w:t>
            </w:r>
          </w:p>
        </w:tc>
        <w:tc>
          <w:tcPr>
            <w:tcW w:w="5440" w:type="dxa"/>
            <w:vAlign w:val="bottom"/>
          </w:tcPr>
          <w:p>
            <w:pPr>
              <w:ind w:left="40"/>
              <w:spacing w:after="0" w:line="234" w:lineRule="exact"/>
              <w:rPr>
                <w:sz w:val="20"/>
                <w:szCs w:val="20"/>
                <w:color w:val="auto"/>
              </w:rPr>
            </w:pPr>
            <w:r>
              <w:rPr>
                <w:rFonts w:ascii="Calibri" w:cs="Calibri" w:eastAsia="Calibri" w:hAnsi="Calibri"/>
                <w:sz w:val="20"/>
                <w:szCs w:val="20"/>
                <w:color w:val="auto"/>
              </w:rPr>
              <w:t>of  Kyowa  Kirin’s</w:t>
            </w:r>
          </w:p>
        </w:tc>
        <w:tc>
          <w:tcPr>
            <w:tcW w:w="840" w:type="dxa"/>
            <w:vAlign w:val="bottom"/>
          </w:tcPr>
          <w:p>
            <w:pPr>
              <w:spacing w:after="0"/>
              <w:rPr>
                <w:sz w:val="20"/>
                <w:szCs w:val="20"/>
                <w:color w:val="auto"/>
              </w:rPr>
            </w:pPr>
          </w:p>
        </w:tc>
      </w:tr>
    </w:tbl>
    <w:p>
      <w:pPr>
        <w:spacing w:after="0" w:line="53" w:lineRule="exact"/>
        <w:rPr>
          <w:sz w:val="20"/>
          <w:szCs w:val="20"/>
          <w:color w:val="auto"/>
        </w:rPr>
      </w:pPr>
    </w:p>
    <w:p>
      <w:pPr>
        <w:jc w:val="center"/>
        <w:ind w:right="-59"/>
        <w:spacing w:after="0"/>
        <w:rPr>
          <w:sz w:val="20"/>
          <w:szCs w:val="20"/>
          <w:color w:val="auto"/>
        </w:rPr>
      </w:pPr>
      <w:r>
        <w:rPr>
          <w:rFonts w:ascii="Calibri" w:cs="Calibri" w:eastAsia="Calibri" w:hAnsi="Calibri"/>
          <w:sz w:val="20"/>
          <w:szCs w:val="20"/>
          <w:color w:val="auto"/>
        </w:rPr>
        <w:t>manufacturing facilites, following: (a) an unfavorable critcal</w:t>
      </w:r>
    </w:p>
    <w:p>
      <w:pPr>
        <w:spacing w:after="0" w:line="36" w:lineRule="exact"/>
        <w:rPr>
          <w:sz w:val="20"/>
          <w:szCs w:val="20"/>
          <w:color w:val="auto"/>
        </w:rPr>
      </w:pPr>
    </w:p>
    <w:p>
      <w:pPr>
        <w:jc w:val="both"/>
        <w:ind w:left="2340"/>
        <w:spacing w:after="0" w:line="236" w:lineRule="auto"/>
        <w:rPr>
          <w:sz w:val="20"/>
          <w:szCs w:val="20"/>
          <w:color w:val="auto"/>
        </w:rPr>
      </w:pPr>
      <w:r>
        <w:rPr>
          <w:rFonts w:ascii="Calibri" w:cs="Calibri" w:eastAsia="Calibri" w:hAnsi="Calibri"/>
          <w:sz w:val="20"/>
          <w:szCs w:val="20"/>
          <w:color w:val="auto"/>
        </w:rPr>
        <w:t>observaton during an inspecton of a Public Authority that is potentally material to the quality of the Product or (b) a major or repeated quality excursion that may result in a failed Product batch or Product recall.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231140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60"/>
          </w:cols>
          <w:pgMar w:left="1320" w:top="1440" w:right="519" w:bottom="1440" w:gutter="0" w:footer="0" w:header="0"/>
        </w:sectPr>
      </w:pPr>
    </w:p>
    <w:bookmarkStart w:id="137" w:name="page138"/>
    <w:bookmarkEnd w:id="137"/>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500" w:type="dxa"/>
            <w:vAlign w:val="bottom"/>
          </w:tcPr>
          <w:p>
            <w:pPr>
              <w:ind w:left="1000"/>
              <w:spacing w:after="0"/>
              <w:rPr>
                <w:sz w:val="20"/>
                <w:szCs w:val="20"/>
                <w:color w:val="auto"/>
              </w:rPr>
            </w:pPr>
            <w:r>
              <w:rPr>
                <w:rFonts w:ascii="Calibri" w:cs="Calibri" w:eastAsia="Calibri" w:hAnsi="Calibri"/>
                <w:sz w:val="20"/>
                <w:szCs w:val="20"/>
                <w:b w:val="1"/>
                <w:bCs w:val="1"/>
                <w:color w:val="auto"/>
              </w:rPr>
              <w:t>Force Majeure</w:t>
            </w:r>
          </w:p>
        </w:tc>
        <w:tc>
          <w:tcPr>
            <w:tcW w:w="7740" w:type="dxa"/>
            <w:vAlign w:val="bottom"/>
          </w:tcPr>
          <w:p>
            <w:pPr>
              <w:ind w:left="80"/>
              <w:spacing w:after="0"/>
              <w:rPr>
                <w:sz w:val="20"/>
                <w:szCs w:val="20"/>
                <w:color w:val="auto"/>
              </w:rPr>
            </w:pPr>
            <w:r>
              <w:rPr>
                <w:rFonts w:ascii="Calibri" w:cs="Calibri" w:eastAsia="Calibri" w:hAnsi="Calibri"/>
                <w:sz w:val="20"/>
                <w:szCs w:val="20"/>
                <w:color w:val="auto"/>
              </w:rPr>
              <w:t>any event outside the reasonable control of either party afectng its ability to perform</w:t>
            </w:r>
          </w:p>
        </w:tc>
      </w:tr>
      <w:tr>
        <w:trPr>
          <w:trHeight w:val="243"/>
        </w:trPr>
        <w:tc>
          <w:tcPr>
            <w:tcW w:w="3500" w:type="dxa"/>
            <w:vAlign w:val="bottom"/>
          </w:tcPr>
          <w:p>
            <w:pPr>
              <w:spacing w:after="0"/>
              <w:rPr>
                <w:sz w:val="21"/>
                <w:szCs w:val="21"/>
                <w:color w:val="auto"/>
              </w:rPr>
            </w:pPr>
          </w:p>
        </w:tc>
        <w:tc>
          <w:tcPr>
            <w:tcW w:w="7740" w:type="dxa"/>
            <w:vAlign w:val="bottom"/>
          </w:tcPr>
          <w:p>
            <w:pPr>
              <w:ind w:left="80"/>
              <w:spacing w:after="0" w:line="243" w:lineRule="exact"/>
              <w:rPr>
                <w:sz w:val="20"/>
                <w:szCs w:val="20"/>
                <w:color w:val="auto"/>
              </w:rPr>
            </w:pPr>
            <w:r>
              <w:rPr>
                <w:rFonts w:ascii="Calibri" w:cs="Calibri" w:eastAsia="Calibri" w:hAnsi="Calibri"/>
                <w:sz w:val="20"/>
                <w:szCs w:val="20"/>
                <w:color w:val="auto"/>
              </w:rPr>
              <w:t>any of its obligatons (other than payment) under this Agreement including act of God,</w:t>
            </w:r>
          </w:p>
        </w:tc>
      </w:tr>
      <w:tr>
        <w:trPr>
          <w:trHeight w:val="243"/>
        </w:trPr>
        <w:tc>
          <w:tcPr>
            <w:tcW w:w="3500" w:type="dxa"/>
            <w:vAlign w:val="bottom"/>
          </w:tcPr>
          <w:p>
            <w:pPr>
              <w:spacing w:after="0"/>
              <w:rPr>
                <w:sz w:val="21"/>
                <w:szCs w:val="21"/>
                <w:color w:val="auto"/>
              </w:rPr>
            </w:pPr>
          </w:p>
        </w:tc>
        <w:tc>
          <w:tcPr>
            <w:tcW w:w="7740" w:type="dxa"/>
            <w:vAlign w:val="bottom"/>
          </w:tcPr>
          <w:p>
            <w:pPr>
              <w:ind w:left="80"/>
              <w:spacing w:after="0" w:line="243" w:lineRule="exact"/>
              <w:rPr>
                <w:sz w:val="20"/>
                <w:szCs w:val="20"/>
                <w:color w:val="auto"/>
              </w:rPr>
            </w:pPr>
            <w:r>
              <w:rPr>
                <w:rFonts w:ascii="Calibri" w:cs="Calibri" w:eastAsia="Calibri" w:hAnsi="Calibri"/>
                <w:sz w:val="20"/>
                <w:szCs w:val="20"/>
                <w:color w:val="auto"/>
              </w:rPr>
              <w:t>fre, food, lightning, war, revoluton, act of terrorism, riot, epidemic/pandemic, or civil</w:t>
            </w:r>
          </w:p>
        </w:tc>
      </w:tr>
      <w:tr>
        <w:trPr>
          <w:trHeight w:val="243"/>
        </w:trPr>
        <w:tc>
          <w:tcPr>
            <w:tcW w:w="3500" w:type="dxa"/>
            <w:vAlign w:val="bottom"/>
          </w:tcPr>
          <w:p>
            <w:pPr>
              <w:spacing w:after="0"/>
              <w:rPr>
                <w:sz w:val="21"/>
                <w:szCs w:val="21"/>
                <w:color w:val="auto"/>
              </w:rPr>
            </w:pPr>
          </w:p>
        </w:tc>
        <w:tc>
          <w:tcPr>
            <w:tcW w:w="7740" w:type="dxa"/>
            <w:vAlign w:val="bottom"/>
          </w:tcPr>
          <w:p>
            <w:pPr>
              <w:ind w:left="80"/>
              <w:spacing w:after="0" w:line="243" w:lineRule="exact"/>
              <w:rPr>
                <w:sz w:val="20"/>
                <w:szCs w:val="20"/>
                <w:color w:val="auto"/>
              </w:rPr>
            </w:pPr>
            <w:r>
              <w:rPr>
                <w:rFonts w:ascii="Calibri" w:cs="Calibri" w:eastAsia="Calibri" w:hAnsi="Calibri"/>
                <w:sz w:val="20"/>
                <w:szCs w:val="20"/>
                <w:color w:val="auto"/>
              </w:rPr>
              <w:t>commoton;</w:t>
            </w:r>
          </w:p>
        </w:tc>
      </w:tr>
      <w:tr>
        <w:trPr>
          <w:trHeight w:val="904"/>
        </w:trPr>
        <w:tc>
          <w:tcPr>
            <w:tcW w:w="3500" w:type="dxa"/>
            <w:vAlign w:val="bottom"/>
          </w:tcPr>
          <w:p>
            <w:pPr>
              <w:ind w:left="1000"/>
              <w:spacing w:after="0"/>
              <w:rPr>
                <w:sz w:val="20"/>
                <w:szCs w:val="20"/>
                <w:color w:val="auto"/>
              </w:rPr>
            </w:pPr>
            <w:r>
              <w:rPr>
                <w:rFonts w:ascii="Calibri" w:cs="Calibri" w:eastAsia="Calibri" w:hAnsi="Calibri"/>
                <w:sz w:val="20"/>
                <w:szCs w:val="20"/>
                <w:b w:val="1"/>
                <w:bCs w:val="1"/>
                <w:color w:val="auto"/>
              </w:rPr>
              <w:t>Good Distributon Practce</w:t>
            </w:r>
          </w:p>
        </w:tc>
        <w:tc>
          <w:tcPr>
            <w:tcW w:w="7740" w:type="dxa"/>
            <w:vAlign w:val="bottom"/>
          </w:tcPr>
          <w:p>
            <w:pPr>
              <w:ind w:left="80"/>
              <w:spacing w:after="0"/>
              <w:rPr>
                <w:sz w:val="20"/>
                <w:szCs w:val="20"/>
                <w:color w:val="auto"/>
              </w:rPr>
            </w:pPr>
            <w:r>
              <w:rPr>
                <w:rFonts w:ascii="Calibri" w:cs="Calibri" w:eastAsia="Calibri" w:hAnsi="Calibri"/>
                <w:sz w:val="20"/>
                <w:szCs w:val="20"/>
                <w:color w:val="auto"/>
              </w:rPr>
              <w:t>a set of criteria to be satsfed for the proper distributon of medicinal products for</w:t>
            </w:r>
          </w:p>
        </w:tc>
      </w:tr>
      <w:tr>
        <w:trPr>
          <w:trHeight w:val="243"/>
        </w:trPr>
        <w:tc>
          <w:tcPr>
            <w:tcW w:w="3500" w:type="dxa"/>
            <w:vAlign w:val="bottom"/>
          </w:tcPr>
          <w:p>
            <w:pPr>
              <w:spacing w:after="0"/>
              <w:rPr>
                <w:sz w:val="21"/>
                <w:szCs w:val="21"/>
                <w:color w:val="auto"/>
              </w:rPr>
            </w:pPr>
          </w:p>
        </w:tc>
        <w:tc>
          <w:tcPr>
            <w:tcW w:w="7740" w:type="dxa"/>
            <w:vAlign w:val="bottom"/>
          </w:tcPr>
          <w:p>
            <w:pPr>
              <w:ind w:left="80"/>
              <w:spacing w:after="0" w:line="243" w:lineRule="exact"/>
              <w:rPr>
                <w:sz w:val="20"/>
                <w:szCs w:val="20"/>
                <w:color w:val="auto"/>
              </w:rPr>
            </w:pPr>
            <w:r>
              <w:rPr>
                <w:rFonts w:ascii="Calibri" w:cs="Calibri" w:eastAsia="Calibri" w:hAnsi="Calibri"/>
                <w:sz w:val="20"/>
                <w:szCs w:val="20"/>
                <w:color w:val="auto"/>
              </w:rPr>
              <w:t>human use. It regulates the division and movement of products from the premises of the</w:t>
            </w:r>
          </w:p>
        </w:tc>
      </w:tr>
      <w:tr>
        <w:trPr>
          <w:trHeight w:val="243"/>
        </w:trPr>
        <w:tc>
          <w:tcPr>
            <w:tcW w:w="3500" w:type="dxa"/>
            <w:vAlign w:val="bottom"/>
          </w:tcPr>
          <w:p>
            <w:pPr>
              <w:spacing w:after="0"/>
              <w:rPr>
                <w:sz w:val="21"/>
                <w:szCs w:val="21"/>
                <w:color w:val="auto"/>
              </w:rPr>
            </w:pPr>
          </w:p>
        </w:tc>
        <w:tc>
          <w:tcPr>
            <w:tcW w:w="7740" w:type="dxa"/>
            <w:vAlign w:val="bottom"/>
          </w:tcPr>
          <w:p>
            <w:pPr>
              <w:ind w:left="80"/>
              <w:spacing w:after="0" w:line="243" w:lineRule="exact"/>
              <w:rPr>
                <w:sz w:val="20"/>
                <w:szCs w:val="20"/>
                <w:color w:val="auto"/>
              </w:rPr>
            </w:pPr>
            <w:r>
              <w:rPr>
                <w:rFonts w:ascii="Calibri" w:cs="Calibri" w:eastAsia="Calibri" w:hAnsi="Calibri"/>
                <w:sz w:val="20"/>
                <w:szCs w:val="20"/>
                <w:color w:val="auto"/>
              </w:rPr>
              <w:t>manufacturer or another central point, to the end user thereof, or to an intermediate</w:t>
            </w:r>
          </w:p>
        </w:tc>
      </w:tr>
      <w:tr>
        <w:trPr>
          <w:trHeight w:val="243"/>
        </w:trPr>
        <w:tc>
          <w:tcPr>
            <w:tcW w:w="3500" w:type="dxa"/>
            <w:vAlign w:val="bottom"/>
          </w:tcPr>
          <w:p>
            <w:pPr>
              <w:spacing w:after="0"/>
              <w:rPr>
                <w:sz w:val="21"/>
                <w:szCs w:val="21"/>
                <w:color w:val="auto"/>
              </w:rPr>
            </w:pPr>
          </w:p>
        </w:tc>
        <w:tc>
          <w:tcPr>
            <w:tcW w:w="7740" w:type="dxa"/>
            <w:vAlign w:val="bottom"/>
          </w:tcPr>
          <w:p>
            <w:pPr>
              <w:ind w:left="80"/>
              <w:spacing w:after="0" w:line="243" w:lineRule="exact"/>
              <w:rPr>
                <w:sz w:val="20"/>
                <w:szCs w:val="20"/>
                <w:color w:val="auto"/>
              </w:rPr>
            </w:pPr>
            <w:r>
              <w:rPr>
                <w:rFonts w:ascii="Calibri" w:cs="Calibri" w:eastAsia="Calibri" w:hAnsi="Calibri"/>
                <w:sz w:val="20"/>
                <w:szCs w:val="20"/>
                <w:color w:val="auto"/>
              </w:rPr>
              <w:t>point by means of various transport methods and also includes requirements for the</w:t>
            </w:r>
          </w:p>
        </w:tc>
      </w:tr>
      <w:tr>
        <w:trPr>
          <w:trHeight w:val="243"/>
        </w:trPr>
        <w:tc>
          <w:tcPr>
            <w:tcW w:w="3500" w:type="dxa"/>
            <w:vAlign w:val="bottom"/>
          </w:tcPr>
          <w:p>
            <w:pPr>
              <w:spacing w:after="0"/>
              <w:rPr>
                <w:sz w:val="21"/>
                <w:szCs w:val="21"/>
                <w:color w:val="auto"/>
              </w:rPr>
            </w:pPr>
          </w:p>
        </w:tc>
        <w:tc>
          <w:tcPr>
            <w:tcW w:w="7740" w:type="dxa"/>
            <w:vAlign w:val="bottom"/>
          </w:tcPr>
          <w:p>
            <w:pPr>
              <w:ind w:left="80"/>
              <w:spacing w:after="0" w:line="243" w:lineRule="exact"/>
              <w:rPr>
                <w:sz w:val="20"/>
                <w:szCs w:val="20"/>
                <w:color w:val="auto"/>
              </w:rPr>
            </w:pPr>
            <w:r>
              <w:rPr>
                <w:rFonts w:ascii="Calibri" w:cs="Calibri" w:eastAsia="Calibri" w:hAnsi="Calibri"/>
                <w:sz w:val="20"/>
                <w:szCs w:val="20"/>
                <w:color w:val="auto"/>
              </w:rPr>
              <w:t>purchase, receiving, storage, and export of drugs;</w:t>
            </w:r>
          </w:p>
        </w:tc>
      </w:tr>
      <w:tr>
        <w:trPr>
          <w:trHeight w:val="1161"/>
        </w:trPr>
        <w:tc>
          <w:tcPr>
            <w:tcW w:w="3500" w:type="dxa"/>
            <w:vAlign w:val="bottom"/>
          </w:tcPr>
          <w:p>
            <w:pPr>
              <w:ind w:left="1000"/>
              <w:spacing w:after="0"/>
              <w:rPr>
                <w:sz w:val="20"/>
                <w:szCs w:val="20"/>
                <w:color w:val="auto"/>
              </w:rPr>
            </w:pPr>
            <w:r>
              <w:rPr>
                <w:rFonts w:ascii="Calibri" w:cs="Calibri" w:eastAsia="Calibri" w:hAnsi="Calibri"/>
                <w:sz w:val="20"/>
                <w:szCs w:val="20"/>
                <w:b w:val="1"/>
                <w:bCs w:val="1"/>
                <w:color w:val="auto"/>
              </w:rPr>
              <w:t>Good Manufacturing</w:t>
            </w:r>
          </w:p>
        </w:tc>
        <w:tc>
          <w:tcPr>
            <w:tcW w:w="7740" w:type="dxa"/>
            <w:vAlign w:val="bottom"/>
          </w:tcPr>
          <w:p>
            <w:pPr>
              <w:ind w:left="80"/>
              <w:spacing w:after="0"/>
              <w:rPr>
                <w:sz w:val="20"/>
                <w:szCs w:val="20"/>
                <w:color w:val="auto"/>
              </w:rPr>
            </w:pPr>
            <w:r>
              <w:rPr>
                <w:rFonts w:ascii="Calibri" w:cs="Calibri" w:eastAsia="Calibri" w:hAnsi="Calibri"/>
                <w:sz w:val="20"/>
                <w:szCs w:val="20"/>
                <w:color w:val="auto"/>
              </w:rPr>
              <w:t>the  good  manufacturing  practces  required  by  the  United  States  Food  and  Drug</w:t>
            </w:r>
          </w:p>
        </w:tc>
      </w:tr>
      <w:tr>
        <w:trPr>
          <w:trHeight w:val="243"/>
        </w:trPr>
        <w:tc>
          <w:tcPr>
            <w:tcW w:w="3500" w:type="dxa"/>
            <w:vAlign w:val="bottom"/>
          </w:tcPr>
          <w:p>
            <w:pPr>
              <w:ind w:left="1000"/>
              <w:spacing w:after="0" w:line="243" w:lineRule="exact"/>
              <w:rPr>
                <w:sz w:val="20"/>
                <w:szCs w:val="20"/>
                <w:color w:val="auto"/>
              </w:rPr>
            </w:pPr>
            <w:r>
              <w:rPr>
                <w:rFonts w:ascii="Calibri" w:cs="Calibri" w:eastAsia="Calibri" w:hAnsi="Calibri"/>
                <w:sz w:val="20"/>
                <w:szCs w:val="20"/>
                <w:b w:val="1"/>
                <w:bCs w:val="1"/>
                <w:color w:val="auto"/>
              </w:rPr>
              <w:t>Practces</w:t>
            </w:r>
          </w:p>
        </w:tc>
        <w:tc>
          <w:tcPr>
            <w:tcW w:w="7740" w:type="dxa"/>
            <w:vAlign w:val="bottom"/>
          </w:tcPr>
          <w:p>
            <w:pPr>
              <w:ind w:left="80"/>
              <w:spacing w:after="0" w:line="243" w:lineRule="exact"/>
              <w:rPr>
                <w:sz w:val="20"/>
                <w:szCs w:val="20"/>
                <w:color w:val="auto"/>
              </w:rPr>
            </w:pPr>
            <w:r>
              <w:rPr>
                <w:rFonts w:ascii="Calibri" w:cs="Calibri" w:eastAsia="Calibri" w:hAnsi="Calibri"/>
                <w:sz w:val="20"/>
                <w:szCs w:val="20"/>
                <w:color w:val="auto"/>
              </w:rPr>
              <w:t>Administraton and as set forth in the laws and regulatons in the United States with</w:t>
            </w:r>
          </w:p>
        </w:tc>
      </w:tr>
      <w:tr>
        <w:trPr>
          <w:trHeight w:val="243"/>
        </w:trPr>
        <w:tc>
          <w:tcPr>
            <w:tcW w:w="3500" w:type="dxa"/>
            <w:vAlign w:val="bottom"/>
          </w:tcPr>
          <w:p>
            <w:pPr>
              <w:spacing w:after="0"/>
              <w:rPr>
                <w:sz w:val="21"/>
                <w:szCs w:val="21"/>
                <w:color w:val="auto"/>
              </w:rPr>
            </w:pPr>
          </w:p>
        </w:tc>
        <w:tc>
          <w:tcPr>
            <w:tcW w:w="7740" w:type="dxa"/>
            <w:vAlign w:val="bottom"/>
          </w:tcPr>
          <w:p>
            <w:pPr>
              <w:ind w:left="80"/>
              <w:spacing w:after="0" w:line="243" w:lineRule="exact"/>
              <w:rPr>
                <w:sz w:val="20"/>
                <w:szCs w:val="20"/>
                <w:color w:val="auto"/>
              </w:rPr>
            </w:pPr>
            <w:r>
              <w:rPr>
                <w:rFonts w:ascii="Calibri" w:cs="Calibri" w:eastAsia="Calibri" w:hAnsi="Calibri"/>
                <w:sz w:val="20"/>
                <w:szCs w:val="20"/>
                <w:color w:val="auto"/>
              </w:rPr>
              <w:t>respect thereto, for the manufacture and testng of pharmaceutcal materials, and</w:t>
            </w:r>
          </w:p>
        </w:tc>
      </w:tr>
      <w:tr>
        <w:trPr>
          <w:trHeight w:val="243"/>
        </w:trPr>
        <w:tc>
          <w:tcPr>
            <w:tcW w:w="3500" w:type="dxa"/>
            <w:vAlign w:val="bottom"/>
          </w:tcPr>
          <w:p>
            <w:pPr>
              <w:spacing w:after="0"/>
              <w:rPr>
                <w:sz w:val="21"/>
                <w:szCs w:val="21"/>
                <w:color w:val="auto"/>
              </w:rPr>
            </w:pPr>
          </w:p>
        </w:tc>
        <w:tc>
          <w:tcPr>
            <w:tcW w:w="7740" w:type="dxa"/>
            <w:vAlign w:val="bottom"/>
          </w:tcPr>
          <w:p>
            <w:pPr>
              <w:ind w:left="80"/>
              <w:spacing w:after="0" w:line="243" w:lineRule="exact"/>
              <w:rPr>
                <w:sz w:val="20"/>
                <w:szCs w:val="20"/>
                <w:color w:val="auto"/>
              </w:rPr>
            </w:pPr>
            <w:r>
              <w:rPr>
                <w:rFonts w:ascii="Calibri" w:cs="Calibri" w:eastAsia="Calibri" w:hAnsi="Calibri"/>
                <w:sz w:val="20"/>
                <w:szCs w:val="20"/>
                <w:color w:val="auto"/>
              </w:rPr>
              <w:t>comparable Applicable Laws and requirements of Regulatory Authorites applicable to</w:t>
            </w:r>
          </w:p>
        </w:tc>
      </w:tr>
      <w:tr>
        <w:trPr>
          <w:trHeight w:val="243"/>
        </w:trPr>
        <w:tc>
          <w:tcPr>
            <w:tcW w:w="3500" w:type="dxa"/>
            <w:vAlign w:val="bottom"/>
          </w:tcPr>
          <w:p>
            <w:pPr>
              <w:spacing w:after="0"/>
              <w:rPr>
                <w:sz w:val="21"/>
                <w:szCs w:val="21"/>
                <w:color w:val="auto"/>
              </w:rPr>
            </w:pPr>
          </w:p>
        </w:tc>
        <w:tc>
          <w:tcPr>
            <w:tcW w:w="7740" w:type="dxa"/>
            <w:vAlign w:val="bottom"/>
          </w:tcPr>
          <w:p>
            <w:pPr>
              <w:ind w:left="80"/>
              <w:spacing w:after="0" w:line="243" w:lineRule="exact"/>
              <w:rPr>
                <w:sz w:val="20"/>
                <w:szCs w:val="20"/>
                <w:color w:val="auto"/>
              </w:rPr>
            </w:pPr>
            <w:r>
              <w:rPr>
                <w:rFonts w:ascii="Calibri" w:cs="Calibri" w:eastAsia="Calibri" w:hAnsi="Calibri"/>
                <w:sz w:val="20"/>
                <w:szCs w:val="20"/>
                <w:color w:val="auto"/>
              </w:rPr>
              <w:t>the manufacture and testng of pharmaceutcal materials in jurisdictons within the</w:t>
            </w:r>
          </w:p>
        </w:tc>
      </w:tr>
      <w:tr>
        <w:trPr>
          <w:trHeight w:val="243"/>
        </w:trPr>
        <w:tc>
          <w:tcPr>
            <w:tcW w:w="3500" w:type="dxa"/>
            <w:vAlign w:val="bottom"/>
          </w:tcPr>
          <w:p>
            <w:pPr>
              <w:spacing w:after="0"/>
              <w:rPr>
                <w:sz w:val="21"/>
                <w:szCs w:val="21"/>
                <w:color w:val="auto"/>
              </w:rPr>
            </w:pPr>
          </w:p>
        </w:tc>
        <w:tc>
          <w:tcPr>
            <w:tcW w:w="7740" w:type="dxa"/>
            <w:vAlign w:val="bottom"/>
          </w:tcPr>
          <w:p>
            <w:pPr>
              <w:ind w:left="80"/>
              <w:spacing w:after="0" w:line="243" w:lineRule="exact"/>
              <w:rPr>
                <w:sz w:val="20"/>
                <w:szCs w:val="20"/>
                <w:color w:val="auto"/>
              </w:rPr>
            </w:pPr>
            <w:r>
              <w:rPr>
                <w:rFonts w:ascii="Calibri" w:cs="Calibri" w:eastAsia="Calibri" w:hAnsi="Calibri"/>
                <w:sz w:val="20"/>
                <w:szCs w:val="20"/>
                <w:color w:val="auto"/>
              </w:rPr>
              <w:t>Territory, as they may be updated from tme to tme, including applicable rules and</w:t>
            </w:r>
          </w:p>
        </w:tc>
      </w:tr>
      <w:tr>
        <w:trPr>
          <w:trHeight w:val="243"/>
        </w:trPr>
        <w:tc>
          <w:tcPr>
            <w:tcW w:w="3500" w:type="dxa"/>
            <w:vAlign w:val="bottom"/>
          </w:tcPr>
          <w:p>
            <w:pPr>
              <w:spacing w:after="0"/>
              <w:rPr>
                <w:sz w:val="21"/>
                <w:szCs w:val="21"/>
                <w:color w:val="auto"/>
              </w:rPr>
            </w:pPr>
          </w:p>
        </w:tc>
        <w:tc>
          <w:tcPr>
            <w:tcW w:w="7740" w:type="dxa"/>
            <w:vAlign w:val="bottom"/>
          </w:tcPr>
          <w:p>
            <w:pPr>
              <w:ind w:left="80"/>
              <w:spacing w:after="0" w:line="243" w:lineRule="exact"/>
              <w:rPr>
                <w:sz w:val="20"/>
                <w:szCs w:val="20"/>
                <w:color w:val="auto"/>
              </w:rPr>
            </w:pPr>
            <w:r>
              <w:rPr>
                <w:rFonts w:ascii="Calibri" w:cs="Calibri" w:eastAsia="Calibri" w:hAnsi="Calibri"/>
                <w:sz w:val="20"/>
                <w:szCs w:val="20"/>
                <w:color w:val="auto"/>
              </w:rPr>
              <w:t>guidelines promulgated under the Internatonal Conference on Harmonizaton;</w:t>
            </w:r>
          </w:p>
        </w:tc>
      </w:tr>
      <w:tr>
        <w:trPr>
          <w:trHeight w:val="1444"/>
        </w:trPr>
        <w:tc>
          <w:tcPr>
            <w:tcW w:w="3500" w:type="dxa"/>
            <w:vAlign w:val="bottom"/>
          </w:tcPr>
          <w:p>
            <w:pPr>
              <w:ind w:left="1000"/>
              <w:spacing w:after="0"/>
              <w:rPr>
                <w:sz w:val="20"/>
                <w:szCs w:val="20"/>
                <w:color w:val="auto"/>
              </w:rPr>
            </w:pPr>
            <w:r>
              <w:rPr>
                <w:rFonts w:ascii="Calibri" w:cs="Calibri" w:eastAsia="Calibri" w:hAnsi="Calibri"/>
                <w:sz w:val="20"/>
                <w:szCs w:val="20"/>
                <w:b w:val="1"/>
                <w:bCs w:val="1"/>
                <w:color w:val="auto"/>
              </w:rPr>
              <w:t>Government Ofcial</w:t>
            </w:r>
          </w:p>
        </w:tc>
        <w:tc>
          <w:tcPr>
            <w:tcW w:w="7740" w:type="dxa"/>
            <w:vAlign w:val="bottom"/>
          </w:tcPr>
          <w:p>
            <w:pPr>
              <w:ind w:left="80"/>
              <w:spacing w:after="0"/>
              <w:rPr>
                <w:sz w:val="20"/>
                <w:szCs w:val="20"/>
                <w:color w:val="auto"/>
              </w:rPr>
            </w:pPr>
            <w:r>
              <w:rPr>
                <w:rFonts w:ascii="Calibri" w:cs="Calibri" w:eastAsia="Calibri" w:hAnsi="Calibri"/>
                <w:sz w:val="20"/>
                <w:szCs w:val="20"/>
                <w:color w:val="auto"/>
              </w:rPr>
              <w:t>any ofcer, employee, agent or representatve of any Public Authority (including any</w:t>
            </w:r>
          </w:p>
        </w:tc>
      </w:tr>
      <w:tr>
        <w:trPr>
          <w:trHeight w:val="243"/>
        </w:trPr>
        <w:tc>
          <w:tcPr>
            <w:tcW w:w="3500" w:type="dxa"/>
            <w:vAlign w:val="bottom"/>
          </w:tcPr>
          <w:p>
            <w:pPr>
              <w:spacing w:after="0"/>
              <w:rPr>
                <w:sz w:val="21"/>
                <w:szCs w:val="21"/>
                <w:color w:val="auto"/>
              </w:rPr>
            </w:pPr>
          </w:p>
        </w:tc>
        <w:tc>
          <w:tcPr>
            <w:tcW w:w="7740" w:type="dxa"/>
            <w:vAlign w:val="bottom"/>
          </w:tcPr>
          <w:p>
            <w:pPr>
              <w:ind w:left="80"/>
              <w:spacing w:after="0" w:line="243" w:lineRule="exact"/>
              <w:rPr>
                <w:sz w:val="20"/>
                <w:szCs w:val="20"/>
                <w:color w:val="auto"/>
              </w:rPr>
            </w:pPr>
            <w:r>
              <w:rPr>
                <w:rFonts w:ascii="Calibri" w:cs="Calibri" w:eastAsia="Calibri" w:hAnsi="Calibri"/>
                <w:sz w:val="20"/>
                <w:szCs w:val="20"/>
                <w:color w:val="auto"/>
              </w:rPr>
              <w:t>medical care provider controlled or funded in whole or in part by any Public Authority) or</w:t>
            </w:r>
          </w:p>
        </w:tc>
      </w:tr>
      <w:tr>
        <w:trPr>
          <w:trHeight w:val="243"/>
        </w:trPr>
        <w:tc>
          <w:tcPr>
            <w:tcW w:w="3500" w:type="dxa"/>
            <w:vAlign w:val="bottom"/>
          </w:tcPr>
          <w:p>
            <w:pPr>
              <w:spacing w:after="0"/>
              <w:rPr>
                <w:sz w:val="21"/>
                <w:szCs w:val="21"/>
                <w:color w:val="auto"/>
              </w:rPr>
            </w:pPr>
          </w:p>
        </w:tc>
        <w:tc>
          <w:tcPr>
            <w:tcW w:w="7740" w:type="dxa"/>
            <w:vAlign w:val="bottom"/>
          </w:tcPr>
          <w:p>
            <w:pPr>
              <w:ind w:left="80"/>
              <w:spacing w:after="0" w:line="243" w:lineRule="exact"/>
              <w:rPr>
                <w:sz w:val="20"/>
                <w:szCs w:val="20"/>
                <w:color w:val="auto"/>
              </w:rPr>
            </w:pPr>
            <w:r>
              <w:rPr>
                <w:rFonts w:ascii="Calibri" w:cs="Calibri" w:eastAsia="Calibri" w:hAnsi="Calibri"/>
                <w:sz w:val="20"/>
                <w:szCs w:val="20"/>
                <w:color w:val="auto"/>
              </w:rPr>
              <w:t>any politcal party, politcal party ofcial or candidate for politcal ofce;</w:t>
            </w:r>
          </w:p>
        </w:tc>
      </w:tr>
      <w:tr>
        <w:trPr>
          <w:trHeight w:val="905"/>
        </w:trPr>
        <w:tc>
          <w:tcPr>
            <w:tcW w:w="3500" w:type="dxa"/>
            <w:vAlign w:val="bottom"/>
          </w:tcPr>
          <w:p>
            <w:pPr>
              <w:ind w:left="1000"/>
              <w:spacing w:after="0"/>
              <w:rPr>
                <w:sz w:val="20"/>
                <w:szCs w:val="20"/>
                <w:color w:val="auto"/>
              </w:rPr>
            </w:pPr>
            <w:r>
              <w:rPr>
                <w:rFonts w:ascii="Calibri" w:cs="Calibri" w:eastAsia="Calibri" w:hAnsi="Calibri"/>
                <w:sz w:val="20"/>
                <w:szCs w:val="20"/>
                <w:b w:val="1"/>
                <w:bCs w:val="1"/>
                <w:color w:val="auto"/>
              </w:rPr>
              <w:t>Healthcare Provider</w:t>
            </w:r>
          </w:p>
        </w:tc>
        <w:tc>
          <w:tcPr>
            <w:tcW w:w="7740" w:type="dxa"/>
            <w:vAlign w:val="bottom"/>
          </w:tcPr>
          <w:p>
            <w:pPr>
              <w:ind w:left="80"/>
              <w:spacing w:after="0"/>
              <w:rPr>
                <w:sz w:val="20"/>
                <w:szCs w:val="20"/>
                <w:color w:val="auto"/>
              </w:rPr>
            </w:pPr>
            <w:r>
              <w:rPr>
                <w:rFonts w:ascii="Calibri" w:cs="Calibri" w:eastAsia="Calibri" w:hAnsi="Calibri"/>
                <w:sz w:val="20"/>
                <w:szCs w:val="20"/>
                <w:color w:val="auto"/>
              </w:rPr>
              <w:t>an individual physician or other medical professional, a healthcare insttuton, or an</w:t>
            </w:r>
          </w:p>
        </w:tc>
      </w:tr>
      <w:tr>
        <w:trPr>
          <w:trHeight w:val="243"/>
        </w:trPr>
        <w:tc>
          <w:tcPr>
            <w:tcW w:w="3500" w:type="dxa"/>
            <w:vAlign w:val="bottom"/>
          </w:tcPr>
          <w:p>
            <w:pPr>
              <w:spacing w:after="0"/>
              <w:rPr>
                <w:sz w:val="21"/>
                <w:szCs w:val="21"/>
                <w:color w:val="auto"/>
              </w:rPr>
            </w:pPr>
          </w:p>
        </w:tc>
        <w:tc>
          <w:tcPr>
            <w:tcW w:w="7740" w:type="dxa"/>
            <w:vAlign w:val="bottom"/>
          </w:tcPr>
          <w:p>
            <w:pPr>
              <w:ind w:left="80"/>
              <w:spacing w:after="0" w:line="243" w:lineRule="exact"/>
              <w:rPr>
                <w:sz w:val="20"/>
                <w:szCs w:val="20"/>
                <w:color w:val="auto"/>
              </w:rPr>
            </w:pPr>
            <w:r>
              <w:rPr>
                <w:rFonts w:ascii="Calibri" w:cs="Calibri" w:eastAsia="Calibri" w:hAnsi="Calibri"/>
                <w:sz w:val="20"/>
                <w:szCs w:val="20"/>
                <w:color w:val="auto"/>
              </w:rPr>
              <w:t>administrator or any other person afliated with a healthcare insttuton who may have</w:t>
            </w:r>
          </w:p>
        </w:tc>
      </w:tr>
      <w:tr>
        <w:trPr>
          <w:trHeight w:val="243"/>
        </w:trPr>
        <w:tc>
          <w:tcPr>
            <w:tcW w:w="3500" w:type="dxa"/>
            <w:vAlign w:val="bottom"/>
          </w:tcPr>
          <w:p>
            <w:pPr>
              <w:spacing w:after="0"/>
              <w:rPr>
                <w:sz w:val="21"/>
                <w:szCs w:val="21"/>
                <w:color w:val="auto"/>
              </w:rPr>
            </w:pPr>
          </w:p>
        </w:tc>
        <w:tc>
          <w:tcPr>
            <w:tcW w:w="7740" w:type="dxa"/>
            <w:vAlign w:val="bottom"/>
          </w:tcPr>
          <w:p>
            <w:pPr>
              <w:ind w:left="80"/>
              <w:spacing w:after="0" w:line="243" w:lineRule="exact"/>
              <w:rPr>
                <w:sz w:val="20"/>
                <w:szCs w:val="20"/>
                <w:color w:val="auto"/>
              </w:rPr>
            </w:pPr>
            <w:r>
              <w:rPr>
                <w:rFonts w:ascii="Calibri" w:cs="Calibri" w:eastAsia="Calibri" w:hAnsi="Calibri"/>
                <w:sz w:val="20"/>
                <w:szCs w:val="20"/>
                <w:color w:val="auto"/>
              </w:rPr>
              <w:t>infuence on the decision to purchase, prescribe or use a Product;</w:t>
            </w:r>
          </w:p>
        </w:tc>
      </w:tr>
      <w:tr>
        <w:trPr>
          <w:trHeight w:val="905"/>
        </w:trPr>
        <w:tc>
          <w:tcPr>
            <w:tcW w:w="3500" w:type="dxa"/>
            <w:vAlign w:val="bottom"/>
          </w:tcPr>
          <w:p>
            <w:pPr>
              <w:ind w:left="1000"/>
              <w:spacing w:after="0"/>
              <w:rPr>
                <w:sz w:val="20"/>
                <w:szCs w:val="20"/>
                <w:color w:val="auto"/>
              </w:rPr>
            </w:pPr>
            <w:r>
              <w:rPr>
                <w:rFonts w:ascii="Calibri" w:cs="Calibri" w:eastAsia="Calibri" w:hAnsi="Calibri"/>
                <w:sz w:val="20"/>
                <w:szCs w:val="20"/>
                <w:b w:val="1"/>
                <w:bCs w:val="1"/>
                <w:color w:val="auto"/>
              </w:rPr>
              <w:t>Health Registraton Approval</w:t>
            </w:r>
          </w:p>
        </w:tc>
        <w:tc>
          <w:tcPr>
            <w:tcW w:w="7740" w:type="dxa"/>
            <w:vAlign w:val="bottom"/>
          </w:tcPr>
          <w:p>
            <w:pPr>
              <w:ind w:left="80"/>
              <w:spacing w:after="0"/>
              <w:rPr>
                <w:sz w:val="20"/>
                <w:szCs w:val="20"/>
                <w:color w:val="auto"/>
              </w:rPr>
            </w:pPr>
            <w:r>
              <w:rPr>
                <w:rFonts w:ascii="Calibri" w:cs="Calibri" w:eastAsia="Calibri" w:hAnsi="Calibri"/>
                <w:sz w:val="20"/>
                <w:szCs w:val="20"/>
                <w:color w:val="auto"/>
              </w:rPr>
              <w:t>any and all approvals, licences, registratons or authorisatons necessary to import, store,</w:t>
            </w:r>
          </w:p>
        </w:tc>
      </w:tr>
      <w:tr>
        <w:trPr>
          <w:trHeight w:val="243"/>
        </w:trPr>
        <w:tc>
          <w:tcPr>
            <w:tcW w:w="3500" w:type="dxa"/>
            <w:vAlign w:val="bottom"/>
          </w:tcPr>
          <w:p>
            <w:pPr>
              <w:spacing w:after="0"/>
              <w:rPr>
                <w:sz w:val="21"/>
                <w:szCs w:val="21"/>
                <w:color w:val="auto"/>
              </w:rPr>
            </w:pPr>
          </w:p>
        </w:tc>
        <w:tc>
          <w:tcPr>
            <w:tcW w:w="7740" w:type="dxa"/>
            <w:vAlign w:val="bottom"/>
          </w:tcPr>
          <w:p>
            <w:pPr>
              <w:ind w:left="80"/>
              <w:spacing w:after="0" w:line="243" w:lineRule="exact"/>
              <w:rPr>
                <w:sz w:val="20"/>
                <w:szCs w:val="20"/>
                <w:color w:val="auto"/>
              </w:rPr>
            </w:pPr>
            <w:r>
              <w:rPr>
                <w:rFonts w:ascii="Calibri" w:cs="Calibri" w:eastAsia="Calibri" w:hAnsi="Calibri"/>
                <w:sz w:val="20"/>
                <w:szCs w:val="20"/>
                <w:color w:val="auto"/>
              </w:rPr>
              <w:t>commercially distribute, sell and market the Product in the Territory, including, where</w:t>
            </w:r>
          </w:p>
        </w:tc>
      </w:tr>
      <w:tr>
        <w:trPr>
          <w:trHeight w:val="243"/>
        </w:trPr>
        <w:tc>
          <w:tcPr>
            <w:tcW w:w="3500" w:type="dxa"/>
            <w:vAlign w:val="bottom"/>
          </w:tcPr>
          <w:p>
            <w:pPr>
              <w:spacing w:after="0"/>
              <w:rPr>
                <w:sz w:val="21"/>
                <w:szCs w:val="21"/>
                <w:color w:val="auto"/>
              </w:rPr>
            </w:pPr>
          </w:p>
        </w:tc>
        <w:tc>
          <w:tcPr>
            <w:tcW w:w="7740" w:type="dxa"/>
            <w:vAlign w:val="bottom"/>
          </w:tcPr>
          <w:p>
            <w:pPr>
              <w:ind w:left="80"/>
              <w:spacing w:after="0" w:line="243" w:lineRule="exact"/>
              <w:rPr>
                <w:sz w:val="20"/>
                <w:szCs w:val="20"/>
                <w:color w:val="auto"/>
              </w:rPr>
            </w:pPr>
            <w:r>
              <w:rPr>
                <w:rFonts w:ascii="Calibri" w:cs="Calibri" w:eastAsia="Calibri" w:hAnsi="Calibri"/>
                <w:sz w:val="20"/>
                <w:szCs w:val="20"/>
                <w:color w:val="auto"/>
              </w:rPr>
              <w:t>applicable,</w:t>
            </w:r>
          </w:p>
        </w:tc>
      </w:tr>
      <w:tr>
        <w:trPr>
          <w:trHeight w:val="243"/>
        </w:trPr>
        <w:tc>
          <w:tcPr>
            <w:tcW w:w="3500" w:type="dxa"/>
            <w:vAlign w:val="bottom"/>
          </w:tcPr>
          <w:p>
            <w:pPr>
              <w:spacing w:after="0"/>
              <w:rPr>
                <w:sz w:val="21"/>
                <w:szCs w:val="21"/>
                <w:color w:val="auto"/>
              </w:rPr>
            </w:pPr>
          </w:p>
        </w:tc>
        <w:tc>
          <w:tcPr>
            <w:tcW w:w="7740" w:type="dxa"/>
            <w:vAlign w:val="bottom"/>
          </w:tcPr>
          <w:p>
            <w:pPr>
              <w:ind w:left="80"/>
              <w:spacing w:after="0" w:line="243" w:lineRule="exact"/>
              <w:rPr>
                <w:sz w:val="20"/>
                <w:szCs w:val="20"/>
                <w:color w:val="auto"/>
              </w:rPr>
            </w:pPr>
            <w:r>
              <w:rPr>
                <w:rFonts w:ascii="Calibri" w:cs="Calibri" w:eastAsia="Calibri" w:hAnsi="Calibri"/>
                <w:sz w:val="20"/>
                <w:szCs w:val="20"/>
                <w:color w:val="auto"/>
              </w:rPr>
              <w:t>(a) the MA, (b) pricing or reimbursement approval, and (c) labelling approval;</w:t>
            </w:r>
          </w:p>
        </w:tc>
      </w:tr>
      <w:tr>
        <w:trPr>
          <w:trHeight w:val="918"/>
        </w:trPr>
        <w:tc>
          <w:tcPr>
            <w:tcW w:w="3500" w:type="dxa"/>
            <w:vAlign w:val="bottom"/>
          </w:tcPr>
          <w:p>
            <w:pPr>
              <w:ind w:left="1000"/>
              <w:spacing w:after="0"/>
              <w:rPr>
                <w:sz w:val="20"/>
                <w:szCs w:val="20"/>
                <w:color w:val="auto"/>
              </w:rPr>
            </w:pPr>
            <w:r>
              <w:rPr>
                <w:rFonts w:ascii="Calibri" w:cs="Calibri" w:eastAsia="Calibri" w:hAnsi="Calibri"/>
                <w:sz w:val="20"/>
                <w:szCs w:val="20"/>
                <w:b w:val="1"/>
                <w:bCs w:val="1"/>
                <w:color w:val="auto"/>
              </w:rPr>
              <w:t>ICC</w:t>
            </w:r>
          </w:p>
        </w:tc>
        <w:tc>
          <w:tcPr>
            <w:tcW w:w="7740" w:type="dxa"/>
            <w:vAlign w:val="bottom"/>
          </w:tcPr>
          <w:p>
            <w:pPr>
              <w:ind w:left="80"/>
              <w:spacing w:after="0"/>
              <w:rPr>
                <w:sz w:val="20"/>
                <w:szCs w:val="20"/>
                <w:color w:val="auto"/>
              </w:rPr>
            </w:pPr>
            <w:r>
              <w:rPr>
                <w:rFonts w:ascii="Calibri" w:cs="Calibri" w:eastAsia="Calibri" w:hAnsi="Calibri"/>
                <w:sz w:val="20"/>
                <w:szCs w:val="20"/>
                <w:color w:val="auto"/>
              </w:rPr>
              <w:t>has the meaning set out in Clause 28.3;</w:t>
            </w:r>
          </w:p>
        </w:tc>
      </w:tr>
      <w:tr>
        <w:trPr>
          <w:trHeight w:val="634"/>
        </w:trPr>
        <w:tc>
          <w:tcPr>
            <w:tcW w:w="3500" w:type="dxa"/>
            <w:vAlign w:val="bottom"/>
          </w:tcPr>
          <w:p>
            <w:pPr>
              <w:ind w:left="1000"/>
              <w:spacing w:after="0"/>
              <w:rPr>
                <w:sz w:val="20"/>
                <w:szCs w:val="20"/>
                <w:color w:val="auto"/>
              </w:rPr>
            </w:pPr>
            <w:r>
              <w:rPr>
                <w:rFonts w:ascii="Calibri" w:cs="Calibri" w:eastAsia="Calibri" w:hAnsi="Calibri"/>
                <w:sz w:val="20"/>
                <w:szCs w:val="20"/>
                <w:b w:val="1"/>
                <w:bCs w:val="1"/>
                <w:color w:val="auto"/>
              </w:rPr>
              <w:t>Insolvency Event</w:t>
            </w:r>
          </w:p>
        </w:tc>
        <w:tc>
          <w:tcPr>
            <w:tcW w:w="7740" w:type="dxa"/>
            <w:vAlign w:val="bottom"/>
          </w:tcPr>
          <w:p>
            <w:pPr>
              <w:ind w:left="80"/>
              <w:spacing w:after="0"/>
              <w:rPr>
                <w:sz w:val="20"/>
                <w:szCs w:val="20"/>
                <w:color w:val="auto"/>
              </w:rPr>
            </w:pPr>
            <w:r>
              <w:rPr>
                <w:rFonts w:ascii="Calibri" w:cs="Calibri" w:eastAsia="Calibri" w:hAnsi="Calibri"/>
                <w:sz w:val="20"/>
                <w:szCs w:val="20"/>
                <w:color w:val="auto"/>
              </w:rPr>
              <w:t>where a party:</w:t>
            </w:r>
          </w:p>
        </w:tc>
      </w:tr>
      <w:tr>
        <w:trPr>
          <w:trHeight w:val="621"/>
        </w:trPr>
        <w:tc>
          <w:tcPr>
            <w:tcW w:w="3500" w:type="dxa"/>
            <w:vAlign w:val="bottom"/>
            <w:tcBorders>
              <w:bottom w:val="single" w:sz="8" w:color="9A9A9A"/>
            </w:tcBorders>
          </w:tcPr>
          <w:p>
            <w:pPr>
              <w:spacing w:after="0"/>
              <w:rPr>
                <w:sz w:val="24"/>
                <w:szCs w:val="24"/>
                <w:color w:val="auto"/>
              </w:rPr>
            </w:pPr>
          </w:p>
        </w:tc>
        <w:tc>
          <w:tcPr>
            <w:tcW w:w="7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29" w:lineRule="exact"/>
        <w:rPr>
          <w:sz w:val="20"/>
          <w:szCs w:val="20"/>
          <w:color w:val="auto"/>
        </w:rPr>
      </w:pPr>
    </w:p>
    <w:p>
      <w:pPr>
        <w:ind w:left="3500" w:hanging="502"/>
        <w:spacing w:after="0"/>
        <w:tabs>
          <w:tab w:leader="none" w:pos="3500" w:val="left"/>
        </w:tabs>
        <w:numPr>
          <w:ilvl w:val="0"/>
          <w:numId w:val="75"/>
        </w:numPr>
        <w:rPr>
          <w:rFonts w:ascii="Arial" w:cs="Arial" w:eastAsia="Arial" w:hAnsi="Arial"/>
          <w:sz w:val="20"/>
          <w:szCs w:val="20"/>
          <w:color w:val="auto"/>
        </w:rPr>
      </w:pPr>
      <w:r>
        <w:rPr>
          <w:rFonts w:ascii="Calibri" w:cs="Calibri" w:eastAsia="Calibri" w:hAnsi="Calibri"/>
          <w:sz w:val="20"/>
          <w:szCs w:val="20"/>
          <w:color w:val="auto"/>
        </w:rPr>
        <w:t>fles for protecton under bankruptcy or insolvency laws;</w:t>
      </w:r>
    </w:p>
    <w:p>
      <w:pPr>
        <w:spacing w:after="0" w:line="228" w:lineRule="exact"/>
        <w:rPr>
          <w:rFonts w:ascii="Arial" w:cs="Arial" w:eastAsia="Arial" w:hAnsi="Arial"/>
          <w:sz w:val="20"/>
          <w:szCs w:val="20"/>
          <w:color w:val="auto"/>
        </w:rPr>
      </w:pPr>
    </w:p>
    <w:p>
      <w:pPr>
        <w:ind w:left="3480" w:hanging="482"/>
        <w:spacing w:after="0"/>
        <w:tabs>
          <w:tab w:leader="none" w:pos="3480" w:val="left"/>
        </w:tabs>
        <w:numPr>
          <w:ilvl w:val="0"/>
          <w:numId w:val="75"/>
        </w:numPr>
        <w:rPr>
          <w:rFonts w:ascii="Arial" w:cs="Arial" w:eastAsia="Arial" w:hAnsi="Arial"/>
          <w:sz w:val="20"/>
          <w:szCs w:val="20"/>
          <w:color w:val="auto"/>
        </w:rPr>
      </w:pPr>
      <w:r>
        <w:rPr>
          <w:rFonts w:ascii="Calibri" w:cs="Calibri" w:eastAsia="Calibri" w:hAnsi="Calibri"/>
          <w:sz w:val="20"/>
          <w:szCs w:val="20"/>
          <w:color w:val="auto"/>
        </w:rPr>
        <w:t>makes an assignment for the beneft of creditors;</w:t>
      </w:r>
    </w:p>
    <w:p>
      <w:pPr>
        <w:spacing w:after="0" w:line="238" w:lineRule="exact"/>
        <w:rPr>
          <w:rFonts w:ascii="Arial" w:cs="Arial" w:eastAsia="Arial" w:hAnsi="Arial"/>
          <w:sz w:val="20"/>
          <w:szCs w:val="20"/>
          <w:color w:val="auto"/>
        </w:rPr>
      </w:pPr>
    </w:p>
    <w:p>
      <w:pPr>
        <w:jc w:val="both"/>
        <w:ind w:left="3500" w:hanging="502"/>
        <w:spacing w:after="0" w:line="236" w:lineRule="auto"/>
        <w:tabs>
          <w:tab w:leader="none" w:pos="3500" w:val="left"/>
        </w:tabs>
        <w:numPr>
          <w:ilvl w:val="0"/>
          <w:numId w:val="75"/>
        </w:numPr>
        <w:rPr>
          <w:rFonts w:ascii="Arial" w:cs="Arial" w:eastAsia="Arial" w:hAnsi="Arial"/>
          <w:sz w:val="20"/>
          <w:szCs w:val="20"/>
          <w:color w:val="auto"/>
        </w:rPr>
      </w:pPr>
      <w:r>
        <w:rPr>
          <w:rFonts w:ascii="Calibri" w:cs="Calibri" w:eastAsia="Calibri" w:hAnsi="Calibri"/>
          <w:sz w:val="20"/>
          <w:szCs w:val="20"/>
          <w:color w:val="auto"/>
        </w:rPr>
        <w:t>appoints or sufers appointment of a receiver or an administratve receiver of, or an encumbrancer taking possession of or selling, the whole of or any part of the entty’s undertaking, assets, rights or revenue;</w:t>
      </w:r>
    </w:p>
    <w:p>
      <w:pPr>
        <w:spacing w:after="0" w:line="228" w:lineRule="exact"/>
        <w:rPr>
          <w:rFonts w:ascii="Arial" w:cs="Arial" w:eastAsia="Arial" w:hAnsi="Arial"/>
          <w:sz w:val="20"/>
          <w:szCs w:val="20"/>
          <w:color w:val="auto"/>
        </w:rPr>
      </w:pPr>
    </w:p>
    <w:p>
      <w:pPr>
        <w:ind w:left="3500" w:hanging="502"/>
        <w:spacing w:after="0"/>
        <w:tabs>
          <w:tab w:leader="none" w:pos="3500" w:val="left"/>
        </w:tabs>
        <w:numPr>
          <w:ilvl w:val="0"/>
          <w:numId w:val="75"/>
        </w:numPr>
        <w:rPr>
          <w:rFonts w:ascii="Arial" w:cs="Arial" w:eastAsia="Arial" w:hAnsi="Arial"/>
          <w:sz w:val="20"/>
          <w:szCs w:val="20"/>
          <w:color w:val="auto"/>
        </w:rPr>
      </w:pPr>
      <w:r>
        <w:rPr>
          <w:rFonts w:ascii="Calibri" w:cs="Calibri" w:eastAsia="Calibri" w:hAnsi="Calibri"/>
          <w:sz w:val="20"/>
          <w:szCs w:val="20"/>
          <w:color w:val="auto"/>
        </w:rPr>
        <w:t>proposes a writen agreement of compositon or extension of its debts;</w:t>
      </w:r>
    </w:p>
    <w:p>
      <w:pPr>
        <w:spacing w:after="0" w:line="228" w:lineRule="exact"/>
        <w:rPr>
          <w:rFonts w:ascii="Arial" w:cs="Arial" w:eastAsia="Arial" w:hAnsi="Arial"/>
          <w:sz w:val="20"/>
          <w:szCs w:val="20"/>
          <w:color w:val="auto"/>
        </w:rPr>
      </w:pPr>
    </w:p>
    <w:p>
      <w:pPr>
        <w:ind w:left="3500" w:hanging="502"/>
        <w:spacing w:after="0"/>
        <w:tabs>
          <w:tab w:leader="none" w:pos="3500" w:val="left"/>
        </w:tabs>
        <w:numPr>
          <w:ilvl w:val="0"/>
          <w:numId w:val="75"/>
        </w:numPr>
        <w:rPr>
          <w:rFonts w:ascii="Arial" w:cs="Arial" w:eastAsia="Arial" w:hAnsi="Arial"/>
          <w:sz w:val="20"/>
          <w:szCs w:val="20"/>
          <w:color w:val="auto"/>
        </w:rPr>
      </w:pPr>
      <w:r>
        <w:rPr>
          <w:rFonts w:ascii="Calibri" w:cs="Calibri" w:eastAsia="Calibri" w:hAnsi="Calibri"/>
          <w:sz w:val="20"/>
          <w:szCs w:val="20"/>
          <w:color w:val="auto"/>
        </w:rPr>
        <w:t>proposes or is a party to any dissoluton or liquidaton;</w:t>
      </w:r>
    </w:p>
    <w:p>
      <w:pPr>
        <w:spacing w:after="0" w:line="238" w:lineRule="exact"/>
        <w:rPr>
          <w:rFonts w:ascii="Arial" w:cs="Arial" w:eastAsia="Arial" w:hAnsi="Arial"/>
          <w:sz w:val="20"/>
          <w:szCs w:val="20"/>
          <w:color w:val="auto"/>
        </w:rPr>
      </w:pPr>
    </w:p>
    <w:p>
      <w:pPr>
        <w:jc w:val="both"/>
        <w:ind w:left="3500" w:hanging="502"/>
        <w:spacing w:after="0"/>
        <w:tabs>
          <w:tab w:leader="none" w:pos="3500" w:val="left"/>
        </w:tabs>
        <w:numPr>
          <w:ilvl w:val="0"/>
          <w:numId w:val="75"/>
        </w:numPr>
        <w:rPr>
          <w:rFonts w:ascii="Arial" w:cs="Arial" w:eastAsia="Arial" w:hAnsi="Arial"/>
          <w:sz w:val="20"/>
          <w:szCs w:val="20"/>
          <w:color w:val="auto"/>
        </w:rPr>
      </w:pPr>
      <w:r>
        <w:rPr>
          <w:rFonts w:ascii="Calibri" w:cs="Calibri" w:eastAsia="Calibri" w:hAnsi="Calibri"/>
          <w:sz w:val="20"/>
          <w:szCs w:val="20"/>
          <w:color w:val="auto"/>
        </w:rPr>
        <w:t>fles a petton under any bankruptcy or insolvency act or has any such petton fled against that is not discharged within sixty (60) days of the fling thereof;</w:t>
      </w:r>
    </w:p>
    <w:p>
      <w:pPr>
        <w:spacing w:after="0" w:line="200" w:lineRule="exact"/>
        <w:rPr>
          <w:rFonts w:ascii="Arial" w:cs="Arial" w:eastAsia="Arial" w:hAnsi="Arial"/>
          <w:sz w:val="20"/>
          <w:szCs w:val="20"/>
          <w:color w:val="auto"/>
        </w:rPr>
      </w:pPr>
    </w:p>
    <w:p>
      <w:pPr>
        <w:spacing w:after="0" w:line="270" w:lineRule="exact"/>
        <w:rPr>
          <w:rFonts w:ascii="Arial" w:cs="Arial" w:eastAsia="Arial" w:hAnsi="Arial"/>
          <w:sz w:val="20"/>
          <w:szCs w:val="20"/>
          <w:color w:val="auto"/>
        </w:rPr>
      </w:pPr>
    </w:p>
    <w:p>
      <w:pPr>
        <w:ind w:left="3500" w:hanging="502"/>
        <w:spacing w:after="0" w:line="234" w:lineRule="auto"/>
        <w:tabs>
          <w:tab w:leader="none" w:pos="3500" w:val="left"/>
        </w:tabs>
        <w:numPr>
          <w:ilvl w:val="0"/>
          <w:numId w:val="75"/>
        </w:numPr>
        <w:rPr>
          <w:rFonts w:ascii="Arial" w:cs="Arial" w:eastAsia="Arial" w:hAnsi="Arial"/>
          <w:sz w:val="20"/>
          <w:szCs w:val="20"/>
          <w:color w:val="auto"/>
        </w:rPr>
      </w:pPr>
      <w:r>
        <w:rPr>
          <w:rFonts w:ascii="Calibri" w:cs="Calibri" w:eastAsia="Calibri" w:hAnsi="Calibri"/>
          <w:sz w:val="20"/>
          <w:szCs w:val="20"/>
          <w:color w:val="auto"/>
        </w:rPr>
        <w:t>admits in writng its inability generally to meet its obligatons as they fall due in the general course; or</w:t>
      </w:r>
    </w:p>
    <w:p>
      <w:pPr>
        <w:spacing w:after="0" w:line="239" w:lineRule="exact"/>
        <w:rPr>
          <w:rFonts w:ascii="Arial" w:cs="Arial" w:eastAsia="Arial" w:hAnsi="Arial"/>
          <w:sz w:val="20"/>
          <w:szCs w:val="20"/>
          <w:color w:val="auto"/>
        </w:rPr>
      </w:pPr>
    </w:p>
    <w:p>
      <w:pPr>
        <w:jc w:val="both"/>
        <w:ind w:left="3500" w:hanging="502"/>
        <w:spacing w:after="0" w:line="236" w:lineRule="auto"/>
        <w:tabs>
          <w:tab w:leader="none" w:pos="3500" w:val="left"/>
        </w:tabs>
        <w:numPr>
          <w:ilvl w:val="0"/>
          <w:numId w:val="75"/>
        </w:numPr>
        <w:rPr>
          <w:rFonts w:ascii="Arial" w:cs="Arial" w:eastAsia="Arial" w:hAnsi="Arial"/>
          <w:sz w:val="20"/>
          <w:szCs w:val="20"/>
          <w:color w:val="auto"/>
        </w:rPr>
      </w:pPr>
      <w:r>
        <w:rPr>
          <w:rFonts w:ascii="Calibri" w:cs="Calibri" w:eastAsia="Calibri" w:hAnsi="Calibri"/>
          <w:sz w:val="20"/>
          <w:szCs w:val="20"/>
          <w:color w:val="auto"/>
        </w:rPr>
        <w:t>sufers an event or is the subject of a proceeding in any jurisdicton to which it is subject that has an efect equivalent or similar to any of the events listed in points (a) to (g) above;</w:t>
      </w:r>
    </w:p>
    <w:p>
      <w:pPr>
        <w:sectPr>
          <w:pgSz w:w="11900" w:h="16838" w:orient="portrait"/>
          <w:cols w:equalWidth="0" w:num="1">
            <w:col w:w="9920"/>
          </w:cols>
          <w:pgMar w:left="132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40"/>
        <w:spacing w:after="0" w:line="234" w:lineRule="auto"/>
        <w:rPr>
          <w:sz w:val="20"/>
          <w:szCs w:val="20"/>
          <w:color w:val="auto"/>
        </w:rPr>
      </w:pPr>
      <w:r>
        <w:rPr>
          <w:rFonts w:ascii="Calibri" w:cs="Calibri" w:eastAsia="Calibri" w:hAnsi="Calibri"/>
          <w:sz w:val="20"/>
          <w:szCs w:val="20"/>
          <w:b w:val="1"/>
          <w:bCs w:val="1"/>
          <w:color w:val="auto"/>
        </w:rPr>
        <w:t>Intellectual Property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any patent, copyright, trade mark, service mark or trade name, utlity model, right in sofware, right in design, right in databases, image right, moral right, right in an inventon, right relatng to passing of, domain name, right in confdental informaton (including trade secrets) or right of privacy, and all similar or equivalent rights in each case whether registered or not and including all applicatons (or rights to apply) for, or renewal or extension of, such rights which exist now or which will exist in the future in the Territory and all other countries in the world;</w:t>
      </w:r>
    </w:p>
    <w:p>
      <w:pPr>
        <w:spacing w:after="0" w:line="200" w:lineRule="exact"/>
        <w:rPr>
          <w:sz w:val="20"/>
          <w:szCs w:val="20"/>
          <w:color w:val="auto"/>
        </w:rPr>
      </w:pPr>
    </w:p>
    <w:p>
      <w:pPr>
        <w:sectPr>
          <w:pgSz w:w="11900" w:h="16838" w:orient="portrait"/>
          <w:cols w:equalWidth="0" w:num="2">
            <w:col w:w="1760" w:space="720"/>
            <w:col w:w="7440"/>
          </w:cols>
          <w:pgMar w:left="1320" w:top="1440"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line="234" w:lineRule="auto"/>
        <w:rPr>
          <w:sz w:val="20"/>
          <w:szCs w:val="20"/>
          <w:color w:val="auto"/>
        </w:rPr>
      </w:pPr>
      <w:r>
        <w:rPr>
          <w:rFonts w:ascii="Calibri" w:cs="Calibri" w:eastAsia="Calibri" w:hAnsi="Calibri"/>
          <w:sz w:val="20"/>
          <w:szCs w:val="20"/>
          <w:b w:val="1"/>
          <w:bCs w:val="1"/>
          <w:color w:val="auto"/>
        </w:rPr>
        <w:t>Inventory Acceptance Requirements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alibri" w:cs="Calibri" w:eastAsia="Calibri" w:hAnsi="Calibri"/>
          <w:sz w:val="20"/>
          <w:szCs w:val="20"/>
          <w:color w:val="auto"/>
        </w:rPr>
        <w:t>the following standard inventory acceptance requirements:</w:t>
      </w:r>
    </w:p>
    <w:p>
      <w:pPr>
        <w:spacing w:after="0" w:line="271" w:lineRule="exact"/>
        <w:rPr>
          <w:sz w:val="20"/>
          <w:szCs w:val="20"/>
          <w:color w:val="auto"/>
        </w:rPr>
      </w:pPr>
    </w:p>
    <w:p>
      <w:pPr>
        <w:sectPr>
          <w:pgSz w:w="11900" w:h="16838" w:orient="portrait"/>
          <w:cols w:equalWidth="0" w:num="2">
            <w:col w:w="1820" w:space="660"/>
            <w:col w:w="7440"/>
          </w:cols>
          <w:pgMar w:left="1320" w:top="1440" w:right="659" w:bottom="1440" w:gutter="0" w:footer="0" w:header="0"/>
          <w:type w:val="continuous"/>
        </w:sectPr>
      </w:pPr>
    </w:p>
    <w:p>
      <w:pPr>
        <w:ind w:left="3000"/>
        <w:spacing w:after="0"/>
        <w:tabs>
          <w:tab w:leader="none" w:pos="3460" w:val="left"/>
        </w:tabs>
        <w:rPr>
          <w:sz w:val="20"/>
          <w:szCs w:val="20"/>
          <w:color w:val="auto"/>
        </w:rPr>
      </w:pPr>
      <w:r>
        <w:rPr>
          <w:rFonts w:ascii="Arial" w:cs="Arial" w:eastAsia="Arial" w:hAnsi="Arial"/>
          <w:sz w:val="20"/>
          <w:szCs w:val="20"/>
          <w:color w:val="auto"/>
        </w:rPr>
        <w:t>(a)</w:t>
      </w:r>
      <w:r>
        <w:rPr>
          <w:sz w:val="20"/>
          <w:szCs w:val="20"/>
          <w:color w:val="auto"/>
        </w:rPr>
        <w:tab/>
      </w:r>
      <w:r>
        <w:rPr>
          <w:rFonts w:ascii="Calibri" w:cs="Calibri" w:eastAsia="Calibri" w:hAnsi="Calibri"/>
          <w:sz w:val="20"/>
          <w:szCs w:val="20"/>
          <w:color w:val="auto"/>
        </w:rPr>
        <w:t>minimum shelf life as set out in Clause 6.4;</w:t>
      </w:r>
    </w:p>
    <w:p>
      <w:pPr>
        <w:spacing w:after="0" w:line="239" w:lineRule="exact"/>
        <w:rPr>
          <w:sz w:val="20"/>
          <w:szCs w:val="20"/>
          <w:color w:val="auto"/>
        </w:rPr>
      </w:pPr>
    </w:p>
    <w:p>
      <w:pPr>
        <w:ind w:left="3000"/>
        <w:spacing w:after="0"/>
        <w:tabs>
          <w:tab w:leader="none" w:pos="3460" w:val="left"/>
        </w:tabs>
        <w:rPr>
          <w:sz w:val="20"/>
          <w:szCs w:val="20"/>
          <w:color w:val="auto"/>
        </w:rPr>
      </w:pPr>
      <w:r>
        <w:rPr>
          <w:rFonts w:ascii="Arial" w:cs="Arial" w:eastAsia="Arial" w:hAnsi="Arial"/>
          <w:sz w:val="20"/>
          <w:szCs w:val="20"/>
          <w:color w:val="auto"/>
        </w:rPr>
        <w:t>(b)</w:t>
      </w:r>
      <w:r>
        <w:rPr>
          <w:sz w:val="20"/>
          <w:szCs w:val="20"/>
          <w:color w:val="auto"/>
        </w:rPr>
        <w:tab/>
      </w:r>
      <w:r>
        <w:rPr>
          <w:rFonts w:ascii="Calibri" w:cs="Calibri" w:eastAsia="Calibri" w:hAnsi="Calibri"/>
          <w:sz w:val="20"/>
          <w:szCs w:val="20"/>
          <w:color w:val="auto"/>
        </w:rPr>
        <w:t>compliance with the Quality Agreement;</w:t>
      </w:r>
    </w:p>
    <w:p>
      <w:pPr>
        <w:spacing w:after="0" w:line="228" w:lineRule="exact"/>
        <w:rPr>
          <w:sz w:val="20"/>
          <w:szCs w:val="20"/>
          <w:color w:val="auto"/>
        </w:rPr>
      </w:pPr>
    </w:p>
    <w:p>
      <w:pPr>
        <w:ind w:left="3000"/>
        <w:spacing w:after="0"/>
        <w:tabs>
          <w:tab w:leader="none" w:pos="3480" w:val="left"/>
          <w:tab w:leader="none" w:pos="4580" w:val="left"/>
          <w:tab w:leader="none" w:pos="5300" w:val="left"/>
        </w:tabs>
        <w:rPr>
          <w:sz w:val="20"/>
          <w:szCs w:val="20"/>
          <w:color w:val="auto"/>
        </w:rPr>
      </w:pPr>
      <w:r>
        <w:rPr>
          <w:rFonts w:ascii="Arial" w:cs="Arial" w:eastAsia="Arial" w:hAnsi="Arial"/>
          <w:sz w:val="20"/>
          <w:szCs w:val="20"/>
          <w:color w:val="auto"/>
        </w:rPr>
        <w:t>(c)</w:t>
      </w:r>
      <w:r>
        <w:rPr>
          <w:sz w:val="20"/>
          <w:szCs w:val="20"/>
          <w:color w:val="auto"/>
        </w:rPr>
        <w:tab/>
      </w:r>
      <w:r>
        <w:rPr>
          <w:rFonts w:ascii="Calibri" w:cs="Calibri" w:eastAsia="Calibri" w:hAnsi="Calibri"/>
          <w:sz w:val="20"/>
          <w:szCs w:val="20"/>
          <w:color w:val="auto"/>
        </w:rPr>
        <w:t>compliance</w:t>
        <w:tab/>
        <w:t>with</w:t>
      </w:r>
      <w:r>
        <w:rPr>
          <w:sz w:val="20"/>
          <w:szCs w:val="20"/>
          <w:color w:val="auto"/>
        </w:rPr>
        <w:tab/>
      </w:r>
      <w:r>
        <w:rPr>
          <w:rFonts w:ascii="Calibri" w:cs="Calibri" w:eastAsia="Calibri" w:hAnsi="Calibri"/>
          <w:sz w:val="20"/>
          <w:szCs w:val="20"/>
          <w:color w:val="auto"/>
        </w:rPr>
        <w:t>the Product specifcatons contained in the relevant</w:t>
      </w:r>
    </w:p>
    <w:p>
      <w:pPr>
        <w:ind w:left="3500"/>
        <w:spacing w:after="0" w:line="238" w:lineRule="auto"/>
        <w:rPr>
          <w:sz w:val="20"/>
          <w:szCs w:val="20"/>
          <w:color w:val="auto"/>
        </w:rPr>
      </w:pPr>
      <w:r>
        <w:rPr>
          <w:rFonts w:ascii="Calibri" w:cs="Calibri" w:eastAsia="Calibri" w:hAnsi="Calibri"/>
          <w:sz w:val="20"/>
          <w:szCs w:val="20"/>
          <w:color w:val="auto"/>
        </w:rPr>
        <w:t>MA; and</w:t>
      </w:r>
    </w:p>
    <w:p>
      <w:pPr>
        <w:sectPr>
          <w:pgSz w:w="11900" w:h="16838" w:orient="portrait"/>
          <w:cols w:equalWidth="0" w:num="1">
            <w:col w:w="9920"/>
          </w:cols>
          <w:pgMar w:left="1320" w:top="1440" w:right="659" w:bottom="1440" w:gutter="0" w:footer="0" w:header="0"/>
          <w:type w:val="continuous"/>
        </w:sectPr>
      </w:pPr>
    </w:p>
    <w:p>
      <w:pPr>
        <w:spacing w:after="0" w:line="229" w:lineRule="exact"/>
        <w:rPr>
          <w:sz w:val="20"/>
          <w:szCs w:val="20"/>
          <w:color w:val="auto"/>
        </w:rPr>
      </w:pPr>
    </w:p>
    <w:p>
      <w:pPr>
        <w:ind w:left="3480" w:hanging="482"/>
        <w:spacing w:after="0"/>
        <w:tabs>
          <w:tab w:leader="none" w:pos="3480" w:val="left"/>
        </w:tabs>
        <w:numPr>
          <w:ilvl w:val="0"/>
          <w:numId w:val="76"/>
        </w:numPr>
        <w:rPr>
          <w:rFonts w:ascii="Arial" w:cs="Arial" w:eastAsia="Arial" w:hAnsi="Arial"/>
          <w:sz w:val="20"/>
          <w:szCs w:val="20"/>
          <w:color w:val="auto"/>
        </w:rPr>
      </w:pPr>
      <w:r>
        <w:rPr>
          <w:rFonts w:ascii="Calibri" w:cs="Calibri" w:eastAsia="Calibri" w:hAnsi="Calibri"/>
          <w:sz w:val="20"/>
          <w:szCs w:val="20"/>
          <w:color w:val="auto"/>
        </w:rPr>
        <w:t>compliance with Good Manufacturing Practces;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376555</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20"/>
          </w:cols>
          <w:pgMar w:left="1320" w:top="1440" w:right="659" w:bottom="1440" w:gutter="0" w:footer="0" w:header="0"/>
          <w:type w:val="continuous"/>
        </w:sectPr>
      </w:pPr>
    </w:p>
    <w:bookmarkStart w:id="139" w:name="page140"/>
    <w:bookmarkEnd w:id="139"/>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60" w:type="dxa"/>
            <w:vAlign w:val="bottom"/>
          </w:tcPr>
          <w:p>
            <w:pPr>
              <w:ind w:left="1000"/>
              <w:spacing w:after="0"/>
              <w:rPr>
                <w:sz w:val="20"/>
                <w:szCs w:val="20"/>
                <w:color w:val="auto"/>
              </w:rPr>
            </w:pPr>
            <w:r>
              <w:rPr>
                <w:rFonts w:ascii="Calibri" w:cs="Calibri" w:eastAsia="Calibri" w:hAnsi="Calibri"/>
                <w:sz w:val="20"/>
                <w:szCs w:val="20"/>
                <w:b w:val="1"/>
                <w:bCs w:val="1"/>
                <w:color w:val="auto"/>
              </w:rPr>
              <w:t>KHK</w:t>
            </w:r>
          </w:p>
        </w:tc>
        <w:tc>
          <w:tcPr>
            <w:tcW w:w="7880" w:type="dxa"/>
            <w:vAlign w:val="bottom"/>
          </w:tcPr>
          <w:p>
            <w:pPr>
              <w:ind w:left="160"/>
              <w:spacing w:after="0"/>
              <w:rPr>
                <w:sz w:val="20"/>
                <w:szCs w:val="20"/>
                <w:color w:val="auto"/>
              </w:rPr>
            </w:pPr>
            <w:r>
              <w:rPr>
                <w:rFonts w:ascii="Calibri" w:cs="Calibri" w:eastAsia="Calibri" w:hAnsi="Calibri"/>
                <w:sz w:val="20"/>
                <w:szCs w:val="20"/>
                <w:color w:val="auto"/>
              </w:rPr>
              <w:t>Kyowa Kirin Co., Ltd. (formerly Kyowa Hakko Kirin Co., Ltd);</w:t>
            </w:r>
          </w:p>
        </w:tc>
      </w:tr>
      <w:tr>
        <w:trPr>
          <w:trHeight w:val="621"/>
        </w:trPr>
        <w:tc>
          <w:tcPr>
            <w:tcW w:w="3360" w:type="dxa"/>
            <w:vAlign w:val="bottom"/>
          </w:tcPr>
          <w:p>
            <w:pPr>
              <w:ind w:left="1000"/>
              <w:spacing w:after="0"/>
              <w:rPr>
                <w:sz w:val="20"/>
                <w:szCs w:val="20"/>
                <w:color w:val="auto"/>
              </w:rPr>
            </w:pPr>
            <w:r>
              <w:rPr>
                <w:rFonts w:ascii="Calibri" w:cs="Calibri" w:eastAsia="Calibri" w:hAnsi="Calibri"/>
                <w:sz w:val="20"/>
                <w:szCs w:val="20"/>
                <w:b w:val="1"/>
                <w:bCs w:val="1"/>
                <w:color w:val="auto"/>
              </w:rPr>
              <w:t>Losses</w:t>
            </w:r>
          </w:p>
        </w:tc>
        <w:tc>
          <w:tcPr>
            <w:tcW w:w="7880" w:type="dxa"/>
            <w:vAlign w:val="bottom"/>
          </w:tcPr>
          <w:p>
            <w:pPr>
              <w:ind w:left="160"/>
              <w:spacing w:after="0"/>
              <w:rPr>
                <w:sz w:val="20"/>
                <w:szCs w:val="20"/>
                <w:color w:val="auto"/>
              </w:rPr>
            </w:pPr>
            <w:r>
              <w:rPr>
                <w:rFonts w:ascii="Calibri" w:cs="Calibri" w:eastAsia="Calibri" w:hAnsi="Calibri"/>
                <w:sz w:val="20"/>
                <w:szCs w:val="20"/>
                <w:color w:val="auto"/>
              </w:rPr>
              <w:t>has the meaning set out in Clause 20.1;</w:t>
            </w:r>
          </w:p>
        </w:tc>
      </w:tr>
      <w:tr>
        <w:trPr>
          <w:trHeight w:val="634"/>
        </w:trPr>
        <w:tc>
          <w:tcPr>
            <w:tcW w:w="3360" w:type="dxa"/>
            <w:vAlign w:val="bottom"/>
          </w:tcPr>
          <w:p>
            <w:pPr>
              <w:ind w:left="1000"/>
              <w:spacing w:after="0"/>
              <w:rPr>
                <w:sz w:val="20"/>
                <w:szCs w:val="20"/>
                <w:color w:val="auto"/>
              </w:rPr>
            </w:pPr>
            <w:r>
              <w:rPr>
                <w:rFonts w:ascii="Calibri" w:cs="Calibri" w:eastAsia="Calibri" w:hAnsi="Calibri"/>
                <w:sz w:val="20"/>
                <w:szCs w:val="20"/>
                <w:b w:val="1"/>
                <w:bCs w:val="1"/>
                <w:color w:val="auto"/>
              </w:rPr>
              <w:t>MA</w:t>
            </w:r>
          </w:p>
        </w:tc>
        <w:tc>
          <w:tcPr>
            <w:tcW w:w="7880" w:type="dxa"/>
            <w:vAlign w:val="bottom"/>
          </w:tcPr>
          <w:p>
            <w:pPr>
              <w:ind w:left="160"/>
              <w:spacing w:after="0"/>
              <w:rPr>
                <w:sz w:val="20"/>
                <w:szCs w:val="20"/>
                <w:color w:val="auto"/>
              </w:rPr>
            </w:pPr>
            <w:r>
              <w:rPr>
                <w:rFonts w:ascii="Calibri" w:cs="Calibri" w:eastAsia="Calibri" w:hAnsi="Calibri"/>
                <w:sz w:val="20"/>
                <w:szCs w:val="20"/>
                <w:color w:val="auto"/>
              </w:rPr>
              <w:t>a Marketng Authorizaton to sell a pharmaceutcal product in any country in the Territory;</w:t>
            </w:r>
          </w:p>
        </w:tc>
      </w:tr>
      <w:tr>
        <w:trPr>
          <w:trHeight w:val="918"/>
        </w:trPr>
        <w:tc>
          <w:tcPr>
            <w:tcW w:w="3360" w:type="dxa"/>
            <w:vAlign w:val="bottom"/>
          </w:tcPr>
          <w:p>
            <w:pPr>
              <w:ind w:left="1000"/>
              <w:spacing w:after="0"/>
              <w:rPr>
                <w:sz w:val="20"/>
                <w:szCs w:val="20"/>
                <w:color w:val="auto"/>
              </w:rPr>
            </w:pPr>
            <w:r>
              <w:rPr>
                <w:rFonts w:ascii="Calibri" w:cs="Calibri" w:eastAsia="Calibri" w:hAnsi="Calibri"/>
                <w:sz w:val="20"/>
                <w:szCs w:val="20"/>
                <w:b w:val="1"/>
                <w:bCs w:val="1"/>
                <w:color w:val="auto"/>
              </w:rPr>
              <w:t>Minimum Order Quantty</w:t>
            </w:r>
          </w:p>
        </w:tc>
        <w:tc>
          <w:tcPr>
            <w:tcW w:w="7880" w:type="dxa"/>
            <w:vAlign w:val="bottom"/>
          </w:tcPr>
          <w:p>
            <w:pPr>
              <w:ind w:left="160"/>
              <w:spacing w:after="0"/>
              <w:rPr>
                <w:sz w:val="20"/>
                <w:szCs w:val="20"/>
                <w:color w:val="auto"/>
              </w:rPr>
            </w:pPr>
            <w:r>
              <w:rPr>
                <w:rFonts w:ascii="Calibri" w:cs="Calibri" w:eastAsia="Calibri" w:hAnsi="Calibri"/>
                <w:sz w:val="20"/>
                <w:szCs w:val="20"/>
                <w:color w:val="auto"/>
              </w:rPr>
              <w:t>has the meaning set out in Clause 6.16;</w:t>
            </w:r>
          </w:p>
        </w:tc>
      </w:tr>
      <w:tr>
        <w:trPr>
          <w:trHeight w:val="864"/>
        </w:trPr>
        <w:tc>
          <w:tcPr>
            <w:tcW w:w="3360" w:type="dxa"/>
            <w:vAlign w:val="bottom"/>
          </w:tcPr>
          <w:p>
            <w:pPr>
              <w:ind w:left="1000"/>
              <w:spacing w:after="0"/>
              <w:rPr>
                <w:sz w:val="20"/>
                <w:szCs w:val="20"/>
                <w:color w:val="auto"/>
              </w:rPr>
            </w:pPr>
            <w:r>
              <w:rPr>
                <w:rFonts w:ascii="Calibri" w:cs="Calibri" w:eastAsia="Calibri" w:hAnsi="Calibri"/>
                <w:sz w:val="20"/>
                <w:szCs w:val="20"/>
                <w:b w:val="1"/>
                <w:bCs w:val="1"/>
                <w:color w:val="auto"/>
              </w:rPr>
              <w:t>Minimum Supply Price</w:t>
            </w:r>
          </w:p>
        </w:tc>
        <w:tc>
          <w:tcPr>
            <w:tcW w:w="7880" w:type="dxa"/>
            <w:vAlign w:val="bottom"/>
          </w:tcPr>
          <w:p>
            <w:pPr>
              <w:ind w:left="160"/>
              <w:spacing w:after="0"/>
              <w:rPr>
                <w:sz w:val="20"/>
                <w:szCs w:val="20"/>
                <w:color w:val="auto"/>
              </w:rPr>
            </w:pPr>
            <w:r>
              <w:rPr>
                <w:rFonts w:ascii="Calibri" w:cs="Calibri" w:eastAsia="Calibri" w:hAnsi="Calibri"/>
                <w:sz w:val="20"/>
                <w:szCs w:val="20"/>
                <w:color w:val="auto"/>
              </w:rPr>
              <w:t>[***] US Dollars ($[***) per vial of Product.</w:t>
            </w:r>
          </w:p>
        </w:tc>
      </w:tr>
      <w:tr>
        <w:trPr>
          <w:trHeight w:val="878"/>
        </w:trPr>
        <w:tc>
          <w:tcPr>
            <w:tcW w:w="3360" w:type="dxa"/>
            <w:vAlign w:val="bottom"/>
          </w:tcPr>
          <w:p>
            <w:pPr>
              <w:ind w:left="1000"/>
              <w:spacing w:after="0"/>
              <w:rPr>
                <w:sz w:val="20"/>
                <w:szCs w:val="20"/>
                <w:color w:val="auto"/>
              </w:rPr>
            </w:pPr>
            <w:r>
              <w:rPr>
                <w:rFonts w:ascii="Calibri" w:cs="Calibri" w:eastAsia="Calibri" w:hAnsi="Calibri"/>
                <w:sz w:val="20"/>
                <w:szCs w:val="20"/>
                <w:b w:val="1"/>
                <w:bCs w:val="1"/>
                <w:color w:val="auto"/>
              </w:rPr>
              <w:t>Net Sales</w:t>
            </w:r>
          </w:p>
        </w:tc>
        <w:tc>
          <w:tcPr>
            <w:tcW w:w="7880" w:type="dxa"/>
            <w:vAlign w:val="bottom"/>
          </w:tcPr>
          <w:p>
            <w:pPr>
              <w:ind w:left="160"/>
              <w:spacing w:after="0"/>
              <w:rPr>
                <w:sz w:val="20"/>
                <w:szCs w:val="20"/>
                <w:color w:val="auto"/>
              </w:rPr>
            </w:pPr>
            <w:r>
              <w:rPr>
                <w:rFonts w:ascii="Calibri" w:cs="Calibri" w:eastAsia="Calibri" w:hAnsi="Calibri"/>
                <w:sz w:val="20"/>
                <w:szCs w:val="20"/>
                <w:color w:val="auto"/>
              </w:rPr>
              <w:t>has the meaning set out in Schedule 1 (Price and Payment);</w:t>
            </w:r>
          </w:p>
        </w:tc>
      </w:tr>
      <w:tr>
        <w:trPr>
          <w:trHeight w:val="634"/>
        </w:trPr>
        <w:tc>
          <w:tcPr>
            <w:tcW w:w="3360" w:type="dxa"/>
            <w:vAlign w:val="bottom"/>
          </w:tcPr>
          <w:p>
            <w:pPr>
              <w:ind w:left="1000"/>
              <w:spacing w:after="0"/>
              <w:rPr>
                <w:sz w:val="20"/>
                <w:szCs w:val="20"/>
                <w:color w:val="auto"/>
              </w:rPr>
            </w:pPr>
            <w:r>
              <w:rPr>
                <w:rFonts w:ascii="Calibri" w:cs="Calibri" w:eastAsia="Calibri" w:hAnsi="Calibri"/>
                <w:sz w:val="20"/>
                <w:szCs w:val="20"/>
                <w:b w:val="1"/>
                <w:bCs w:val="1"/>
                <w:color w:val="auto"/>
              </w:rPr>
              <w:t>Out of Conditon</w:t>
            </w:r>
          </w:p>
        </w:tc>
        <w:tc>
          <w:tcPr>
            <w:tcW w:w="7880" w:type="dxa"/>
            <w:vAlign w:val="bottom"/>
          </w:tcPr>
          <w:p>
            <w:pPr>
              <w:ind w:left="160"/>
              <w:spacing w:after="0"/>
              <w:rPr>
                <w:sz w:val="20"/>
                <w:szCs w:val="20"/>
                <w:color w:val="auto"/>
              </w:rPr>
            </w:pPr>
            <w:r>
              <w:rPr>
                <w:rFonts w:ascii="Calibri" w:cs="Calibri" w:eastAsia="Calibri" w:hAnsi="Calibri"/>
                <w:sz w:val="20"/>
                <w:szCs w:val="20"/>
                <w:color w:val="auto"/>
              </w:rPr>
              <w:t>Kyowa Kirin Product that is not in compliance with Applicable Laws, Good Distributon</w:t>
            </w:r>
          </w:p>
        </w:tc>
      </w:tr>
      <w:tr>
        <w:trPr>
          <w:trHeight w:val="243"/>
        </w:trPr>
        <w:tc>
          <w:tcPr>
            <w:tcW w:w="3360" w:type="dxa"/>
            <w:vAlign w:val="bottom"/>
          </w:tcPr>
          <w:p>
            <w:pPr>
              <w:spacing w:after="0"/>
              <w:rPr>
                <w:sz w:val="21"/>
                <w:szCs w:val="21"/>
                <w:color w:val="auto"/>
              </w:rPr>
            </w:pPr>
          </w:p>
        </w:tc>
        <w:tc>
          <w:tcPr>
            <w:tcW w:w="7880" w:type="dxa"/>
            <w:vAlign w:val="bottom"/>
          </w:tcPr>
          <w:p>
            <w:pPr>
              <w:ind w:left="160"/>
              <w:spacing w:after="0" w:line="243" w:lineRule="exact"/>
              <w:rPr>
                <w:sz w:val="20"/>
                <w:szCs w:val="20"/>
                <w:color w:val="auto"/>
              </w:rPr>
            </w:pPr>
            <w:r>
              <w:rPr>
                <w:rFonts w:ascii="Calibri" w:cs="Calibri" w:eastAsia="Calibri" w:hAnsi="Calibri"/>
                <w:sz w:val="20"/>
                <w:szCs w:val="20"/>
                <w:color w:val="auto"/>
              </w:rPr>
              <w:t>Practces, Good Manufacturing Practces or instructons from Kyowa Kirin;</w:t>
            </w:r>
          </w:p>
        </w:tc>
      </w:tr>
      <w:tr>
        <w:trPr>
          <w:trHeight w:val="891"/>
        </w:trPr>
        <w:tc>
          <w:tcPr>
            <w:tcW w:w="3360" w:type="dxa"/>
            <w:vAlign w:val="bottom"/>
          </w:tcPr>
          <w:p>
            <w:pPr>
              <w:ind w:left="1000"/>
              <w:spacing w:after="0"/>
              <w:rPr>
                <w:sz w:val="20"/>
                <w:szCs w:val="20"/>
                <w:color w:val="auto"/>
              </w:rPr>
            </w:pPr>
            <w:r>
              <w:rPr>
                <w:rFonts w:ascii="Calibri" w:cs="Calibri" w:eastAsia="Calibri" w:hAnsi="Calibri"/>
                <w:sz w:val="20"/>
                <w:szCs w:val="20"/>
                <w:b w:val="1"/>
                <w:bCs w:val="1"/>
                <w:color w:val="auto"/>
              </w:rPr>
              <w:t>Personnel</w:t>
            </w:r>
          </w:p>
        </w:tc>
        <w:tc>
          <w:tcPr>
            <w:tcW w:w="7880" w:type="dxa"/>
            <w:vAlign w:val="bottom"/>
          </w:tcPr>
          <w:p>
            <w:pPr>
              <w:ind w:left="160"/>
              <w:spacing w:after="0"/>
              <w:rPr>
                <w:sz w:val="20"/>
                <w:szCs w:val="20"/>
                <w:color w:val="auto"/>
              </w:rPr>
            </w:pPr>
            <w:r>
              <w:rPr>
                <w:rFonts w:ascii="Calibri" w:cs="Calibri" w:eastAsia="Calibri" w:hAnsi="Calibri"/>
                <w:sz w:val="20"/>
                <w:szCs w:val="20"/>
                <w:color w:val="auto"/>
              </w:rPr>
              <w:t>the employees of or persons otherwise engaged by UGNX for the purpose of fulflling this</w:t>
            </w:r>
          </w:p>
        </w:tc>
      </w:tr>
      <w:tr>
        <w:trPr>
          <w:trHeight w:val="243"/>
        </w:trPr>
        <w:tc>
          <w:tcPr>
            <w:tcW w:w="3360" w:type="dxa"/>
            <w:vAlign w:val="bottom"/>
          </w:tcPr>
          <w:p>
            <w:pPr>
              <w:spacing w:after="0"/>
              <w:rPr>
                <w:sz w:val="21"/>
                <w:szCs w:val="21"/>
                <w:color w:val="auto"/>
              </w:rPr>
            </w:pPr>
          </w:p>
        </w:tc>
        <w:tc>
          <w:tcPr>
            <w:tcW w:w="7880" w:type="dxa"/>
            <w:vAlign w:val="bottom"/>
          </w:tcPr>
          <w:p>
            <w:pPr>
              <w:ind w:left="160"/>
              <w:spacing w:after="0" w:line="243" w:lineRule="exact"/>
              <w:rPr>
                <w:sz w:val="20"/>
                <w:szCs w:val="20"/>
                <w:color w:val="auto"/>
              </w:rPr>
            </w:pPr>
            <w:r>
              <w:rPr>
                <w:rFonts w:ascii="Calibri" w:cs="Calibri" w:eastAsia="Calibri" w:hAnsi="Calibri"/>
                <w:sz w:val="20"/>
                <w:szCs w:val="20"/>
                <w:color w:val="auto"/>
              </w:rPr>
              <w:t>Agreement;</w:t>
            </w:r>
          </w:p>
        </w:tc>
      </w:tr>
      <w:tr>
        <w:trPr>
          <w:trHeight w:val="635"/>
        </w:trPr>
        <w:tc>
          <w:tcPr>
            <w:tcW w:w="3360" w:type="dxa"/>
            <w:vAlign w:val="bottom"/>
          </w:tcPr>
          <w:p>
            <w:pPr>
              <w:ind w:left="1000"/>
              <w:spacing w:after="0"/>
              <w:rPr>
                <w:sz w:val="20"/>
                <w:szCs w:val="20"/>
                <w:color w:val="auto"/>
              </w:rPr>
            </w:pPr>
            <w:r>
              <w:rPr>
                <w:rFonts w:ascii="Calibri" w:cs="Calibri" w:eastAsia="Calibri" w:hAnsi="Calibri"/>
                <w:sz w:val="20"/>
                <w:szCs w:val="20"/>
                <w:b w:val="1"/>
                <w:bCs w:val="1"/>
                <w:color w:val="auto"/>
              </w:rPr>
              <w:t>Product</w:t>
            </w:r>
          </w:p>
        </w:tc>
        <w:tc>
          <w:tcPr>
            <w:tcW w:w="7880" w:type="dxa"/>
            <w:vAlign w:val="bottom"/>
          </w:tcPr>
          <w:p>
            <w:pPr>
              <w:ind w:left="160"/>
              <w:spacing w:after="0"/>
              <w:rPr>
                <w:sz w:val="20"/>
                <w:szCs w:val="20"/>
                <w:color w:val="auto"/>
              </w:rPr>
            </w:pPr>
            <w:r>
              <w:rPr>
                <w:rFonts w:ascii="Calibri" w:cs="Calibri" w:eastAsia="Calibri" w:hAnsi="Calibri"/>
                <w:sz w:val="20"/>
                <w:szCs w:val="20"/>
                <w:color w:val="auto"/>
              </w:rPr>
              <w:t>KHK’s recombinant human IgG1 monoclonal antbody product targetng FGF23 identfed</w:t>
            </w:r>
          </w:p>
        </w:tc>
      </w:tr>
      <w:tr>
        <w:trPr>
          <w:trHeight w:val="243"/>
        </w:trPr>
        <w:tc>
          <w:tcPr>
            <w:tcW w:w="3360" w:type="dxa"/>
            <w:vAlign w:val="bottom"/>
          </w:tcPr>
          <w:p>
            <w:pPr>
              <w:spacing w:after="0"/>
              <w:rPr>
                <w:sz w:val="21"/>
                <w:szCs w:val="21"/>
                <w:color w:val="auto"/>
              </w:rPr>
            </w:pPr>
          </w:p>
        </w:tc>
        <w:tc>
          <w:tcPr>
            <w:tcW w:w="7880" w:type="dxa"/>
            <w:vAlign w:val="bottom"/>
          </w:tcPr>
          <w:p>
            <w:pPr>
              <w:ind w:left="160"/>
              <w:spacing w:after="0" w:line="243" w:lineRule="exact"/>
              <w:rPr>
                <w:sz w:val="20"/>
                <w:szCs w:val="20"/>
                <w:color w:val="auto"/>
              </w:rPr>
            </w:pPr>
            <w:r>
              <w:rPr>
                <w:rFonts w:ascii="Calibri" w:cs="Calibri" w:eastAsia="Calibri" w:hAnsi="Calibri"/>
                <w:sz w:val="20"/>
                <w:szCs w:val="20"/>
                <w:color w:val="auto"/>
              </w:rPr>
              <w:t>as KRN23 (burosumab soluton for injecton bulk naked vials in 10mg, 20mg and 30mg</w:t>
            </w:r>
          </w:p>
        </w:tc>
      </w:tr>
      <w:tr>
        <w:trPr>
          <w:trHeight w:val="243"/>
        </w:trPr>
        <w:tc>
          <w:tcPr>
            <w:tcW w:w="3360" w:type="dxa"/>
            <w:vAlign w:val="bottom"/>
          </w:tcPr>
          <w:p>
            <w:pPr>
              <w:spacing w:after="0"/>
              <w:rPr>
                <w:sz w:val="21"/>
                <w:szCs w:val="21"/>
                <w:color w:val="auto"/>
              </w:rPr>
            </w:pPr>
          </w:p>
        </w:tc>
        <w:tc>
          <w:tcPr>
            <w:tcW w:w="7880" w:type="dxa"/>
            <w:vAlign w:val="bottom"/>
          </w:tcPr>
          <w:p>
            <w:pPr>
              <w:ind w:left="160"/>
              <w:spacing w:after="0" w:line="243" w:lineRule="exact"/>
              <w:rPr>
                <w:sz w:val="20"/>
                <w:szCs w:val="20"/>
                <w:color w:val="auto"/>
              </w:rPr>
            </w:pPr>
            <w:r>
              <w:rPr>
                <w:rFonts w:ascii="Calibri" w:cs="Calibri" w:eastAsia="Calibri" w:hAnsi="Calibri"/>
                <w:sz w:val="20"/>
                <w:szCs w:val="20"/>
                <w:color w:val="auto"/>
              </w:rPr>
              <w:t>presentatons);</w:t>
            </w:r>
          </w:p>
        </w:tc>
      </w:tr>
      <w:tr>
        <w:trPr>
          <w:trHeight w:val="905"/>
        </w:trPr>
        <w:tc>
          <w:tcPr>
            <w:tcW w:w="3360" w:type="dxa"/>
            <w:vAlign w:val="bottom"/>
          </w:tcPr>
          <w:p>
            <w:pPr>
              <w:ind w:left="1000"/>
              <w:spacing w:after="0"/>
              <w:rPr>
                <w:sz w:val="20"/>
                <w:szCs w:val="20"/>
                <w:color w:val="auto"/>
              </w:rPr>
            </w:pPr>
            <w:r>
              <w:rPr>
                <w:rFonts w:ascii="Calibri" w:cs="Calibri" w:eastAsia="Calibri" w:hAnsi="Calibri"/>
                <w:sz w:val="20"/>
                <w:szCs w:val="20"/>
                <w:b w:val="1"/>
                <w:bCs w:val="1"/>
                <w:color w:val="auto"/>
              </w:rPr>
              <w:t>Proft Share Territory</w:t>
            </w:r>
          </w:p>
        </w:tc>
        <w:tc>
          <w:tcPr>
            <w:tcW w:w="7880" w:type="dxa"/>
            <w:vAlign w:val="bottom"/>
          </w:tcPr>
          <w:p>
            <w:pPr>
              <w:ind w:left="160"/>
              <w:spacing w:after="0"/>
              <w:rPr>
                <w:sz w:val="20"/>
                <w:szCs w:val="20"/>
                <w:color w:val="auto"/>
              </w:rPr>
            </w:pPr>
            <w:r>
              <w:rPr>
                <w:rFonts w:ascii="Calibri" w:cs="Calibri" w:eastAsia="Calibri" w:hAnsi="Calibri"/>
                <w:sz w:val="20"/>
                <w:szCs w:val="20"/>
                <w:color w:val="auto"/>
              </w:rPr>
              <w:t>has the meaning ascribed to it in the Collaboraton Agreement;</w:t>
            </w:r>
          </w:p>
        </w:tc>
      </w:tr>
      <w:tr>
        <w:trPr>
          <w:trHeight w:val="878"/>
        </w:trPr>
        <w:tc>
          <w:tcPr>
            <w:tcW w:w="3360" w:type="dxa"/>
            <w:vAlign w:val="bottom"/>
          </w:tcPr>
          <w:p>
            <w:pPr>
              <w:ind w:left="1000"/>
              <w:spacing w:after="0"/>
              <w:rPr>
                <w:sz w:val="20"/>
                <w:szCs w:val="20"/>
                <w:color w:val="auto"/>
              </w:rPr>
            </w:pPr>
            <w:r>
              <w:rPr>
                <w:rFonts w:ascii="Calibri" w:cs="Calibri" w:eastAsia="Calibri" w:hAnsi="Calibri"/>
                <w:sz w:val="20"/>
                <w:szCs w:val="20"/>
                <w:b w:val="1"/>
                <w:bCs w:val="1"/>
                <w:color w:val="auto"/>
              </w:rPr>
              <w:t>Public Authority</w:t>
            </w:r>
          </w:p>
        </w:tc>
        <w:tc>
          <w:tcPr>
            <w:tcW w:w="7880" w:type="dxa"/>
            <w:vAlign w:val="bottom"/>
          </w:tcPr>
          <w:p>
            <w:pPr>
              <w:ind w:left="160"/>
              <w:spacing w:after="0"/>
              <w:rPr>
                <w:sz w:val="20"/>
                <w:szCs w:val="20"/>
                <w:color w:val="auto"/>
              </w:rPr>
            </w:pPr>
            <w:r>
              <w:rPr>
                <w:rFonts w:ascii="Calibri" w:cs="Calibri" w:eastAsia="Calibri" w:hAnsi="Calibri"/>
                <w:sz w:val="20"/>
                <w:szCs w:val="20"/>
                <w:color w:val="auto"/>
              </w:rPr>
              <w:t>any natonal, subnatonal or local government or any subdivision, authority or agency</w:t>
            </w:r>
          </w:p>
        </w:tc>
      </w:tr>
      <w:tr>
        <w:trPr>
          <w:trHeight w:val="243"/>
        </w:trPr>
        <w:tc>
          <w:tcPr>
            <w:tcW w:w="3360" w:type="dxa"/>
            <w:vAlign w:val="bottom"/>
          </w:tcPr>
          <w:p>
            <w:pPr>
              <w:spacing w:after="0"/>
              <w:rPr>
                <w:sz w:val="21"/>
                <w:szCs w:val="21"/>
                <w:color w:val="auto"/>
              </w:rPr>
            </w:pPr>
          </w:p>
        </w:tc>
        <w:tc>
          <w:tcPr>
            <w:tcW w:w="7880" w:type="dxa"/>
            <w:vAlign w:val="bottom"/>
          </w:tcPr>
          <w:p>
            <w:pPr>
              <w:ind w:left="160"/>
              <w:spacing w:after="0" w:line="243" w:lineRule="exact"/>
              <w:rPr>
                <w:sz w:val="20"/>
                <w:szCs w:val="20"/>
                <w:color w:val="auto"/>
              </w:rPr>
            </w:pPr>
            <w:r>
              <w:rPr>
                <w:rFonts w:ascii="Calibri" w:cs="Calibri" w:eastAsia="Calibri" w:hAnsi="Calibri"/>
                <w:sz w:val="20"/>
                <w:szCs w:val="20"/>
                <w:color w:val="auto"/>
              </w:rPr>
              <w:t>thereof;</w:t>
            </w:r>
          </w:p>
        </w:tc>
      </w:tr>
      <w:tr>
        <w:trPr>
          <w:trHeight w:val="635"/>
        </w:trPr>
        <w:tc>
          <w:tcPr>
            <w:tcW w:w="3360" w:type="dxa"/>
            <w:vAlign w:val="bottom"/>
          </w:tcPr>
          <w:p>
            <w:pPr>
              <w:ind w:left="1000"/>
              <w:spacing w:after="0"/>
              <w:rPr>
                <w:sz w:val="20"/>
                <w:szCs w:val="20"/>
                <w:color w:val="auto"/>
              </w:rPr>
            </w:pPr>
            <w:r>
              <w:rPr>
                <w:rFonts w:ascii="Calibri" w:cs="Calibri" w:eastAsia="Calibri" w:hAnsi="Calibri"/>
                <w:sz w:val="20"/>
                <w:szCs w:val="20"/>
                <w:b w:val="1"/>
                <w:bCs w:val="1"/>
                <w:color w:val="auto"/>
              </w:rPr>
              <w:t>Purchase Order Lead Time</w:t>
            </w:r>
          </w:p>
        </w:tc>
        <w:tc>
          <w:tcPr>
            <w:tcW w:w="7880" w:type="dxa"/>
            <w:vAlign w:val="bottom"/>
          </w:tcPr>
          <w:p>
            <w:pPr>
              <w:ind w:left="160"/>
              <w:spacing w:after="0"/>
              <w:rPr>
                <w:sz w:val="20"/>
                <w:szCs w:val="20"/>
                <w:color w:val="auto"/>
              </w:rPr>
            </w:pPr>
            <w:r>
              <w:rPr>
                <w:rFonts w:ascii="Calibri" w:cs="Calibri" w:eastAsia="Calibri" w:hAnsi="Calibri"/>
                <w:sz w:val="20"/>
                <w:szCs w:val="20"/>
                <w:color w:val="auto"/>
              </w:rPr>
              <w:t>has the meaning set out in Clause 6.14;</w:t>
            </w:r>
          </w:p>
        </w:tc>
      </w:tr>
      <w:tr>
        <w:trPr>
          <w:trHeight w:val="877"/>
        </w:trPr>
        <w:tc>
          <w:tcPr>
            <w:tcW w:w="3360" w:type="dxa"/>
            <w:vAlign w:val="bottom"/>
          </w:tcPr>
          <w:p>
            <w:pPr>
              <w:ind w:left="1000"/>
              <w:spacing w:after="0"/>
              <w:rPr>
                <w:sz w:val="20"/>
                <w:szCs w:val="20"/>
                <w:color w:val="auto"/>
              </w:rPr>
            </w:pPr>
            <w:r>
              <w:rPr>
                <w:rFonts w:ascii="Calibri" w:cs="Calibri" w:eastAsia="Calibri" w:hAnsi="Calibri"/>
                <w:sz w:val="20"/>
                <w:szCs w:val="20"/>
                <w:b w:val="1"/>
                <w:bCs w:val="1"/>
                <w:color w:val="auto"/>
              </w:rPr>
              <w:t>Quarter</w:t>
            </w:r>
          </w:p>
        </w:tc>
        <w:tc>
          <w:tcPr>
            <w:tcW w:w="7880" w:type="dxa"/>
            <w:vAlign w:val="bottom"/>
          </w:tcPr>
          <w:p>
            <w:pPr>
              <w:ind w:left="160"/>
              <w:spacing w:after="0"/>
              <w:rPr>
                <w:sz w:val="20"/>
                <w:szCs w:val="20"/>
                <w:color w:val="auto"/>
              </w:rPr>
            </w:pPr>
            <w:r>
              <w:rPr>
                <w:rFonts w:ascii="Calibri" w:cs="Calibri" w:eastAsia="Calibri" w:hAnsi="Calibri"/>
                <w:sz w:val="20"/>
                <w:szCs w:val="20"/>
                <w:color w:val="auto"/>
              </w:rPr>
              <w:t>one of the three month periods ending upon 31st March, 30th June, 30th September and</w:t>
            </w:r>
          </w:p>
        </w:tc>
      </w:tr>
      <w:tr>
        <w:trPr>
          <w:trHeight w:val="243"/>
        </w:trPr>
        <w:tc>
          <w:tcPr>
            <w:tcW w:w="3360" w:type="dxa"/>
            <w:vAlign w:val="bottom"/>
          </w:tcPr>
          <w:p>
            <w:pPr>
              <w:spacing w:after="0"/>
              <w:rPr>
                <w:sz w:val="21"/>
                <w:szCs w:val="21"/>
                <w:color w:val="auto"/>
              </w:rPr>
            </w:pPr>
          </w:p>
        </w:tc>
        <w:tc>
          <w:tcPr>
            <w:tcW w:w="7880" w:type="dxa"/>
            <w:vAlign w:val="bottom"/>
          </w:tcPr>
          <w:p>
            <w:pPr>
              <w:ind w:left="160"/>
              <w:spacing w:after="0" w:line="243" w:lineRule="exact"/>
              <w:rPr>
                <w:sz w:val="20"/>
                <w:szCs w:val="20"/>
                <w:color w:val="auto"/>
              </w:rPr>
            </w:pPr>
            <w:r>
              <w:rPr>
                <w:rFonts w:ascii="Calibri" w:cs="Calibri" w:eastAsia="Calibri" w:hAnsi="Calibri"/>
                <w:sz w:val="20"/>
                <w:szCs w:val="20"/>
                <w:color w:val="auto"/>
              </w:rPr>
              <w:t>31st December in each Year during the term of this Agreement, [***] untl the date on</w:t>
            </w:r>
          </w:p>
        </w:tc>
      </w:tr>
      <w:tr>
        <w:trPr>
          <w:trHeight w:val="243"/>
        </w:trPr>
        <w:tc>
          <w:tcPr>
            <w:tcW w:w="3360" w:type="dxa"/>
            <w:vAlign w:val="bottom"/>
          </w:tcPr>
          <w:p>
            <w:pPr>
              <w:spacing w:after="0"/>
              <w:rPr>
                <w:sz w:val="21"/>
                <w:szCs w:val="21"/>
                <w:color w:val="auto"/>
              </w:rPr>
            </w:pPr>
          </w:p>
        </w:tc>
        <w:tc>
          <w:tcPr>
            <w:tcW w:w="7880" w:type="dxa"/>
            <w:vAlign w:val="bottom"/>
          </w:tcPr>
          <w:p>
            <w:pPr>
              <w:ind w:left="160"/>
              <w:spacing w:after="0" w:line="243" w:lineRule="exact"/>
              <w:rPr>
                <w:sz w:val="20"/>
                <w:szCs w:val="20"/>
                <w:color w:val="auto"/>
              </w:rPr>
            </w:pPr>
            <w:r>
              <w:rPr>
                <w:rFonts w:ascii="Calibri" w:cs="Calibri" w:eastAsia="Calibri" w:hAnsi="Calibri"/>
                <w:sz w:val="20"/>
                <w:szCs w:val="20"/>
                <w:color w:val="auto"/>
              </w:rPr>
              <w:t>which this Agreement expires or is terminated;</w:t>
            </w:r>
          </w:p>
        </w:tc>
      </w:tr>
      <w:tr>
        <w:trPr>
          <w:trHeight w:val="1377"/>
        </w:trPr>
        <w:tc>
          <w:tcPr>
            <w:tcW w:w="3360" w:type="dxa"/>
            <w:vAlign w:val="bottom"/>
            <w:tcBorders>
              <w:bottom w:val="single" w:sz="8" w:color="9A9A9A"/>
            </w:tcBorders>
          </w:tcPr>
          <w:p>
            <w:pPr>
              <w:spacing w:after="0"/>
              <w:rPr>
                <w:sz w:val="24"/>
                <w:szCs w:val="24"/>
                <w:color w:val="auto"/>
              </w:rPr>
            </w:pPr>
          </w:p>
        </w:tc>
        <w:tc>
          <w:tcPr>
            <w:tcW w:w="7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480" w:type="dxa"/>
            <w:vAlign w:val="bottom"/>
          </w:tcPr>
          <w:p>
            <w:pPr>
              <w:ind w:left="1000"/>
              <w:spacing w:after="0"/>
              <w:rPr>
                <w:sz w:val="20"/>
                <w:szCs w:val="20"/>
                <w:color w:val="auto"/>
              </w:rPr>
            </w:pPr>
            <w:r>
              <w:rPr>
                <w:rFonts w:ascii="Calibri" w:cs="Calibri" w:eastAsia="Calibri" w:hAnsi="Calibri"/>
                <w:sz w:val="20"/>
                <w:szCs w:val="20"/>
                <w:b w:val="1"/>
                <w:bCs w:val="1"/>
                <w:color w:val="auto"/>
              </w:rPr>
              <w:t>[</w:t>
            </w:r>
            <w:r>
              <w:rPr>
                <w:rFonts w:ascii="Calibri" w:cs="Calibri" w:eastAsia="Calibri" w:hAnsi="Calibri"/>
                <w:sz w:val="20"/>
                <w:szCs w:val="20"/>
                <w:color w:val="auto"/>
              </w:rPr>
              <w:t>***</w:t>
            </w:r>
            <w:r>
              <w:rPr>
                <w:rFonts w:ascii="Calibri" w:cs="Calibri" w:eastAsia="Calibri" w:hAnsi="Calibri"/>
                <w:sz w:val="20"/>
                <w:szCs w:val="20"/>
                <w:b w:val="1"/>
                <w:bCs w:val="1"/>
                <w:color w:val="auto"/>
              </w:rPr>
              <w:t>] Report</w:t>
            </w:r>
          </w:p>
        </w:tc>
        <w:tc>
          <w:tcPr>
            <w:tcW w:w="7760" w:type="dxa"/>
            <w:vAlign w:val="bottom"/>
          </w:tcPr>
          <w:p>
            <w:pPr>
              <w:ind w:left="80"/>
              <w:spacing w:after="0"/>
              <w:rPr>
                <w:sz w:val="20"/>
                <w:szCs w:val="20"/>
                <w:color w:val="auto"/>
              </w:rPr>
            </w:pPr>
            <w:r>
              <w:rPr>
                <w:rFonts w:ascii="Calibri" w:cs="Calibri" w:eastAsia="Calibri" w:hAnsi="Calibri"/>
                <w:sz w:val="20"/>
                <w:szCs w:val="20"/>
                <w:color w:val="auto"/>
              </w:rPr>
              <w:t>has the meaning set out in Schedule 1 (Price and Payment);</w:t>
            </w:r>
          </w:p>
        </w:tc>
      </w:tr>
      <w:tr>
        <w:trPr>
          <w:trHeight w:val="635"/>
        </w:trPr>
        <w:tc>
          <w:tcPr>
            <w:tcW w:w="3480" w:type="dxa"/>
            <w:vAlign w:val="bottom"/>
          </w:tcPr>
          <w:p>
            <w:pPr>
              <w:ind w:left="1000"/>
              <w:spacing w:after="0"/>
              <w:rPr>
                <w:sz w:val="20"/>
                <w:szCs w:val="20"/>
                <w:color w:val="auto"/>
              </w:rPr>
            </w:pPr>
            <w:r>
              <w:rPr>
                <w:rFonts w:ascii="Calibri" w:cs="Calibri" w:eastAsia="Calibri" w:hAnsi="Calibri"/>
                <w:sz w:val="20"/>
                <w:szCs w:val="20"/>
                <w:b w:val="1"/>
                <w:bCs w:val="1"/>
                <w:color w:val="auto"/>
              </w:rPr>
              <w:t>Rules</w:t>
            </w:r>
          </w:p>
        </w:tc>
        <w:tc>
          <w:tcPr>
            <w:tcW w:w="7760" w:type="dxa"/>
            <w:vAlign w:val="bottom"/>
          </w:tcPr>
          <w:p>
            <w:pPr>
              <w:ind w:left="80"/>
              <w:spacing w:after="0"/>
              <w:rPr>
                <w:sz w:val="20"/>
                <w:szCs w:val="20"/>
                <w:color w:val="auto"/>
              </w:rPr>
            </w:pPr>
            <w:r>
              <w:rPr>
                <w:rFonts w:ascii="Calibri" w:cs="Calibri" w:eastAsia="Calibri" w:hAnsi="Calibri"/>
                <w:sz w:val="20"/>
                <w:szCs w:val="20"/>
                <w:color w:val="auto"/>
              </w:rPr>
              <w:t>has the meaning set out in Clause 28.3;</w:t>
            </w:r>
          </w:p>
        </w:tc>
      </w:tr>
      <w:tr>
        <w:trPr>
          <w:trHeight w:val="648"/>
        </w:trPr>
        <w:tc>
          <w:tcPr>
            <w:tcW w:w="3480" w:type="dxa"/>
            <w:vAlign w:val="bottom"/>
          </w:tcPr>
          <w:p>
            <w:pPr>
              <w:ind w:left="1000"/>
              <w:spacing w:after="0"/>
              <w:rPr>
                <w:sz w:val="20"/>
                <w:szCs w:val="20"/>
                <w:color w:val="auto"/>
              </w:rPr>
            </w:pPr>
            <w:r>
              <w:rPr>
                <w:rFonts w:ascii="Calibri" w:cs="Calibri" w:eastAsia="Calibri" w:hAnsi="Calibri"/>
                <w:sz w:val="20"/>
                <w:szCs w:val="20"/>
                <w:b w:val="1"/>
                <w:bCs w:val="1"/>
                <w:color w:val="auto"/>
              </w:rPr>
              <w:t>Quality Agreement</w:t>
            </w:r>
          </w:p>
        </w:tc>
        <w:tc>
          <w:tcPr>
            <w:tcW w:w="7760" w:type="dxa"/>
            <w:vAlign w:val="bottom"/>
          </w:tcPr>
          <w:p>
            <w:pPr>
              <w:ind w:left="80"/>
              <w:spacing w:after="0"/>
              <w:rPr>
                <w:sz w:val="20"/>
                <w:szCs w:val="20"/>
                <w:color w:val="auto"/>
              </w:rPr>
            </w:pPr>
            <w:r>
              <w:rPr>
                <w:rFonts w:ascii="Calibri" w:cs="Calibri" w:eastAsia="Calibri" w:hAnsi="Calibri"/>
                <w:sz w:val="20"/>
                <w:szCs w:val="20"/>
                <w:color w:val="auto"/>
              </w:rPr>
              <w:t>the agreement to be entered into between Kyowa Kirin and UGNX, defning the roles and</w:t>
            </w:r>
          </w:p>
        </w:tc>
      </w:tr>
      <w:tr>
        <w:trPr>
          <w:trHeight w:val="243"/>
        </w:trPr>
        <w:tc>
          <w:tcPr>
            <w:tcW w:w="3480" w:type="dxa"/>
            <w:vAlign w:val="bottom"/>
          </w:tcPr>
          <w:p>
            <w:pPr>
              <w:spacing w:after="0"/>
              <w:rPr>
                <w:sz w:val="21"/>
                <w:szCs w:val="21"/>
                <w:color w:val="auto"/>
              </w:rPr>
            </w:pPr>
          </w:p>
        </w:tc>
        <w:tc>
          <w:tcPr>
            <w:tcW w:w="7760" w:type="dxa"/>
            <w:vAlign w:val="bottom"/>
          </w:tcPr>
          <w:p>
            <w:pPr>
              <w:ind w:left="80"/>
              <w:spacing w:after="0" w:line="243" w:lineRule="exact"/>
              <w:rPr>
                <w:sz w:val="20"/>
                <w:szCs w:val="20"/>
                <w:color w:val="auto"/>
              </w:rPr>
            </w:pPr>
            <w:r>
              <w:rPr>
                <w:rFonts w:ascii="Calibri" w:cs="Calibri" w:eastAsia="Calibri" w:hAnsi="Calibri"/>
                <w:sz w:val="20"/>
                <w:szCs w:val="20"/>
                <w:color w:val="auto"/>
              </w:rPr>
              <w:t>responsibilites for each party in relaton to the quality and manufacture of the Product in</w:t>
            </w:r>
          </w:p>
        </w:tc>
      </w:tr>
      <w:tr>
        <w:trPr>
          <w:trHeight w:val="243"/>
        </w:trPr>
        <w:tc>
          <w:tcPr>
            <w:tcW w:w="3480" w:type="dxa"/>
            <w:vAlign w:val="bottom"/>
          </w:tcPr>
          <w:p>
            <w:pPr>
              <w:spacing w:after="0"/>
              <w:rPr>
                <w:sz w:val="21"/>
                <w:szCs w:val="21"/>
                <w:color w:val="auto"/>
              </w:rPr>
            </w:pPr>
          </w:p>
        </w:tc>
        <w:tc>
          <w:tcPr>
            <w:tcW w:w="7760" w:type="dxa"/>
            <w:vAlign w:val="bottom"/>
          </w:tcPr>
          <w:p>
            <w:pPr>
              <w:ind w:left="80"/>
              <w:spacing w:after="0" w:line="243" w:lineRule="exact"/>
              <w:rPr>
                <w:sz w:val="20"/>
                <w:szCs w:val="20"/>
                <w:color w:val="auto"/>
              </w:rPr>
            </w:pPr>
            <w:r>
              <w:rPr>
                <w:rFonts w:ascii="Calibri" w:cs="Calibri" w:eastAsia="Calibri" w:hAnsi="Calibri"/>
                <w:sz w:val="20"/>
                <w:szCs w:val="20"/>
                <w:color w:val="auto"/>
              </w:rPr>
              <w:t>the Territory;</w:t>
            </w:r>
          </w:p>
        </w:tc>
      </w:tr>
      <w:tr>
        <w:trPr>
          <w:trHeight w:val="635"/>
        </w:trPr>
        <w:tc>
          <w:tcPr>
            <w:tcW w:w="3480" w:type="dxa"/>
            <w:vAlign w:val="bottom"/>
          </w:tcPr>
          <w:p>
            <w:pPr>
              <w:ind w:left="1000"/>
              <w:spacing w:after="0"/>
              <w:rPr>
                <w:sz w:val="20"/>
                <w:szCs w:val="20"/>
                <w:color w:val="auto"/>
              </w:rPr>
            </w:pPr>
            <w:r>
              <w:rPr>
                <w:rFonts w:ascii="Calibri" w:cs="Calibri" w:eastAsia="Calibri" w:hAnsi="Calibri"/>
                <w:sz w:val="20"/>
                <w:szCs w:val="20"/>
                <w:b w:val="1"/>
                <w:bCs w:val="1"/>
                <w:color w:val="auto"/>
              </w:rPr>
              <w:t>Term</w:t>
            </w:r>
          </w:p>
        </w:tc>
        <w:tc>
          <w:tcPr>
            <w:tcW w:w="7760" w:type="dxa"/>
            <w:vAlign w:val="bottom"/>
          </w:tcPr>
          <w:p>
            <w:pPr>
              <w:ind w:left="80"/>
              <w:spacing w:after="0"/>
              <w:rPr>
                <w:sz w:val="20"/>
                <w:szCs w:val="20"/>
                <w:color w:val="auto"/>
              </w:rPr>
            </w:pPr>
            <w:r>
              <w:rPr>
                <w:rFonts w:ascii="Calibri" w:cs="Calibri" w:eastAsia="Calibri" w:hAnsi="Calibri"/>
                <w:sz w:val="20"/>
                <w:szCs w:val="20"/>
                <w:color w:val="auto"/>
              </w:rPr>
              <w:t>the term of this Agreement as set out in Clause 2.1;</w:t>
            </w:r>
          </w:p>
        </w:tc>
      </w:tr>
      <w:tr>
        <w:trPr>
          <w:trHeight w:val="648"/>
        </w:trPr>
        <w:tc>
          <w:tcPr>
            <w:tcW w:w="3480" w:type="dxa"/>
            <w:vAlign w:val="bottom"/>
          </w:tcPr>
          <w:p>
            <w:pPr>
              <w:ind w:left="1000"/>
              <w:spacing w:after="0"/>
              <w:rPr>
                <w:sz w:val="20"/>
                <w:szCs w:val="20"/>
                <w:color w:val="auto"/>
              </w:rPr>
            </w:pPr>
            <w:r>
              <w:rPr>
                <w:rFonts w:ascii="Calibri" w:cs="Calibri" w:eastAsia="Calibri" w:hAnsi="Calibri"/>
                <w:sz w:val="20"/>
                <w:szCs w:val="20"/>
                <w:b w:val="1"/>
                <w:bCs w:val="1"/>
                <w:color w:val="auto"/>
              </w:rPr>
              <w:t>Terminaton</w:t>
            </w:r>
          </w:p>
        </w:tc>
        <w:tc>
          <w:tcPr>
            <w:tcW w:w="7760" w:type="dxa"/>
            <w:vAlign w:val="bottom"/>
          </w:tcPr>
          <w:p>
            <w:pPr>
              <w:ind w:left="80"/>
              <w:spacing w:after="0"/>
              <w:rPr>
                <w:sz w:val="20"/>
                <w:szCs w:val="20"/>
                <w:color w:val="auto"/>
              </w:rPr>
            </w:pPr>
            <w:r>
              <w:rPr>
                <w:rFonts w:ascii="Calibri" w:cs="Calibri" w:eastAsia="Calibri" w:hAnsi="Calibri"/>
                <w:sz w:val="20"/>
                <w:szCs w:val="20"/>
                <w:color w:val="auto"/>
              </w:rPr>
              <w:t>the terminaton or expiraton of all or part of this Agreement;</w:t>
            </w:r>
          </w:p>
        </w:tc>
      </w:tr>
      <w:tr>
        <w:trPr>
          <w:trHeight w:val="621"/>
        </w:trPr>
        <w:tc>
          <w:tcPr>
            <w:tcW w:w="3480" w:type="dxa"/>
            <w:vAlign w:val="bottom"/>
          </w:tcPr>
          <w:p>
            <w:pPr>
              <w:ind w:left="1000"/>
              <w:spacing w:after="0"/>
              <w:rPr>
                <w:sz w:val="20"/>
                <w:szCs w:val="20"/>
                <w:color w:val="auto"/>
              </w:rPr>
            </w:pPr>
            <w:r>
              <w:rPr>
                <w:rFonts w:ascii="Calibri" w:cs="Calibri" w:eastAsia="Calibri" w:hAnsi="Calibri"/>
                <w:sz w:val="20"/>
                <w:szCs w:val="20"/>
                <w:b w:val="1"/>
                <w:bCs w:val="1"/>
                <w:color w:val="auto"/>
              </w:rPr>
              <w:t>Terminaton Date</w:t>
            </w:r>
          </w:p>
        </w:tc>
        <w:tc>
          <w:tcPr>
            <w:tcW w:w="7760" w:type="dxa"/>
            <w:vAlign w:val="bottom"/>
          </w:tcPr>
          <w:p>
            <w:pPr>
              <w:ind w:left="80"/>
              <w:spacing w:after="0"/>
              <w:rPr>
                <w:sz w:val="20"/>
                <w:szCs w:val="20"/>
                <w:color w:val="auto"/>
              </w:rPr>
            </w:pPr>
            <w:r>
              <w:rPr>
                <w:rFonts w:ascii="Calibri" w:cs="Calibri" w:eastAsia="Calibri" w:hAnsi="Calibri"/>
                <w:sz w:val="20"/>
                <w:szCs w:val="20"/>
                <w:color w:val="auto"/>
              </w:rPr>
              <w:t>the date on which Terminaton takes efect;</w:t>
            </w:r>
          </w:p>
        </w:tc>
      </w:tr>
      <w:tr>
        <w:trPr>
          <w:trHeight w:val="648"/>
        </w:trPr>
        <w:tc>
          <w:tcPr>
            <w:tcW w:w="3480" w:type="dxa"/>
            <w:vAlign w:val="bottom"/>
          </w:tcPr>
          <w:p>
            <w:pPr>
              <w:ind w:left="1000"/>
              <w:spacing w:after="0"/>
              <w:rPr>
                <w:sz w:val="20"/>
                <w:szCs w:val="20"/>
                <w:color w:val="auto"/>
              </w:rPr>
            </w:pPr>
            <w:r>
              <w:rPr>
                <w:rFonts w:ascii="Calibri" w:cs="Calibri" w:eastAsia="Calibri" w:hAnsi="Calibri"/>
                <w:sz w:val="20"/>
                <w:szCs w:val="20"/>
                <w:b w:val="1"/>
                <w:bCs w:val="1"/>
                <w:color w:val="auto"/>
              </w:rPr>
              <w:t>Territory</w:t>
            </w:r>
          </w:p>
        </w:tc>
        <w:tc>
          <w:tcPr>
            <w:tcW w:w="7760" w:type="dxa"/>
            <w:vAlign w:val="bottom"/>
          </w:tcPr>
          <w:p>
            <w:pPr>
              <w:ind w:left="80"/>
              <w:spacing w:after="0"/>
              <w:rPr>
                <w:sz w:val="20"/>
                <w:szCs w:val="20"/>
                <w:color w:val="auto"/>
              </w:rPr>
            </w:pPr>
            <w:r>
              <w:rPr>
                <w:rFonts w:ascii="Calibri" w:cs="Calibri" w:eastAsia="Calibri" w:hAnsi="Calibri"/>
                <w:sz w:val="20"/>
                <w:szCs w:val="20"/>
                <w:color w:val="auto"/>
              </w:rPr>
              <w:t>On a country-by-country basis, upon Health Registraton Approval following which such</w:t>
            </w:r>
          </w:p>
        </w:tc>
      </w:tr>
      <w:tr>
        <w:trPr>
          <w:trHeight w:val="243"/>
        </w:trPr>
        <w:tc>
          <w:tcPr>
            <w:tcW w:w="3480" w:type="dxa"/>
            <w:vAlign w:val="bottom"/>
          </w:tcPr>
          <w:p>
            <w:pPr>
              <w:spacing w:after="0"/>
              <w:rPr>
                <w:sz w:val="21"/>
                <w:szCs w:val="21"/>
                <w:color w:val="auto"/>
              </w:rPr>
            </w:pPr>
          </w:p>
        </w:tc>
        <w:tc>
          <w:tcPr>
            <w:tcW w:w="7760" w:type="dxa"/>
            <w:vAlign w:val="bottom"/>
          </w:tcPr>
          <w:p>
            <w:pPr>
              <w:ind w:left="80"/>
              <w:spacing w:after="0" w:line="243" w:lineRule="exact"/>
              <w:rPr>
                <w:sz w:val="20"/>
                <w:szCs w:val="20"/>
                <w:color w:val="auto"/>
              </w:rPr>
            </w:pPr>
            <w:r>
              <w:rPr>
                <w:rFonts w:ascii="Calibri" w:cs="Calibri" w:eastAsia="Calibri" w:hAnsi="Calibri"/>
                <w:sz w:val="20"/>
                <w:szCs w:val="20"/>
                <w:color w:val="auto"/>
              </w:rPr>
              <w:t>country ceases to be part of the territory under the EAP Agreement, Argentna, Brazil,</w:t>
            </w:r>
          </w:p>
        </w:tc>
      </w:tr>
      <w:tr>
        <w:trPr>
          <w:trHeight w:val="243"/>
        </w:trPr>
        <w:tc>
          <w:tcPr>
            <w:tcW w:w="3480" w:type="dxa"/>
            <w:vAlign w:val="bottom"/>
          </w:tcPr>
          <w:p>
            <w:pPr>
              <w:spacing w:after="0"/>
              <w:rPr>
                <w:sz w:val="21"/>
                <w:szCs w:val="21"/>
                <w:color w:val="auto"/>
              </w:rPr>
            </w:pPr>
          </w:p>
        </w:tc>
        <w:tc>
          <w:tcPr>
            <w:tcW w:w="7760" w:type="dxa"/>
            <w:vAlign w:val="bottom"/>
          </w:tcPr>
          <w:p>
            <w:pPr>
              <w:ind w:left="80"/>
              <w:spacing w:after="0" w:line="243" w:lineRule="exact"/>
              <w:rPr>
                <w:sz w:val="20"/>
                <w:szCs w:val="20"/>
                <w:color w:val="auto"/>
              </w:rPr>
            </w:pPr>
            <w:r>
              <w:rPr>
                <w:rFonts w:ascii="Calibri" w:cs="Calibri" w:eastAsia="Calibri" w:hAnsi="Calibri"/>
                <w:sz w:val="20"/>
                <w:szCs w:val="20"/>
                <w:color w:val="auto"/>
              </w:rPr>
              <w:t>Chile, Colombia, Mexico, Peru, Ecuador, Costa Rica, Guatemala, El Salvador, Honduras,</w:t>
            </w:r>
          </w:p>
        </w:tc>
      </w:tr>
      <w:tr>
        <w:trPr>
          <w:trHeight w:val="243"/>
        </w:trPr>
        <w:tc>
          <w:tcPr>
            <w:tcW w:w="3480" w:type="dxa"/>
            <w:vAlign w:val="bottom"/>
          </w:tcPr>
          <w:p>
            <w:pPr>
              <w:spacing w:after="0"/>
              <w:rPr>
                <w:sz w:val="21"/>
                <w:szCs w:val="21"/>
                <w:color w:val="auto"/>
              </w:rPr>
            </w:pPr>
          </w:p>
        </w:tc>
        <w:tc>
          <w:tcPr>
            <w:tcW w:w="7760" w:type="dxa"/>
            <w:vAlign w:val="bottom"/>
          </w:tcPr>
          <w:p>
            <w:pPr>
              <w:ind w:left="80"/>
              <w:spacing w:after="0" w:line="243" w:lineRule="exact"/>
              <w:rPr>
                <w:sz w:val="20"/>
                <w:szCs w:val="20"/>
                <w:color w:val="auto"/>
              </w:rPr>
            </w:pPr>
            <w:r>
              <w:rPr>
                <w:rFonts w:ascii="Calibri" w:cs="Calibri" w:eastAsia="Calibri" w:hAnsi="Calibri"/>
                <w:sz w:val="20"/>
                <w:szCs w:val="20"/>
                <w:color w:val="auto"/>
              </w:rPr>
              <w:t>Belize and Panama;</w:t>
            </w:r>
          </w:p>
        </w:tc>
      </w:tr>
      <w:tr>
        <w:trPr>
          <w:trHeight w:val="918"/>
        </w:trPr>
        <w:tc>
          <w:tcPr>
            <w:tcW w:w="3480" w:type="dxa"/>
            <w:vAlign w:val="bottom"/>
          </w:tcPr>
          <w:p>
            <w:pPr>
              <w:ind w:left="1000"/>
              <w:spacing w:after="0"/>
              <w:rPr>
                <w:sz w:val="20"/>
                <w:szCs w:val="20"/>
                <w:color w:val="auto"/>
              </w:rPr>
            </w:pPr>
            <w:r>
              <w:rPr>
                <w:rFonts w:ascii="Calibri" w:cs="Calibri" w:eastAsia="Calibri" w:hAnsi="Calibri"/>
                <w:sz w:val="20"/>
                <w:szCs w:val="20"/>
                <w:b w:val="1"/>
                <w:bCs w:val="1"/>
                <w:color w:val="auto"/>
              </w:rPr>
              <w:t>The Kyowa Kirin Indemnifed</w:t>
            </w:r>
          </w:p>
        </w:tc>
        <w:tc>
          <w:tcPr>
            <w:tcW w:w="7760" w:type="dxa"/>
            <w:vAlign w:val="bottom"/>
          </w:tcPr>
          <w:p>
            <w:pPr>
              <w:ind w:left="80"/>
              <w:spacing w:after="0"/>
              <w:rPr>
                <w:sz w:val="20"/>
                <w:szCs w:val="20"/>
                <w:color w:val="auto"/>
              </w:rPr>
            </w:pPr>
            <w:r>
              <w:rPr>
                <w:rFonts w:ascii="Calibri" w:cs="Calibri" w:eastAsia="Calibri" w:hAnsi="Calibri"/>
                <w:sz w:val="20"/>
                <w:szCs w:val="20"/>
                <w:color w:val="auto"/>
              </w:rPr>
              <w:t>has the meaning set out in Clause 20.1;</w:t>
            </w:r>
          </w:p>
        </w:tc>
      </w:tr>
      <w:tr>
        <w:trPr>
          <w:trHeight w:val="243"/>
        </w:trPr>
        <w:tc>
          <w:tcPr>
            <w:tcW w:w="3480" w:type="dxa"/>
            <w:vAlign w:val="bottom"/>
          </w:tcPr>
          <w:p>
            <w:pPr>
              <w:ind w:left="1000"/>
              <w:spacing w:after="0" w:line="243" w:lineRule="exact"/>
              <w:rPr>
                <w:sz w:val="20"/>
                <w:szCs w:val="20"/>
                <w:color w:val="auto"/>
              </w:rPr>
            </w:pPr>
            <w:r>
              <w:rPr>
                <w:rFonts w:ascii="Calibri" w:cs="Calibri" w:eastAsia="Calibri" w:hAnsi="Calibri"/>
                <w:sz w:val="20"/>
                <w:szCs w:val="20"/>
                <w:b w:val="1"/>
                <w:bCs w:val="1"/>
                <w:color w:val="auto"/>
              </w:rPr>
              <w:t>Party</w:t>
            </w:r>
          </w:p>
        </w:tc>
        <w:tc>
          <w:tcPr>
            <w:tcW w:w="7760" w:type="dxa"/>
            <w:vAlign w:val="bottom"/>
          </w:tcPr>
          <w:p>
            <w:pPr>
              <w:spacing w:after="0"/>
              <w:rPr>
                <w:sz w:val="21"/>
                <w:szCs w:val="21"/>
                <w:color w:val="auto"/>
              </w:rPr>
            </w:pPr>
          </w:p>
        </w:tc>
      </w:tr>
      <w:tr>
        <w:trPr>
          <w:trHeight w:val="635"/>
        </w:trPr>
        <w:tc>
          <w:tcPr>
            <w:tcW w:w="3480" w:type="dxa"/>
            <w:vAlign w:val="bottom"/>
          </w:tcPr>
          <w:p>
            <w:pPr>
              <w:ind w:left="1000"/>
              <w:spacing w:after="0"/>
              <w:rPr>
                <w:sz w:val="20"/>
                <w:szCs w:val="20"/>
                <w:color w:val="auto"/>
              </w:rPr>
            </w:pPr>
            <w:r>
              <w:rPr>
                <w:rFonts w:ascii="Calibri" w:cs="Calibri" w:eastAsia="Calibri" w:hAnsi="Calibri"/>
                <w:sz w:val="20"/>
                <w:szCs w:val="20"/>
                <w:b w:val="1"/>
                <w:bCs w:val="1"/>
                <w:color w:val="auto"/>
              </w:rPr>
              <w:t>The UGNX</w:t>
            </w:r>
          </w:p>
        </w:tc>
        <w:tc>
          <w:tcPr>
            <w:tcW w:w="7760" w:type="dxa"/>
            <w:vAlign w:val="bottom"/>
          </w:tcPr>
          <w:p>
            <w:pPr>
              <w:ind w:left="80"/>
              <w:spacing w:after="0"/>
              <w:rPr>
                <w:sz w:val="20"/>
                <w:szCs w:val="20"/>
                <w:color w:val="auto"/>
              </w:rPr>
            </w:pPr>
            <w:r>
              <w:rPr>
                <w:rFonts w:ascii="Calibri" w:cs="Calibri" w:eastAsia="Calibri" w:hAnsi="Calibri"/>
                <w:sz w:val="20"/>
                <w:szCs w:val="20"/>
                <w:color w:val="auto"/>
              </w:rPr>
              <w:t>has the meaning set out in Clause 20.2;</w:t>
            </w:r>
          </w:p>
        </w:tc>
      </w:tr>
      <w:tr>
        <w:trPr>
          <w:trHeight w:val="256"/>
        </w:trPr>
        <w:tc>
          <w:tcPr>
            <w:tcW w:w="3480" w:type="dxa"/>
            <w:vAlign w:val="bottom"/>
          </w:tcPr>
          <w:p>
            <w:pPr>
              <w:ind w:left="1000"/>
              <w:spacing w:after="0"/>
              <w:rPr>
                <w:sz w:val="20"/>
                <w:szCs w:val="20"/>
                <w:color w:val="auto"/>
              </w:rPr>
            </w:pPr>
            <w:r>
              <w:rPr>
                <w:rFonts w:ascii="Calibri" w:cs="Calibri" w:eastAsia="Calibri" w:hAnsi="Calibri"/>
                <w:sz w:val="20"/>
                <w:szCs w:val="20"/>
                <w:b w:val="1"/>
                <w:bCs w:val="1"/>
                <w:color w:val="auto"/>
              </w:rPr>
              <w:t>Indemnifed Party</w:t>
            </w:r>
          </w:p>
        </w:tc>
        <w:tc>
          <w:tcPr>
            <w:tcW w:w="7760" w:type="dxa"/>
            <w:vAlign w:val="bottom"/>
          </w:tcPr>
          <w:p>
            <w:pPr>
              <w:spacing w:after="0"/>
              <w:rPr>
                <w:sz w:val="22"/>
                <w:szCs w:val="22"/>
                <w:color w:val="auto"/>
              </w:rPr>
            </w:pPr>
          </w:p>
        </w:tc>
      </w:tr>
      <w:tr>
        <w:trPr>
          <w:trHeight w:val="608"/>
        </w:trPr>
        <w:tc>
          <w:tcPr>
            <w:tcW w:w="3480" w:type="dxa"/>
            <w:vAlign w:val="bottom"/>
          </w:tcPr>
          <w:p>
            <w:pPr>
              <w:ind w:left="1000"/>
              <w:spacing w:after="0"/>
              <w:rPr>
                <w:sz w:val="20"/>
                <w:szCs w:val="20"/>
                <w:color w:val="auto"/>
              </w:rPr>
            </w:pPr>
            <w:r>
              <w:rPr>
                <w:rFonts w:ascii="Calibri" w:cs="Calibri" w:eastAsia="Calibri" w:hAnsi="Calibri"/>
                <w:sz w:val="20"/>
                <w:szCs w:val="20"/>
                <w:b w:val="1"/>
                <w:bCs w:val="1"/>
                <w:color w:val="auto"/>
              </w:rPr>
              <w:t>Tribunal</w:t>
            </w:r>
          </w:p>
        </w:tc>
        <w:tc>
          <w:tcPr>
            <w:tcW w:w="7760" w:type="dxa"/>
            <w:vAlign w:val="bottom"/>
          </w:tcPr>
          <w:p>
            <w:pPr>
              <w:ind w:left="80"/>
              <w:spacing w:after="0"/>
              <w:rPr>
                <w:sz w:val="20"/>
                <w:szCs w:val="20"/>
                <w:color w:val="auto"/>
              </w:rPr>
            </w:pPr>
            <w:r>
              <w:rPr>
                <w:rFonts w:ascii="Calibri" w:cs="Calibri" w:eastAsia="Calibri" w:hAnsi="Calibri"/>
                <w:sz w:val="20"/>
                <w:szCs w:val="20"/>
                <w:color w:val="auto"/>
              </w:rPr>
              <w:t>has the meaning set out in Clause 28.4;</w:t>
            </w:r>
          </w:p>
        </w:tc>
      </w:tr>
      <w:tr>
        <w:trPr>
          <w:trHeight w:val="648"/>
        </w:trPr>
        <w:tc>
          <w:tcPr>
            <w:tcW w:w="3480" w:type="dxa"/>
            <w:vAlign w:val="bottom"/>
          </w:tcPr>
          <w:p>
            <w:pPr>
              <w:ind w:left="1000"/>
              <w:spacing w:after="0"/>
              <w:rPr>
                <w:sz w:val="20"/>
                <w:szCs w:val="20"/>
                <w:color w:val="auto"/>
              </w:rPr>
            </w:pPr>
            <w:r>
              <w:rPr>
                <w:rFonts w:ascii="Calibri" w:cs="Calibri" w:eastAsia="Calibri" w:hAnsi="Calibri"/>
                <w:sz w:val="20"/>
                <w:szCs w:val="20"/>
                <w:b w:val="1"/>
                <w:bCs w:val="1"/>
                <w:color w:val="auto"/>
              </w:rPr>
              <w:t>Withholding Tax</w:t>
            </w:r>
          </w:p>
        </w:tc>
        <w:tc>
          <w:tcPr>
            <w:tcW w:w="7760" w:type="dxa"/>
            <w:vAlign w:val="bottom"/>
          </w:tcPr>
          <w:p>
            <w:pPr>
              <w:ind w:left="80"/>
              <w:spacing w:after="0"/>
              <w:rPr>
                <w:sz w:val="20"/>
                <w:szCs w:val="20"/>
                <w:color w:val="auto"/>
              </w:rPr>
            </w:pPr>
            <w:r>
              <w:rPr>
                <w:rFonts w:ascii="Calibri" w:cs="Calibri" w:eastAsia="Calibri" w:hAnsi="Calibri"/>
                <w:sz w:val="20"/>
                <w:szCs w:val="20"/>
                <w:color w:val="auto"/>
              </w:rPr>
              <w:t>has the meaning set out in Clause 10.6;</w:t>
            </w:r>
          </w:p>
        </w:tc>
      </w:tr>
      <w:tr>
        <w:trPr>
          <w:trHeight w:val="635"/>
        </w:trPr>
        <w:tc>
          <w:tcPr>
            <w:tcW w:w="3480" w:type="dxa"/>
            <w:vAlign w:val="bottom"/>
          </w:tcPr>
          <w:p>
            <w:pPr>
              <w:ind w:left="1000"/>
              <w:spacing w:after="0"/>
              <w:rPr>
                <w:sz w:val="20"/>
                <w:szCs w:val="20"/>
                <w:color w:val="auto"/>
              </w:rPr>
            </w:pPr>
            <w:r>
              <w:rPr>
                <w:rFonts w:ascii="Calibri" w:cs="Calibri" w:eastAsia="Calibri" w:hAnsi="Calibri"/>
                <w:sz w:val="20"/>
                <w:szCs w:val="20"/>
                <w:b w:val="1"/>
                <w:bCs w:val="1"/>
                <w:color w:val="auto"/>
              </w:rPr>
              <w:t>Year</w:t>
            </w:r>
          </w:p>
        </w:tc>
        <w:tc>
          <w:tcPr>
            <w:tcW w:w="7760" w:type="dxa"/>
            <w:vAlign w:val="bottom"/>
          </w:tcPr>
          <w:p>
            <w:pPr>
              <w:ind w:left="80"/>
              <w:spacing w:after="0"/>
              <w:rPr>
                <w:sz w:val="20"/>
                <w:szCs w:val="20"/>
                <w:color w:val="auto"/>
              </w:rPr>
            </w:pPr>
            <w:r>
              <w:rPr>
                <w:rFonts w:ascii="Calibri" w:cs="Calibri" w:eastAsia="Calibri" w:hAnsi="Calibri"/>
                <w:sz w:val="20"/>
                <w:szCs w:val="20"/>
                <w:color w:val="auto"/>
              </w:rPr>
              <w:t>a period of twelve (12) months commencing on the Commencement Date and on each</w:t>
            </w:r>
          </w:p>
        </w:tc>
      </w:tr>
      <w:tr>
        <w:trPr>
          <w:trHeight w:val="243"/>
        </w:trPr>
        <w:tc>
          <w:tcPr>
            <w:tcW w:w="3480" w:type="dxa"/>
            <w:vAlign w:val="bottom"/>
          </w:tcPr>
          <w:p>
            <w:pPr>
              <w:spacing w:after="0"/>
              <w:rPr>
                <w:sz w:val="21"/>
                <w:szCs w:val="21"/>
                <w:color w:val="auto"/>
              </w:rPr>
            </w:pPr>
          </w:p>
        </w:tc>
        <w:tc>
          <w:tcPr>
            <w:tcW w:w="7760" w:type="dxa"/>
            <w:vAlign w:val="bottom"/>
          </w:tcPr>
          <w:p>
            <w:pPr>
              <w:ind w:left="80"/>
              <w:spacing w:after="0" w:line="243" w:lineRule="exact"/>
              <w:rPr>
                <w:sz w:val="20"/>
                <w:szCs w:val="20"/>
                <w:color w:val="auto"/>
              </w:rPr>
            </w:pPr>
            <w:r>
              <w:rPr>
                <w:rFonts w:ascii="Calibri" w:cs="Calibri" w:eastAsia="Calibri" w:hAnsi="Calibri"/>
                <w:sz w:val="20"/>
                <w:szCs w:val="20"/>
                <w:color w:val="auto"/>
              </w:rPr>
              <w:t>successive anniversary of the Commencement Date and ending on the day before each</w:t>
            </w:r>
          </w:p>
        </w:tc>
      </w:tr>
      <w:tr>
        <w:trPr>
          <w:trHeight w:val="243"/>
        </w:trPr>
        <w:tc>
          <w:tcPr>
            <w:tcW w:w="3480" w:type="dxa"/>
            <w:vAlign w:val="bottom"/>
          </w:tcPr>
          <w:p>
            <w:pPr>
              <w:spacing w:after="0"/>
              <w:rPr>
                <w:sz w:val="21"/>
                <w:szCs w:val="21"/>
                <w:color w:val="auto"/>
              </w:rPr>
            </w:pPr>
          </w:p>
        </w:tc>
        <w:tc>
          <w:tcPr>
            <w:tcW w:w="7760" w:type="dxa"/>
            <w:vAlign w:val="bottom"/>
          </w:tcPr>
          <w:p>
            <w:pPr>
              <w:ind w:left="80"/>
              <w:spacing w:after="0" w:line="243" w:lineRule="exact"/>
              <w:rPr>
                <w:sz w:val="20"/>
                <w:szCs w:val="20"/>
                <w:color w:val="auto"/>
              </w:rPr>
            </w:pPr>
            <w:r>
              <w:rPr>
                <w:rFonts w:ascii="Calibri" w:cs="Calibri" w:eastAsia="Calibri" w:hAnsi="Calibri"/>
                <w:sz w:val="20"/>
                <w:szCs w:val="20"/>
                <w:color w:val="auto"/>
              </w:rPr>
              <w:t>successive anniversary of the Commencement Date;</w:t>
            </w:r>
          </w:p>
        </w:tc>
      </w:tr>
      <w:tr>
        <w:trPr>
          <w:trHeight w:val="850"/>
        </w:trPr>
        <w:tc>
          <w:tcPr>
            <w:tcW w:w="34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1" w:name="page142"/>
    <w:bookmarkEnd w:id="141"/>
    <w:p>
      <w:pPr>
        <w:ind w:left="12"/>
        <w:spacing w:after="0"/>
        <w:tabs>
          <w:tab w:leader="none" w:pos="732" w:val="left"/>
        </w:tabs>
        <w:rPr>
          <w:sz w:val="20"/>
          <w:szCs w:val="20"/>
          <w:color w:val="auto"/>
        </w:rPr>
      </w:pPr>
      <w:r>
        <w:rPr>
          <w:rFonts w:ascii="Arial" w:cs="Arial" w:eastAsia="Arial" w:hAnsi="Arial"/>
          <w:sz w:val="20"/>
          <w:szCs w:val="20"/>
          <w:color w:val="auto"/>
        </w:rPr>
        <w:t>1.2</w:t>
      </w:r>
      <w:r>
        <w:rPr>
          <w:sz w:val="20"/>
          <w:szCs w:val="20"/>
          <w:color w:val="auto"/>
        </w:rPr>
        <w:tab/>
      </w:r>
      <w:r>
        <w:rPr>
          <w:rFonts w:ascii="Calibri" w:cs="Calibri" w:eastAsia="Calibri" w:hAnsi="Calibri"/>
          <w:sz w:val="20"/>
          <w:szCs w:val="20"/>
          <w:color w:val="auto"/>
        </w:rPr>
        <w:t>Drafing Conventons</w:t>
      </w:r>
    </w:p>
    <w:p>
      <w:pPr>
        <w:spacing w:after="0" w:line="249" w:lineRule="exact"/>
        <w:rPr>
          <w:sz w:val="20"/>
          <w:szCs w:val="20"/>
          <w:color w:val="auto"/>
        </w:rPr>
      </w:pPr>
    </w:p>
    <w:p>
      <w:pPr>
        <w:ind w:left="1452" w:right="20" w:hanging="705"/>
        <w:spacing w:after="0" w:line="234" w:lineRule="auto"/>
        <w:tabs>
          <w:tab w:leader="none" w:pos="1452" w:val="left"/>
        </w:tabs>
        <w:numPr>
          <w:ilvl w:val="0"/>
          <w:numId w:val="77"/>
        </w:numPr>
        <w:rPr>
          <w:rFonts w:ascii="Arial" w:cs="Arial" w:eastAsia="Arial" w:hAnsi="Arial"/>
          <w:sz w:val="20"/>
          <w:szCs w:val="20"/>
          <w:color w:val="auto"/>
        </w:rPr>
      </w:pPr>
      <w:r>
        <w:rPr>
          <w:rFonts w:ascii="Calibri" w:cs="Calibri" w:eastAsia="Calibri" w:hAnsi="Calibri"/>
          <w:sz w:val="20"/>
          <w:szCs w:val="20"/>
          <w:color w:val="auto"/>
        </w:rPr>
        <w:t>The headings in this Agreement are inserted for convenience only and shall not afect the interpretaton or constructon of this Agreement.</w:t>
      </w:r>
    </w:p>
    <w:p>
      <w:pPr>
        <w:spacing w:after="0" w:line="239" w:lineRule="exact"/>
        <w:rPr>
          <w:rFonts w:ascii="Arial" w:cs="Arial" w:eastAsia="Arial" w:hAnsi="Arial"/>
          <w:sz w:val="20"/>
          <w:szCs w:val="20"/>
          <w:color w:val="auto"/>
        </w:rPr>
      </w:pPr>
    </w:p>
    <w:p>
      <w:pPr>
        <w:jc w:val="both"/>
        <w:ind w:left="1452" w:hanging="705"/>
        <w:spacing w:after="0" w:line="236" w:lineRule="auto"/>
        <w:tabs>
          <w:tab w:leader="none" w:pos="1452" w:val="left"/>
        </w:tabs>
        <w:numPr>
          <w:ilvl w:val="0"/>
          <w:numId w:val="77"/>
        </w:numPr>
        <w:rPr>
          <w:rFonts w:ascii="Arial" w:cs="Arial" w:eastAsia="Arial" w:hAnsi="Arial"/>
          <w:sz w:val="20"/>
          <w:szCs w:val="20"/>
          <w:color w:val="auto"/>
        </w:rPr>
      </w:pPr>
      <w:r>
        <w:rPr>
          <w:rFonts w:ascii="Calibri" w:cs="Calibri" w:eastAsia="Calibri" w:hAnsi="Calibri"/>
          <w:sz w:val="20"/>
          <w:szCs w:val="20"/>
          <w:color w:val="auto"/>
        </w:rPr>
        <w:t>Words expressed in the singular shall include the plural and vice versa. Words referring to a partcular gender include every gender. References to a person include an individual, company, body corporate, corporaton, unincorporated associaton, frm, partnership or other legal entty.</w:t>
      </w:r>
    </w:p>
    <w:p>
      <w:pPr>
        <w:spacing w:after="0" w:line="238" w:lineRule="exact"/>
        <w:rPr>
          <w:rFonts w:ascii="Arial" w:cs="Arial" w:eastAsia="Arial" w:hAnsi="Arial"/>
          <w:sz w:val="20"/>
          <w:szCs w:val="20"/>
          <w:color w:val="auto"/>
        </w:rPr>
      </w:pPr>
    </w:p>
    <w:p>
      <w:pPr>
        <w:ind w:left="1452" w:right="20" w:hanging="705"/>
        <w:spacing w:after="0" w:line="234" w:lineRule="auto"/>
        <w:tabs>
          <w:tab w:leader="none" w:pos="1452" w:val="left"/>
        </w:tabs>
        <w:numPr>
          <w:ilvl w:val="0"/>
          <w:numId w:val="77"/>
        </w:numPr>
        <w:rPr>
          <w:rFonts w:ascii="Arial" w:cs="Arial" w:eastAsia="Arial" w:hAnsi="Arial"/>
          <w:sz w:val="20"/>
          <w:szCs w:val="20"/>
          <w:color w:val="auto"/>
        </w:rPr>
      </w:pPr>
      <w:r>
        <w:rPr>
          <w:rFonts w:ascii="Calibri" w:cs="Calibri" w:eastAsia="Calibri" w:hAnsi="Calibri"/>
          <w:sz w:val="20"/>
          <w:szCs w:val="20"/>
          <w:color w:val="auto"/>
        </w:rPr>
        <w:t>The words "other", "including" and "in partcular" shall not limit the generality of any preceding words or be construed as being limited to the same class as any preceding words where a wider constructon is possible.</w:t>
      </w:r>
    </w:p>
    <w:p>
      <w:pPr>
        <w:spacing w:after="0" w:line="239" w:lineRule="exact"/>
        <w:rPr>
          <w:rFonts w:ascii="Arial" w:cs="Arial" w:eastAsia="Arial" w:hAnsi="Arial"/>
          <w:sz w:val="20"/>
          <w:szCs w:val="20"/>
          <w:color w:val="auto"/>
        </w:rPr>
      </w:pPr>
    </w:p>
    <w:p>
      <w:pPr>
        <w:jc w:val="both"/>
        <w:ind w:left="1452" w:hanging="705"/>
        <w:spacing w:after="0" w:line="236" w:lineRule="auto"/>
        <w:tabs>
          <w:tab w:leader="none" w:pos="1452" w:val="left"/>
        </w:tabs>
        <w:numPr>
          <w:ilvl w:val="0"/>
          <w:numId w:val="77"/>
        </w:numPr>
        <w:rPr>
          <w:rFonts w:ascii="Arial" w:cs="Arial" w:eastAsia="Arial" w:hAnsi="Arial"/>
          <w:sz w:val="20"/>
          <w:szCs w:val="20"/>
          <w:color w:val="auto"/>
        </w:rPr>
      </w:pPr>
      <w:r>
        <w:rPr>
          <w:rFonts w:ascii="Calibri" w:cs="Calibri" w:eastAsia="Calibri" w:hAnsi="Calibri"/>
          <w:sz w:val="20"/>
          <w:szCs w:val="20"/>
          <w:color w:val="auto"/>
        </w:rPr>
        <w:t>References to any statute or statutory provision shall include (i) any subordinate legislaton made under it, (ii) any provision which it has modifed or re-enacted (whether with or without modifcaton), and (iii) any provision which subsequently supersedes it or re-enacts it (whether with or without modifcaton) whether made before or afer the date of this Agreement.</w:t>
      </w:r>
    </w:p>
    <w:p>
      <w:pPr>
        <w:spacing w:after="0" w:line="241" w:lineRule="exact"/>
        <w:rPr>
          <w:rFonts w:ascii="Arial" w:cs="Arial" w:eastAsia="Arial" w:hAnsi="Arial"/>
          <w:sz w:val="20"/>
          <w:szCs w:val="20"/>
          <w:color w:val="auto"/>
        </w:rPr>
      </w:pPr>
    </w:p>
    <w:p>
      <w:pPr>
        <w:ind w:left="1452" w:hanging="705"/>
        <w:spacing w:after="0" w:line="234" w:lineRule="auto"/>
        <w:tabs>
          <w:tab w:leader="none" w:pos="1452" w:val="left"/>
        </w:tabs>
        <w:numPr>
          <w:ilvl w:val="0"/>
          <w:numId w:val="77"/>
        </w:numPr>
        <w:rPr>
          <w:rFonts w:ascii="Arial" w:cs="Arial" w:eastAsia="Arial" w:hAnsi="Arial"/>
          <w:sz w:val="20"/>
          <w:szCs w:val="20"/>
          <w:color w:val="auto"/>
        </w:rPr>
      </w:pPr>
      <w:r>
        <w:rPr>
          <w:rFonts w:ascii="Calibri" w:cs="Calibri" w:eastAsia="Calibri" w:hAnsi="Calibri"/>
          <w:sz w:val="20"/>
          <w:szCs w:val="20"/>
          <w:color w:val="auto"/>
        </w:rPr>
        <w:t>All references in this Agreement to Clauses, and Schedules are to the clauses, and schedules to this Agreement unless otherwise stated.</w:t>
      </w:r>
    </w:p>
    <w:p>
      <w:pPr>
        <w:spacing w:after="0" w:line="230" w:lineRule="exact"/>
        <w:rPr>
          <w:sz w:val="20"/>
          <w:szCs w:val="20"/>
          <w:color w:val="auto"/>
        </w:rPr>
      </w:pPr>
    </w:p>
    <w:p>
      <w:pPr>
        <w:ind w:left="752" w:hanging="752"/>
        <w:spacing w:after="0"/>
        <w:tabs>
          <w:tab w:leader="none" w:pos="752" w:val="left"/>
        </w:tabs>
        <w:numPr>
          <w:ilvl w:val="0"/>
          <w:numId w:val="78"/>
        </w:numPr>
        <w:rPr>
          <w:rFonts w:ascii="Arial" w:cs="Arial" w:eastAsia="Arial" w:hAnsi="Arial"/>
          <w:sz w:val="20"/>
          <w:szCs w:val="20"/>
          <w:b w:val="1"/>
          <w:bCs w:val="1"/>
          <w:color w:val="auto"/>
        </w:rPr>
      </w:pPr>
      <w:r>
        <w:rPr>
          <w:rFonts w:ascii="Calibri" w:cs="Calibri" w:eastAsia="Calibri" w:hAnsi="Calibri"/>
          <w:sz w:val="20"/>
          <w:szCs w:val="20"/>
          <w:b w:val="1"/>
          <w:bCs w:val="1"/>
          <w:color w:val="auto"/>
        </w:rPr>
        <w:t>DURATION</w:t>
      </w:r>
    </w:p>
    <w:p>
      <w:pPr>
        <w:spacing w:after="0" w:line="227" w:lineRule="exact"/>
        <w:rPr>
          <w:sz w:val="20"/>
          <w:szCs w:val="20"/>
          <w:color w:val="auto"/>
        </w:rPr>
      </w:pPr>
    </w:p>
    <w:p>
      <w:pPr>
        <w:jc w:val="both"/>
        <w:ind w:left="712" w:hanging="697"/>
        <w:spacing w:after="0" w:line="237" w:lineRule="auto"/>
        <w:tabs>
          <w:tab w:leader="none" w:pos="692" w:val="left"/>
        </w:tabs>
        <w:rPr>
          <w:sz w:val="20"/>
          <w:szCs w:val="20"/>
          <w:color w:val="auto"/>
        </w:rPr>
      </w:pPr>
      <w:r>
        <w:rPr>
          <w:rFonts w:ascii="Arial" w:cs="Arial" w:eastAsia="Arial" w:hAnsi="Arial"/>
          <w:sz w:val="20"/>
          <w:szCs w:val="20"/>
          <w:color w:val="auto"/>
        </w:rPr>
        <w:t>2.1</w:t>
      </w:r>
      <w:r>
        <w:rPr>
          <w:sz w:val="20"/>
          <w:szCs w:val="20"/>
          <w:color w:val="auto"/>
        </w:rPr>
        <w:tab/>
      </w:r>
      <w:r>
        <w:rPr>
          <w:rFonts w:ascii="Calibri" w:cs="Calibri" w:eastAsia="Calibri" w:hAnsi="Calibri"/>
          <w:sz w:val="20"/>
          <w:szCs w:val="20"/>
          <w:color w:val="auto"/>
        </w:rPr>
        <w:t>This Agreement shall come into force on the Commencement Date and shall, subject to the provisions for earlier terminaton set out in this Agreement, contnue in force throughout the term of the Collaboraton Agreement, and thereafer this Agreement shall be automatcally extended for consecutve [***] periods unless either party gives [***] writen notce of terminaton to terminate at the date of expiraton of the Collaboraton Agreement or at the end of any subsequent renewal period (the "</w:t>
      </w:r>
      <w:r>
        <w:rPr>
          <w:rFonts w:ascii="Calibri" w:cs="Calibri" w:eastAsia="Calibri" w:hAnsi="Calibri"/>
          <w:sz w:val="20"/>
          <w:szCs w:val="20"/>
          <w:b w:val="1"/>
          <w:bCs w:val="1"/>
          <w:color w:val="auto"/>
        </w:rPr>
        <w:t>Term</w:t>
      </w:r>
      <w:r>
        <w:rPr>
          <w:rFonts w:ascii="Calibri" w:cs="Calibri" w:eastAsia="Calibri" w:hAnsi="Calibri"/>
          <w:sz w:val="20"/>
          <w:szCs w:val="20"/>
          <w:color w:val="auto"/>
        </w:rPr>
        <w:t>"), or unless both partes mutually agree to a terminaton date in writng.</w:t>
      </w:r>
    </w:p>
    <w:p>
      <w:pPr>
        <w:spacing w:after="0" w:line="240" w:lineRule="exact"/>
        <w:rPr>
          <w:sz w:val="20"/>
          <w:szCs w:val="20"/>
          <w:color w:val="auto"/>
        </w:rPr>
      </w:pPr>
    </w:p>
    <w:p>
      <w:pPr>
        <w:ind w:left="752" w:hanging="752"/>
        <w:spacing w:after="0"/>
        <w:tabs>
          <w:tab w:leader="none" w:pos="752" w:val="left"/>
        </w:tabs>
        <w:numPr>
          <w:ilvl w:val="0"/>
          <w:numId w:val="79"/>
        </w:numPr>
        <w:rPr>
          <w:rFonts w:ascii="Arial" w:cs="Arial" w:eastAsia="Arial" w:hAnsi="Arial"/>
          <w:sz w:val="20"/>
          <w:szCs w:val="20"/>
          <w:b w:val="1"/>
          <w:bCs w:val="1"/>
          <w:color w:val="auto"/>
        </w:rPr>
      </w:pPr>
      <w:r>
        <w:rPr>
          <w:rFonts w:ascii="Calibri" w:cs="Calibri" w:eastAsia="Calibri" w:hAnsi="Calibri"/>
          <w:sz w:val="20"/>
          <w:szCs w:val="20"/>
          <w:b w:val="1"/>
          <w:bCs w:val="1"/>
          <w:color w:val="auto"/>
        </w:rPr>
        <w:t>APPOINTMENT</w:t>
      </w:r>
    </w:p>
    <w:p>
      <w:pPr>
        <w:spacing w:after="0" w:line="227" w:lineRule="exact"/>
        <w:rPr>
          <w:sz w:val="20"/>
          <w:szCs w:val="20"/>
          <w:color w:val="auto"/>
        </w:rPr>
      </w:pPr>
    </w:p>
    <w:p>
      <w:pPr>
        <w:ind w:left="712" w:hanging="697"/>
        <w:spacing w:after="0" w:line="234" w:lineRule="auto"/>
        <w:tabs>
          <w:tab w:leader="none" w:pos="692" w:val="left"/>
        </w:tabs>
        <w:rPr>
          <w:sz w:val="20"/>
          <w:szCs w:val="20"/>
          <w:color w:val="auto"/>
        </w:rPr>
      </w:pPr>
      <w:r>
        <w:rPr>
          <w:rFonts w:ascii="Arial" w:cs="Arial" w:eastAsia="Arial" w:hAnsi="Arial"/>
          <w:sz w:val="20"/>
          <w:szCs w:val="20"/>
          <w:color w:val="auto"/>
        </w:rPr>
        <w:t>3.1</w:t>
      </w:r>
      <w:r>
        <w:rPr>
          <w:sz w:val="20"/>
          <w:szCs w:val="20"/>
          <w:color w:val="auto"/>
        </w:rPr>
        <w:tab/>
      </w:r>
      <w:r>
        <w:rPr>
          <w:rFonts w:ascii="Calibri" w:cs="Calibri" w:eastAsia="Calibri" w:hAnsi="Calibri"/>
          <w:sz w:val="20"/>
          <w:szCs w:val="20"/>
          <w:color w:val="auto"/>
        </w:rPr>
        <w:t>UGNX hereby appoints Kyowa Kirin and Kyowa Kirin hereby accepts the appointment as UGNX’s exclusive supplier of the Product for commercialisaton in the Territory subject to and in accordance with the provisions of this Agreement.</w:t>
      </w:r>
    </w:p>
    <w:p>
      <w:pPr>
        <w:spacing w:after="0" w:line="240" w:lineRule="exact"/>
        <w:rPr>
          <w:sz w:val="20"/>
          <w:szCs w:val="20"/>
          <w:color w:val="auto"/>
        </w:rPr>
      </w:pPr>
    </w:p>
    <w:p>
      <w:pPr>
        <w:ind w:left="752" w:hanging="752"/>
        <w:spacing w:after="0"/>
        <w:tabs>
          <w:tab w:leader="none" w:pos="752" w:val="left"/>
        </w:tabs>
        <w:numPr>
          <w:ilvl w:val="0"/>
          <w:numId w:val="80"/>
        </w:numPr>
        <w:rPr>
          <w:rFonts w:ascii="Arial" w:cs="Arial" w:eastAsia="Arial" w:hAnsi="Arial"/>
          <w:sz w:val="20"/>
          <w:szCs w:val="20"/>
          <w:b w:val="1"/>
          <w:bCs w:val="1"/>
          <w:color w:val="auto"/>
        </w:rPr>
      </w:pPr>
      <w:r>
        <w:rPr>
          <w:rFonts w:ascii="Calibri" w:cs="Calibri" w:eastAsia="Calibri" w:hAnsi="Calibri"/>
          <w:sz w:val="20"/>
          <w:szCs w:val="20"/>
          <w:b w:val="1"/>
          <w:bCs w:val="1"/>
          <w:color w:val="auto"/>
        </w:rPr>
        <w:t>EXCLUSIVITY</w:t>
      </w:r>
    </w:p>
    <w:p>
      <w:pPr>
        <w:spacing w:after="0" w:line="218" w:lineRule="exact"/>
        <w:rPr>
          <w:sz w:val="20"/>
          <w:szCs w:val="20"/>
          <w:color w:val="auto"/>
        </w:rPr>
      </w:pPr>
    </w:p>
    <w:p>
      <w:pPr>
        <w:ind w:left="12"/>
        <w:spacing w:after="0"/>
        <w:tabs>
          <w:tab w:leader="none" w:pos="732" w:val="left"/>
        </w:tabs>
        <w:rPr>
          <w:sz w:val="20"/>
          <w:szCs w:val="20"/>
          <w:color w:val="auto"/>
        </w:rPr>
      </w:pPr>
      <w:r>
        <w:rPr>
          <w:rFonts w:ascii="Arial" w:cs="Arial" w:eastAsia="Arial" w:hAnsi="Arial"/>
          <w:sz w:val="20"/>
          <w:szCs w:val="20"/>
          <w:color w:val="auto"/>
        </w:rPr>
        <w:t>4.1</w:t>
      </w:r>
      <w:r>
        <w:rPr>
          <w:sz w:val="20"/>
          <w:szCs w:val="20"/>
          <w:color w:val="auto"/>
        </w:rPr>
        <w:tab/>
      </w:r>
      <w:r>
        <w:rPr>
          <w:rFonts w:ascii="Calibri" w:cs="Calibri" w:eastAsia="Calibri" w:hAnsi="Calibri"/>
          <w:sz w:val="20"/>
          <w:szCs w:val="20"/>
          <w:color w:val="auto"/>
        </w:rPr>
        <w:t>Throughout the Term of this Agreement:</w:t>
      </w:r>
    </w:p>
    <w:p>
      <w:pPr>
        <w:spacing w:after="0" w:line="249" w:lineRule="exact"/>
        <w:rPr>
          <w:sz w:val="20"/>
          <w:szCs w:val="20"/>
          <w:color w:val="auto"/>
        </w:rPr>
      </w:pPr>
    </w:p>
    <w:p>
      <w:pPr>
        <w:jc w:val="both"/>
        <w:ind w:left="1452" w:hanging="705"/>
        <w:spacing w:after="0" w:line="236" w:lineRule="auto"/>
        <w:tabs>
          <w:tab w:leader="none" w:pos="1452" w:val="left"/>
        </w:tabs>
        <w:numPr>
          <w:ilvl w:val="0"/>
          <w:numId w:val="81"/>
        </w:numPr>
        <w:rPr>
          <w:rFonts w:ascii="Arial" w:cs="Arial" w:eastAsia="Arial" w:hAnsi="Arial"/>
          <w:sz w:val="20"/>
          <w:szCs w:val="20"/>
          <w:color w:val="auto"/>
        </w:rPr>
      </w:pPr>
      <w:r>
        <w:rPr>
          <w:rFonts w:ascii="Calibri" w:cs="Calibri" w:eastAsia="Calibri" w:hAnsi="Calibri"/>
          <w:sz w:val="20"/>
          <w:szCs w:val="20"/>
          <w:color w:val="auto"/>
        </w:rPr>
        <w:t>Kyowa Kirin shall exclusively supply UGNX with the Product in the Territory. This means that Kyowa Kirin shall not be enttled to appoint other distributors in the Territory, actvely sell or distribute, nor permit the distributon of the Product directly to customers in the Territory; and</w:t>
      </w:r>
    </w:p>
    <w:p>
      <w:pPr>
        <w:spacing w:after="0" w:line="238" w:lineRule="exact"/>
        <w:rPr>
          <w:rFonts w:ascii="Arial" w:cs="Arial" w:eastAsia="Arial" w:hAnsi="Arial"/>
          <w:sz w:val="20"/>
          <w:szCs w:val="20"/>
          <w:color w:val="auto"/>
        </w:rPr>
      </w:pPr>
    </w:p>
    <w:p>
      <w:pPr>
        <w:jc w:val="both"/>
        <w:ind w:left="1452" w:hanging="705"/>
        <w:spacing w:after="0" w:line="234" w:lineRule="auto"/>
        <w:tabs>
          <w:tab w:leader="none" w:pos="1452" w:val="left"/>
        </w:tabs>
        <w:numPr>
          <w:ilvl w:val="0"/>
          <w:numId w:val="81"/>
        </w:numPr>
        <w:rPr>
          <w:rFonts w:ascii="Arial" w:cs="Arial" w:eastAsia="Arial" w:hAnsi="Arial"/>
          <w:sz w:val="20"/>
          <w:szCs w:val="20"/>
          <w:color w:val="auto"/>
        </w:rPr>
      </w:pPr>
      <w:r>
        <w:rPr>
          <w:rFonts w:ascii="Calibri" w:cs="Calibri" w:eastAsia="Calibri" w:hAnsi="Calibri"/>
          <w:sz w:val="20"/>
          <w:szCs w:val="20"/>
          <w:color w:val="auto"/>
        </w:rPr>
        <w:t>UGNX shall exclusively purchase its supplies of the Product in the Territory from Kyowa Kirin. This means UGNX shall not purchase supplies of the Product from any other party for resale to customers in the Territory.</w:t>
      </w:r>
    </w:p>
    <w:p>
      <w:pPr>
        <w:spacing w:after="0" w:line="81" w:lineRule="exact"/>
        <w:rPr>
          <w:sz w:val="20"/>
          <w:szCs w:val="20"/>
          <w:color w:val="auto"/>
        </w:rPr>
      </w:pPr>
    </w:p>
    <w:p>
      <w:pPr>
        <w:ind w:left="752" w:hanging="752"/>
        <w:spacing w:after="0"/>
        <w:tabs>
          <w:tab w:leader="none" w:pos="752" w:val="left"/>
        </w:tabs>
        <w:numPr>
          <w:ilvl w:val="0"/>
          <w:numId w:val="82"/>
        </w:numPr>
        <w:rPr>
          <w:rFonts w:ascii="Arial" w:cs="Arial" w:eastAsia="Arial" w:hAnsi="Arial"/>
          <w:sz w:val="20"/>
          <w:szCs w:val="20"/>
          <w:b w:val="1"/>
          <w:bCs w:val="1"/>
          <w:color w:val="auto"/>
        </w:rPr>
      </w:pPr>
      <w:r>
        <w:rPr>
          <w:rFonts w:ascii="Calibri" w:cs="Calibri" w:eastAsia="Calibri" w:hAnsi="Calibri"/>
          <w:sz w:val="20"/>
          <w:szCs w:val="20"/>
          <w:b w:val="1"/>
          <w:bCs w:val="1"/>
          <w:color w:val="auto"/>
        </w:rPr>
        <w:t>APPROVALS, AUTHORISATIONS, PRICING AND REIMBURSEMENT</w:t>
      </w:r>
    </w:p>
    <w:p>
      <w:pPr>
        <w:spacing w:after="0" w:line="227" w:lineRule="exact"/>
        <w:rPr>
          <w:sz w:val="20"/>
          <w:szCs w:val="20"/>
          <w:color w:val="auto"/>
        </w:rPr>
      </w:pPr>
    </w:p>
    <w:p>
      <w:pPr>
        <w:jc w:val="both"/>
        <w:ind w:left="712" w:hanging="697"/>
        <w:spacing w:after="0"/>
        <w:tabs>
          <w:tab w:leader="none" w:pos="692" w:val="left"/>
        </w:tabs>
        <w:rPr>
          <w:sz w:val="20"/>
          <w:szCs w:val="20"/>
          <w:color w:val="auto"/>
        </w:rPr>
      </w:pPr>
      <w:r>
        <w:rPr>
          <w:rFonts w:ascii="Arial" w:cs="Arial" w:eastAsia="Arial" w:hAnsi="Arial"/>
          <w:sz w:val="20"/>
          <w:szCs w:val="20"/>
          <w:color w:val="auto"/>
        </w:rPr>
        <w:t>5.1</w:t>
      </w:r>
      <w:r>
        <w:rPr>
          <w:sz w:val="20"/>
          <w:szCs w:val="20"/>
          <w:color w:val="auto"/>
        </w:rPr>
        <w:tab/>
      </w:r>
      <w:r>
        <w:rPr>
          <w:rFonts w:ascii="Calibri" w:cs="Calibri" w:eastAsia="Calibri" w:hAnsi="Calibri"/>
          <w:sz w:val="20"/>
          <w:szCs w:val="20"/>
          <w:color w:val="auto"/>
        </w:rPr>
        <w:t>Following grant of an MA for the Product in each country in the Territory, UGNX (or its designee) shall maintain the MA, including carrying out, in a tmely manner, [***] expense, any necessary regulatory variaton required following notfcaton by Kyowa Kirin of any change to the Product specifcaton, which change Kyowa Kirin shall notfy to UGNX as soon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384810</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12"/>
          </w:cols>
          <w:pgMar w:left="508" w:top="1391" w:right="879" w:bottom="1440" w:gutter="0" w:footer="0" w:header="0"/>
        </w:sectPr>
      </w:pPr>
    </w:p>
    <w:bookmarkStart w:id="142" w:name="page143"/>
    <w:bookmarkEnd w:id="142"/>
    <w:p>
      <w:pPr>
        <w:spacing w:after="0" w:line="93" w:lineRule="exact"/>
        <w:rPr>
          <w:sz w:val="20"/>
          <w:szCs w:val="20"/>
          <w:color w:val="auto"/>
        </w:rPr>
      </w:pPr>
    </w:p>
    <w:p>
      <w:pPr>
        <w:jc w:val="both"/>
        <w:ind w:left="712"/>
        <w:spacing w:after="0" w:line="236" w:lineRule="auto"/>
        <w:rPr>
          <w:sz w:val="20"/>
          <w:szCs w:val="20"/>
          <w:color w:val="auto"/>
        </w:rPr>
      </w:pPr>
      <w:r>
        <w:rPr>
          <w:rFonts w:ascii="Calibri" w:cs="Calibri" w:eastAsia="Calibri" w:hAnsi="Calibri"/>
          <w:sz w:val="20"/>
          <w:szCs w:val="20"/>
          <w:color w:val="auto"/>
        </w:rPr>
        <w:t>as reasonably practcable. Kyowa Kirin shall provide to UGNX all necessary documentaton, expertse and know-how for the maintenance of the MAs, including without limitaton, any necessary regulatory variaton, as further set forth in the Quality Agreement and/or as reasonably requested by UGNX.</w:t>
      </w:r>
    </w:p>
    <w:p>
      <w:pPr>
        <w:spacing w:after="0" w:line="228" w:lineRule="exact"/>
        <w:rPr>
          <w:sz w:val="20"/>
          <w:szCs w:val="20"/>
          <w:color w:val="auto"/>
        </w:rPr>
      </w:pPr>
    </w:p>
    <w:p>
      <w:pPr>
        <w:jc w:val="both"/>
        <w:ind w:left="712" w:right="20" w:hanging="697"/>
        <w:spacing w:after="0" w:line="234" w:lineRule="auto"/>
        <w:tabs>
          <w:tab w:leader="none" w:pos="692" w:val="left"/>
        </w:tabs>
        <w:rPr>
          <w:sz w:val="20"/>
          <w:szCs w:val="20"/>
          <w:color w:val="auto"/>
        </w:rPr>
      </w:pPr>
      <w:r>
        <w:rPr>
          <w:rFonts w:ascii="Arial" w:cs="Arial" w:eastAsia="Arial" w:hAnsi="Arial"/>
          <w:sz w:val="20"/>
          <w:szCs w:val="20"/>
          <w:color w:val="auto"/>
        </w:rPr>
        <w:t>5.2</w:t>
      </w:r>
      <w:r>
        <w:rPr>
          <w:sz w:val="20"/>
          <w:szCs w:val="20"/>
          <w:color w:val="auto"/>
        </w:rPr>
        <w:tab/>
      </w:r>
      <w:r>
        <w:rPr>
          <w:rFonts w:ascii="Calibri" w:cs="Calibri" w:eastAsia="Calibri" w:hAnsi="Calibri"/>
          <w:sz w:val="20"/>
          <w:szCs w:val="20"/>
          <w:color w:val="auto"/>
        </w:rPr>
        <w:t>During the Term of this Agreement UGNX shall be solely responsible for any necessary negotaton of pricing and reimbursement for the Product in the Territory.</w:t>
      </w:r>
    </w:p>
    <w:p>
      <w:pPr>
        <w:spacing w:after="0" w:line="239" w:lineRule="exact"/>
        <w:rPr>
          <w:sz w:val="20"/>
          <w:szCs w:val="20"/>
          <w:color w:val="auto"/>
        </w:rPr>
      </w:pPr>
    </w:p>
    <w:p>
      <w:pPr>
        <w:jc w:val="both"/>
        <w:ind w:left="712" w:hanging="697"/>
        <w:spacing w:after="0" w:line="236" w:lineRule="auto"/>
        <w:tabs>
          <w:tab w:leader="none" w:pos="692" w:val="left"/>
        </w:tabs>
        <w:rPr>
          <w:sz w:val="20"/>
          <w:szCs w:val="20"/>
          <w:color w:val="auto"/>
        </w:rPr>
      </w:pPr>
      <w:r>
        <w:rPr>
          <w:rFonts w:ascii="Arial" w:cs="Arial" w:eastAsia="Arial" w:hAnsi="Arial"/>
          <w:sz w:val="20"/>
          <w:szCs w:val="20"/>
          <w:color w:val="auto"/>
        </w:rPr>
        <w:t>5.3</w:t>
      </w:r>
      <w:r>
        <w:rPr>
          <w:sz w:val="20"/>
          <w:szCs w:val="20"/>
          <w:color w:val="auto"/>
        </w:rPr>
        <w:tab/>
      </w:r>
      <w:r>
        <w:rPr>
          <w:rFonts w:ascii="Calibri" w:cs="Calibri" w:eastAsia="Calibri" w:hAnsi="Calibri"/>
          <w:sz w:val="20"/>
          <w:szCs w:val="20"/>
          <w:color w:val="auto"/>
        </w:rPr>
        <w:t>During the Term of this Agreement UGNX shall have sole responsibility for seeking, obtaining and maintaining all licenses, registratons, permits and Health Registraton Approvals, and for market access, distributon, medical afairs, and pharmacovigilance for the Product (subject to the pharmacovigilance agreement between the partes in respect of the Product in the Territory).</w:t>
      </w:r>
    </w:p>
    <w:p>
      <w:pPr>
        <w:spacing w:after="0" w:line="241" w:lineRule="exact"/>
        <w:rPr>
          <w:sz w:val="20"/>
          <w:szCs w:val="20"/>
          <w:color w:val="auto"/>
        </w:rPr>
      </w:pPr>
    </w:p>
    <w:p>
      <w:pPr>
        <w:jc w:val="both"/>
        <w:ind w:left="712" w:hanging="697"/>
        <w:spacing w:after="0" w:line="237" w:lineRule="auto"/>
        <w:tabs>
          <w:tab w:leader="none" w:pos="692" w:val="left"/>
        </w:tabs>
        <w:rPr>
          <w:sz w:val="20"/>
          <w:szCs w:val="20"/>
          <w:color w:val="auto"/>
        </w:rPr>
      </w:pPr>
      <w:r>
        <w:rPr>
          <w:rFonts w:ascii="Arial" w:cs="Arial" w:eastAsia="Arial" w:hAnsi="Arial"/>
          <w:sz w:val="20"/>
          <w:szCs w:val="20"/>
          <w:color w:val="auto"/>
        </w:rPr>
        <w:t>5.4</w:t>
      </w:r>
      <w:r>
        <w:rPr>
          <w:sz w:val="20"/>
          <w:szCs w:val="20"/>
          <w:color w:val="auto"/>
        </w:rPr>
        <w:tab/>
      </w:r>
      <w:r>
        <w:rPr>
          <w:rFonts w:ascii="Calibri" w:cs="Calibri" w:eastAsia="Calibri" w:hAnsi="Calibri"/>
          <w:sz w:val="20"/>
          <w:szCs w:val="20"/>
          <w:color w:val="auto"/>
        </w:rPr>
        <w:t>In the event of changes to facilites, equipment, processes, specifcatons, quality control and sourcing of material, sampling and test methods and quality assurance release process, both partes shall use their [***] to minimize obsolescence and interrupton of supply. The change-initatng party shall notfy the other party as soon as practcable of the planned change. UGNX is responsible to approve and determine the regulatory impact of such change in the Territory. Kyowa Kirin shall provide to UGNX an inventory reconciliaton of such materials with [***] of notfcaton by either party of the planned change. The partes shall mutually agree upon an implementaton schedule for the planned change and means to minimize obsolescence and interrupton of supply. The party initatng the changes shall be responsible [***] associated with the resultng obsolescence.</w:t>
      </w:r>
    </w:p>
    <w:p>
      <w:pPr>
        <w:spacing w:after="0" w:line="246" w:lineRule="exact"/>
        <w:rPr>
          <w:sz w:val="20"/>
          <w:szCs w:val="20"/>
          <w:color w:val="auto"/>
        </w:rPr>
      </w:pPr>
    </w:p>
    <w:p>
      <w:pPr>
        <w:ind w:left="752" w:hanging="752"/>
        <w:spacing w:after="0"/>
        <w:tabs>
          <w:tab w:leader="none" w:pos="752" w:val="left"/>
        </w:tabs>
        <w:numPr>
          <w:ilvl w:val="0"/>
          <w:numId w:val="83"/>
        </w:numPr>
        <w:rPr>
          <w:rFonts w:ascii="Arial" w:cs="Arial" w:eastAsia="Arial" w:hAnsi="Arial"/>
          <w:sz w:val="20"/>
          <w:szCs w:val="20"/>
          <w:b w:val="1"/>
          <w:bCs w:val="1"/>
          <w:color w:val="auto"/>
        </w:rPr>
      </w:pPr>
      <w:r>
        <w:rPr>
          <w:rFonts w:ascii="Calibri" w:cs="Calibri" w:eastAsia="Calibri" w:hAnsi="Calibri"/>
          <w:sz w:val="20"/>
          <w:szCs w:val="20"/>
          <w:b w:val="1"/>
          <w:bCs w:val="1"/>
          <w:color w:val="auto"/>
        </w:rPr>
        <w:t>SUPPLY OF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231140</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12"/>
          </w:cols>
          <w:pgMar w:left="508" w:top="1440" w:right="879" w:bottom="1440" w:gutter="0" w:footer="0" w:header="0"/>
        </w:sectPr>
      </w:pPr>
    </w:p>
    <w:bookmarkStart w:id="143" w:name="page144"/>
    <w:bookmarkEnd w:id="143"/>
    <w:p>
      <w:pPr>
        <w:spacing w:after="0" w:line="83" w:lineRule="exact"/>
        <w:rPr>
          <w:sz w:val="20"/>
          <w:szCs w:val="20"/>
          <w:color w:val="auto"/>
        </w:rPr>
      </w:pPr>
    </w:p>
    <w:p>
      <w:pPr>
        <w:ind w:left="40"/>
        <w:spacing w:after="0"/>
        <w:rPr>
          <w:sz w:val="20"/>
          <w:szCs w:val="20"/>
          <w:color w:val="auto"/>
        </w:rPr>
      </w:pPr>
      <w:r>
        <w:rPr>
          <w:rFonts w:ascii="Calibri" w:cs="Calibri" w:eastAsia="Calibri" w:hAnsi="Calibri"/>
          <w:sz w:val="20"/>
          <w:szCs w:val="20"/>
          <w:color w:val="auto"/>
        </w:rPr>
        <w:t>Product Overview</w:t>
      </w:r>
    </w:p>
    <w:p>
      <w:pPr>
        <w:spacing w:after="0" w:line="227" w:lineRule="exact"/>
        <w:rPr>
          <w:sz w:val="20"/>
          <w:szCs w:val="20"/>
          <w:color w:val="auto"/>
        </w:rPr>
      </w:pPr>
    </w:p>
    <w:p>
      <w:pPr>
        <w:jc w:val="both"/>
        <w:ind w:hanging="697"/>
        <w:spacing w:after="0" w:line="236" w:lineRule="auto"/>
        <w:rPr>
          <w:sz w:val="20"/>
          <w:szCs w:val="20"/>
          <w:color w:val="auto"/>
        </w:rPr>
      </w:pPr>
      <w:r>
        <w:rPr>
          <w:rFonts w:ascii="Arial" w:cs="Arial" w:eastAsia="Arial" w:hAnsi="Arial"/>
          <w:sz w:val="20"/>
          <w:szCs w:val="20"/>
          <w:color w:val="auto"/>
        </w:rPr>
        <w:t>6.1</w:t>
      </w:r>
      <w:r>
        <w:rPr>
          <w:sz w:val="20"/>
          <w:szCs w:val="20"/>
          <w:color w:val="auto"/>
        </w:rPr>
        <w:t xml:space="preserve"> </w:t>
      </w:r>
      <w:r>
        <w:rPr>
          <w:rFonts w:ascii="Calibri" w:cs="Calibri" w:eastAsia="Calibri" w:hAnsi="Calibri"/>
          <w:sz w:val="20"/>
          <w:szCs w:val="20"/>
          <w:color w:val="auto"/>
        </w:rPr>
        <w:t>During the Term of this Agreement, Kyowa Kirin shall supply Product as naked, unlabelled product. Product will be supplied to UGNX from the bulk drug Product supply maintained at Kyowa Kirin’s packaging facility or its approved third party packaging facility as outlined in secton 7.2. Kyowa Kirin agrees to maintain in inventory of sufcient Product, as mutually agreed through the joint sales and operatons planning process.</w:t>
      </w:r>
    </w:p>
    <w:p>
      <w:pPr>
        <w:spacing w:after="0" w:line="241" w:lineRule="exact"/>
        <w:rPr>
          <w:sz w:val="20"/>
          <w:szCs w:val="20"/>
          <w:color w:val="auto"/>
        </w:rPr>
      </w:pPr>
    </w:p>
    <w:p>
      <w:pPr>
        <w:jc w:val="both"/>
        <w:ind w:hanging="697"/>
        <w:spacing w:after="0" w:line="236" w:lineRule="auto"/>
        <w:rPr>
          <w:sz w:val="20"/>
          <w:szCs w:val="20"/>
          <w:color w:val="auto"/>
        </w:rPr>
      </w:pPr>
      <w:r>
        <w:rPr>
          <w:rFonts w:ascii="Arial" w:cs="Arial" w:eastAsia="Arial" w:hAnsi="Arial"/>
          <w:sz w:val="20"/>
          <w:szCs w:val="20"/>
          <w:color w:val="auto"/>
        </w:rPr>
        <w:t>6.2</w:t>
      </w:r>
      <w:r>
        <w:rPr>
          <w:sz w:val="20"/>
          <w:szCs w:val="20"/>
          <w:color w:val="auto"/>
        </w:rPr>
        <w:t xml:space="preserve"> </w:t>
      </w:r>
      <w:r>
        <w:rPr>
          <w:rFonts w:ascii="Calibri" w:cs="Calibri" w:eastAsia="Calibri" w:hAnsi="Calibri"/>
          <w:sz w:val="20"/>
          <w:szCs w:val="20"/>
          <w:color w:val="auto"/>
        </w:rPr>
        <w:t>Kyowa Kirin will manufacture and test the drug substance and drug product at manufacturing sites as approved in the Territory’s Marketng Authorizaton. UGNX will have reasonable access to audit and oversee the drug substance and drug product manufacturing sites to support their compliance with UGNX MAs. Oversight rights and requirements will be subject to the Collaboraton Agreement and the Quality Agreement.</w:t>
      </w:r>
    </w:p>
    <w:p>
      <w:pPr>
        <w:spacing w:after="0" w:line="241" w:lineRule="exact"/>
        <w:rPr>
          <w:sz w:val="20"/>
          <w:szCs w:val="20"/>
          <w:color w:val="auto"/>
        </w:rPr>
      </w:pPr>
    </w:p>
    <w:p>
      <w:pPr>
        <w:jc w:val="both"/>
        <w:ind w:hanging="697"/>
        <w:spacing w:after="0" w:line="236" w:lineRule="auto"/>
        <w:rPr>
          <w:sz w:val="20"/>
          <w:szCs w:val="20"/>
          <w:color w:val="auto"/>
        </w:rPr>
      </w:pPr>
      <w:r>
        <w:rPr>
          <w:rFonts w:ascii="Arial" w:cs="Arial" w:eastAsia="Arial" w:hAnsi="Arial"/>
          <w:sz w:val="20"/>
          <w:szCs w:val="20"/>
          <w:color w:val="auto"/>
        </w:rPr>
        <w:t>6.3</w:t>
      </w:r>
      <w:r>
        <w:rPr>
          <w:sz w:val="20"/>
          <w:szCs w:val="20"/>
          <w:color w:val="auto"/>
        </w:rPr>
        <w:t xml:space="preserve"> </w:t>
      </w:r>
      <w:r>
        <w:rPr>
          <w:rFonts w:ascii="Calibri" w:cs="Calibri" w:eastAsia="Calibri" w:hAnsi="Calibri"/>
          <w:sz w:val="20"/>
          <w:szCs w:val="20"/>
          <w:color w:val="auto"/>
        </w:rPr>
        <w:t>Kyowa Kirin warrants that the Product supplied under this Agreement will, on the date of delivery and throughout the Product shelf-life, meet the Inventory Acceptance Requirements, Specifcaton, and be manufactured in accordance with all Applicable Laws, provided that the Product has been stored and handled by Kyowa Kirin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238125</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00"/>
          </w:cols>
          <w:pgMar w:left="1220" w:top="1440" w:right="879" w:bottom="1440" w:gutter="0" w:footer="0" w:header="0"/>
        </w:sectPr>
      </w:pPr>
    </w:p>
    <w:bookmarkStart w:id="144" w:name="page145"/>
    <w:bookmarkEnd w:id="144"/>
    <w:p>
      <w:pPr>
        <w:ind w:left="40"/>
        <w:spacing w:after="0"/>
        <w:rPr>
          <w:sz w:val="20"/>
          <w:szCs w:val="20"/>
          <w:color w:val="auto"/>
        </w:rPr>
      </w:pPr>
      <w:r>
        <w:rPr>
          <w:rFonts w:ascii="Calibri" w:cs="Calibri" w:eastAsia="Calibri" w:hAnsi="Calibri"/>
          <w:sz w:val="20"/>
          <w:szCs w:val="20"/>
          <w:color w:val="auto"/>
        </w:rPr>
        <w:t>UGNX in accordance with Good Distributon Practce, relevant Product dossiers, and the Quality Agreement.</w:t>
      </w:r>
    </w:p>
    <w:p>
      <w:pPr>
        <w:spacing w:after="0" w:line="227" w:lineRule="exact"/>
        <w:rPr>
          <w:sz w:val="20"/>
          <w:szCs w:val="20"/>
          <w:color w:val="auto"/>
        </w:rPr>
      </w:pPr>
    </w:p>
    <w:p>
      <w:pPr>
        <w:jc w:val="both"/>
        <w:ind w:hanging="697"/>
        <w:spacing w:after="0"/>
        <w:rPr>
          <w:sz w:val="20"/>
          <w:szCs w:val="20"/>
          <w:color w:val="auto"/>
        </w:rPr>
      </w:pPr>
      <w:r>
        <w:rPr>
          <w:rFonts w:ascii="Arial" w:cs="Arial" w:eastAsia="Arial" w:hAnsi="Arial"/>
          <w:sz w:val="20"/>
          <w:szCs w:val="20"/>
          <w:color w:val="auto"/>
        </w:rPr>
        <w:t>6.4</w:t>
      </w:r>
      <w:r>
        <w:rPr>
          <w:sz w:val="20"/>
          <w:szCs w:val="20"/>
          <w:color w:val="auto"/>
        </w:rPr>
        <w:t xml:space="preserve"> </w:t>
      </w:r>
      <w:r>
        <w:rPr>
          <w:rFonts w:ascii="Calibri" w:cs="Calibri" w:eastAsia="Calibri" w:hAnsi="Calibri"/>
          <w:sz w:val="20"/>
          <w:szCs w:val="20"/>
          <w:color w:val="auto"/>
        </w:rPr>
        <w:t>Product provided to UGNX shall have no less than [***] of remaining shelf life at the date of delivery to UGNX. Kyowa Kirin will [***] to maximize available shelf-life for UGNX upon delivery. Accommodaton to accept material with [***], shall be worked on by both partes in good faith to optmize the total drug product inventory and reduce product expiry.</w:t>
      </w:r>
    </w:p>
    <w:p>
      <w:pPr>
        <w:spacing w:after="0" w:line="200" w:lineRule="exact"/>
        <w:rPr>
          <w:sz w:val="20"/>
          <w:szCs w:val="20"/>
          <w:color w:val="auto"/>
        </w:rPr>
      </w:pPr>
    </w:p>
    <w:p>
      <w:pPr>
        <w:spacing w:after="0" w:line="269" w:lineRule="exact"/>
        <w:rPr>
          <w:sz w:val="20"/>
          <w:szCs w:val="20"/>
          <w:color w:val="auto"/>
        </w:rPr>
      </w:pPr>
    </w:p>
    <w:p>
      <w:pPr>
        <w:jc w:val="both"/>
        <w:ind w:hanging="697"/>
        <w:spacing w:after="0" w:line="237" w:lineRule="auto"/>
        <w:rPr>
          <w:sz w:val="20"/>
          <w:szCs w:val="20"/>
          <w:color w:val="auto"/>
        </w:rPr>
      </w:pPr>
      <w:r>
        <w:rPr>
          <w:rFonts w:ascii="Arial" w:cs="Arial" w:eastAsia="Arial" w:hAnsi="Arial"/>
          <w:sz w:val="20"/>
          <w:szCs w:val="20"/>
          <w:color w:val="auto"/>
        </w:rPr>
        <w:t>6.5</w:t>
      </w:r>
      <w:r>
        <w:rPr>
          <w:sz w:val="20"/>
          <w:szCs w:val="20"/>
          <w:color w:val="auto"/>
        </w:rPr>
        <w:t xml:space="preserve"> </w:t>
      </w:r>
      <w:r>
        <w:rPr>
          <w:rFonts w:ascii="Calibri" w:cs="Calibri" w:eastAsia="Calibri" w:hAnsi="Calibri"/>
          <w:sz w:val="20"/>
          <w:szCs w:val="20"/>
          <w:color w:val="auto"/>
        </w:rPr>
        <w:t>Subject to the terms of this Agreement and the requirements of Applicable Laws, Kyowa Kirin will retain all rights and responsibility to conduct at its cost all necessary development actvites related to the manufacture and supply of the Product, including process development, manufacturing scale-up, development-stage and commercial- stage manufacturing, quality assurance/quality control procedure development, and compilaton and reportng of CMC (Chemistry, Manufacturing Controls) informaton.</w:t>
      </w:r>
    </w:p>
    <w:p>
      <w:pPr>
        <w:spacing w:after="0" w:line="227" w:lineRule="exact"/>
        <w:rPr>
          <w:sz w:val="20"/>
          <w:szCs w:val="20"/>
          <w:color w:val="auto"/>
        </w:rPr>
      </w:pPr>
    </w:p>
    <w:p>
      <w:pPr>
        <w:ind w:left="40"/>
        <w:spacing w:after="0"/>
        <w:rPr>
          <w:sz w:val="20"/>
          <w:szCs w:val="20"/>
          <w:color w:val="auto"/>
        </w:rPr>
      </w:pPr>
      <w:r>
        <w:rPr>
          <w:rFonts w:ascii="Calibri" w:cs="Calibri" w:eastAsia="Calibri" w:hAnsi="Calibri"/>
          <w:sz w:val="20"/>
          <w:szCs w:val="20"/>
          <w:color w:val="auto"/>
        </w:rPr>
        <w:t>Rolling Forecasts</w:t>
      </w:r>
    </w:p>
    <w:p>
      <w:pPr>
        <w:spacing w:after="0" w:line="227" w:lineRule="exact"/>
        <w:rPr>
          <w:sz w:val="20"/>
          <w:szCs w:val="20"/>
          <w:color w:val="auto"/>
        </w:rPr>
      </w:pPr>
    </w:p>
    <w:p>
      <w:pPr>
        <w:jc w:val="both"/>
        <w:ind w:hanging="697"/>
        <w:spacing w:after="0" w:line="237" w:lineRule="auto"/>
        <w:rPr>
          <w:sz w:val="20"/>
          <w:szCs w:val="20"/>
          <w:color w:val="auto"/>
        </w:rPr>
      </w:pPr>
      <w:r>
        <w:rPr>
          <w:rFonts w:ascii="Arial" w:cs="Arial" w:eastAsia="Arial" w:hAnsi="Arial"/>
          <w:sz w:val="20"/>
          <w:szCs w:val="20"/>
          <w:color w:val="auto"/>
        </w:rPr>
        <w:t>6.6</w:t>
      </w:r>
      <w:r>
        <w:rPr>
          <w:sz w:val="20"/>
          <w:szCs w:val="20"/>
          <w:color w:val="auto"/>
        </w:rPr>
        <w:t xml:space="preserve"> </w:t>
      </w:r>
      <w:r>
        <w:rPr>
          <w:rFonts w:ascii="Calibri" w:cs="Calibri" w:eastAsia="Calibri" w:hAnsi="Calibri"/>
          <w:sz w:val="20"/>
          <w:szCs w:val="20"/>
          <w:color w:val="auto"/>
        </w:rPr>
        <w:t>Upon Commencement Date or fling for product approval with the Health Authority in each country of the Territory, whichever occurs frst, UGNX shall submit [***] forecasts. [***] during the Term of this Agreement, UGNX shall submit to Kyowa Kirin, within [***] afer the [***] of each [***], writen or electronic forecasts of the quanttes on a rolling basis of the Product that it desires or expects to order from Kyowa Kirin during [***] period. Forecasts shall be [***] in the subsequent [***] period.</w:t>
      </w:r>
    </w:p>
    <w:p>
      <w:pPr>
        <w:spacing w:after="0" w:line="227" w:lineRule="exact"/>
        <w:rPr>
          <w:sz w:val="20"/>
          <w:szCs w:val="20"/>
          <w:color w:val="auto"/>
        </w:rPr>
      </w:pPr>
    </w:p>
    <w:p>
      <w:pPr>
        <w:ind w:left="40"/>
        <w:spacing w:after="0"/>
        <w:rPr>
          <w:sz w:val="20"/>
          <w:szCs w:val="20"/>
          <w:color w:val="auto"/>
        </w:rPr>
      </w:pPr>
      <w:r>
        <w:rPr>
          <w:rFonts w:ascii="Calibri" w:cs="Calibri" w:eastAsia="Calibri" w:hAnsi="Calibri"/>
          <w:sz w:val="20"/>
          <w:szCs w:val="20"/>
          <w:color w:val="auto"/>
        </w:rPr>
        <w:t>Firm Commitment and Estmates</w:t>
      </w:r>
    </w:p>
    <w:p>
      <w:pPr>
        <w:spacing w:after="0" w:line="227" w:lineRule="exact"/>
        <w:rPr>
          <w:sz w:val="20"/>
          <w:szCs w:val="20"/>
          <w:color w:val="auto"/>
        </w:rPr>
      </w:pPr>
    </w:p>
    <w:p>
      <w:pPr>
        <w:jc w:val="both"/>
        <w:ind w:right="20" w:hanging="697"/>
        <w:spacing w:after="0" w:line="234" w:lineRule="auto"/>
        <w:rPr>
          <w:sz w:val="20"/>
          <w:szCs w:val="20"/>
          <w:color w:val="auto"/>
        </w:rPr>
      </w:pPr>
      <w:r>
        <w:rPr>
          <w:rFonts w:ascii="Arial" w:cs="Arial" w:eastAsia="Arial" w:hAnsi="Arial"/>
          <w:sz w:val="20"/>
          <w:szCs w:val="20"/>
          <w:color w:val="auto"/>
        </w:rPr>
        <w:t>6.7</w:t>
      </w:r>
      <w:r>
        <w:rPr>
          <w:sz w:val="20"/>
          <w:szCs w:val="20"/>
          <w:color w:val="auto"/>
        </w:rPr>
        <w:t xml:space="preserve"> </w:t>
      </w:r>
      <w:r>
        <w:rPr>
          <w:rFonts w:ascii="Calibri" w:cs="Calibri" w:eastAsia="Calibri" w:hAnsi="Calibri"/>
          <w:sz w:val="20"/>
          <w:szCs w:val="20"/>
          <w:color w:val="auto"/>
        </w:rPr>
        <w:t>The frst [***] ("</w:t>
      </w:r>
      <w:r>
        <w:rPr>
          <w:rFonts w:ascii="Calibri" w:cs="Calibri" w:eastAsia="Calibri" w:hAnsi="Calibri"/>
          <w:sz w:val="20"/>
          <w:szCs w:val="20"/>
          <w:b w:val="1"/>
          <w:bCs w:val="1"/>
          <w:color w:val="auto"/>
        </w:rPr>
        <w:t>Fixed Forecast Period</w:t>
      </w:r>
      <w:r>
        <w:rPr>
          <w:rFonts w:ascii="Calibri" w:cs="Calibri" w:eastAsia="Calibri" w:hAnsi="Calibri"/>
          <w:sz w:val="20"/>
          <w:szCs w:val="20"/>
          <w:color w:val="auto"/>
        </w:rPr>
        <w:t>") covered by each forecast shall consttute a binding commitment by UGNX to purchase the quanttes of Product covered by such forecast.</w:t>
      </w:r>
    </w:p>
    <w:p>
      <w:pPr>
        <w:spacing w:after="0" w:line="239" w:lineRule="exact"/>
        <w:rPr>
          <w:sz w:val="20"/>
          <w:szCs w:val="20"/>
          <w:color w:val="auto"/>
        </w:rPr>
      </w:pPr>
    </w:p>
    <w:p>
      <w:pPr>
        <w:jc w:val="both"/>
        <w:ind w:hanging="697"/>
        <w:spacing w:after="0" w:line="234" w:lineRule="auto"/>
        <w:rPr>
          <w:sz w:val="20"/>
          <w:szCs w:val="20"/>
          <w:color w:val="auto"/>
        </w:rPr>
      </w:pPr>
      <w:r>
        <w:rPr>
          <w:rFonts w:ascii="Arial" w:cs="Arial" w:eastAsia="Arial" w:hAnsi="Arial"/>
          <w:sz w:val="20"/>
          <w:szCs w:val="20"/>
          <w:color w:val="auto"/>
        </w:rPr>
        <w:t>6.8</w:t>
      </w:r>
      <w:r>
        <w:rPr>
          <w:sz w:val="20"/>
          <w:szCs w:val="20"/>
          <w:color w:val="auto"/>
        </w:rPr>
        <w:t xml:space="preserve"> </w:t>
      </w:r>
      <w:r>
        <w:rPr>
          <w:rFonts w:ascii="Calibri" w:cs="Calibri" w:eastAsia="Calibri" w:hAnsi="Calibri"/>
          <w:sz w:val="20"/>
          <w:szCs w:val="20"/>
          <w:color w:val="auto"/>
        </w:rPr>
        <w:t>With respect to [***] of the forecast, quanttes shall consttute a non-binding forecast of UGNX orders, presented solely for the purposes of [***].</w:t>
      </w:r>
    </w:p>
    <w:p>
      <w:pPr>
        <w:spacing w:after="0" w:line="239" w:lineRule="exact"/>
        <w:rPr>
          <w:sz w:val="20"/>
          <w:szCs w:val="20"/>
          <w:color w:val="auto"/>
        </w:rPr>
      </w:pPr>
    </w:p>
    <w:p>
      <w:pPr>
        <w:jc w:val="both"/>
        <w:ind w:hanging="697"/>
        <w:spacing w:after="0" w:line="237" w:lineRule="auto"/>
        <w:rPr>
          <w:sz w:val="20"/>
          <w:szCs w:val="20"/>
          <w:color w:val="auto"/>
        </w:rPr>
      </w:pPr>
      <w:r>
        <w:rPr>
          <w:rFonts w:ascii="Arial" w:cs="Arial" w:eastAsia="Arial" w:hAnsi="Arial"/>
          <w:sz w:val="20"/>
          <w:szCs w:val="20"/>
          <w:color w:val="auto"/>
        </w:rPr>
        <w:t>6.9</w:t>
      </w:r>
      <w:r>
        <w:rPr>
          <w:sz w:val="20"/>
          <w:szCs w:val="20"/>
          <w:color w:val="auto"/>
        </w:rPr>
        <w:t xml:space="preserve"> </w:t>
      </w:r>
      <w:r>
        <w:rPr>
          <w:rFonts w:ascii="Calibri" w:cs="Calibri" w:eastAsia="Calibri" w:hAnsi="Calibri"/>
          <w:sz w:val="20"/>
          <w:szCs w:val="20"/>
          <w:color w:val="auto"/>
        </w:rPr>
        <w:t>Within [***] of start of Fixed Forecast Period, Kyowa Kirin shall confrm to UGNX the Product Batch informaton including lot number to allow UGNX to commence Batch Documentaton review. Kyowa Kirin shall make available to UGNX all Batch Documentaton necessary to support UGNX confrmaton that the Product complies with the Inventory Acceptance Requirements. UGNX shall confrm to Kyowa Kirin suitability of the lot for the Territory or intended market within the Territory [***] of receipt of all Batch Documentaton necessary to confrm conformance with Inventory Acceptance Criteria. In the event the lot is not deemed acceptable for the Territory, Kyowa Kirin shall [***].</w:t>
      </w:r>
    </w:p>
    <w:p>
      <w:pPr>
        <w:spacing w:after="0" w:line="241" w:lineRule="exact"/>
        <w:rPr>
          <w:sz w:val="20"/>
          <w:szCs w:val="20"/>
          <w:color w:val="auto"/>
        </w:rPr>
      </w:pPr>
    </w:p>
    <w:p>
      <w:pPr>
        <w:jc w:val="both"/>
        <w:ind w:hanging="697"/>
        <w:spacing w:after="0" w:line="234" w:lineRule="auto"/>
        <w:rPr>
          <w:sz w:val="20"/>
          <w:szCs w:val="20"/>
          <w:color w:val="auto"/>
        </w:rPr>
      </w:pPr>
      <w:r>
        <w:rPr>
          <w:rFonts w:ascii="Arial" w:cs="Arial" w:eastAsia="Arial" w:hAnsi="Arial"/>
          <w:sz w:val="20"/>
          <w:szCs w:val="20"/>
          <w:color w:val="auto"/>
        </w:rPr>
        <w:t>6.10</w:t>
      </w:r>
      <w:r>
        <w:rPr>
          <w:sz w:val="20"/>
          <w:szCs w:val="20"/>
          <w:color w:val="auto"/>
        </w:rPr>
        <w:t xml:space="preserve"> </w:t>
      </w:r>
      <w:r>
        <w:rPr>
          <w:rFonts w:ascii="Calibri" w:cs="Calibri" w:eastAsia="Calibri" w:hAnsi="Calibri"/>
          <w:sz w:val="20"/>
          <w:szCs w:val="20"/>
          <w:color w:val="auto"/>
        </w:rPr>
        <w:t>Afer UGNX provides confrmaton that the lot has met Inventory Acceptance Requirements, the Product shall remain [***] untl delivery occurs in accordance with Clause 7.</w:t>
      </w:r>
    </w:p>
    <w:p>
      <w:pPr>
        <w:spacing w:after="0" w:line="91" w:lineRule="exact"/>
        <w:rPr>
          <w:sz w:val="20"/>
          <w:szCs w:val="20"/>
          <w:color w:val="auto"/>
        </w:rPr>
      </w:pPr>
    </w:p>
    <w:p>
      <w:pPr>
        <w:jc w:val="both"/>
        <w:ind w:hanging="697"/>
        <w:spacing w:after="0" w:line="236" w:lineRule="auto"/>
        <w:rPr>
          <w:sz w:val="20"/>
          <w:szCs w:val="20"/>
          <w:color w:val="auto"/>
        </w:rPr>
      </w:pPr>
      <w:r>
        <w:rPr>
          <w:rFonts w:ascii="Arial" w:cs="Arial" w:eastAsia="Arial" w:hAnsi="Arial"/>
          <w:sz w:val="20"/>
          <w:szCs w:val="20"/>
          <w:color w:val="auto"/>
        </w:rPr>
        <w:t>6.11</w:t>
      </w:r>
      <w:r>
        <w:rPr>
          <w:sz w:val="20"/>
          <w:szCs w:val="20"/>
          <w:color w:val="auto"/>
        </w:rPr>
        <w:t xml:space="preserve"> </w:t>
      </w:r>
      <w:r>
        <w:rPr>
          <w:rFonts w:ascii="Calibri" w:cs="Calibri" w:eastAsia="Calibri" w:hAnsi="Calibri"/>
          <w:sz w:val="20"/>
          <w:szCs w:val="20"/>
          <w:color w:val="auto"/>
        </w:rPr>
        <w:t>UGNX shall from tme to tme submit a purchase order in a writen form approved by Kyowa Kirin for the supply of Product in accordance with the forecast quanttes in the Fixed Forecast Period described in Clause 6.7 above. UGNX shall place purchase orders [***]. The purchase order shall [***].</w:t>
      </w:r>
    </w:p>
    <w:p>
      <w:pPr>
        <w:spacing w:after="0" w:line="238" w:lineRule="exact"/>
        <w:rPr>
          <w:sz w:val="20"/>
          <w:szCs w:val="20"/>
          <w:color w:val="auto"/>
        </w:rPr>
      </w:pPr>
    </w:p>
    <w:p>
      <w:pPr>
        <w:jc w:val="both"/>
        <w:ind w:hanging="697"/>
        <w:spacing w:after="0" w:line="236" w:lineRule="auto"/>
        <w:rPr>
          <w:sz w:val="20"/>
          <w:szCs w:val="20"/>
          <w:color w:val="auto"/>
        </w:rPr>
      </w:pPr>
      <w:r>
        <w:rPr>
          <w:rFonts w:ascii="Arial" w:cs="Arial" w:eastAsia="Arial" w:hAnsi="Arial"/>
          <w:sz w:val="20"/>
          <w:szCs w:val="20"/>
          <w:color w:val="auto"/>
        </w:rPr>
        <w:t>6.12</w:t>
      </w:r>
      <w:r>
        <w:rPr>
          <w:sz w:val="20"/>
          <w:szCs w:val="20"/>
          <w:color w:val="auto"/>
        </w:rPr>
        <w:t xml:space="preserve"> </w:t>
      </w:r>
      <w:r>
        <w:rPr>
          <w:rFonts w:ascii="Calibri" w:cs="Calibri" w:eastAsia="Calibri" w:hAnsi="Calibri"/>
          <w:sz w:val="20"/>
          <w:szCs w:val="20"/>
          <w:color w:val="auto"/>
        </w:rPr>
        <w:t>Printed or writen purchase orders, order acknowledgements or invoices shall not modify or expand either party's obligatons under this Agreement. In the event of any inconsistency between the terms of any purchase order, order acknowledgement or invoice, and the terms of this Agreement, the terms of this Agreement shall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238125</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00"/>
          </w:cols>
          <w:pgMar w:left="1220" w:top="1388" w:right="879" w:bottom="1440" w:gutter="0" w:footer="0" w:header="0"/>
        </w:sectPr>
      </w:pPr>
    </w:p>
    <w:bookmarkStart w:id="145" w:name="page146"/>
    <w:bookmarkEnd w:id="145"/>
    <w:p>
      <w:pPr>
        <w:spacing w:after="0" w:line="83" w:lineRule="exact"/>
        <w:rPr>
          <w:sz w:val="20"/>
          <w:szCs w:val="20"/>
          <w:color w:val="auto"/>
        </w:rPr>
      </w:pPr>
    </w:p>
    <w:p>
      <w:pPr>
        <w:ind w:left="40"/>
        <w:spacing w:after="0"/>
        <w:rPr>
          <w:sz w:val="20"/>
          <w:szCs w:val="20"/>
          <w:color w:val="auto"/>
        </w:rPr>
      </w:pPr>
      <w:r>
        <w:rPr>
          <w:rFonts w:ascii="Calibri" w:cs="Calibri" w:eastAsia="Calibri" w:hAnsi="Calibri"/>
          <w:sz w:val="20"/>
          <w:szCs w:val="20"/>
          <w:color w:val="auto"/>
        </w:rPr>
        <w:t>Acceptance of Purchase Orders</w:t>
      </w:r>
    </w:p>
    <w:p>
      <w:pPr>
        <w:spacing w:after="0" w:line="227" w:lineRule="exact"/>
        <w:rPr>
          <w:sz w:val="20"/>
          <w:szCs w:val="20"/>
          <w:color w:val="auto"/>
        </w:rPr>
      </w:pPr>
    </w:p>
    <w:p>
      <w:pPr>
        <w:jc w:val="both"/>
        <w:ind w:right="540" w:hanging="697"/>
        <w:spacing w:after="0" w:line="236" w:lineRule="auto"/>
        <w:rPr>
          <w:sz w:val="20"/>
          <w:szCs w:val="20"/>
          <w:color w:val="auto"/>
        </w:rPr>
      </w:pPr>
      <w:r>
        <w:rPr>
          <w:rFonts w:ascii="Arial" w:cs="Arial" w:eastAsia="Arial" w:hAnsi="Arial"/>
          <w:sz w:val="20"/>
          <w:szCs w:val="20"/>
          <w:color w:val="auto"/>
        </w:rPr>
        <w:t>6.13</w:t>
      </w:r>
      <w:r>
        <w:rPr>
          <w:sz w:val="20"/>
          <w:szCs w:val="20"/>
          <w:color w:val="auto"/>
        </w:rPr>
        <w:t xml:space="preserve"> </w:t>
      </w:r>
      <w:r>
        <w:rPr>
          <w:rFonts w:ascii="Calibri" w:cs="Calibri" w:eastAsia="Calibri" w:hAnsi="Calibri"/>
          <w:sz w:val="20"/>
          <w:szCs w:val="20"/>
          <w:color w:val="auto"/>
        </w:rPr>
        <w:t>Kyowa Kirin shall confrm receipt of a purchase order within [***] of receipt. Acceptance or rejecton of a purchase order shall be made in writng, including by email, within [***] of receipt, with such acceptance of the order to include [***]; provided, however, in the event Kyowa Kirin does not [***], the applicable purchase order shall be deemed accepted. Kyowa Kirin may only reject a purchase order if that order:</w:t>
      </w:r>
    </w:p>
    <w:p>
      <w:pPr>
        <w:spacing w:after="0" w:line="242" w:lineRule="exact"/>
        <w:rPr>
          <w:sz w:val="20"/>
          <w:szCs w:val="20"/>
          <w:color w:val="auto"/>
        </w:rPr>
      </w:pPr>
    </w:p>
    <w:p>
      <w:pPr>
        <w:ind w:left="760" w:hanging="709"/>
        <w:spacing w:after="0"/>
        <w:tabs>
          <w:tab w:leader="none" w:pos="760" w:val="left"/>
        </w:tabs>
        <w:numPr>
          <w:ilvl w:val="0"/>
          <w:numId w:val="84"/>
        </w:numPr>
        <w:rPr>
          <w:rFonts w:ascii="Arial" w:cs="Arial" w:eastAsia="Arial" w:hAnsi="Arial"/>
          <w:sz w:val="20"/>
          <w:szCs w:val="20"/>
          <w:color w:val="auto"/>
        </w:rPr>
      </w:pPr>
      <w:r>
        <w:rPr>
          <w:rFonts w:ascii="Calibri" w:cs="Calibri" w:eastAsia="Calibri" w:hAnsi="Calibri"/>
          <w:sz w:val="20"/>
          <w:szCs w:val="20"/>
          <w:color w:val="auto"/>
        </w:rPr>
        <w:t>[***];</w:t>
      </w:r>
    </w:p>
    <w:p>
      <w:pPr>
        <w:spacing w:after="0" w:line="228" w:lineRule="exact"/>
        <w:rPr>
          <w:rFonts w:ascii="Arial" w:cs="Arial" w:eastAsia="Arial" w:hAnsi="Arial"/>
          <w:sz w:val="20"/>
          <w:szCs w:val="20"/>
          <w:color w:val="auto"/>
        </w:rPr>
      </w:pPr>
    </w:p>
    <w:p>
      <w:pPr>
        <w:ind w:left="760" w:hanging="709"/>
        <w:spacing w:after="0"/>
        <w:tabs>
          <w:tab w:leader="none" w:pos="760" w:val="left"/>
        </w:tabs>
        <w:numPr>
          <w:ilvl w:val="0"/>
          <w:numId w:val="84"/>
        </w:numPr>
        <w:rPr>
          <w:rFonts w:ascii="Arial" w:cs="Arial" w:eastAsia="Arial" w:hAnsi="Arial"/>
          <w:sz w:val="20"/>
          <w:szCs w:val="20"/>
          <w:color w:val="auto"/>
        </w:rPr>
      </w:pPr>
      <w:r>
        <w:rPr>
          <w:rFonts w:ascii="Calibri" w:cs="Calibri" w:eastAsia="Calibri" w:hAnsi="Calibri"/>
          <w:sz w:val="20"/>
          <w:szCs w:val="20"/>
          <w:color w:val="auto"/>
        </w:rPr>
        <w:t>[***];</w:t>
      </w:r>
    </w:p>
    <w:p>
      <w:pPr>
        <w:spacing w:after="0" w:line="228" w:lineRule="exact"/>
        <w:rPr>
          <w:rFonts w:ascii="Arial" w:cs="Arial" w:eastAsia="Arial" w:hAnsi="Arial"/>
          <w:sz w:val="20"/>
          <w:szCs w:val="20"/>
          <w:color w:val="auto"/>
        </w:rPr>
      </w:pPr>
    </w:p>
    <w:p>
      <w:pPr>
        <w:ind w:left="760" w:hanging="709"/>
        <w:spacing w:after="0"/>
        <w:tabs>
          <w:tab w:leader="none" w:pos="760" w:val="left"/>
        </w:tabs>
        <w:numPr>
          <w:ilvl w:val="0"/>
          <w:numId w:val="84"/>
        </w:numPr>
        <w:rPr>
          <w:rFonts w:ascii="Arial" w:cs="Arial" w:eastAsia="Arial" w:hAnsi="Arial"/>
          <w:sz w:val="20"/>
          <w:szCs w:val="20"/>
          <w:color w:val="auto"/>
        </w:rPr>
      </w:pPr>
      <w:r>
        <w:rPr>
          <w:rFonts w:ascii="Calibri" w:cs="Calibri" w:eastAsia="Calibri" w:hAnsi="Calibri"/>
          <w:sz w:val="20"/>
          <w:szCs w:val="20"/>
          <w:color w:val="auto"/>
        </w:rPr>
        <w:t>[***];</w:t>
      </w:r>
    </w:p>
    <w:p>
      <w:pPr>
        <w:spacing w:after="0" w:line="228" w:lineRule="exact"/>
        <w:rPr>
          <w:rFonts w:ascii="Arial" w:cs="Arial" w:eastAsia="Arial" w:hAnsi="Arial"/>
          <w:sz w:val="20"/>
          <w:szCs w:val="20"/>
          <w:color w:val="auto"/>
        </w:rPr>
      </w:pPr>
    </w:p>
    <w:p>
      <w:pPr>
        <w:ind w:left="760" w:hanging="709"/>
        <w:spacing w:after="0"/>
        <w:tabs>
          <w:tab w:leader="none" w:pos="760" w:val="left"/>
        </w:tabs>
        <w:numPr>
          <w:ilvl w:val="0"/>
          <w:numId w:val="84"/>
        </w:numPr>
        <w:rPr>
          <w:rFonts w:ascii="Arial" w:cs="Arial" w:eastAsia="Arial" w:hAnsi="Arial"/>
          <w:sz w:val="20"/>
          <w:szCs w:val="20"/>
          <w:color w:val="auto"/>
        </w:rPr>
      </w:pPr>
      <w:r>
        <w:rPr>
          <w:rFonts w:ascii="Calibri" w:cs="Calibri" w:eastAsia="Calibri" w:hAnsi="Calibri"/>
          <w:sz w:val="20"/>
          <w:szCs w:val="20"/>
          <w:color w:val="auto"/>
        </w:rPr>
        <w:t>[***]; or</w:t>
      </w:r>
    </w:p>
    <w:p>
      <w:pPr>
        <w:spacing w:after="0" w:line="228" w:lineRule="exact"/>
        <w:rPr>
          <w:rFonts w:ascii="Arial" w:cs="Arial" w:eastAsia="Arial" w:hAnsi="Arial"/>
          <w:sz w:val="20"/>
          <w:szCs w:val="20"/>
          <w:color w:val="auto"/>
        </w:rPr>
      </w:pPr>
    </w:p>
    <w:p>
      <w:pPr>
        <w:ind w:left="760" w:hanging="709"/>
        <w:spacing w:after="0"/>
        <w:tabs>
          <w:tab w:leader="none" w:pos="760" w:val="left"/>
        </w:tabs>
        <w:numPr>
          <w:ilvl w:val="0"/>
          <w:numId w:val="84"/>
        </w:numPr>
        <w:rPr>
          <w:rFonts w:ascii="Arial" w:cs="Arial" w:eastAsia="Arial" w:hAnsi="Arial"/>
          <w:sz w:val="20"/>
          <w:szCs w:val="20"/>
          <w:color w:val="auto"/>
        </w:rPr>
      </w:pPr>
      <w:r>
        <w:rPr>
          <w:rFonts w:ascii="Calibri" w:cs="Calibri" w:eastAsia="Calibri" w:hAnsi="Calibri"/>
          <w:sz w:val="20"/>
          <w:szCs w:val="20"/>
          <w:color w:val="auto"/>
        </w:rPr>
        <w:t>[***]</w:t>
      </w:r>
    </w:p>
    <w:p>
      <w:pPr>
        <w:spacing w:after="0" w:line="227" w:lineRule="exact"/>
        <w:rPr>
          <w:sz w:val="20"/>
          <w:szCs w:val="20"/>
          <w:color w:val="auto"/>
        </w:rPr>
      </w:pPr>
    </w:p>
    <w:p>
      <w:pPr>
        <w:jc w:val="both"/>
        <w:ind w:left="40" w:hanging="733"/>
        <w:spacing w:after="0" w:line="236" w:lineRule="auto"/>
        <w:tabs>
          <w:tab w:leader="none" w:pos="20" w:val="left"/>
        </w:tabs>
        <w:rPr>
          <w:sz w:val="20"/>
          <w:szCs w:val="20"/>
          <w:color w:val="auto"/>
        </w:rPr>
      </w:pPr>
      <w:r>
        <w:rPr>
          <w:rFonts w:ascii="Arial" w:cs="Arial" w:eastAsia="Arial" w:hAnsi="Arial"/>
          <w:sz w:val="20"/>
          <w:szCs w:val="20"/>
          <w:color w:val="auto"/>
        </w:rPr>
        <w:t>6.14</w:t>
      </w:r>
      <w:r>
        <w:rPr>
          <w:sz w:val="20"/>
          <w:szCs w:val="20"/>
          <w:color w:val="auto"/>
        </w:rPr>
        <w:tab/>
      </w:r>
      <w:r>
        <w:rPr>
          <w:rFonts w:ascii="Calibri" w:cs="Calibri" w:eastAsia="Calibri" w:hAnsi="Calibri"/>
          <w:sz w:val="20"/>
          <w:szCs w:val="20"/>
          <w:color w:val="auto"/>
        </w:rPr>
        <w:t>The purchase order lead tme for the supply of the Product to UGNX shall be [***] (the “</w:t>
      </w:r>
      <w:r>
        <w:rPr>
          <w:rFonts w:ascii="Calibri" w:cs="Calibri" w:eastAsia="Calibri" w:hAnsi="Calibri"/>
          <w:sz w:val="20"/>
          <w:szCs w:val="20"/>
          <w:b w:val="1"/>
          <w:bCs w:val="1"/>
          <w:color w:val="auto"/>
        </w:rPr>
        <w:t>Purchase Order Lead Time</w:t>
      </w:r>
      <w:r>
        <w:rPr>
          <w:rFonts w:ascii="Calibri" w:cs="Calibri" w:eastAsia="Calibri" w:hAnsi="Calibri"/>
          <w:sz w:val="20"/>
          <w:szCs w:val="20"/>
          <w:color w:val="auto"/>
        </w:rPr>
        <w:t>”).To the extent that any order provides for a due date that is less than the Purchase Order Lead Time, Kyowa Kirin shall be enttled to require that the due date be postponed in line with the Purchase Order Lead Time.</w:t>
      </w:r>
    </w:p>
    <w:p>
      <w:pPr>
        <w:spacing w:after="0" w:line="238" w:lineRule="exact"/>
        <w:rPr>
          <w:sz w:val="20"/>
          <w:szCs w:val="20"/>
          <w:color w:val="auto"/>
        </w:rPr>
      </w:pPr>
    </w:p>
    <w:p>
      <w:pPr>
        <w:jc w:val="both"/>
        <w:ind w:right="540" w:hanging="697"/>
        <w:spacing w:after="0" w:line="237" w:lineRule="auto"/>
        <w:rPr>
          <w:sz w:val="20"/>
          <w:szCs w:val="20"/>
          <w:color w:val="auto"/>
        </w:rPr>
      </w:pPr>
      <w:r>
        <w:rPr>
          <w:rFonts w:ascii="Arial" w:cs="Arial" w:eastAsia="Arial" w:hAnsi="Arial"/>
          <w:sz w:val="20"/>
          <w:szCs w:val="20"/>
          <w:color w:val="auto"/>
        </w:rPr>
        <w:t>6.15</w:t>
      </w:r>
      <w:r>
        <w:rPr>
          <w:sz w:val="20"/>
          <w:szCs w:val="20"/>
          <w:color w:val="auto"/>
        </w:rPr>
        <w:t xml:space="preserve"> </w:t>
      </w:r>
      <w:r>
        <w:rPr>
          <w:rFonts w:ascii="Calibri" w:cs="Calibri" w:eastAsia="Calibri" w:hAnsi="Calibri"/>
          <w:sz w:val="20"/>
          <w:szCs w:val="20"/>
          <w:color w:val="auto"/>
        </w:rPr>
        <w:t>If Kyowa Kirin is unable to meet the requested due date or quantty of a purchase order, Kyowa Kirin shall notfy UGNX within [***]. Kyowa Kirin will [***] to minimize the delay. To the extent the available supply of, or capacity to manufacture the Product is less than the requirements of UGNX and its Afliates hereunder together with the requirements of Kyowa Kirin and its Afliates and their licensees, Kyowa Kirin shall allocate the available Product [***]. In the event of any shortage in availability of supply of, or capacity to manufacture Product as contemplated by this Clause, the partes will [***]. Notwithstanding the foregoing, at the request of UGNX, if UGNX has met its obligatons for Fixed Forecasts in Sectons 6.7 –6.10 above, [***] as a result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249555</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1220" w:top="1440" w:right="339" w:bottom="1440" w:gutter="0" w:footer="0" w:header="0"/>
        </w:sectPr>
      </w:pPr>
    </w:p>
    <w:bookmarkStart w:id="146" w:name="page147"/>
    <w:bookmarkEnd w:id="146"/>
    <w:p>
      <w:pPr>
        <w:jc w:val="both"/>
        <w:ind w:left="752"/>
        <w:spacing w:after="0" w:line="236" w:lineRule="auto"/>
        <w:rPr>
          <w:sz w:val="20"/>
          <w:szCs w:val="20"/>
          <w:color w:val="auto"/>
        </w:rPr>
      </w:pPr>
      <w:r>
        <w:rPr>
          <w:rFonts w:ascii="Calibri" w:cs="Calibri" w:eastAsia="Calibri" w:hAnsi="Calibri"/>
          <w:sz w:val="20"/>
          <w:szCs w:val="20"/>
          <w:color w:val="auto"/>
        </w:rPr>
        <w:t>[***]. If UGNX has not met its obligatons for Fixed Forecasts then [***]. Kyowa Kirin agrees to maintain in inventory sufcient bulk drug substance for the Product, in line with the Product supply chain strategy as mutually agreed through the joint sales and operatons planning process, based on UGNX’s most recent forecast for the Territory.</w:t>
      </w:r>
    </w:p>
    <w:p>
      <w:pPr>
        <w:spacing w:after="0" w:line="215" w:lineRule="exact"/>
        <w:rPr>
          <w:sz w:val="20"/>
          <w:szCs w:val="20"/>
          <w:color w:val="auto"/>
        </w:rPr>
      </w:pPr>
    </w:p>
    <w:p>
      <w:pPr>
        <w:ind w:left="752"/>
        <w:spacing w:after="0"/>
        <w:rPr>
          <w:sz w:val="20"/>
          <w:szCs w:val="20"/>
          <w:color w:val="auto"/>
        </w:rPr>
      </w:pPr>
      <w:r>
        <w:rPr>
          <w:rFonts w:ascii="Calibri" w:cs="Calibri" w:eastAsia="Calibri" w:hAnsi="Calibri"/>
          <w:sz w:val="20"/>
          <w:szCs w:val="20"/>
          <w:color w:val="auto"/>
        </w:rPr>
        <w:t>Minimum Order Quantty and Deviaton from Minimum Order Quantty</w:t>
      </w:r>
    </w:p>
    <w:p>
      <w:pPr>
        <w:spacing w:after="0" w:line="227" w:lineRule="exact"/>
        <w:rPr>
          <w:sz w:val="20"/>
          <w:szCs w:val="20"/>
          <w:color w:val="auto"/>
        </w:rPr>
      </w:pPr>
    </w:p>
    <w:p>
      <w:pPr>
        <w:jc w:val="both"/>
        <w:ind w:left="712" w:hanging="697"/>
        <w:spacing w:after="0" w:line="236" w:lineRule="auto"/>
        <w:tabs>
          <w:tab w:leader="none" w:pos="692" w:val="left"/>
        </w:tabs>
        <w:rPr>
          <w:sz w:val="20"/>
          <w:szCs w:val="20"/>
          <w:color w:val="auto"/>
        </w:rPr>
      </w:pPr>
      <w:r>
        <w:rPr>
          <w:rFonts w:ascii="Arial" w:cs="Arial" w:eastAsia="Arial" w:hAnsi="Arial"/>
          <w:sz w:val="20"/>
          <w:szCs w:val="20"/>
          <w:color w:val="auto"/>
        </w:rPr>
        <w:t>6.16</w:t>
      </w:r>
      <w:r>
        <w:rPr>
          <w:sz w:val="20"/>
          <w:szCs w:val="20"/>
          <w:color w:val="auto"/>
        </w:rPr>
        <w:tab/>
      </w:r>
      <w:r>
        <w:rPr>
          <w:rFonts w:ascii="Calibri" w:cs="Calibri" w:eastAsia="Calibri" w:hAnsi="Calibri"/>
          <w:sz w:val="20"/>
          <w:szCs w:val="20"/>
          <w:color w:val="auto"/>
        </w:rPr>
        <w:t>UGNX shall place orders for the Product based on a minimum order quantty of [***] (“</w:t>
      </w:r>
      <w:r>
        <w:rPr>
          <w:rFonts w:ascii="Calibri" w:cs="Calibri" w:eastAsia="Calibri" w:hAnsi="Calibri"/>
          <w:sz w:val="20"/>
          <w:szCs w:val="20"/>
          <w:b w:val="1"/>
          <w:bCs w:val="1"/>
          <w:color w:val="auto"/>
        </w:rPr>
        <w:t>Minimum Order Quantty</w:t>
      </w:r>
      <w:r>
        <w:rPr>
          <w:rFonts w:ascii="Calibri" w:cs="Calibri" w:eastAsia="Calibri" w:hAnsi="Calibri"/>
          <w:sz w:val="20"/>
          <w:szCs w:val="20"/>
          <w:color w:val="auto"/>
        </w:rPr>
        <w:t>”). Orders for the Product of quanttes exceeding the Minimum Order Quantty shall be placed by UGNX in increments of the Minimum Order Quantty.</w:t>
      </w:r>
    </w:p>
    <w:p>
      <w:pPr>
        <w:spacing w:after="0" w:line="235" w:lineRule="exact"/>
        <w:rPr>
          <w:sz w:val="20"/>
          <w:szCs w:val="20"/>
          <w:color w:val="auto"/>
        </w:rPr>
      </w:pPr>
    </w:p>
    <w:p>
      <w:pPr>
        <w:jc w:val="both"/>
        <w:ind w:left="752"/>
        <w:spacing w:after="0"/>
        <w:rPr>
          <w:sz w:val="20"/>
          <w:szCs w:val="20"/>
          <w:color w:val="auto"/>
        </w:rPr>
      </w:pPr>
      <w:r>
        <w:rPr>
          <w:rFonts w:ascii="Calibri" w:cs="Calibri" w:eastAsia="Calibri" w:hAnsi="Calibri"/>
          <w:sz w:val="20"/>
          <w:szCs w:val="20"/>
          <w:color w:val="auto"/>
        </w:rPr>
        <w:t>In the event that UGNX desires to purchase a quantty of Product which is less than the Minimum Order Quantty, then [***]. The partes shall work to achieve an order quantty and delivery methodology that is appropriate for both partes.</w:t>
      </w:r>
    </w:p>
    <w:p>
      <w:pPr>
        <w:spacing w:after="0" w:line="200" w:lineRule="exact"/>
        <w:rPr>
          <w:sz w:val="20"/>
          <w:szCs w:val="20"/>
          <w:color w:val="auto"/>
        </w:rPr>
      </w:pPr>
    </w:p>
    <w:p>
      <w:pPr>
        <w:spacing w:after="0" w:line="247" w:lineRule="exact"/>
        <w:rPr>
          <w:sz w:val="20"/>
          <w:szCs w:val="20"/>
          <w:color w:val="auto"/>
        </w:rPr>
      </w:pPr>
    </w:p>
    <w:p>
      <w:pPr>
        <w:ind w:left="752"/>
        <w:spacing w:after="0"/>
        <w:rPr>
          <w:sz w:val="20"/>
          <w:szCs w:val="20"/>
          <w:color w:val="auto"/>
        </w:rPr>
      </w:pPr>
      <w:r>
        <w:rPr>
          <w:rFonts w:ascii="Calibri" w:cs="Calibri" w:eastAsia="Calibri" w:hAnsi="Calibri"/>
          <w:sz w:val="20"/>
          <w:szCs w:val="20"/>
          <w:color w:val="auto"/>
        </w:rPr>
        <w:t>Regular Business Reviews</w:t>
      </w:r>
    </w:p>
    <w:p>
      <w:pPr>
        <w:spacing w:after="0" w:line="227" w:lineRule="exact"/>
        <w:rPr>
          <w:sz w:val="20"/>
          <w:szCs w:val="20"/>
          <w:color w:val="auto"/>
        </w:rPr>
      </w:pPr>
    </w:p>
    <w:p>
      <w:pPr>
        <w:jc w:val="both"/>
        <w:ind w:left="712" w:hanging="697"/>
        <w:spacing w:after="0" w:line="237" w:lineRule="auto"/>
        <w:tabs>
          <w:tab w:leader="none" w:pos="692" w:val="left"/>
        </w:tabs>
        <w:rPr>
          <w:sz w:val="20"/>
          <w:szCs w:val="20"/>
          <w:color w:val="auto"/>
        </w:rPr>
      </w:pPr>
      <w:r>
        <w:rPr>
          <w:rFonts w:ascii="Arial" w:cs="Arial" w:eastAsia="Arial" w:hAnsi="Arial"/>
          <w:sz w:val="20"/>
          <w:szCs w:val="20"/>
          <w:color w:val="auto"/>
        </w:rPr>
        <w:t>6.17</w:t>
      </w:r>
      <w:r>
        <w:rPr>
          <w:sz w:val="20"/>
          <w:szCs w:val="20"/>
          <w:color w:val="auto"/>
        </w:rPr>
        <w:tab/>
      </w:r>
      <w:r>
        <w:rPr>
          <w:rFonts w:ascii="Calibri" w:cs="Calibri" w:eastAsia="Calibri" w:hAnsi="Calibri"/>
          <w:sz w:val="20"/>
          <w:szCs w:val="20"/>
          <w:color w:val="auto"/>
        </w:rPr>
        <w:t>The partes shall nominate representatves who meet, either in person or by telephone or by video conference, as applicable, on a regular, at least [***], basis as necessary [***] to review manufacturing, forecastng, logistcal and quality assurance aspects to resolve any pending issues in relaton to such aspects. These regular business reviews may be part of the standing sales and operatons planning (S&amp;OP) meetng or the regular business reviews may be separate meetngs.</w:t>
      </w:r>
    </w:p>
    <w:p>
      <w:pPr>
        <w:spacing w:after="0" w:line="240" w:lineRule="exact"/>
        <w:rPr>
          <w:sz w:val="20"/>
          <w:szCs w:val="20"/>
          <w:color w:val="auto"/>
        </w:rPr>
      </w:pPr>
    </w:p>
    <w:p>
      <w:pPr>
        <w:ind w:left="752" w:hanging="752"/>
        <w:spacing w:after="0"/>
        <w:tabs>
          <w:tab w:leader="none" w:pos="752" w:val="left"/>
        </w:tabs>
        <w:numPr>
          <w:ilvl w:val="0"/>
          <w:numId w:val="85"/>
        </w:numPr>
        <w:rPr>
          <w:rFonts w:ascii="Arial" w:cs="Arial" w:eastAsia="Arial" w:hAnsi="Arial"/>
          <w:sz w:val="20"/>
          <w:szCs w:val="20"/>
          <w:b w:val="1"/>
          <w:bCs w:val="1"/>
          <w:color w:val="auto"/>
        </w:rPr>
      </w:pPr>
      <w:r>
        <w:rPr>
          <w:rFonts w:ascii="Calibri" w:cs="Calibri" w:eastAsia="Calibri" w:hAnsi="Calibri"/>
          <w:sz w:val="20"/>
          <w:szCs w:val="20"/>
          <w:b w:val="1"/>
          <w:bCs w:val="1"/>
          <w:color w:val="auto"/>
        </w:rPr>
        <w:t>DELIVERY AND ACCEPTANCE OF PRODUCT</w:t>
      </w:r>
    </w:p>
    <w:p>
      <w:pPr>
        <w:spacing w:after="0" w:line="227" w:lineRule="exact"/>
        <w:rPr>
          <w:sz w:val="20"/>
          <w:szCs w:val="20"/>
          <w:color w:val="auto"/>
        </w:rPr>
      </w:pPr>
    </w:p>
    <w:p>
      <w:pPr>
        <w:jc w:val="both"/>
        <w:ind w:left="712" w:hanging="697"/>
        <w:spacing w:after="0" w:line="236" w:lineRule="auto"/>
        <w:tabs>
          <w:tab w:leader="none" w:pos="692" w:val="left"/>
        </w:tabs>
        <w:rPr>
          <w:sz w:val="20"/>
          <w:szCs w:val="20"/>
          <w:color w:val="auto"/>
        </w:rPr>
      </w:pPr>
      <w:r>
        <w:rPr>
          <w:rFonts w:ascii="Arial" w:cs="Arial" w:eastAsia="Arial" w:hAnsi="Arial"/>
          <w:sz w:val="20"/>
          <w:szCs w:val="20"/>
          <w:color w:val="auto"/>
        </w:rPr>
        <w:t>7.1</w:t>
      </w:r>
      <w:r>
        <w:rPr>
          <w:sz w:val="20"/>
          <w:szCs w:val="20"/>
          <w:color w:val="auto"/>
        </w:rPr>
        <w:tab/>
      </w:r>
      <w:r>
        <w:rPr>
          <w:rFonts w:ascii="Calibri" w:cs="Calibri" w:eastAsia="Calibri" w:hAnsi="Calibri"/>
          <w:sz w:val="20"/>
          <w:szCs w:val="20"/>
          <w:color w:val="auto"/>
        </w:rPr>
        <w:t>Any dates specifed by Kyowa Kirin for delivery of the Product are intended to [***] to ensure that delivery shall be within the Purchase Order Lead Time. If no dates are so specifed, Kyowa Kirin shall [***] to ensure that delivery will be within the Purchase Order Lead Time.</w:t>
      </w:r>
    </w:p>
    <w:p>
      <w:pPr>
        <w:spacing w:after="0" w:line="238" w:lineRule="exact"/>
        <w:rPr>
          <w:sz w:val="20"/>
          <w:szCs w:val="20"/>
          <w:color w:val="auto"/>
        </w:rPr>
      </w:pPr>
    </w:p>
    <w:p>
      <w:pPr>
        <w:jc w:val="both"/>
        <w:ind w:left="712" w:hanging="697"/>
        <w:spacing w:after="0" w:line="236" w:lineRule="auto"/>
        <w:tabs>
          <w:tab w:leader="none" w:pos="692" w:val="left"/>
        </w:tabs>
        <w:rPr>
          <w:sz w:val="20"/>
          <w:szCs w:val="20"/>
          <w:color w:val="auto"/>
        </w:rPr>
      </w:pPr>
      <w:r>
        <w:rPr>
          <w:rFonts w:ascii="Arial" w:cs="Arial" w:eastAsia="Arial" w:hAnsi="Arial"/>
          <w:sz w:val="20"/>
          <w:szCs w:val="20"/>
          <w:color w:val="auto"/>
        </w:rPr>
        <w:t>7.2</w:t>
      </w:r>
      <w:r>
        <w:rPr>
          <w:sz w:val="20"/>
          <w:szCs w:val="20"/>
          <w:color w:val="auto"/>
        </w:rPr>
        <w:tab/>
      </w:r>
      <w:r>
        <w:rPr>
          <w:rFonts w:ascii="Calibri" w:cs="Calibri" w:eastAsia="Calibri" w:hAnsi="Calibri"/>
          <w:sz w:val="20"/>
          <w:szCs w:val="20"/>
          <w:color w:val="auto"/>
        </w:rPr>
        <w:t>Product will be delivered to UGNX by Kyowa Kirin [***] to regional packaging facility located in [***] or other such packaging facility as approved in advance by UGNX. Product shall be made available to UGNX from Kyowa Kirin approved inventory from a regional packaging facility, having already been transported from the point of manufacture to a regional packaging facility using Kyowa Kirin qualifed shipping lanes.</w:t>
      </w:r>
    </w:p>
    <w:p>
      <w:pPr>
        <w:spacing w:after="0" w:line="241" w:lineRule="exact"/>
        <w:rPr>
          <w:sz w:val="20"/>
          <w:szCs w:val="20"/>
          <w:color w:val="auto"/>
        </w:rPr>
      </w:pPr>
    </w:p>
    <w:p>
      <w:pPr>
        <w:jc w:val="both"/>
        <w:ind w:left="712" w:hanging="697"/>
        <w:spacing w:after="0" w:line="236" w:lineRule="auto"/>
        <w:tabs>
          <w:tab w:leader="none" w:pos="692" w:val="left"/>
        </w:tabs>
        <w:rPr>
          <w:sz w:val="20"/>
          <w:szCs w:val="20"/>
          <w:color w:val="auto"/>
        </w:rPr>
      </w:pPr>
      <w:r>
        <w:rPr>
          <w:rFonts w:ascii="Arial" w:cs="Arial" w:eastAsia="Arial" w:hAnsi="Arial"/>
          <w:sz w:val="20"/>
          <w:szCs w:val="20"/>
          <w:color w:val="auto"/>
        </w:rPr>
        <w:t>7.3</w:t>
      </w:r>
      <w:r>
        <w:rPr>
          <w:sz w:val="20"/>
          <w:szCs w:val="20"/>
          <w:color w:val="auto"/>
        </w:rPr>
        <w:tab/>
      </w:r>
      <w:r>
        <w:rPr>
          <w:rFonts w:ascii="Calibri" w:cs="Calibri" w:eastAsia="Calibri" w:hAnsi="Calibri"/>
          <w:sz w:val="20"/>
          <w:szCs w:val="20"/>
          <w:color w:val="auto"/>
        </w:rPr>
        <w:t>All Product supplied by Kyowa Kirin shall be examined and checked upon transfer or delivery to UGNX (or its designee at the regional packaging site) in order to ascertain that the Product complies with the lot release informaton, quantty, and Inventory Acceptance Requirements.</w:t>
      </w:r>
    </w:p>
    <w:p>
      <w:pPr>
        <w:spacing w:after="0" w:line="238" w:lineRule="exact"/>
        <w:rPr>
          <w:sz w:val="20"/>
          <w:szCs w:val="20"/>
          <w:color w:val="auto"/>
        </w:rPr>
      </w:pPr>
    </w:p>
    <w:p>
      <w:pPr>
        <w:jc w:val="both"/>
        <w:ind w:left="712" w:hanging="697"/>
        <w:spacing w:after="0" w:line="234" w:lineRule="auto"/>
        <w:tabs>
          <w:tab w:leader="none" w:pos="692" w:val="left"/>
        </w:tabs>
        <w:rPr>
          <w:sz w:val="20"/>
          <w:szCs w:val="20"/>
          <w:color w:val="auto"/>
        </w:rPr>
      </w:pPr>
      <w:r>
        <w:rPr>
          <w:rFonts w:ascii="Arial" w:cs="Arial" w:eastAsia="Arial" w:hAnsi="Arial"/>
          <w:sz w:val="20"/>
          <w:szCs w:val="20"/>
          <w:color w:val="auto"/>
        </w:rPr>
        <w:t>7.4</w:t>
      </w:r>
      <w:r>
        <w:rPr>
          <w:sz w:val="20"/>
          <w:szCs w:val="20"/>
          <w:color w:val="auto"/>
        </w:rPr>
        <w:tab/>
      </w:r>
      <w:r>
        <w:rPr>
          <w:rFonts w:ascii="Calibri" w:cs="Calibri" w:eastAsia="Calibri" w:hAnsi="Calibri"/>
          <w:sz w:val="20"/>
          <w:szCs w:val="20"/>
          <w:color w:val="auto"/>
        </w:rPr>
        <w:t>Unless Kyowa Kirin is notfed in writng within [***] afer the date of delivery, of (i) any non-compliance with the lot release informaton, quantty,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238760</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12"/>
          </w:cols>
          <w:pgMar w:left="508" w:top="1398" w:right="879" w:bottom="1440" w:gutter="0" w:footer="0" w:header="0"/>
        </w:sectPr>
      </w:pPr>
    </w:p>
    <w:bookmarkStart w:id="147" w:name="page148"/>
    <w:bookmarkEnd w:id="147"/>
    <w:p>
      <w:pPr>
        <w:jc w:val="both"/>
        <w:ind w:left="40"/>
        <w:spacing w:after="0" w:line="237" w:lineRule="auto"/>
        <w:rPr>
          <w:sz w:val="20"/>
          <w:szCs w:val="20"/>
          <w:color w:val="auto"/>
        </w:rPr>
      </w:pPr>
      <w:r>
        <w:rPr>
          <w:rFonts w:ascii="Calibri" w:cs="Calibri" w:eastAsia="Calibri" w:hAnsi="Calibri"/>
          <w:sz w:val="20"/>
          <w:szCs w:val="20"/>
          <w:color w:val="auto"/>
        </w:rPr>
        <w:t>Inventory Acceptance Requirements which can be reasonably detected through visual inspecton of the Product or (ii) any alleged shortages in the quantty of delivered Product, [***]. In the event that UGNX determines [***] afer the date of delivery, that the Product did not materially conform with the specifcatons on the date of delivery or otherwise comply with the product warranty in Clause 6.3 or the requirements of the purchase order (such as matching the quanttes ordered), UGNX shall provide notce to Kyowa Kirin thereof, and, if requested by Kyowa Kirin, ship or provide a sample porton of the afected Product to Kyowa Kirin or its designated contract manufacturing organizaton (CMO), freight prepaid and properly insured, along with a reasonably detailed statement of the claimed non-conformity and copy of Kyowa Kirin’s invoice therefor. UGNX shall retain the balance of the Product that is subject to review subject to resoluton of the rejecton and further dispositon in accordance with this Clause 7.</w:t>
      </w:r>
    </w:p>
    <w:p>
      <w:pPr>
        <w:spacing w:after="0" w:line="236" w:lineRule="exact"/>
        <w:rPr>
          <w:sz w:val="20"/>
          <w:szCs w:val="20"/>
          <w:color w:val="auto"/>
        </w:rPr>
      </w:pPr>
    </w:p>
    <w:p>
      <w:pPr>
        <w:jc w:val="both"/>
        <w:ind w:hanging="697"/>
        <w:spacing w:after="0"/>
        <w:rPr>
          <w:sz w:val="20"/>
          <w:szCs w:val="20"/>
          <w:color w:val="auto"/>
        </w:rPr>
      </w:pPr>
      <w:r>
        <w:rPr>
          <w:rFonts w:ascii="Arial" w:cs="Arial" w:eastAsia="Arial" w:hAnsi="Arial"/>
          <w:sz w:val="20"/>
          <w:szCs w:val="20"/>
          <w:color w:val="auto"/>
        </w:rPr>
        <w:t>7.5</w:t>
      </w:r>
      <w:r>
        <w:rPr>
          <w:sz w:val="20"/>
          <w:szCs w:val="20"/>
          <w:color w:val="auto"/>
        </w:rPr>
        <w:t xml:space="preserve"> </w:t>
      </w:r>
      <w:r>
        <w:rPr>
          <w:rFonts w:ascii="Calibri" w:cs="Calibri" w:eastAsia="Calibri" w:hAnsi="Calibri"/>
          <w:sz w:val="20"/>
          <w:szCs w:val="20"/>
          <w:color w:val="auto"/>
        </w:rPr>
        <w:t>For quality defects which are not reasonably detectable through visual inspecton, UGNX shall notfy Kyowa Kirin thereof by writen notce within [***] afer becoming aware thereof. In case of non-compliance with the Inventory Acceptance Requirements and UGNX notfes Kyowa Kirin of such non-compliance in accordance with this Clause 7.5, Kyowa Kirin shall, at Kyowa Kirin’s opton, either replace such Product [***] or refund [***] as soon as reasonably feasible.</w:t>
      </w:r>
    </w:p>
    <w:p>
      <w:pPr>
        <w:spacing w:after="0" w:line="200" w:lineRule="exact"/>
        <w:rPr>
          <w:sz w:val="20"/>
          <w:szCs w:val="20"/>
          <w:color w:val="auto"/>
        </w:rPr>
      </w:pPr>
    </w:p>
    <w:p>
      <w:pPr>
        <w:spacing w:after="0" w:line="268" w:lineRule="exact"/>
        <w:rPr>
          <w:sz w:val="20"/>
          <w:szCs w:val="20"/>
          <w:color w:val="auto"/>
        </w:rPr>
      </w:pPr>
    </w:p>
    <w:p>
      <w:pPr>
        <w:jc w:val="both"/>
        <w:ind w:hanging="697"/>
        <w:spacing w:after="0" w:line="236" w:lineRule="auto"/>
        <w:rPr>
          <w:sz w:val="20"/>
          <w:szCs w:val="20"/>
          <w:color w:val="auto"/>
        </w:rPr>
      </w:pPr>
      <w:r>
        <w:rPr>
          <w:rFonts w:ascii="Arial" w:cs="Arial" w:eastAsia="Arial" w:hAnsi="Arial"/>
          <w:sz w:val="20"/>
          <w:szCs w:val="20"/>
          <w:color w:val="auto"/>
        </w:rPr>
        <w:t>7.6</w:t>
      </w:r>
      <w:r>
        <w:rPr>
          <w:sz w:val="20"/>
          <w:szCs w:val="20"/>
          <w:color w:val="auto"/>
        </w:rPr>
        <w:t xml:space="preserve"> </w:t>
      </w:r>
      <w:r>
        <w:rPr>
          <w:rFonts w:ascii="Calibri" w:cs="Calibri" w:eastAsia="Calibri" w:hAnsi="Calibri"/>
          <w:sz w:val="20"/>
          <w:szCs w:val="20"/>
          <w:color w:val="auto"/>
        </w:rPr>
        <w:t>In the event that Kyowa Kirin agrees that the returned Products were non-conforming (or such non-conformance is confrmed under Clause 7.7 below), Kyowa Kirin shall replace all of such non-conforming units of Product, [***], and Kyowa Kirin shall as soon as practcable deliver to UGNX, freight prepaid, all replacement units of the Product, [***]. UGNX shall return all non-conforming Product to Kyowa Kirin per instructons provided [***].</w:t>
      </w:r>
    </w:p>
    <w:p>
      <w:pPr>
        <w:spacing w:after="0" w:line="241" w:lineRule="exact"/>
        <w:rPr>
          <w:sz w:val="20"/>
          <w:szCs w:val="20"/>
          <w:color w:val="auto"/>
        </w:rPr>
      </w:pPr>
    </w:p>
    <w:p>
      <w:pPr>
        <w:jc w:val="both"/>
        <w:ind w:hanging="697"/>
        <w:spacing w:after="0" w:line="237" w:lineRule="auto"/>
        <w:rPr>
          <w:sz w:val="20"/>
          <w:szCs w:val="20"/>
          <w:color w:val="auto"/>
        </w:rPr>
      </w:pPr>
      <w:r>
        <w:rPr>
          <w:rFonts w:ascii="Arial" w:cs="Arial" w:eastAsia="Arial" w:hAnsi="Arial"/>
          <w:sz w:val="20"/>
          <w:szCs w:val="20"/>
          <w:color w:val="auto"/>
        </w:rPr>
        <w:t>7.7</w:t>
      </w:r>
      <w:r>
        <w:rPr>
          <w:sz w:val="20"/>
          <w:szCs w:val="20"/>
          <w:color w:val="auto"/>
        </w:rPr>
        <w:t xml:space="preserve"> </w:t>
      </w:r>
      <w:r>
        <w:rPr>
          <w:rFonts w:ascii="Calibri" w:cs="Calibri" w:eastAsia="Calibri" w:hAnsi="Calibri"/>
          <w:sz w:val="20"/>
          <w:szCs w:val="20"/>
          <w:color w:val="auto"/>
        </w:rPr>
        <w:t>In the event that Kyowa Kirin disagrees with UGNX’s rejecton because the Product is in fact conforming, the partes shall cooperate to have both UGNX’s returned samples and Kyowa Kirin’s retained samples from the same producton batch of the Product in dispute analyzed by a mutually acceptable independent testng laboratory of recognized reputaton in the pharmaceutcal industry, using the analytcal methods, tests and criteria for conformance set forth in the specifcatons. If Kyowa Kirin is unable to deliver the Product on tme because UGNX has not provided appropriate instructons, documents, licences or authorisatons, then the Product will be deemed to have been delivered, [***] and Kyowa Kirin may store the Product, in conditons which adequately protect and preserve the Product, untl actual date of delivery, [***].</w:t>
      </w:r>
    </w:p>
    <w:p>
      <w:pPr>
        <w:spacing w:after="0" w:line="245" w:lineRule="exact"/>
        <w:rPr>
          <w:sz w:val="20"/>
          <w:szCs w:val="20"/>
          <w:color w:val="auto"/>
        </w:rPr>
      </w:pPr>
    </w:p>
    <w:p>
      <w:pPr>
        <w:jc w:val="both"/>
        <w:ind w:hanging="697"/>
        <w:spacing w:after="0" w:line="237" w:lineRule="auto"/>
        <w:rPr>
          <w:sz w:val="20"/>
          <w:szCs w:val="20"/>
          <w:color w:val="auto"/>
        </w:rPr>
      </w:pPr>
      <w:r>
        <w:rPr>
          <w:rFonts w:ascii="Arial" w:cs="Arial" w:eastAsia="Arial" w:hAnsi="Arial"/>
          <w:sz w:val="20"/>
          <w:szCs w:val="20"/>
          <w:color w:val="auto"/>
        </w:rPr>
        <w:t>7.8</w:t>
      </w:r>
      <w:r>
        <w:rPr>
          <w:sz w:val="20"/>
          <w:szCs w:val="20"/>
          <w:color w:val="auto"/>
        </w:rPr>
        <w:t xml:space="preserve"> </w:t>
      </w:r>
      <w:r>
        <w:rPr>
          <w:rFonts w:ascii="Calibri" w:cs="Calibri" w:eastAsia="Calibri" w:hAnsi="Calibri"/>
          <w:sz w:val="20"/>
          <w:szCs w:val="20"/>
          <w:color w:val="auto"/>
        </w:rPr>
        <w:t>The up-front out-of-pocket external costs associated with the return in 7.7 shall be [***] by the partes, unless and untl an alternatve determinaton is made as provided below. The results of such laboratory testng shall be conclusive and binding on the partes on the issue of compliance of such units of Product with the specifcatons on the date of delivery. If such independent testng laboratory determines that UGNX’s returned samples of such Product conform to the specifcatons and other Product warrantes hereunder, then (i) the applicable Product shall be deemed to have been improperly rejected by UGNX, and (ii) [***]. If such independent testng laboratory determines that UGNX’s returned samples of such Product did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241300</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00"/>
          </w:cols>
          <w:pgMar w:left="1220" w:top="1398" w:right="879" w:bottom="1440" w:gutter="0" w:footer="0" w:header="0"/>
        </w:sectPr>
      </w:pPr>
    </w:p>
    <w:bookmarkStart w:id="148" w:name="page149"/>
    <w:bookmarkEnd w:id="148"/>
    <w:p>
      <w:pPr>
        <w:jc w:val="both"/>
        <w:ind w:left="752"/>
        <w:spacing w:after="0" w:line="236" w:lineRule="auto"/>
        <w:rPr>
          <w:sz w:val="20"/>
          <w:szCs w:val="20"/>
          <w:color w:val="auto"/>
        </w:rPr>
      </w:pPr>
      <w:r>
        <w:rPr>
          <w:rFonts w:ascii="Calibri" w:cs="Calibri" w:eastAsia="Calibri" w:hAnsi="Calibri"/>
          <w:sz w:val="20"/>
          <w:szCs w:val="20"/>
          <w:color w:val="auto"/>
        </w:rPr>
        <w:t>conform to the specifcatons and other Product warrantes hereunder and that such returned samples conform to the samples for such batch retained by Kyowa Kirin, then [***], and Kyowa Kirin shall promptly supply to UGNX conforming Product in accordance with Clause 7.6.</w:t>
      </w:r>
    </w:p>
    <w:p>
      <w:pPr>
        <w:spacing w:after="0" w:line="228" w:lineRule="exact"/>
        <w:rPr>
          <w:sz w:val="20"/>
          <w:szCs w:val="20"/>
          <w:color w:val="auto"/>
        </w:rPr>
      </w:pPr>
    </w:p>
    <w:p>
      <w:pPr>
        <w:jc w:val="both"/>
        <w:ind w:left="712" w:hanging="697"/>
        <w:spacing w:after="0" w:line="234" w:lineRule="auto"/>
        <w:tabs>
          <w:tab w:leader="none" w:pos="692" w:val="left"/>
        </w:tabs>
        <w:rPr>
          <w:sz w:val="20"/>
          <w:szCs w:val="20"/>
          <w:color w:val="auto"/>
        </w:rPr>
      </w:pPr>
      <w:r>
        <w:rPr>
          <w:rFonts w:ascii="Arial" w:cs="Arial" w:eastAsia="Arial" w:hAnsi="Arial"/>
          <w:sz w:val="20"/>
          <w:szCs w:val="20"/>
          <w:color w:val="auto"/>
        </w:rPr>
        <w:t>7.9</w:t>
      </w:r>
      <w:r>
        <w:rPr>
          <w:sz w:val="20"/>
          <w:szCs w:val="20"/>
          <w:color w:val="auto"/>
        </w:rPr>
        <w:tab/>
      </w:r>
      <w:r>
        <w:rPr>
          <w:rFonts w:ascii="Calibri" w:cs="Calibri" w:eastAsia="Calibri" w:hAnsi="Calibri"/>
          <w:sz w:val="20"/>
          <w:szCs w:val="20"/>
          <w:color w:val="auto"/>
        </w:rPr>
        <w:t>UGNX will provide, [***], at the place of delivery or transfer, adequate and appropriate equipment and manual labor for acceptance and receipt of the Product.</w:t>
      </w:r>
    </w:p>
    <w:p>
      <w:pPr>
        <w:spacing w:after="0" w:line="239" w:lineRule="exact"/>
        <w:rPr>
          <w:sz w:val="20"/>
          <w:szCs w:val="20"/>
          <w:color w:val="auto"/>
        </w:rPr>
      </w:pPr>
    </w:p>
    <w:p>
      <w:pPr>
        <w:jc w:val="both"/>
        <w:ind w:left="712" w:hanging="697"/>
        <w:spacing w:after="0" w:line="237" w:lineRule="auto"/>
        <w:tabs>
          <w:tab w:leader="none" w:pos="692" w:val="left"/>
        </w:tabs>
        <w:rPr>
          <w:sz w:val="20"/>
          <w:szCs w:val="20"/>
          <w:color w:val="auto"/>
        </w:rPr>
      </w:pPr>
      <w:r>
        <w:rPr>
          <w:rFonts w:ascii="Arial" w:cs="Arial" w:eastAsia="Arial" w:hAnsi="Arial"/>
          <w:sz w:val="20"/>
          <w:szCs w:val="20"/>
          <w:color w:val="auto"/>
        </w:rPr>
        <w:t>7.10</w:t>
      </w:r>
      <w:r>
        <w:rPr>
          <w:sz w:val="20"/>
          <w:szCs w:val="20"/>
          <w:color w:val="auto"/>
        </w:rPr>
        <w:tab/>
      </w:r>
      <w:r>
        <w:rPr>
          <w:rFonts w:ascii="Calibri" w:cs="Calibri" w:eastAsia="Calibri" w:hAnsi="Calibri"/>
          <w:sz w:val="20"/>
          <w:szCs w:val="20"/>
          <w:color w:val="auto"/>
        </w:rPr>
        <w:t>In the event that the quanttes of the Product delivered to UGNX (in one or more shipments) do not match the quantty ordered in any material respect, Kyowa Kirin shall promptly ship (such shipping at [***]) the additonal Product required to make up such shortall; or if the amount shipped exceeds the amount ordered by a material amount, UGNX shall accept only the amount ordered, in which case upon Kyowa Kirin’s request and at [***], such additonal quanttes shall be returned to Kyowa Kirin or stored by UGNX [***].</w:t>
      </w:r>
    </w:p>
    <w:p>
      <w:pPr>
        <w:spacing w:after="0" w:line="240" w:lineRule="exact"/>
        <w:rPr>
          <w:sz w:val="20"/>
          <w:szCs w:val="20"/>
          <w:color w:val="auto"/>
        </w:rPr>
      </w:pPr>
    </w:p>
    <w:p>
      <w:pPr>
        <w:ind w:left="752" w:hanging="752"/>
        <w:spacing w:after="0"/>
        <w:tabs>
          <w:tab w:leader="none" w:pos="752" w:val="left"/>
        </w:tabs>
        <w:numPr>
          <w:ilvl w:val="0"/>
          <w:numId w:val="86"/>
        </w:numPr>
        <w:rPr>
          <w:rFonts w:ascii="Arial" w:cs="Arial" w:eastAsia="Arial" w:hAnsi="Arial"/>
          <w:sz w:val="20"/>
          <w:szCs w:val="20"/>
          <w:b w:val="1"/>
          <w:bCs w:val="1"/>
          <w:color w:val="auto"/>
        </w:rPr>
      </w:pPr>
      <w:r>
        <w:rPr>
          <w:rFonts w:ascii="Calibri" w:cs="Calibri" w:eastAsia="Calibri" w:hAnsi="Calibri"/>
          <w:sz w:val="20"/>
          <w:szCs w:val="20"/>
          <w:b w:val="1"/>
          <w:bCs w:val="1"/>
          <w:color w:val="auto"/>
        </w:rPr>
        <w:t>RISK AND TITLE</w:t>
      </w:r>
    </w:p>
    <w:p>
      <w:pPr>
        <w:spacing w:after="0" w:line="218" w:lineRule="exact"/>
        <w:rPr>
          <w:sz w:val="20"/>
          <w:szCs w:val="20"/>
          <w:color w:val="auto"/>
        </w:rPr>
      </w:pPr>
    </w:p>
    <w:p>
      <w:pPr>
        <w:ind w:left="12"/>
        <w:spacing w:after="0"/>
        <w:tabs>
          <w:tab w:leader="none" w:pos="692" w:val="left"/>
        </w:tabs>
        <w:rPr>
          <w:sz w:val="20"/>
          <w:szCs w:val="20"/>
          <w:color w:val="auto"/>
        </w:rPr>
      </w:pPr>
      <w:r>
        <w:rPr>
          <w:rFonts w:ascii="Arial" w:cs="Arial" w:eastAsia="Arial" w:hAnsi="Arial"/>
          <w:sz w:val="20"/>
          <w:szCs w:val="20"/>
          <w:color w:val="auto"/>
        </w:rPr>
        <w:t>8.1</w:t>
      </w:r>
      <w:r>
        <w:rPr>
          <w:sz w:val="20"/>
          <w:szCs w:val="20"/>
          <w:color w:val="auto"/>
        </w:rPr>
        <w:tab/>
      </w:r>
      <w:r>
        <w:rPr>
          <w:rFonts w:ascii="Calibri" w:cs="Calibri" w:eastAsia="Calibri" w:hAnsi="Calibri"/>
          <w:sz w:val="20"/>
          <w:szCs w:val="20"/>
          <w:color w:val="auto"/>
        </w:rPr>
        <w:t>Title and risk of loss to Products shall pass to UGNX upon transfer or delivery to UGNX or its designee.</w:t>
      </w:r>
    </w:p>
    <w:p>
      <w:pPr>
        <w:spacing w:after="0" w:line="239" w:lineRule="exact"/>
        <w:rPr>
          <w:sz w:val="20"/>
          <w:szCs w:val="20"/>
          <w:color w:val="auto"/>
        </w:rPr>
      </w:pPr>
    </w:p>
    <w:p>
      <w:pPr>
        <w:ind w:left="752" w:hanging="752"/>
        <w:spacing w:after="0"/>
        <w:tabs>
          <w:tab w:leader="none" w:pos="752" w:val="left"/>
        </w:tabs>
        <w:numPr>
          <w:ilvl w:val="0"/>
          <w:numId w:val="87"/>
        </w:numPr>
        <w:rPr>
          <w:rFonts w:ascii="Arial" w:cs="Arial" w:eastAsia="Arial" w:hAnsi="Arial"/>
          <w:sz w:val="20"/>
          <w:szCs w:val="20"/>
          <w:b w:val="1"/>
          <w:bCs w:val="1"/>
          <w:color w:val="auto"/>
        </w:rPr>
      </w:pPr>
      <w:r>
        <w:rPr>
          <w:rFonts w:ascii="Calibri" w:cs="Calibri" w:eastAsia="Calibri" w:hAnsi="Calibri"/>
          <w:sz w:val="20"/>
          <w:szCs w:val="20"/>
          <w:b w:val="1"/>
          <w:bCs w:val="1"/>
          <w:color w:val="auto"/>
        </w:rPr>
        <w:t>PRODUCT SAFETY, RETURN AND RECALL</w:t>
      </w:r>
    </w:p>
    <w:p>
      <w:pPr>
        <w:spacing w:after="0" w:line="218" w:lineRule="exact"/>
        <w:rPr>
          <w:sz w:val="20"/>
          <w:szCs w:val="20"/>
          <w:color w:val="auto"/>
        </w:rPr>
      </w:pPr>
    </w:p>
    <w:p>
      <w:pPr>
        <w:ind w:left="12"/>
        <w:spacing w:after="0"/>
        <w:tabs>
          <w:tab w:leader="none" w:pos="732" w:val="left"/>
        </w:tabs>
        <w:rPr>
          <w:sz w:val="20"/>
          <w:szCs w:val="20"/>
          <w:color w:val="auto"/>
        </w:rPr>
      </w:pPr>
      <w:r>
        <w:rPr>
          <w:rFonts w:ascii="Arial" w:cs="Arial" w:eastAsia="Arial" w:hAnsi="Arial"/>
          <w:sz w:val="20"/>
          <w:szCs w:val="20"/>
          <w:color w:val="auto"/>
        </w:rPr>
        <w:t>9.1</w:t>
      </w:r>
      <w:r>
        <w:rPr>
          <w:sz w:val="20"/>
          <w:szCs w:val="20"/>
          <w:color w:val="auto"/>
        </w:rPr>
        <w:tab/>
      </w:r>
      <w:r>
        <w:rPr>
          <w:rFonts w:ascii="Calibri" w:cs="Calibri" w:eastAsia="Calibri" w:hAnsi="Calibri"/>
          <w:sz w:val="20"/>
          <w:szCs w:val="20"/>
          <w:color w:val="auto"/>
        </w:rPr>
        <w:t>Prior to the frst supply of the Product, the partes shall agree and execute:</w:t>
      </w:r>
    </w:p>
    <w:p>
      <w:pPr>
        <w:spacing w:after="0" w:line="239" w:lineRule="exact"/>
        <w:rPr>
          <w:sz w:val="20"/>
          <w:szCs w:val="20"/>
          <w:color w:val="auto"/>
        </w:rPr>
      </w:pPr>
    </w:p>
    <w:p>
      <w:pPr>
        <w:ind w:left="1472" w:hanging="709"/>
        <w:spacing w:after="0"/>
        <w:tabs>
          <w:tab w:leader="none" w:pos="1472" w:val="left"/>
        </w:tabs>
        <w:numPr>
          <w:ilvl w:val="0"/>
          <w:numId w:val="88"/>
        </w:numPr>
        <w:rPr>
          <w:rFonts w:ascii="Arial" w:cs="Arial" w:eastAsia="Arial" w:hAnsi="Arial"/>
          <w:sz w:val="20"/>
          <w:szCs w:val="20"/>
          <w:color w:val="auto"/>
        </w:rPr>
      </w:pPr>
      <w:r>
        <w:rPr>
          <w:rFonts w:ascii="Calibri" w:cs="Calibri" w:eastAsia="Calibri" w:hAnsi="Calibri"/>
          <w:sz w:val="20"/>
          <w:szCs w:val="20"/>
          <w:color w:val="auto"/>
        </w:rPr>
        <w:t>the Quality Agreement; and</w:t>
      </w:r>
    </w:p>
    <w:p>
      <w:pPr>
        <w:spacing w:after="0" w:line="228" w:lineRule="exact"/>
        <w:rPr>
          <w:rFonts w:ascii="Arial" w:cs="Arial" w:eastAsia="Arial" w:hAnsi="Arial"/>
          <w:sz w:val="20"/>
          <w:szCs w:val="20"/>
          <w:color w:val="auto"/>
        </w:rPr>
      </w:pPr>
    </w:p>
    <w:p>
      <w:pPr>
        <w:ind w:left="1472" w:hanging="709"/>
        <w:spacing w:after="0"/>
        <w:tabs>
          <w:tab w:leader="none" w:pos="1472" w:val="left"/>
        </w:tabs>
        <w:numPr>
          <w:ilvl w:val="0"/>
          <w:numId w:val="88"/>
        </w:numPr>
        <w:rPr>
          <w:rFonts w:ascii="Arial" w:cs="Arial" w:eastAsia="Arial" w:hAnsi="Arial"/>
          <w:sz w:val="20"/>
          <w:szCs w:val="20"/>
          <w:color w:val="auto"/>
        </w:rPr>
      </w:pPr>
      <w:r>
        <w:rPr>
          <w:rFonts w:ascii="Calibri" w:cs="Calibri" w:eastAsia="Calibri" w:hAnsi="Calibri"/>
          <w:sz w:val="20"/>
          <w:szCs w:val="20"/>
          <w:color w:val="auto"/>
        </w:rPr>
        <w:t>a form of pharmacovigilance agreement.</w:t>
      </w:r>
    </w:p>
    <w:p>
      <w:pPr>
        <w:spacing w:after="0" w:line="227" w:lineRule="exact"/>
        <w:rPr>
          <w:sz w:val="20"/>
          <w:szCs w:val="20"/>
          <w:color w:val="auto"/>
        </w:rPr>
      </w:pPr>
    </w:p>
    <w:p>
      <w:pPr>
        <w:jc w:val="both"/>
        <w:ind w:left="712" w:hanging="697"/>
        <w:spacing w:after="0" w:line="236" w:lineRule="auto"/>
        <w:tabs>
          <w:tab w:leader="none" w:pos="692" w:val="left"/>
        </w:tabs>
        <w:rPr>
          <w:sz w:val="20"/>
          <w:szCs w:val="20"/>
          <w:color w:val="auto"/>
        </w:rPr>
      </w:pPr>
      <w:r>
        <w:rPr>
          <w:rFonts w:ascii="Arial" w:cs="Arial" w:eastAsia="Arial" w:hAnsi="Arial"/>
          <w:sz w:val="20"/>
          <w:szCs w:val="20"/>
          <w:color w:val="auto"/>
        </w:rPr>
        <w:t>9.2</w:t>
      </w:r>
      <w:r>
        <w:rPr>
          <w:sz w:val="20"/>
          <w:szCs w:val="20"/>
          <w:color w:val="auto"/>
        </w:rPr>
        <w:tab/>
      </w:r>
      <w:r>
        <w:rPr>
          <w:rFonts w:ascii="Calibri" w:cs="Calibri" w:eastAsia="Calibri" w:hAnsi="Calibri"/>
          <w:sz w:val="20"/>
          <w:szCs w:val="20"/>
          <w:color w:val="auto"/>
        </w:rPr>
        <w:t>Each party shall comply at all tmes with the writen instructons and all writen guidelines issued from tme to tme atached to the Product concerning their storage, applicaton and use (including as set out in the Quality Agreement) and each party shall refer its Personnel and customers to such instructons, guidelines and the Quality Agreement.</w:t>
      </w:r>
    </w:p>
    <w:p>
      <w:pPr>
        <w:spacing w:after="0" w:line="238" w:lineRule="exact"/>
        <w:rPr>
          <w:sz w:val="20"/>
          <w:szCs w:val="20"/>
          <w:color w:val="auto"/>
        </w:rPr>
      </w:pPr>
    </w:p>
    <w:p>
      <w:pPr>
        <w:jc w:val="both"/>
        <w:ind w:left="712" w:right="20" w:hanging="697"/>
        <w:spacing w:after="0" w:line="236" w:lineRule="auto"/>
        <w:tabs>
          <w:tab w:leader="none" w:pos="692" w:val="left"/>
        </w:tabs>
        <w:rPr>
          <w:sz w:val="20"/>
          <w:szCs w:val="20"/>
          <w:color w:val="auto"/>
        </w:rPr>
      </w:pPr>
      <w:r>
        <w:rPr>
          <w:rFonts w:ascii="Arial" w:cs="Arial" w:eastAsia="Arial" w:hAnsi="Arial"/>
          <w:sz w:val="20"/>
          <w:szCs w:val="20"/>
          <w:color w:val="auto"/>
        </w:rPr>
        <w:t>9.3</w:t>
      </w:r>
      <w:r>
        <w:rPr>
          <w:sz w:val="20"/>
          <w:szCs w:val="20"/>
          <w:color w:val="auto"/>
        </w:rPr>
        <w:tab/>
      </w:r>
      <w:r>
        <w:rPr>
          <w:rFonts w:ascii="Calibri" w:cs="Calibri" w:eastAsia="Calibri" w:hAnsi="Calibri"/>
          <w:sz w:val="20"/>
          <w:szCs w:val="20"/>
          <w:color w:val="auto"/>
        </w:rPr>
        <w:t>Each party shall keep the other properly informed of all customer complaints concerning the Product and shall comply with any reasonable directons of the other party in any issues, proceedings or negotatons relatng to such complaint, subject to compliance with Applicable Laws.</w:t>
      </w:r>
    </w:p>
    <w:p>
      <w:pPr>
        <w:spacing w:after="0" w:line="238" w:lineRule="exact"/>
        <w:rPr>
          <w:sz w:val="20"/>
          <w:szCs w:val="20"/>
          <w:color w:val="auto"/>
        </w:rPr>
      </w:pPr>
    </w:p>
    <w:p>
      <w:pPr>
        <w:jc w:val="both"/>
        <w:ind w:left="712" w:hanging="697"/>
        <w:spacing w:after="0" w:line="236" w:lineRule="auto"/>
        <w:tabs>
          <w:tab w:leader="none" w:pos="692" w:val="left"/>
        </w:tabs>
        <w:rPr>
          <w:sz w:val="20"/>
          <w:szCs w:val="20"/>
          <w:color w:val="auto"/>
        </w:rPr>
      </w:pPr>
      <w:r>
        <w:rPr>
          <w:rFonts w:ascii="Arial" w:cs="Arial" w:eastAsia="Arial" w:hAnsi="Arial"/>
          <w:sz w:val="20"/>
          <w:szCs w:val="20"/>
          <w:color w:val="auto"/>
        </w:rPr>
        <w:t>9.4</w:t>
      </w:r>
      <w:r>
        <w:rPr>
          <w:sz w:val="20"/>
          <w:szCs w:val="20"/>
          <w:color w:val="auto"/>
        </w:rPr>
        <w:tab/>
      </w:r>
      <w:r>
        <w:rPr>
          <w:rFonts w:ascii="Calibri" w:cs="Calibri" w:eastAsia="Calibri" w:hAnsi="Calibri"/>
          <w:sz w:val="20"/>
          <w:szCs w:val="20"/>
          <w:color w:val="auto"/>
        </w:rPr>
        <w:t>If any used Product is returned to UGNX for any reason other than Product quality claims, UGNX shall promptly notfy Kyowa Kirin and if requested shall ship such Product to Kyowa Kirin [***] of the return, unless Applicable Law prohibits such shipment. Kyowa Kirin shall [***].</w:t>
      </w:r>
    </w:p>
    <w:p>
      <w:pPr>
        <w:spacing w:after="0" w:line="238" w:lineRule="exact"/>
        <w:rPr>
          <w:sz w:val="20"/>
          <w:szCs w:val="20"/>
          <w:color w:val="auto"/>
        </w:rPr>
      </w:pPr>
    </w:p>
    <w:p>
      <w:pPr>
        <w:jc w:val="both"/>
        <w:ind w:left="712" w:hanging="697"/>
        <w:spacing w:after="0" w:line="236" w:lineRule="auto"/>
        <w:tabs>
          <w:tab w:leader="none" w:pos="692" w:val="left"/>
        </w:tabs>
        <w:rPr>
          <w:sz w:val="20"/>
          <w:szCs w:val="20"/>
          <w:color w:val="auto"/>
        </w:rPr>
      </w:pPr>
      <w:r>
        <w:rPr>
          <w:rFonts w:ascii="Arial" w:cs="Arial" w:eastAsia="Arial" w:hAnsi="Arial"/>
          <w:sz w:val="20"/>
          <w:szCs w:val="20"/>
          <w:color w:val="auto"/>
        </w:rPr>
        <w:t>9.5</w:t>
      </w:r>
      <w:r>
        <w:rPr>
          <w:sz w:val="20"/>
          <w:szCs w:val="20"/>
          <w:color w:val="auto"/>
        </w:rPr>
        <w:tab/>
      </w:r>
      <w:r>
        <w:rPr>
          <w:rFonts w:ascii="Calibri" w:cs="Calibri" w:eastAsia="Calibri" w:hAnsi="Calibri"/>
          <w:sz w:val="20"/>
          <w:szCs w:val="20"/>
          <w:color w:val="auto"/>
        </w:rPr>
        <w:t>If Kyowa Kirin notfes UGNX in writng of any defect in the Product previously delivered by Kyowa Kirin or any error or omission in the instructons for the use of the Product which exposes or may expose consumers to any risk of death, injury or damage to property, UGNX shall [***] under this secton.</w:t>
      </w:r>
    </w:p>
    <w:p>
      <w:pPr>
        <w:spacing w:after="0" w:line="90" w:lineRule="exact"/>
        <w:rPr>
          <w:sz w:val="20"/>
          <w:szCs w:val="20"/>
          <w:color w:val="auto"/>
        </w:rPr>
      </w:pPr>
    </w:p>
    <w:p>
      <w:pPr>
        <w:jc w:val="both"/>
        <w:ind w:left="712" w:hanging="697"/>
        <w:spacing w:after="0" w:line="236" w:lineRule="auto"/>
        <w:tabs>
          <w:tab w:leader="none" w:pos="692" w:val="left"/>
        </w:tabs>
        <w:rPr>
          <w:sz w:val="20"/>
          <w:szCs w:val="20"/>
          <w:color w:val="auto"/>
        </w:rPr>
      </w:pPr>
      <w:r>
        <w:rPr>
          <w:rFonts w:ascii="Arial" w:cs="Arial" w:eastAsia="Arial" w:hAnsi="Arial"/>
          <w:sz w:val="20"/>
          <w:szCs w:val="20"/>
          <w:color w:val="auto"/>
        </w:rPr>
        <w:t>9.6</w:t>
      </w:r>
      <w:r>
        <w:rPr>
          <w:sz w:val="20"/>
          <w:szCs w:val="20"/>
          <w:color w:val="auto"/>
        </w:rPr>
        <w:tab/>
      </w:r>
      <w:r>
        <w:rPr>
          <w:rFonts w:ascii="Calibri" w:cs="Calibri" w:eastAsia="Calibri" w:hAnsi="Calibri"/>
          <w:sz w:val="20"/>
          <w:szCs w:val="20"/>
          <w:color w:val="auto"/>
        </w:rPr>
        <w:t>UGNX is responsible for determinaton of need for recall, withdrawal, or feld correctons in the Territory. UGNX and Kyowa Kirin shall [***] notfy each other of any recall or potental recall of the Product. Without prejudice to the terms of the Quality Agreement, Kyowa Kirin may, at its discreton [***], determine a need to recall Product sold or allocated to UGNX. Kyowa Kirin shall [***] for any such recalled Product and/or resupply conforming Product to UGNX [***].</w:t>
      </w:r>
    </w:p>
    <w:p>
      <w:pPr>
        <w:spacing w:after="0" w:line="242" w:lineRule="exact"/>
        <w:rPr>
          <w:sz w:val="20"/>
          <w:szCs w:val="20"/>
          <w:color w:val="auto"/>
        </w:rPr>
      </w:pPr>
    </w:p>
    <w:p>
      <w:pPr>
        <w:ind w:left="772" w:hanging="758"/>
        <w:spacing w:after="0"/>
        <w:tabs>
          <w:tab w:leader="none" w:pos="772" w:val="left"/>
        </w:tabs>
        <w:numPr>
          <w:ilvl w:val="0"/>
          <w:numId w:val="89"/>
        </w:numPr>
        <w:rPr>
          <w:rFonts w:ascii="Arial" w:cs="Arial" w:eastAsia="Arial" w:hAnsi="Arial"/>
          <w:sz w:val="20"/>
          <w:szCs w:val="20"/>
          <w:b w:val="1"/>
          <w:bCs w:val="1"/>
          <w:color w:val="auto"/>
        </w:rPr>
      </w:pPr>
      <w:r>
        <w:rPr>
          <w:rFonts w:ascii="Calibri" w:cs="Calibri" w:eastAsia="Calibri" w:hAnsi="Calibri"/>
          <w:sz w:val="20"/>
          <w:szCs w:val="20"/>
          <w:b w:val="1"/>
          <w:bCs w:val="1"/>
          <w:color w:val="auto"/>
        </w:rPr>
        <w:t>PRICE AND PAYMENT</w:t>
      </w:r>
    </w:p>
    <w:p>
      <w:pPr>
        <w:spacing w:after="0" w:line="227" w:lineRule="exact"/>
        <w:rPr>
          <w:sz w:val="20"/>
          <w:szCs w:val="20"/>
          <w:color w:val="auto"/>
        </w:rPr>
      </w:pPr>
    </w:p>
    <w:p>
      <w:pPr>
        <w:ind w:left="712" w:hanging="697"/>
        <w:spacing w:after="0" w:line="234" w:lineRule="auto"/>
        <w:tabs>
          <w:tab w:leader="none" w:pos="692" w:val="left"/>
        </w:tabs>
        <w:rPr>
          <w:sz w:val="20"/>
          <w:szCs w:val="20"/>
          <w:color w:val="auto"/>
        </w:rPr>
      </w:pPr>
      <w:r>
        <w:rPr>
          <w:rFonts w:ascii="Arial" w:cs="Arial" w:eastAsia="Arial" w:hAnsi="Arial"/>
          <w:sz w:val="20"/>
          <w:szCs w:val="20"/>
          <w:color w:val="auto"/>
        </w:rPr>
        <w:t>10.1</w:t>
      </w:r>
      <w:r>
        <w:rPr>
          <w:sz w:val="20"/>
          <w:szCs w:val="20"/>
          <w:color w:val="auto"/>
        </w:rPr>
        <w:tab/>
      </w:r>
      <w:r>
        <w:rPr>
          <w:rFonts w:ascii="Calibri" w:cs="Calibri" w:eastAsia="Calibri" w:hAnsi="Calibri"/>
          <w:sz w:val="20"/>
          <w:szCs w:val="20"/>
          <w:color w:val="auto"/>
        </w:rPr>
        <w:t>UGNX shall pay to Kyowa Kirin the applicable payments in relaton to the supply of the Product in accordance with the provisions of 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238760</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12"/>
          </w:cols>
          <w:pgMar w:left="508" w:top="1398" w:right="879" w:bottom="1440" w:gutter="0" w:footer="0" w:header="0"/>
        </w:sectPr>
      </w:pPr>
    </w:p>
    <w:bookmarkStart w:id="149" w:name="page150"/>
    <w:bookmarkEnd w:id="149"/>
    <w:p>
      <w:pPr>
        <w:spacing w:after="0" w:line="96" w:lineRule="exact"/>
        <w:rPr>
          <w:sz w:val="20"/>
          <w:szCs w:val="20"/>
          <w:color w:val="auto"/>
        </w:rPr>
      </w:pPr>
    </w:p>
    <w:p>
      <w:pPr>
        <w:jc w:val="both"/>
        <w:ind w:hanging="697"/>
        <w:spacing w:after="0" w:line="234" w:lineRule="auto"/>
        <w:rPr>
          <w:sz w:val="20"/>
          <w:szCs w:val="20"/>
          <w:color w:val="auto"/>
        </w:rPr>
      </w:pPr>
      <w:r>
        <w:rPr>
          <w:rFonts w:ascii="Arial" w:cs="Arial" w:eastAsia="Arial" w:hAnsi="Arial"/>
          <w:sz w:val="20"/>
          <w:szCs w:val="20"/>
          <w:color w:val="auto"/>
        </w:rPr>
        <w:t>10.2</w:t>
      </w:r>
      <w:r>
        <w:rPr>
          <w:sz w:val="20"/>
          <w:szCs w:val="20"/>
          <w:color w:val="auto"/>
        </w:rPr>
        <w:t xml:space="preserve"> </w:t>
      </w:r>
      <w:r>
        <w:rPr>
          <w:rFonts w:ascii="Calibri" w:cs="Calibri" w:eastAsia="Calibri" w:hAnsi="Calibri"/>
          <w:sz w:val="20"/>
          <w:szCs w:val="20"/>
          <w:color w:val="auto"/>
        </w:rPr>
        <w:t>All sums payable under this Agreement are [***] of VAT or any other applicable tax or duty that must be paid in additon at the rate and in the manner prevailing at the relevant tax point.</w:t>
      </w:r>
    </w:p>
    <w:p>
      <w:pPr>
        <w:spacing w:after="0" w:line="239" w:lineRule="exact"/>
        <w:rPr>
          <w:sz w:val="20"/>
          <w:szCs w:val="20"/>
          <w:color w:val="auto"/>
        </w:rPr>
      </w:pPr>
    </w:p>
    <w:p>
      <w:pPr>
        <w:jc w:val="both"/>
        <w:ind w:hanging="697"/>
        <w:spacing w:after="0" w:line="236" w:lineRule="auto"/>
        <w:rPr>
          <w:sz w:val="20"/>
          <w:szCs w:val="20"/>
          <w:color w:val="auto"/>
        </w:rPr>
      </w:pPr>
      <w:r>
        <w:rPr>
          <w:rFonts w:ascii="Arial" w:cs="Arial" w:eastAsia="Arial" w:hAnsi="Arial"/>
          <w:sz w:val="20"/>
          <w:szCs w:val="20"/>
          <w:color w:val="auto"/>
        </w:rPr>
        <w:t>10.3</w:t>
      </w:r>
      <w:r>
        <w:rPr>
          <w:sz w:val="20"/>
          <w:szCs w:val="20"/>
          <w:color w:val="auto"/>
        </w:rPr>
        <w:t xml:space="preserve"> </w:t>
      </w:r>
      <w:r>
        <w:rPr>
          <w:rFonts w:ascii="Calibri" w:cs="Calibri" w:eastAsia="Calibri" w:hAnsi="Calibri"/>
          <w:sz w:val="20"/>
          <w:szCs w:val="20"/>
          <w:color w:val="auto"/>
        </w:rPr>
        <w:t>All amounts to be paid by the partes under this Agreement shall be in US Dollars and payment shall be in US Dollars by electronic transfer to the bank accounts as notfed by the partes from tme to tme with any applicable charges on such payments being at the recipient’s expense.</w:t>
      </w:r>
    </w:p>
    <w:p>
      <w:pPr>
        <w:spacing w:after="0" w:line="238" w:lineRule="exact"/>
        <w:rPr>
          <w:sz w:val="20"/>
          <w:szCs w:val="20"/>
          <w:color w:val="auto"/>
        </w:rPr>
      </w:pPr>
    </w:p>
    <w:p>
      <w:pPr>
        <w:jc w:val="both"/>
        <w:ind w:hanging="697"/>
        <w:spacing w:after="0" w:line="236" w:lineRule="auto"/>
        <w:rPr>
          <w:sz w:val="20"/>
          <w:szCs w:val="20"/>
          <w:color w:val="auto"/>
        </w:rPr>
      </w:pPr>
      <w:r>
        <w:rPr>
          <w:rFonts w:ascii="Arial" w:cs="Arial" w:eastAsia="Arial" w:hAnsi="Arial"/>
          <w:sz w:val="20"/>
          <w:szCs w:val="20"/>
          <w:color w:val="auto"/>
        </w:rPr>
        <w:t>10.4</w:t>
      </w:r>
      <w:r>
        <w:rPr>
          <w:sz w:val="20"/>
          <w:szCs w:val="20"/>
          <w:color w:val="auto"/>
        </w:rPr>
        <w:t xml:space="preserve"> </w:t>
      </w:r>
      <w:r>
        <w:rPr>
          <w:rFonts w:ascii="Calibri" w:cs="Calibri" w:eastAsia="Calibri" w:hAnsi="Calibri"/>
          <w:sz w:val="20"/>
          <w:szCs w:val="20"/>
          <w:color w:val="auto"/>
        </w:rPr>
        <w:t>Without prejudice to Clause 10.5, if any undisputed sum due from UGNX to Kyowa Kirin under the Agreement is not paid on or before the due date for payment and not cured within [***] following UGNX’s receipt of writen notce thereof, then without prejudice to Kyowa Kirin's other rights under this Agreement, Kyowa Kirin shall be enttled to:</w:t>
      </w:r>
    </w:p>
    <w:p>
      <w:pPr>
        <w:spacing w:after="0" w:line="239" w:lineRule="exact"/>
        <w:rPr>
          <w:sz w:val="20"/>
          <w:szCs w:val="20"/>
          <w:color w:val="auto"/>
        </w:rPr>
      </w:pPr>
    </w:p>
    <w:p>
      <w:pPr>
        <w:ind w:left="740" w:hanging="689"/>
        <w:spacing w:after="0"/>
        <w:tabs>
          <w:tab w:leader="none" w:pos="740" w:val="left"/>
        </w:tabs>
        <w:numPr>
          <w:ilvl w:val="0"/>
          <w:numId w:val="90"/>
        </w:numPr>
        <w:rPr>
          <w:rFonts w:ascii="Arial" w:cs="Arial" w:eastAsia="Arial" w:hAnsi="Arial"/>
          <w:sz w:val="20"/>
          <w:szCs w:val="20"/>
          <w:color w:val="auto"/>
        </w:rPr>
      </w:pPr>
      <w:r>
        <w:rPr>
          <w:rFonts w:ascii="Calibri" w:cs="Calibri" w:eastAsia="Calibri" w:hAnsi="Calibri"/>
          <w:sz w:val="20"/>
          <w:szCs w:val="20"/>
          <w:color w:val="auto"/>
        </w:rPr>
        <w:t>[***];</w:t>
      </w:r>
    </w:p>
    <w:p>
      <w:pPr>
        <w:spacing w:after="0" w:line="228" w:lineRule="exact"/>
        <w:rPr>
          <w:rFonts w:ascii="Arial" w:cs="Arial" w:eastAsia="Arial" w:hAnsi="Arial"/>
          <w:sz w:val="20"/>
          <w:szCs w:val="20"/>
          <w:color w:val="auto"/>
        </w:rPr>
      </w:pPr>
    </w:p>
    <w:p>
      <w:pPr>
        <w:ind w:left="760" w:hanging="709"/>
        <w:spacing w:after="0"/>
        <w:tabs>
          <w:tab w:leader="none" w:pos="760" w:val="left"/>
        </w:tabs>
        <w:numPr>
          <w:ilvl w:val="0"/>
          <w:numId w:val="90"/>
        </w:numPr>
        <w:rPr>
          <w:rFonts w:ascii="Arial" w:cs="Arial" w:eastAsia="Arial" w:hAnsi="Arial"/>
          <w:sz w:val="20"/>
          <w:szCs w:val="20"/>
          <w:color w:val="auto"/>
        </w:rPr>
      </w:pPr>
      <w:r>
        <w:rPr>
          <w:rFonts w:ascii="Calibri" w:cs="Calibri" w:eastAsia="Calibri" w:hAnsi="Calibri"/>
          <w:sz w:val="20"/>
          <w:szCs w:val="20"/>
          <w:color w:val="auto"/>
        </w:rPr>
        <w:t>[***]; and</w:t>
      </w:r>
    </w:p>
    <w:p>
      <w:pPr>
        <w:spacing w:after="0" w:line="228" w:lineRule="exact"/>
        <w:rPr>
          <w:rFonts w:ascii="Arial" w:cs="Arial" w:eastAsia="Arial" w:hAnsi="Arial"/>
          <w:sz w:val="20"/>
          <w:szCs w:val="20"/>
          <w:color w:val="auto"/>
        </w:rPr>
      </w:pPr>
    </w:p>
    <w:p>
      <w:pPr>
        <w:ind w:left="760" w:hanging="709"/>
        <w:spacing w:after="0"/>
        <w:tabs>
          <w:tab w:leader="none" w:pos="760" w:val="left"/>
        </w:tabs>
        <w:numPr>
          <w:ilvl w:val="0"/>
          <w:numId w:val="90"/>
        </w:numPr>
        <w:rPr>
          <w:rFonts w:ascii="Arial" w:cs="Arial" w:eastAsia="Arial" w:hAnsi="Arial"/>
          <w:sz w:val="20"/>
          <w:szCs w:val="20"/>
          <w:color w:val="auto"/>
        </w:rPr>
      </w:pPr>
      <w:r>
        <w:rPr>
          <w:rFonts w:ascii="Calibri" w:cs="Calibri" w:eastAsia="Calibri" w:hAnsi="Calibri"/>
          <w:sz w:val="20"/>
          <w:szCs w:val="20"/>
          <w:color w:val="auto"/>
        </w:rPr>
        <w:t>[***].</w:t>
      </w:r>
    </w:p>
    <w:p>
      <w:pPr>
        <w:spacing w:after="0" w:line="227" w:lineRule="exact"/>
        <w:rPr>
          <w:sz w:val="20"/>
          <w:szCs w:val="20"/>
          <w:color w:val="auto"/>
        </w:rPr>
      </w:pPr>
    </w:p>
    <w:p>
      <w:pPr>
        <w:jc w:val="both"/>
        <w:ind w:hanging="697"/>
        <w:spacing w:after="0" w:line="236" w:lineRule="auto"/>
        <w:rPr>
          <w:sz w:val="20"/>
          <w:szCs w:val="20"/>
          <w:color w:val="auto"/>
        </w:rPr>
      </w:pPr>
      <w:r>
        <w:rPr>
          <w:rFonts w:ascii="Arial" w:cs="Arial" w:eastAsia="Arial" w:hAnsi="Arial"/>
          <w:sz w:val="20"/>
          <w:szCs w:val="20"/>
          <w:color w:val="auto"/>
        </w:rPr>
        <w:t>10.5</w:t>
      </w:r>
      <w:r>
        <w:rPr>
          <w:sz w:val="20"/>
          <w:szCs w:val="20"/>
          <w:color w:val="auto"/>
        </w:rPr>
        <w:t xml:space="preserve"> </w:t>
      </w:r>
      <w:r>
        <w:rPr>
          <w:rFonts w:ascii="Calibri" w:cs="Calibri" w:eastAsia="Calibri" w:hAnsi="Calibri"/>
          <w:sz w:val="20"/>
          <w:szCs w:val="20"/>
          <w:color w:val="auto"/>
        </w:rPr>
        <w:t>If any sum payable under this Agreement is not paid when due such non-payment is and not cured within [***] following the defaultng party’s receipt of writen notce thereof then, without prejudice to the non-defaultng party's other rights under this Agreement, it shall be enttled to charge interest on the overdue amount from the due date untl payment is made in full both before and afer any judgment, [***].</w:t>
      </w:r>
    </w:p>
    <w:p>
      <w:pPr>
        <w:spacing w:after="0" w:line="241" w:lineRule="exact"/>
        <w:rPr>
          <w:sz w:val="20"/>
          <w:szCs w:val="20"/>
          <w:color w:val="auto"/>
        </w:rPr>
      </w:pPr>
    </w:p>
    <w:p>
      <w:pPr>
        <w:jc w:val="both"/>
        <w:ind w:hanging="697"/>
        <w:spacing w:after="0" w:line="236" w:lineRule="auto"/>
        <w:rPr>
          <w:sz w:val="20"/>
          <w:szCs w:val="20"/>
          <w:color w:val="auto"/>
        </w:rPr>
      </w:pPr>
      <w:r>
        <w:rPr>
          <w:rFonts w:ascii="Arial" w:cs="Arial" w:eastAsia="Arial" w:hAnsi="Arial"/>
          <w:sz w:val="20"/>
          <w:szCs w:val="20"/>
          <w:color w:val="auto"/>
        </w:rPr>
        <w:t>10.6</w:t>
      </w:r>
      <w:r>
        <w:rPr>
          <w:sz w:val="20"/>
          <w:szCs w:val="20"/>
          <w:color w:val="auto"/>
        </w:rPr>
        <w:t xml:space="preserve"> </w:t>
      </w:r>
      <w:r>
        <w:rPr>
          <w:rFonts w:ascii="Calibri" w:cs="Calibri" w:eastAsia="Calibri" w:hAnsi="Calibri"/>
          <w:sz w:val="20"/>
          <w:szCs w:val="20"/>
          <w:color w:val="auto"/>
        </w:rPr>
        <w:t>A party receiving a payment pursuant to this Agreement shall [***] taxes levied on such payment. If a party making payment is required under Applicable Laws to pay any withholding tax, charge, or levy (“</w:t>
      </w:r>
      <w:r>
        <w:rPr>
          <w:rFonts w:ascii="Calibri" w:cs="Calibri" w:eastAsia="Calibri" w:hAnsi="Calibri"/>
          <w:sz w:val="20"/>
          <w:szCs w:val="20"/>
          <w:b w:val="1"/>
          <w:bCs w:val="1"/>
          <w:color w:val="auto"/>
        </w:rPr>
        <w:t>Withholding Tax</w:t>
      </w:r>
      <w:r>
        <w:rPr>
          <w:rFonts w:ascii="Calibri" w:cs="Calibri" w:eastAsia="Calibri" w:hAnsi="Calibri"/>
          <w:sz w:val="20"/>
          <w:szCs w:val="20"/>
          <w:color w:val="auto"/>
        </w:rPr>
        <w:t>”) in respect of any payments due under the Agreement, the remitng party shall:</w:t>
      </w:r>
    </w:p>
    <w:p>
      <w:pPr>
        <w:spacing w:after="0" w:line="239" w:lineRule="exact"/>
        <w:rPr>
          <w:sz w:val="20"/>
          <w:szCs w:val="20"/>
          <w:color w:val="auto"/>
        </w:rPr>
      </w:pPr>
    </w:p>
    <w:p>
      <w:pPr>
        <w:ind w:left="760" w:hanging="709"/>
        <w:spacing w:after="0"/>
        <w:tabs>
          <w:tab w:leader="none" w:pos="760" w:val="left"/>
        </w:tabs>
        <w:numPr>
          <w:ilvl w:val="1"/>
          <w:numId w:val="91"/>
        </w:numPr>
        <w:rPr>
          <w:rFonts w:ascii="Arial" w:cs="Arial" w:eastAsia="Arial" w:hAnsi="Arial"/>
          <w:sz w:val="20"/>
          <w:szCs w:val="20"/>
          <w:color w:val="auto"/>
        </w:rPr>
      </w:pPr>
      <w:r>
        <w:rPr>
          <w:rFonts w:ascii="Calibri" w:cs="Calibri" w:eastAsia="Calibri" w:hAnsi="Calibri"/>
          <w:sz w:val="20"/>
          <w:szCs w:val="20"/>
          <w:color w:val="auto"/>
        </w:rPr>
        <w:t>[***] from the payment;</w:t>
      </w:r>
    </w:p>
    <w:p>
      <w:pPr>
        <w:spacing w:after="0" w:line="228" w:lineRule="exact"/>
        <w:rPr>
          <w:rFonts w:ascii="Arial" w:cs="Arial" w:eastAsia="Arial" w:hAnsi="Arial"/>
          <w:sz w:val="20"/>
          <w:szCs w:val="20"/>
          <w:color w:val="auto"/>
        </w:rPr>
      </w:pPr>
    </w:p>
    <w:p>
      <w:pPr>
        <w:ind w:left="740" w:hanging="689"/>
        <w:spacing w:after="0"/>
        <w:tabs>
          <w:tab w:leader="none" w:pos="740" w:val="left"/>
        </w:tabs>
        <w:numPr>
          <w:ilvl w:val="1"/>
          <w:numId w:val="91"/>
        </w:numPr>
        <w:rPr>
          <w:rFonts w:ascii="Arial" w:cs="Arial" w:eastAsia="Arial" w:hAnsi="Arial"/>
          <w:sz w:val="20"/>
          <w:szCs w:val="20"/>
          <w:color w:val="auto"/>
        </w:rPr>
      </w:pPr>
      <w:r>
        <w:rPr>
          <w:rFonts w:ascii="Calibri" w:cs="Calibri" w:eastAsia="Calibri" w:hAnsi="Calibri"/>
          <w:sz w:val="20"/>
          <w:szCs w:val="20"/>
          <w:color w:val="auto"/>
        </w:rPr>
        <w:t>make [***] to the proper governmental authority for the account of the other party; and</w:t>
      </w:r>
    </w:p>
    <w:p>
      <w:pPr>
        <w:spacing w:after="0" w:line="93" w:lineRule="exact"/>
        <w:rPr>
          <w:rFonts w:ascii="Arial" w:cs="Arial" w:eastAsia="Arial" w:hAnsi="Arial"/>
          <w:sz w:val="20"/>
          <w:szCs w:val="20"/>
          <w:color w:val="auto"/>
        </w:rPr>
      </w:pPr>
    </w:p>
    <w:p>
      <w:pPr>
        <w:ind w:left="740" w:hanging="705"/>
        <w:spacing w:after="0"/>
        <w:tabs>
          <w:tab w:leader="none" w:pos="740" w:val="left"/>
        </w:tabs>
        <w:numPr>
          <w:ilvl w:val="0"/>
          <w:numId w:val="92"/>
        </w:numPr>
        <w:rPr>
          <w:rFonts w:ascii="Arial" w:cs="Arial" w:eastAsia="Arial" w:hAnsi="Arial"/>
          <w:sz w:val="20"/>
          <w:szCs w:val="20"/>
          <w:color w:val="auto"/>
        </w:rPr>
      </w:pPr>
      <w:r>
        <w:rPr>
          <w:rFonts w:ascii="Calibri" w:cs="Calibri" w:eastAsia="Calibri" w:hAnsi="Calibri"/>
          <w:sz w:val="20"/>
          <w:szCs w:val="20"/>
          <w:color w:val="auto"/>
        </w:rPr>
        <w:t>provide the other party with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231140</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00"/>
          </w:cols>
          <w:pgMar w:left="1220" w:top="1440" w:right="879" w:bottom="1440" w:gutter="0" w:footer="0" w:header="0"/>
        </w:sectPr>
      </w:pPr>
    </w:p>
    <w:bookmarkStart w:id="150" w:name="page151"/>
    <w:bookmarkEnd w:id="150"/>
    <w:p>
      <w:pPr>
        <w:spacing w:after="0" w:line="83" w:lineRule="exact"/>
        <w:rPr>
          <w:sz w:val="20"/>
          <w:szCs w:val="20"/>
          <w:color w:val="auto"/>
        </w:rPr>
      </w:pPr>
    </w:p>
    <w:p>
      <w:pPr>
        <w:ind w:left="740"/>
        <w:spacing w:after="0"/>
        <w:rPr>
          <w:sz w:val="20"/>
          <w:szCs w:val="20"/>
          <w:color w:val="auto"/>
        </w:rPr>
      </w:pPr>
      <w:r>
        <w:rPr>
          <w:rFonts w:ascii="Calibri" w:cs="Calibri" w:eastAsia="Calibri" w:hAnsi="Calibri"/>
          <w:sz w:val="20"/>
          <w:szCs w:val="20"/>
          <w:color w:val="auto"/>
        </w:rPr>
        <w:t>To the extent that amounts [***].</w:t>
      </w:r>
    </w:p>
    <w:p>
      <w:pPr>
        <w:spacing w:after="0" w:line="227" w:lineRule="exact"/>
        <w:rPr>
          <w:sz w:val="20"/>
          <w:szCs w:val="20"/>
          <w:color w:val="auto"/>
        </w:rPr>
      </w:pPr>
    </w:p>
    <w:p>
      <w:pPr>
        <w:ind w:left="700" w:hanging="697"/>
        <w:spacing w:after="0" w:line="234" w:lineRule="auto"/>
        <w:tabs>
          <w:tab w:leader="none" w:pos="680" w:val="left"/>
        </w:tabs>
        <w:rPr>
          <w:sz w:val="20"/>
          <w:szCs w:val="20"/>
          <w:color w:val="auto"/>
        </w:rPr>
      </w:pPr>
      <w:r>
        <w:rPr>
          <w:rFonts w:ascii="Arial" w:cs="Arial" w:eastAsia="Arial" w:hAnsi="Arial"/>
          <w:sz w:val="20"/>
          <w:szCs w:val="20"/>
          <w:color w:val="auto"/>
        </w:rPr>
        <w:t>10.7</w:t>
      </w:r>
      <w:r>
        <w:rPr>
          <w:sz w:val="20"/>
          <w:szCs w:val="20"/>
          <w:color w:val="auto"/>
        </w:rPr>
        <w:tab/>
      </w:r>
      <w:r>
        <w:rPr>
          <w:rFonts w:ascii="Calibri" w:cs="Calibri" w:eastAsia="Calibri" w:hAnsi="Calibri"/>
          <w:sz w:val="20"/>
          <w:szCs w:val="20"/>
          <w:color w:val="auto"/>
        </w:rPr>
        <w:t>The partes acknowledge and agree that (a) KHK is responsible for all third party royaltes under the Collaboraton Agreement and (b) UGNX shall have no obligaton to pay royaltes to any third party under this Agreement.</w:t>
      </w:r>
    </w:p>
    <w:p>
      <w:pPr>
        <w:spacing w:after="0" w:line="240" w:lineRule="exact"/>
        <w:rPr>
          <w:sz w:val="20"/>
          <w:szCs w:val="20"/>
          <w:color w:val="auto"/>
        </w:rPr>
      </w:pPr>
    </w:p>
    <w:p>
      <w:pPr>
        <w:ind w:left="760" w:hanging="758"/>
        <w:spacing w:after="0"/>
        <w:tabs>
          <w:tab w:leader="none" w:pos="760" w:val="left"/>
        </w:tabs>
        <w:numPr>
          <w:ilvl w:val="0"/>
          <w:numId w:val="93"/>
        </w:numPr>
        <w:rPr>
          <w:rFonts w:ascii="Arial" w:cs="Arial" w:eastAsia="Arial" w:hAnsi="Arial"/>
          <w:sz w:val="20"/>
          <w:szCs w:val="20"/>
          <w:b w:val="1"/>
          <w:bCs w:val="1"/>
          <w:color w:val="auto"/>
        </w:rPr>
      </w:pPr>
      <w:r>
        <w:rPr>
          <w:rFonts w:ascii="Calibri" w:cs="Calibri" w:eastAsia="Calibri" w:hAnsi="Calibri"/>
          <w:sz w:val="20"/>
          <w:szCs w:val="20"/>
          <w:b w:val="1"/>
          <w:bCs w:val="1"/>
          <w:color w:val="auto"/>
        </w:rPr>
        <w:t>KYOWA KIRIN'S UNDERTAKINGS</w:t>
      </w:r>
    </w:p>
    <w:p>
      <w:pPr>
        <w:spacing w:after="0" w:line="218"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11.1</w:t>
      </w:r>
      <w:r>
        <w:rPr>
          <w:sz w:val="20"/>
          <w:szCs w:val="20"/>
          <w:color w:val="auto"/>
        </w:rPr>
        <w:tab/>
      </w:r>
      <w:r>
        <w:rPr>
          <w:rFonts w:ascii="Calibri" w:cs="Calibri" w:eastAsia="Calibri" w:hAnsi="Calibri"/>
          <w:sz w:val="20"/>
          <w:szCs w:val="20"/>
          <w:color w:val="auto"/>
        </w:rPr>
        <w:t>Kyowa Kirin agrees that at all tmes during the Term of this Agreement it shall:</w:t>
      </w:r>
    </w:p>
    <w:p>
      <w:pPr>
        <w:spacing w:after="0" w:line="249" w:lineRule="exact"/>
        <w:rPr>
          <w:sz w:val="20"/>
          <w:szCs w:val="20"/>
          <w:color w:val="auto"/>
        </w:rPr>
      </w:pPr>
    </w:p>
    <w:p>
      <w:pPr>
        <w:jc w:val="both"/>
        <w:ind w:left="1440" w:hanging="705"/>
        <w:spacing w:after="0" w:line="236" w:lineRule="auto"/>
        <w:tabs>
          <w:tab w:leader="none" w:pos="1440" w:val="left"/>
        </w:tabs>
        <w:numPr>
          <w:ilvl w:val="0"/>
          <w:numId w:val="94"/>
        </w:numPr>
        <w:rPr>
          <w:rFonts w:ascii="Arial" w:cs="Arial" w:eastAsia="Arial" w:hAnsi="Arial"/>
          <w:sz w:val="20"/>
          <w:szCs w:val="20"/>
          <w:color w:val="auto"/>
        </w:rPr>
      </w:pPr>
      <w:r>
        <w:rPr>
          <w:rFonts w:ascii="Calibri" w:cs="Calibri" w:eastAsia="Calibri" w:hAnsi="Calibri"/>
          <w:sz w:val="20"/>
          <w:szCs w:val="20"/>
          <w:color w:val="auto"/>
        </w:rPr>
        <w:t>promptly inform UGNX of any changes in the specifcatons of the Product (which may not occur without UGNX’s prior approval, not to be unreasonably withheld) or of the discontnuaton of producton of any of the Product, whenever reasonably possible;</w:t>
      </w:r>
    </w:p>
    <w:p>
      <w:pPr>
        <w:spacing w:after="0" w:line="238" w:lineRule="exact"/>
        <w:rPr>
          <w:rFonts w:ascii="Arial" w:cs="Arial" w:eastAsia="Arial" w:hAnsi="Arial"/>
          <w:sz w:val="20"/>
          <w:szCs w:val="20"/>
          <w:color w:val="auto"/>
        </w:rPr>
      </w:pPr>
    </w:p>
    <w:p>
      <w:pPr>
        <w:ind w:left="1440" w:hanging="705"/>
        <w:spacing w:after="0" w:line="234" w:lineRule="auto"/>
        <w:tabs>
          <w:tab w:leader="none" w:pos="1440" w:val="left"/>
        </w:tabs>
        <w:numPr>
          <w:ilvl w:val="0"/>
          <w:numId w:val="94"/>
        </w:numPr>
        <w:rPr>
          <w:rFonts w:ascii="Arial" w:cs="Arial" w:eastAsia="Arial" w:hAnsi="Arial"/>
          <w:sz w:val="20"/>
          <w:szCs w:val="20"/>
          <w:color w:val="auto"/>
        </w:rPr>
      </w:pPr>
      <w:r>
        <w:rPr>
          <w:rFonts w:ascii="Calibri" w:cs="Calibri" w:eastAsia="Calibri" w:hAnsi="Calibri"/>
          <w:sz w:val="20"/>
          <w:szCs w:val="20"/>
          <w:color w:val="auto"/>
        </w:rPr>
        <w:t>shall supply the Product to UGNX for sale in the Territory in accordance with UGNX's forecast requirements, this Agreement and the Quality Agreement; and</w:t>
      </w:r>
    </w:p>
    <w:p>
      <w:pPr>
        <w:spacing w:after="0" w:line="229" w:lineRule="exact"/>
        <w:rPr>
          <w:rFonts w:ascii="Arial" w:cs="Arial" w:eastAsia="Arial" w:hAnsi="Arial"/>
          <w:sz w:val="20"/>
          <w:szCs w:val="20"/>
          <w:color w:val="auto"/>
        </w:rPr>
      </w:pPr>
    </w:p>
    <w:p>
      <w:pPr>
        <w:ind w:left="1460" w:hanging="709"/>
        <w:spacing w:after="0"/>
        <w:tabs>
          <w:tab w:leader="none" w:pos="1460" w:val="left"/>
        </w:tabs>
        <w:numPr>
          <w:ilvl w:val="0"/>
          <w:numId w:val="94"/>
        </w:numPr>
        <w:rPr>
          <w:rFonts w:ascii="Arial" w:cs="Arial" w:eastAsia="Arial" w:hAnsi="Arial"/>
          <w:sz w:val="20"/>
          <w:szCs w:val="20"/>
          <w:color w:val="auto"/>
        </w:rPr>
      </w:pPr>
      <w:r>
        <w:rPr>
          <w:rFonts w:ascii="Calibri" w:cs="Calibri" w:eastAsia="Calibri" w:hAnsi="Calibri"/>
          <w:sz w:val="20"/>
          <w:szCs w:val="20"/>
          <w:color w:val="auto"/>
        </w:rPr>
        <w:t>comply with all Applicable Laws.</w:t>
      </w:r>
    </w:p>
    <w:p>
      <w:pPr>
        <w:spacing w:after="0" w:line="228" w:lineRule="exact"/>
        <w:rPr>
          <w:sz w:val="20"/>
          <w:szCs w:val="20"/>
          <w:color w:val="auto"/>
        </w:rPr>
      </w:pPr>
    </w:p>
    <w:p>
      <w:pPr>
        <w:ind w:left="760" w:hanging="758"/>
        <w:spacing w:after="0"/>
        <w:tabs>
          <w:tab w:leader="none" w:pos="760" w:val="left"/>
        </w:tabs>
        <w:numPr>
          <w:ilvl w:val="0"/>
          <w:numId w:val="95"/>
        </w:numPr>
        <w:rPr>
          <w:rFonts w:ascii="Arial" w:cs="Arial" w:eastAsia="Arial" w:hAnsi="Arial"/>
          <w:sz w:val="20"/>
          <w:szCs w:val="20"/>
          <w:b w:val="1"/>
          <w:bCs w:val="1"/>
          <w:color w:val="auto"/>
        </w:rPr>
      </w:pPr>
      <w:r>
        <w:rPr>
          <w:rFonts w:ascii="Calibri" w:cs="Calibri" w:eastAsia="Calibri" w:hAnsi="Calibri"/>
          <w:sz w:val="20"/>
          <w:szCs w:val="20"/>
          <w:b w:val="1"/>
          <w:bCs w:val="1"/>
          <w:color w:val="auto"/>
        </w:rPr>
        <w:t>UGNX OBLIGATIONS</w:t>
      </w:r>
    </w:p>
    <w:p>
      <w:pPr>
        <w:spacing w:after="0" w:line="218"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12.1</w:t>
      </w:r>
      <w:r>
        <w:rPr>
          <w:sz w:val="20"/>
          <w:szCs w:val="20"/>
          <w:color w:val="auto"/>
        </w:rPr>
        <w:tab/>
      </w:r>
      <w:r>
        <w:rPr>
          <w:rFonts w:ascii="Calibri" w:cs="Calibri" w:eastAsia="Calibri" w:hAnsi="Calibri"/>
          <w:sz w:val="20"/>
          <w:szCs w:val="20"/>
          <w:color w:val="auto"/>
        </w:rPr>
        <w:t>UGNX shall during the Term of this Agreement:</w:t>
      </w:r>
    </w:p>
    <w:p>
      <w:pPr>
        <w:spacing w:after="0" w:line="249" w:lineRule="exact"/>
        <w:rPr>
          <w:sz w:val="20"/>
          <w:szCs w:val="20"/>
          <w:color w:val="auto"/>
        </w:rPr>
      </w:pPr>
    </w:p>
    <w:p>
      <w:pPr>
        <w:ind w:left="1440" w:hanging="705"/>
        <w:spacing w:after="0" w:line="234" w:lineRule="auto"/>
        <w:tabs>
          <w:tab w:leader="none" w:pos="1440" w:val="left"/>
        </w:tabs>
        <w:numPr>
          <w:ilvl w:val="0"/>
          <w:numId w:val="96"/>
        </w:numPr>
        <w:rPr>
          <w:rFonts w:ascii="Arial" w:cs="Arial" w:eastAsia="Arial" w:hAnsi="Arial"/>
          <w:sz w:val="20"/>
          <w:szCs w:val="20"/>
          <w:color w:val="auto"/>
        </w:rPr>
      </w:pPr>
      <w:r>
        <w:rPr>
          <w:rFonts w:ascii="Calibri" w:cs="Calibri" w:eastAsia="Calibri" w:hAnsi="Calibri"/>
          <w:sz w:val="20"/>
          <w:szCs w:val="20"/>
          <w:color w:val="auto"/>
        </w:rPr>
        <w:t>use [***] to hold stocks of Product sufcient to meet reasonably antcipated demand for the Product from the customers in the Territory;</w:t>
      </w:r>
    </w:p>
    <w:p>
      <w:pPr>
        <w:spacing w:after="0" w:line="239" w:lineRule="exact"/>
        <w:rPr>
          <w:rFonts w:ascii="Arial" w:cs="Arial" w:eastAsia="Arial" w:hAnsi="Arial"/>
          <w:sz w:val="20"/>
          <w:szCs w:val="20"/>
          <w:color w:val="auto"/>
        </w:rPr>
      </w:pPr>
    </w:p>
    <w:p>
      <w:pPr>
        <w:jc w:val="both"/>
        <w:ind w:left="1440" w:hanging="705"/>
        <w:spacing w:after="0" w:line="236" w:lineRule="auto"/>
        <w:tabs>
          <w:tab w:leader="none" w:pos="1440" w:val="left"/>
        </w:tabs>
        <w:numPr>
          <w:ilvl w:val="0"/>
          <w:numId w:val="96"/>
        </w:numPr>
        <w:rPr>
          <w:rFonts w:ascii="Arial" w:cs="Arial" w:eastAsia="Arial" w:hAnsi="Arial"/>
          <w:sz w:val="20"/>
          <w:szCs w:val="20"/>
          <w:color w:val="auto"/>
        </w:rPr>
      </w:pPr>
      <w:r>
        <w:rPr>
          <w:rFonts w:ascii="Calibri" w:cs="Calibri" w:eastAsia="Calibri" w:hAnsi="Calibri"/>
          <w:sz w:val="20"/>
          <w:szCs w:val="20"/>
          <w:color w:val="auto"/>
        </w:rPr>
        <w:t>at [***] (except as otherwise expressly set forth in this Agreement) ensure that any registraton, translaton, labelling or warning or notfcaton requirements concerning this Agreement or the Product are in accordance with all Applicable Laws and UGNX shall promptly provide full details of all actons taken in this respect to Kyowa Kirin;</w:t>
      </w:r>
    </w:p>
    <w:p>
      <w:pPr>
        <w:spacing w:after="0" w:line="241" w:lineRule="exact"/>
        <w:rPr>
          <w:rFonts w:ascii="Arial" w:cs="Arial" w:eastAsia="Arial" w:hAnsi="Arial"/>
          <w:sz w:val="20"/>
          <w:szCs w:val="20"/>
          <w:color w:val="auto"/>
        </w:rPr>
      </w:pPr>
    </w:p>
    <w:p>
      <w:pPr>
        <w:ind w:left="1440" w:hanging="705"/>
        <w:spacing w:after="0" w:line="234" w:lineRule="auto"/>
        <w:tabs>
          <w:tab w:leader="none" w:pos="1440" w:val="left"/>
        </w:tabs>
        <w:numPr>
          <w:ilvl w:val="0"/>
          <w:numId w:val="96"/>
        </w:numPr>
        <w:rPr>
          <w:rFonts w:ascii="Arial" w:cs="Arial" w:eastAsia="Arial" w:hAnsi="Arial"/>
          <w:sz w:val="20"/>
          <w:szCs w:val="20"/>
          <w:color w:val="auto"/>
        </w:rPr>
      </w:pPr>
      <w:r>
        <w:rPr>
          <w:rFonts w:ascii="Calibri" w:cs="Calibri" w:eastAsia="Calibri" w:hAnsi="Calibri"/>
          <w:sz w:val="20"/>
          <w:szCs w:val="20"/>
          <w:color w:val="auto"/>
        </w:rPr>
        <w:t>employ sufcient and suitable Personnel to perform its obligatons under this and the Quality Agreement and ensure that all such Personnel are appropriately trained to perform such obligatons;</w:t>
      </w:r>
    </w:p>
    <w:p>
      <w:pPr>
        <w:spacing w:after="0" w:line="239" w:lineRule="exact"/>
        <w:rPr>
          <w:rFonts w:ascii="Arial" w:cs="Arial" w:eastAsia="Arial" w:hAnsi="Arial"/>
          <w:sz w:val="20"/>
          <w:szCs w:val="20"/>
          <w:color w:val="auto"/>
        </w:rPr>
      </w:pPr>
    </w:p>
    <w:p>
      <w:pPr>
        <w:jc w:val="both"/>
        <w:ind w:left="1440" w:hanging="705"/>
        <w:spacing w:after="0" w:line="236" w:lineRule="auto"/>
        <w:tabs>
          <w:tab w:leader="none" w:pos="1440" w:val="left"/>
        </w:tabs>
        <w:numPr>
          <w:ilvl w:val="0"/>
          <w:numId w:val="96"/>
        </w:numPr>
        <w:rPr>
          <w:rFonts w:ascii="Arial" w:cs="Arial" w:eastAsia="Arial" w:hAnsi="Arial"/>
          <w:sz w:val="20"/>
          <w:szCs w:val="20"/>
          <w:color w:val="auto"/>
        </w:rPr>
      </w:pPr>
      <w:r>
        <w:rPr>
          <w:rFonts w:ascii="Calibri" w:cs="Calibri" w:eastAsia="Calibri" w:hAnsi="Calibri"/>
          <w:sz w:val="20"/>
          <w:szCs w:val="20"/>
          <w:color w:val="auto"/>
        </w:rPr>
        <w:t>if Product in the possession of, under the control of or sold by UGNX is or becomes Out of Conditon UGNX shall, if required by Kyowa Kirin, give all reasonable assistance to Kyowa Kirin in locatng and recovering the Out of Conditon Product and preventng its sale to third partes;</w:t>
      </w:r>
    </w:p>
    <w:p>
      <w:pPr>
        <w:spacing w:after="0" w:line="238" w:lineRule="exact"/>
        <w:rPr>
          <w:rFonts w:ascii="Arial" w:cs="Arial" w:eastAsia="Arial" w:hAnsi="Arial"/>
          <w:sz w:val="20"/>
          <w:szCs w:val="20"/>
          <w:color w:val="auto"/>
        </w:rPr>
      </w:pPr>
    </w:p>
    <w:p>
      <w:pPr>
        <w:ind w:left="1440" w:hanging="705"/>
        <w:spacing w:after="0" w:line="234" w:lineRule="auto"/>
        <w:tabs>
          <w:tab w:leader="none" w:pos="1440" w:val="left"/>
        </w:tabs>
        <w:numPr>
          <w:ilvl w:val="0"/>
          <w:numId w:val="96"/>
        </w:numPr>
        <w:rPr>
          <w:rFonts w:ascii="Arial" w:cs="Arial" w:eastAsia="Arial" w:hAnsi="Arial"/>
          <w:sz w:val="20"/>
          <w:szCs w:val="20"/>
          <w:color w:val="auto"/>
        </w:rPr>
      </w:pPr>
      <w:r>
        <w:rPr>
          <w:rFonts w:ascii="Calibri" w:cs="Calibri" w:eastAsia="Calibri" w:hAnsi="Calibri"/>
          <w:sz w:val="20"/>
          <w:szCs w:val="20"/>
          <w:color w:val="auto"/>
        </w:rPr>
        <w:t>comply with all Applicable Laws and manage all contacts with regulatory authorites and Healthcare Providers in the Territory, including all registratons for the lawful sale of the Product;</w:t>
      </w:r>
    </w:p>
    <w:p>
      <w:pPr>
        <w:spacing w:after="0" w:line="104" w:lineRule="exact"/>
        <w:rPr>
          <w:rFonts w:ascii="Arial" w:cs="Arial" w:eastAsia="Arial" w:hAnsi="Arial"/>
          <w:sz w:val="20"/>
          <w:szCs w:val="20"/>
          <w:color w:val="auto"/>
        </w:rPr>
      </w:pPr>
    </w:p>
    <w:p>
      <w:pPr>
        <w:jc w:val="both"/>
        <w:ind w:left="1440" w:hanging="705"/>
        <w:spacing w:after="0" w:line="236" w:lineRule="auto"/>
        <w:tabs>
          <w:tab w:leader="none" w:pos="1440" w:val="left"/>
        </w:tabs>
        <w:numPr>
          <w:ilvl w:val="0"/>
          <w:numId w:val="96"/>
        </w:numPr>
        <w:rPr>
          <w:rFonts w:ascii="Arial" w:cs="Arial" w:eastAsia="Arial" w:hAnsi="Arial"/>
          <w:sz w:val="20"/>
          <w:szCs w:val="20"/>
          <w:color w:val="auto"/>
        </w:rPr>
      </w:pPr>
      <w:r>
        <w:rPr>
          <w:rFonts w:ascii="Calibri" w:cs="Calibri" w:eastAsia="Calibri" w:hAnsi="Calibri"/>
          <w:sz w:val="20"/>
          <w:szCs w:val="20"/>
          <w:color w:val="auto"/>
        </w:rPr>
        <w:t>be responsible for seeking, obtaining and maintaining all licenses, registratons, permits and Health Registraton Approvals required to be obtained by UGNX to enable UGNX to act as distributor and importer of the Product in the Territory pursuant to this Agreement;</w:t>
      </w:r>
    </w:p>
    <w:p>
      <w:pPr>
        <w:spacing w:after="0" w:line="238" w:lineRule="exact"/>
        <w:rPr>
          <w:rFonts w:ascii="Arial" w:cs="Arial" w:eastAsia="Arial" w:hAnsi="Arial"/>
          <w:sz w:val="20"/>
          <w:szCs w:val="20"/>
          <w:color w:val="auto"/>
        </w:rPr>
      </w:pPr>
    </w:p>
    <w:p>
      <w:pPr>
        <w:ind w:left="1440" w:hanging="705"/>
        <w:spacing w:after="0" w:line="234" w:lineRule="auto"/>
        <w:tabs>
          <w:tab w:leader="none" w:pos="1440" w:val="left"/>
        </w:tabs>
        <w:numPr>
          <w:ilvl w:val="0"/>
          <w:numId w:val="96"/>
        </w:numPr>
        <w:rPr>
          <w:rFonts w:ascii="Arial" w:cs="Arial" w:eastAsia="Arial" w:hAnsi="Arial"/>
          <w:sz w:val="20"/>
          <w:szCs w:val="20"/>
          <w:color w:val="auto"/>
        </w:rPr>
      </w:pPr>
      <w:r>
        <w:rPr>
          <w:rFonts w:ascii="Calibri" w:cs="Calibri" w:eastAsia="Calibri" w:hAnsi="Calibri"/>
          <w:sz w:val="20"/>
          <w:szCs w:val="20"/>
          <w:color w:val="auto"/>
        </w:rPr>
        <w:t>be responsible for all customs, dutes and other governmental charges relatng to the importaton of the Product in the Territory;</w:t>
      </w:r>
    </w:p>
    <w:p>
      <w:pPr>
        <w:spacing w:after="0" w:line="239" w:lineRule="exact"/>
        <w:rPr>
          <w:rFonts w:ascii="Arial" w:cs="Arial" w:eastAsia="Arial" w:hAnsi="Arial"/>
          <w:sz w:val="20"/>
          <w:szCs w:val="20"/>
          <w:color w:val="auto"/>
        </w:rPr>
      </w:pPr>
    </w:p>
    <w:p>
      <w:pPr>
        <w:jc w:val="both"/>
        <w:ind w:left="1440" w:hanging="705"/>
        <w:spacing w:after="0" w:line="234" w:lineRule="auto"/>
        <w:tabs>
          <w:tab w:leader="none" w:pos="1440" w:val="left"/>
        </w:tabs>
        <w:numPr>
          <w:ilvl w:val="0"/>
          <w:numId w:val="96"/>
        </w:numPr>
        <w:rPr>
          <w:rFonts w:ascii="Arial" w:cs="Arial" w:eastAsia="Arial" w:hAnsi="Arial"/>
          <w:sz w:val="20"/>
          <w:szCs w:val="20"/>
          <w:color w:val="auto"/>
        </w:rPr>
      </w:pPr>
      <w:r>
        <w:rPr>
          <w:rFonts w:ascii="Calibri" w:cs="Calibri" w:eastAsia="Calibri" w:hAnsi="Calibri"/>
          <w:sz w:val="20"/>
          <w:szCs w:val="20"/>
          <w:color w:val="auto"/>
        </w:rPr>
        <w:t>be responsible for all quality control release testng, retenton of samples, lot release, labelling and packaging of the Product for commercial distributon in the Territory, all in full compliance with the Applicable Laws; and</w:t>
      </w:r>
    </w:p>
    <w:p>
      <w:pPr>
        <w:spacing w:after="0" w:line="239" w:lineRule="exact"/>
        <w:rPr>
          <w:rFonts w:ascii="Arial" w:cs="Arial" w:eastAsia="Arial" w:hAnsi="Arial"/>
          <w:sz w:val="20"/>
          <w:szCs w:val="20"/>
          <w:color w:val="auto"/>
        </w:rPr>
      </w:pPr>
    </w:p>
    <w:p>
      <w:pPr>
        <w:ind w:left="1440" w:right="20" w:hanging="705"/>
        <w:spacing w:after="0" w:line="234" w:lineRule="auto"/>
        <w:tabs>
          <w:tab w:leader="none" w:pos="1440" w:val="left"/>
        </w:tabs>
        <w:numPr>
          <w:ilvl w:val="0"/>
          <w:numId w:val="96"/>
        </w:numPr>
        <w:rPr>
          <w:rFonts w:ascii="Arial" w:cs="Arial" w:eastAsia="Arial" w:hAnsi="Arial"/>
          <w:sz w:val="20"/>
          <w:szCs w:val="20"/>
          <w:color w:val="auto"/>
        </w:rPr>
      </w:pPr>
      <w:r>
        <w:rPr>
          <w:rFonts w:ascii="Calibri" w:cs="Calibri" w:eastAsia="Calibri" w:hAnsi="Calibri"/>
          <w:sz w:val="20"/>
          <w:szCs w:val="20"/>
          <w:color w:val="auto"/>
        </w:rPr>
        <w:t>for a period of [***], or longer if required by Applicable Laws, store and make available to Kyowa Kirin the following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231775</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520" w:top="1440" w:right="879" w:bottom="1440" w:gutter="0" w:footer="0" w:header="0"/>
        </w:sectPr>
      </w:pPr>
    </w:p>
    <w:bookmarkStart w:id="151" w:name="page152"/>
    <w:bookmarkEnd w:id="151"/>
    <w:p>
      <w:pPr>
        <w:spacing w:after="0" w:line="97" w:lineRule="exact"/>
        <w:rPr>
          <w:sz w:val="20"/>
          <w:szCs w:val="20"/>
          <w:color w:val="auto"/>
        </w:rPr>
      </w:pPr>
    </w:p>
    <w:p>
      <w:pPr>
        <w:ind w:left="2212" w:hanging="715"/>
        <w:spacing w:after="0"/>
        <w:tabs>
          <w:tab w:leader="none" w:pos="2212" w:val="left"/>
        </w:tabs>
        <w:numPr>
          <w:ilvl w:val="0"/>
          <w:numId w:val="97"/>
        </w:numPr>
        <w:rPr>
          <w:rFonts w:ascii="Arial" w:cs="Arial" w:eastAsia="Arial" w:hAnsi="Arial"/>
          <w:sz w:val="20"/>
          <w:szCs w:val="20"/>
          <w:color w:val="auto"/>
        </w:rPr>
      </w:pPr>
      <w:r>
        <w:rPr>
          <w:rFonts w:ascii="Calibri" w:cs="Calibri" w:eastAsia="Calibri" w:hAnsi="Calibri"/>
          <w:sz w:val="20"/>
          <w:szCs w:val="20"/>
          <w:color w:val="auto"/>
        </w:rPr>
        <w:t>[***]; and</w:t>
      </w:r>
    </w:p>
    <w:p>
      <w:pPr>
        <w:spacing w:after="0" w:line="228" w:lineRule="exact"/>
        <w:rPr>
          <w:rFonts w:ascii="Arial" w:cs="Arial" w:eastAsia="Arial" w:hAnsi="Arial"/>
          <w:sz w:val="20"/>
          <w:szCs w:val="20"/>
          <w:color w:val="auto"/>
        </w:rPr>
      </w:pPr>
    </w:p>
    <w:p>
      <w:pPr>
        <w:ind w:left="2192" w:hanging="696"/>
        <w:spacing w:after="0"/>
        <w:tabs>
          <w:tab w:leader="none" w:pos="2192" w:val="left"/>
        </w:tabs>
        <w:numPr>
          <w:ilvl w:val="0"/>
          <w:numId w:val="97"/>
        </w:numPr>
        <w:rPr>
          <w:rFonts w:ascii="Arial" w:cs="Arial" w:eastAsia="Arial" w:hAnsi="Arial"/>
          <w:sz w:val="20"/>
          <w:szCs w:val="20"/>
          <w:color w:val="auto"/>
        </w:rPr>
      </w:pPr>
      <w:r>
        <w:rPr>
          <w:rFonts w:ascii="Calibri" w:cs="Calibri" w:eastAsia="Calibri" w:hAnsi="Calibri"/>
          <w:sz w:val="20"/>
          <w:szCs w:val="20"/>
          <w:color w:val="auto"/>
        </w:rPr>
        <w:t>[***].</w:t>
      </w:r>
    </w:p>
    <w:p>
      <w:pPr>
        <w:spacing w:after="0" w:line="228" w:lineRule="exact"/>
        <w:rPr>
          <w:sz w:val="20"/>
          <w:szCs w:val="20"/>
          <w:color w:val="auto"/>
        </w:rPr>
      </w:pPr>
    </w:p>
    <w:p>
      <w:pPr>
        <w:ind w:left="752" w:hanging="752"/>
        <w:spacing w:after="0"/>
        <w:tabs>
          <w:tab w:leader="none" w:pos="752" w:val="left"/>
        </w:tabs>
        <w:numPr>
          <w:ilvl w:val="0"/>
          <w:numId w:val="98"/>
        </w:numPr>
        <w:rPr>
          <w:rFonts w:ascii="Arial" w:cs="Arial" w:eastAsia="Arial" w:hAnsi="Arial"/>
          <w:sz w:val="20"/>
          <w:szCs w:val="20"/>
          <w:b w:val="1"/>
          <w:bCs w:val="1"/>
          <w:color w:val="auto"/>
        </w:rPr>
      </w:pPr>
      <w:r>
        <w:rPr>
          <w:rFonts w:ascii="Calibri" w:cs="Calibri" w:eastAsia="Calibri" w:hAnsi="Calibri"/>
          <w:sz w:val="20"/>
          <w:szCs w:val="20"/>
          <w:b w:val="1"/>
          <w:bCs w:val="1"/>
          <w:color w:val="auto"/>
        </w:rPr>
        <w:t>COMPLIANCE WITH LAWS AND REGULATIONS</w:t>
      </w:r>
    </w:p>
    <w:p>
      <w:pPr>
        <w:spacing w:after="0" w:line="227" w:lineRule="exact"/>
        <w:rPr>
          <w:sz w:val="20"/>
          <w:szCs w:val="20"/>
          <w:color w:val="auto"/>
        </w:rPr>
      </w:pPr>
    </w:p>
    <w:p>
      <w:pPr>
        <w:jc w:val="both"/>
        <w:ind w:left="712" w:hanging="697"/>
        <w:spacing w:after="0" w:line="236" w:lineRule="auto"/>
        <w:tabs>
          <w:tab w:leader="none" w:pos="692" w:val="left"/>
        </w:tabs>
        <w:rPr>
          <w:sz w:val="20"/>
          <w:szCs w:val="20"/>
          <w:color w:val="auto"/>
        </w:rPr>
      </w:pPr>
      <w:r>
        <w:rPr>
          <w:rFonts w:ascii="Arial" w:cs="Arial" w:eastAsia="Arial" w:hAnsi="Arial"/>
          <w:sz w:val="20"/>
          <w:szCs w:val="20"/>
          <w:color w:val="auto"/>
        </w:rPr>
        <w:t>13.1</w:t>
      </w:r>
      <w:r>
        <w:rPr>
          <w:sz w:val="20"/>
          <w:szCs w:val="20"/>
          <w:color w:val="auto"/>
        </w:rPr>
        <w:tab/>
      </w:r>
      <w:r>
        <w:rPr>
          <w:rFonts w:ascii="Calibri" w:cs="Calibri" w:eastAsia="Calibri" w:hAnsi="Calibri"/>
          <w:sz w:val="20"/>
          <w:szCs w:val="20"/>
          <w:color w:val="auto"/>
        </w:rPr>
        <w:t>UGNX shall [***] to give Kyowa Kirin [***] of any prospectve changes in any Applicable Laws in the Territory of which UGNX is aware and which, to the knowledge of UGNX may afect the manufacturing Kyowa Kirin’s manufacturing responsibility requirements of the Product as sold into the Territory.</w:t>
      </w:r>
    </w:p>
    <w:p>
      <w:pPr>
        <w:spacing w:after="0" w:line="238" w:lineRule="exact"/>
        <w:rPr>
          <w:sz w:val="20"/>
          <w:szCs w:val="20"/>
          <w:color w:val="auto"/>
        </w:rPr>
      </w:pPr>
    </w:p>
    <w:p>
      <w:pPr>
        <w:jc w:val="both"/>
        <w:ind w:left="712" w:hanging="697"/>
        <w:spacing w:after="0" w:line="236" w:lineRule="auto"/>
        <w:tabs>
          <w:tab w:leader="none" w:pos="692" w:val="left"/>
        </w:tabs>
        <w:rPr>
          <w:sz w:val="20"/>
          <w:szCs w:val="20"/>
          <w:color w:val="auto"/>
        </w:rPr>
      </w:pPr>
      <w:r>
        <w:rPr>
          <w:rFonts w:ascii="Arial" w:cs="Arial" w:eastAsia="Arial" w:hAnsi="Arial"/>
          <w:sz w:val="20"/>
          <w:szCs w:val="20"/>
          <w:color w:val="auto"/>
        </w:rPr>
        <w:t>13.2</w:t>
      </w:r>
      <w:r>
        <w:rPr>
          <w:sz w:val="20"/>
          <w:szCs w:val="20"/>
          <w:color w:val="auto"/>
        </w:rPr>
        <w:tab/>
      </w:r>
      <w:r>
        <w:rPr>
          <w:rFonts w:ascii="Calibri" w:cs="Calibri" w:eastAsia="Calibri" w:hAnsi="Calibri"/>
          <w:sz w:val="20"/>
          <w:szCs w:val="20"/>
          <w:color w:val="auto"/>
        </w:rPr>
        <w:t>On receipt of notfcaton from UGNX under Clause 13.1, Kyowa Kirin shall [***] to ensure that the Product complies with any change in the Applicable Laws by the date of implementaton of that change or as soon as is reasonably possible aferwards.</w:t>
      </w:r>
    </w:p>
    <w:p>
      <w:pPr>
        <w:spacing w:after="0" w:line="239" w:lineRule="exact"/>
        <w:rPr>
          <w:sz w:val="20"/>
          <w:szCs w:val="20"/>
          <w:color w:val="auto"/>
        </w:rPr>
      </w:pPr>
    </w:p>
    <w:p>
      <w:pPr>
        <w:ind w:left="772" w:hanging="758"/>
        <w:spacing w:after="0"/>
        <w:tabs>
          <w:tab w:leader="none" w:pos="772" w:val="left"/>
        </w:tabs>
        <w:numPr>
          <w:ilvl w:val="0"/>
          <w:numId w:val="99"/>
        </w:numPr>
        <w:rPr>
          <w:rFonts w:ascii="Arial" w:cs="Arial" w:eastAsia="Arial" w:hAnsi="Arial"/>
          <w:sz w:val="20"/>
          <w:szCs w:val="20"/>
          <w:b w:val="1"/>
          <w:bCs w:val="1"/>
          <w:color w:val="auto"/>
        </w:rPr>
      </w:pPr>
      <w:r>
        <w:rPr>
          <w:rFonts w:ascii="Calibri" w:cs="Calibri" w:eastAsia="Calibri" w:hAnsi="Calibri"/>
          <w:sz w:val="20"/>
          <w:szCs w:val="20"/>
          <w:b w:val="1"/>
          <w:bCs w:val="1"/>
          <w:color w:val="auto"/>
        </w:rPr>
        <w:t>RECORD KEEPING AND COOPERATION WITH INSPECTION</w:t>
      </w:r>
    </w:p>
    <w:p>
      <w:pPr>
        <w:spacing w:after="0" w:line="218" w:lineRule="exact"/>
        <w:rPr>
          <w:sz w:val="20"/>
          <w:szCs w:val="20"/>
          <w:color w:val="auto"/>
        </w:rPr>
      </w:pPr>
    </w:p>
    <w:p>
      <w:pPr>
        <w:ind w:left="12"/>
        <w:spacing w:after="0"/>
        <w:tabs>
          <w:tab w:leader="none" w:pos="732" w:val="left"/>
        </w:tabs>
        <w:rPr>
          <w:sz w:val="20"/>
          <w:szCs w:val="20"/>
          <w:color w:val="auto"/>
        </w:rPr>
      </w:pPr>
      <w:r>
        <w:rPr>
          <w:rFonts w:ascii="Arial" w:cs="Arial" w:eastAsia="Arial" w:hAnsi="Arial"/>
          <w:sz w:val="20"/>
          <w:szCs w:val="20"/>
          <w:color w:val="auto"/>
        </w:rPr>
        <w:t>14.1</w:t>
      </w:r>
      <w:r>
        <w:rPr>
          <w:sz w:val="20"/>
          <w:szCs w:val="20"/>
          <w:color w:val="auto"/>
        </w:rPr>
        <w:tab/>
      </w:r>
      <w:r>
        <w:rPr>
          <w:rFonts w:ascii="Calibri" w:cs="Calibri" w:eastAsia="Calibri" w:hAnsi="Calibri"/>
          <w:sz w:val="20"/>
          <w:szCs w:val="20"/>
          <w:color w:val="auto"/>
        </w:rPr>
        <w:t>UGNX shall maintain complete and accurate records concerning:</w:t>
      </w:r>
    </w:p>
    <w:p>
      <w:pPr>
        <w:spacing w:after="0" w:line="239" w:lineRule="exact"/>
        <w:rPr>
          <w:sz w:val="20"/>
          <w:szCs w:val="20"/>
          <w:color w:val="auto"/>
        </w:rPr>
      </w:pPr>
    </w:p>
    <w:p>
      <w:pPr>
        <w:ind w:left="1452" w:hanging="705"/>
        <w:spacing w:after="0"/>
        <w:tabs>
          <w:tab w:leader="none" w:pos="1452" w:val="left"/>
        </w:tabs>
        <w:numPr>
          <w:ilvl w:val="0"/>
          <w:numId w:val="100"/>
        </w:numPr>
        <w:rPr>
          <w:rFonts w:ascii="Arial" w:cs="Arial" w:eastAsia="Arial" w:hAnsi="Arial"/>
          <w:sz w:val="20"/>
          <w:szCs w:val="20"/>
          <w:color w:val="auto"/>
        </w:rPr>
      </w:pPr>
      <w:r>
        <w:rPr>
          <w:rFonts w:ascii="Calibri" w:cs="Calibri" w:eastAsia="Calibri" w:hAnsi="Calibri"/>
          <w:sz w:val="20"/>
          <w:szCs w:val="20"/>
          <w:color w:val="auto"/>
        </w:rPr>
        <w:t>all of its purchases and sales of the commercial product derived from the naked unlabelled vials of Product;</w:t>
      </w:r>
    </w:p>
    <w:p>
      <w:pPr>
        <w:spacing w:after="0" w:line="238" w:lineRule="exact"/>
        <w:rPr>
          <w:rFonts w:ascii="Arial" w:cs="Arial" w:eastAsia="Arial" w:hAnsi="Arial"/>
          <w:sz w:val="20"/>
          <w:szCs w:val="20"/>
          <w:color w:val="auto"/>
        </w:rPr>
      </w:pPr>
    </w:p>
    <w:p>
      <w:pPr>
        <w:jc w:val="both"/>
        <w:ind w:left="1452" w:hanging="705"/>
        <w:spacing w:after="0" w:line="237" w:lineRule="auto"/>
        <w:tabs>
          <w:tab w:leader="none" w:pos="1452" w:val="left"/>
        </w:tabs>
        <w:numPr>
          <w:ilvl w:val="0"/>
          <w:numId w:val="100"/>
        </w:numPr>
        <w:rPr>
          <w:rFonts w:ascii="Arial" w:cs="Arial" w:eastAsia="Arial" w:hAnsi="Arial"/>
          <w:sz w:val="20"/>
          <w:szCs w:val="20"/>
          <w:color w:val="auto"/>
        </w:rPr>
      </w:pPr>
      <w:r>
        <w:rPr>
          <w:rFonts w:ascii="Calibri" w:cs="Calibri" w:eastAsia="Calibri" w:hAnsi="Calibri"/>
          <w:sz w:val="20"/>
          <w:szCs w:val="20"/>
          <w:color w:val="auto"/>
        </w:rPr>
        <w:t>records related to its quality and regulatory obligatons under this Agreement. UGNX shall maintain quality and regulatory records in an orderly fashion for a period of [***] countng from the date of each purchase or sale. UGNX shall, at Kyowa Kirin’s request made upon reasonable notce (such notce to be presumed reasonable if made at least [***] in advance [***]) during normal business hours, in such a way as not to disrupt normal business, and [***], provide Kyowa Kirin (or its designated representatve) with [***] access to all records required by this Clause 14.1 at UGNX’s place of business or at such other locaton mutually agreed upon by the partes, and shall fully cooperate in allowing Kyowa Kirin (or its designated representatve) to inspect such records as requested, under confdentality obligatons. To enable Kyowa Kirin to conduct such inspecton in a non-invasive manner, UGNX shall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236855</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12"/>
          </w:cols>
          <w:pgMar w:left="508" w:top="1440" w:right="879" w:bottom="1440" w:gutter="0" w:footer="0" w:header="0"/>
        </w:sectPr>
      </w:pPr>
    </w:p>
    <w:bookmarkStart w:id="152" w:name="page153"/>
    <w:bookmarkEnd w:id="152"/>
    <w:p>
      <w:pPr>
        <w:jc w:val="both"/>
        <w:ind w:left="1512"/>
        <w:spacing w:after="0" w:line="236" w:lineRule="auto"/>
        <w:rPr>
          <w:sz w:val="20"/>
          <w:szCs w:val="20"/>
          <w:color w:val="auto"/>
        </w:rPr>
      </w:pPr>
      <w:r>
        <w:rPr>
          <w:rFonts w:ascii="Calibri" w:cs="Calibri" w:eastAsia="Calibri" w:hAnsi="Calibri"/>
          <w:sz w:val="20"/>
          <w:szCs w:val="20"/>
          <w:color w:val="auto"/>
        </w:rPr>
        <w:t>UGNX shall notfy Kyowa Kirin of fling for regulatory approval in a country in the Territory within [***] of submission of fling, such that Kyowa Kirin can prepare for any related inspecton by a health authority or other regulatory body.</w:t>
      </w:r>
    </w:p>
    <w:p>
      <w:pPr>
        <w:spacing w:after="0" w:line="228" w:lineRule="exact"/>
        <w:rPr>
          <w:sz w:val="20"/>
          <w:szCs w:val="20"/>
          <w:color w:val="auto"/>
        </w:rPr>
      </w:pPr>
    </w:p>
    <w:p>
      <w:pPr>
        <w:jc w:val="both"/>
        <w:ind w:left="712" w:hanging="697"/>
        <w:spacing w:after="0" w:line="237" w:lineRule="auto"/>
        <w:tabs>
          <w:tab w:leader="none" w:pos="692" w:val="left"/>
        </w:tabs>
        <w:rPr>
          <w:sz w:val="20"/>
          <w:szCs w:val="20"/>
          <w:color w:val="auto"/>
        </w:rPr>
      </w:pPr>
      <w:r>
        <w:rPr>
          <w:rFonts w:ascii="Arial" w:cs="Arial" w:eastAsia="Arial" w:hAnsi="Arial"/>
          <w:sz w:val="20"/>
          <w:szCs w:val="20"/>
          <w:color w:val="auto"/>
        </w:rPr>
        <w:t>14.2</w:t>
      </w:r>
      <w:r>
        <w:rPr>
          <w:sz w:val="20"/>
          <w:szCs w:val="20"/>
          <w:color w:val="auto"/>
        </w:rPr>
        <w:tab/>
      </w:r>
      <w:r>
        <w:rPr>
          <w:rFonts w:ascii="Calibri" w:cs="Calibri" w:eastAsia="Calibri" w:hAnsi="Calibri"/>
          <w:sz w:val="20"/>
          <w:szCs w:val="20"/>
          <w:color w:val="auto"/>
        </w:rPr>
        <w:t>Kyowa Kirin shall advise UGNX promptly, but in no event later than [***] afer Kyowa Kirin’s receipt of notce thereof, of any planned regulatory authority visit to the porton of the facilites of Kyowa Kirin or its Afliates or CMO where Product is manufactured, stored or handled or any material writen inquiries by a regulatory authority concerning such facilites, the procedures of Kyowa Kirin or its Afliates or CMO for the manufacture, storage or handling of Product. If the regulatory authority makes an unannounced or unplanned visit, or if Kyowa Kirin does not have at least [***’] notce of the visit, Kyowa Kirin shall inform UGNX of the visit within [***] afer Kyowa Kirin obtains actual knowledge of the visit. Kyowa Kirin shall inform UGNX as soon as practcable regarding the purpose and result of such visit or inquiry, and shall provide to UGNX [***], to the regulatory authority or issued by or provided by the regulatory authority to Kyowa Kirin or its Afliates or CMO, as the case may be, in connecton with such visit or inquiry.</w:t>
      </w:r>
    </w:p>
    <w:p>
      <w:pPr>
        <w:spacing w:after="0" w:line="248" w:lineRule="exact"/>
        <w:rPr>
          <w:sz w:val="20"/>
          <w:szCs w:val="20"/>
          <w:color w:val="auto"/>
        </w:rPr>
      </w:pPr>
    </w:p>
    <w:p>
      <w:pPr>
        <w:ind w:left="752" w:hanging="752"/>
        <w:spacing w:after="0"/>
        <w:tabs>
          <w:tab w:leader="none" w:pos="752" w:val="left"/>
        </w:tabs>
        <w:numPr>
          <w:ilvl w:val="0"/>
          <w:numId w:val="101"/>
        </w:numPr>
        <w:rPr>
          <w:rFonts w:ascii="Arial" w:cs="Arial" w:eastAsia="Arial" w:hAnsi="Arial"/>
          <w:sz w:val="20"/>
          <w:szCs w:val="20"/>
          <w:b w:val="1"/>
          <w:bCs w:val="1"/>
          <w:color w:val="auto"/>
        </w:rPr>
      </w:pPr>
      <w:r>
        <w:rPr>
          <w:rFonts w:ascii="Calibri" w:cs="Calibri" w:eastAsia="Calibri" w:hAnsi="Calibri"/>
          <w:sz w:val="20"/>
          <w:szCs w:val="20"/>
          <w:b w:val="1"/>
          <w:bCs w:val="1"/>
          <w:color w:val="auto"/>
        </w:rPr>
        <w:t>REPORTING PROCEDURE</w:t>
      </w:r>
    </w:p>
    <w:p>
      <w:pPr>
        <w:spacing w:after="0" w:line="218" w:lineRule="exact"/>
        <w:rPr>
          <w:sz w:val="20"/>
          <w:szCs w:val="20"/>
          <w:color w:val="auto"/>
        </w:rPr>
      </w:pPr>
    </w:p>
    <w:p>
      <w:pPr>
        <w:ind w:left="12"/>
        <w:spacing w:after="0"/>
        <w:tabs>
          <w:tab w:leader="none" w:pos="732" w:val="left"/>
        </w:tabs>
        <w:rPr>
          <w:sz w:val="20"/>
          <w:szCs w:val="20"/>
          <w:color w:val="auto"/>
        </w:rPr>
      </w:pPr>
      <w:r>
        <w:rPr>
          <w:rFonts w:ascii="Arial" w:cs="Arial" w:eastAsia="Arial" w:hAnsi="Arial"/>
          <w:sz w:val="20"/>
          <w:szCs w:val="20"/>
          <w:color w:val="auto"/>
        </w:rPr>
        <w:t>15.1</w:t>
      </w:r>
      <w:r>
        <w:rPr>
          <w:sz w:val="20"/>
          <w:szCs w:val="20"/>
          <w:color w:val="auto"/>
        </w:rPr>
        <w:tab/>
      </w:r>
      <w:r>
        <w:rPr>
          <w:rFonts w:ascii="Calibri" w:cs="Calibri" w:eastAsia="Calibri" w:hAnsi="Calibri"/>
          <w:sz w:val="20"/>
          <w:szCs w:val="20"/>
          <w:color w:val="auto"/>
        </w:rPr>
        <w:t>UGNX shall promptly (or as otherwise set forth herein) notfy Kyowa Kirin of:</w:t>
      </w:r>
    </w:p>
    <w:p>
      <w:pPr>
        <w:spacing w:after="0" w:line="249" w:lineRule="exact"/>
        <w:rPr>
          <w:sz w:val="20"/>
          <w:szCs w:val="20"/>
          <w:color w:val="auto"/>
        </w:rPr>
      </w:pPr>
    </w:p>
    <w:p>
      <w:pPr>
        <w:ind w:left="1452" w:hanging="705"/>
        <w:spacing w:after="0" w:line="234" w:lineRule="auto"/>
        <w:tabs>
          <w:tab w:leader="none" w:pos="1452" w:val="left"/>
        </w:tabs>
        <w:numPr>
          <w:ilvl w:val="0"/>
          <w:numId w:val="102"/>
        </w:numPr>
        <w:rPr>
          <w:rFonts w:ascii="Arial" w:cs="Arial" w:eastAsia="Arial" w:hAnsi="Arial"/>
          <w:sz w:val="20"/>
          <w:szCs w:val="20"/>
          <w:color w:val="auto"/>
        </w:rPr>
      </w:pPr>
      <w:r>
        <w:rPr>
          <w:rFonts w:ascii="Calibri" w:cs="Calibri" w:eastAsia="Calibri" w:hAnsi="Calibri"/>
          <w:sz w:val="20"/>
          <w:szCs w:val="20"/>
          <w:color w:val="auto"/>
        </w:rPr>
        <w:t>on a [***] basis, all material enquiries concerning the Product or orders for the Product that it receives and respond as instructed by Kyowa Kirin;</w:t>
      </w:r>
    </w:p>
    <w:p>
      <w:pPr>
        <w:spacing w:after="0" w:line="239" w:lineRule="exact"/>
        <w:rPr>
          <w:rFonts w:ascii="Arial" w:cs="Arial" w:eastAsia="Arial" w:hAnsi="Arial"/>
          <w:sz w:val="20"/>
          <w:szCs w:val="20"/>
          <w:color w:val="auto"/>
        </w:rPr>
      </w:pPr>
    </w:p>
    <w:p>
      <w:pPr>
        <w:ind w:left="1452" w:hanging="705"/>
        <w:spacing w:after="0" w:line="234" w:lineRule="auto"/>
        <w:tabs>
          <w:tab w:leader="none" w:pos="1452" w:val="left"/>
        </w:tabs>
        <w:numPr>
          <w:ilvl w:val="0"/>
          <w:numId w:val="102"/>
        </w:numPr>
        <w:rPr>
          <w:rFonts w:ascii="Arial" w:cs="Arial" w:eastAsia="Arial" w:hAnsi="Arial"/>
          <w:sz w:val="20"/>
          <w:szCs w:val="20"/>
          <w:color w:val="auto"/>
        </w:rPr>
      </w:pPr>
      <w:r>
        <w:rPr>
          <w:rFonts w:ascii="Calibri" w:cs="Calibri" w:eastAsia="Calibri" w:hAnsi="Calibri"/>
          <w:sz w:val="20"/>
          <w:szCs w:val="20"/>
          <w:color w:val="auto"/>
        </w:rPr>
        <w:t>any material non-compliance observatons or complaints made by customers in respect of the Product , and, insofar as the compliant relates to the Product itself, shall not, [***]; and</w:t>
      </w:r>
    </w:p>
    <w:p>
      <w:pPr>
        <w:spacing w:after="0" w:line="239" w:lineRule="exact"/>
        <w:rPr>
          <w:rFonts w:ascii="Arial" w:cs="Arial" w:eastAsia="Arial" w:hAnsi="Arial"/>
          <w:sz w:val="20"/>
          <w:szCs w:val="20"/>
          <w:color w:val="auto"/>
        </w:rPr>
      </w:pPr>
    </w:p>
    <w:p>
      <w:pPr>
        <w:jc w:val="both"/>
        <w:ind w:left="1452" w:hanging="705"/>
        <w:spacing w:after="0" w:line="236" w:lineRule="auto"/>
        <w:tabs>
          <w:tab w:leader="none" w:pos="1452" w:val="left"/>
        </w:tabs>
        <w:numPr>
          <w:ilvl w:val="0"/>
          <w:numId w:val="102"/>
        </w:numPr>
        <w:rPr>
          <w:rFonts w:ascii="Arial" w:cs="Arial" w:eastAsia="Arial" w:hAnsi="Arial"/>
          <w:sz w:val="20"/>
          <w:szCs w:val="20"/>
          <w:color w:val="auto"/>
        </w:rPr>
      </w:pPr>
      <w:r>
        <w:rPr>
          <w:rFonts w:ascii="Calibri" w:cs="Calibri" w:eastAsia="Calibri" w:hAnsi="Calibri"/>
          <w:sz w:val="20"/>
          <w:szCs w:val="20"/>
          <w:color w:val="auto"/>
        </w:rPr>
        <w:t>any actual, threatened or suspected infringement by the Product of any Intellectual Property Rights belonging to any third party or any actual, threatened or suspected infringement by any third party of the Intellectual Property in the Product which comes to UGNX's notce from tme to tme and [***] to safeguard the property rights and interests of Kyowa Kirin and [***].</w:t>
      </w:r>
    </w:p>
    <w:p>
      <w:pPr>
        <w:spacing w:after="0" w:line="231" w:lineRule="exact"/>
        <w:rPr>
          <w:sz w:val="20"/>
          <w:szCs w:val="20"/>
          <w:color w:val="auto"/>
        </w:rPr>
      </w:pPr>
    </w:p>
    <w:p>
      <w:pPr>
        <w:jc w:val="both"/>
        <w:ind w:left="712" w:hanging="697"/>
        <w:spacing w:after="0" w:line="236" w:lineRule="auto"/>
        <w:tabs>
          <w:tab w:leader="none" w:pos="692" w:val="left"/>
        </w:tabs>
        <w:rPr>
          <w:sz w:val="20"/>
          <w:szCs w:val="20"/>
          <w:color w:val="auto"/>
        </w:rPr>
      </w:pPr>
      <w:r>
        <w:rPr>
          <w:rFonts w:ascii="Arial" w:cs="Arial" w:eastAsia="Arial" w:hAnsi="Arial"/>
          <w:sz w:val="20"/>
          <w:szCs w:val="20"/>
          <w:color w:val="auto"/>
        </w:rPr>
        <w:t>15.2</w:t>
      </w:r>
      <w:r>
        <w:rPr>
          <w:sz w:val="20"/>
          <w:szCs w:val="20"/>
          <w:color w:val="auto"/>
        </w:rPr>
        <w:tab/>
      </w:r>
      <w:r>
        <w:rPr>
          <w:rFonts w:ascii="Calibri" w:cs="Calibri" w:eastAsia="Calibri" w:hAnsi="Calibri"/>
          <w:sz w:val="20"/>
          <w:szCs w:val="20"/>
          <w:color w:val="auto"/>
        </w:rPr>
        <w:t>Both partes understand and agree to comply with all applicable domestc and foreign fnancial transparency/disclosure laws and other associated rules and regulatons. Each party shall manage its own records and independently report to the appropriate governmental agency(s).</w:t>
      </w:r>
    </w:p>
    <w:p>
      <w:pPr>
        <w:spacing w:after="0" w:line="239" w:lineRule="exact"/>
        <w:rPr>
          <w:sz w:val="20"/>
          <w:szCs w:val="20"/>
          <w:color w:val="auto"/>
        </w:rPr>
      </w:pPr>
    </w:p>
    <w:p>
      <w:pPr>
        <w:ind w:left="772" w:hanging="758"/>
        <w:spacing w:after="0"/>
        <w:tabs>
          <w:tab w:leader="none" w:pos="772" w:val="left"/>
        </w:tabs>
        <w:numPr>
          <w:ilvl w:val="0"/>
          <w:numId w:val="103"/>
        </w:numPr>
        <w:rPr>
          <w:rFonts w:ascii="Arial" w:cs="Arial" w:eastAsia="Arial" w:hAnsi="Arial"/>
          <w:sz w:val="20"/>
          <w:szCs w:val="20"/>
          <w:b w:val="1"/>
          <w:bCs w:val="1"/>
          <w:color w:val="auto"/>
        </w:rPr>
      </w:pPr>
      <w:r>
        <w:rPr>
          <w:rFonts w:ascii="Calibri" w:cs="Calibri" w:eastAsia="Calibri" w:hAnsi="Calibri"/>
          <w:sz w:val="20"/>
          <w:szCs w:val="20"/>
          <w:b w:val="1"/>
          <w:bCs w:val="1"/>
          <w:color w:val="auto"/>
        </w:rPr>
        <w:t>DATA PROTECTION</w:t>
      </w:r>
    </w:p>
    <w:p>
      <w:pPr>
        <w:spacing w:after="0" w:line="218" w:lineRule="exact"/>
        <w:rPr>
          <w:sz w:val="20"/>
          <w:szCs w:val="20"/>
          <w:color w:val="auto"/>
        </w:rPr>
      </w:pPr>
    </w:p>
    <w:p>
      <w:pPr>
        <w:ind w:left="12"/>
        <w:spacing w:after="0"/>
        <w:tabs>
          <w:tab w:leader="none" w:pos="692" w:val="left"/>
        </w:tabs>
        <w:rPr>
          <w:sz w:val="20"/>
          <w:szCs w:val="20"/>
          <w:color w:val="auto"/>
        </w:rPr>
      </w:pPr>
      <w:r>
        <w:rPr>
          <w:rFonts w:ascii="Arial" w:cs="Arial" w:eastAsia="Arial" w:hAnsi="Arial"/>
          <w:sz w:val="20"/>
          <w:szCs w:val="20"/>
          <w:color w:val="auto"/>
        </w:rPr>
        <w:t>16.1</w:t>
      </w:r>
      <w:r>
        <w:rPr>
          <w:sz w:val="20"/>
          <w:szCs w:val="20"/>
          <w:color w:val="auto"/>
        </w:rPr>
        <w:tab/>
      </w:r>
      <w:r>
        <w:rPr>
          <w:rFonts w:ascii="Calibri" w:cs="Calibri" w:eastAsia="Calibri" w:hAnsi="Calibri"/>
          <w:sz w:val="20"/>
          <w:szCs w:val="20"/>
          <w:color w:val="auto"/>
        </w:rPr>
        <w:t>Sensitve personal data and processing shall be managed according to the Applicable Laws in each of the Territory.</w:t>
      </w:r>
    </w:p>
    <w:p>
      <w:pPr>
        <w:spacing w:after="0" w:line="91" w:lineRule="exact"/>
        <w:rPr>
          <w:sz w:val="20"/>
          <w:szCs w:val="20"/>
          <w:color w:val="auto"/>
        </w:rPr>
      </w:pPr>
    </w:p>
    <w:p>
      <w:pPr>
        <w:ind w:left="752" w:hanging="752"/>
        <w:spacing w:after="0"/>
        <w:tabs>
          <w:tab w:leader="none" w:pos="752" w:val="left"/>
        </w:tabs>
        <w:numPr>
          <w:ilvl w:val="0"/>
          <w:numId w:val="104"/>
        </w:numPr>
        <w:rPr>
          <w:rFonts w:ascii="Arial" w:cs="Arial" w:eastAsia="Arial" w:hAnsi="Arial"/>
          <w:sz w:val="20"/>
          <w:szCs w:val="20"/>
          <w:b w:val="1"/>
          <w:bCs w:val="1"/>
          <w:color w:val="auto"/>
        </w:rPr>
      </w:pPr>
      <w:r>
        <w:rPr>
          <w:rFonts w:ascii="Calibri" w:cs="Calibri" w:eastAsia="Calibri" w:hAnsi="Calibri"/>
          <w:sz w:val="20"/>
          <w:szCs w:val="20"/>
          <w:b w:val="1"/>
          <w:bCs w:val="1"/>
          <w:color w:val="auto"/>
        </w:rPr>
        <w:t>ANTI BRIBERY</w:t>
      </w:r>
    </w:p>
    <w:p>
      <w:pPr>
        <w:spacing w:after="0" w:line="218" w:lineRule="exact"/>
        <w:rPr>
          <w:sz w:val="20"/>
          <w:szCs w:val="20"/>
          <w:color w:val="auto"/>
        </w:rPr>
      </w:pPr>
    </w:p>
    <w:p>
      <w:pPr>
        <w:ind w:left="12"/>
        <w:spacing w:after="0"/>
        <w:tabs>
          <w:tab w:leader="none" w:pos="732" w:val="left"/>
        </w:tabs>
        <w:rPr>
          <w:sz w:val="20"/>
          <w:szCs w:val="20"/>
          <w:color w:val="auto"/>
        </w:rPr>
      </w:pPr>
      <w:r>
        <w:rPr>
          <w:rFonts w:ascii="Arial" w:cs="Arial" w:eastAsia="Arial" w:hAnsi="Arial"/>
          <w:sz w:val="20"/>
          <w:szCs w:val="20"/>
          <w:color w:val="auto"/>
        </w:rPr>
        <w:t>17.1</w:t>
      </w:r>
      <w:r>
        <w:rPr>
          <w:sz w:val="20"/>
          <w:szCs w:val="20"/>
          <w:color w:val="auto"/>
        </w:rPr>
        <w:tab/>
      </w:r>
      <w:r>
        <w:rPr>
          <w:rFonts w:ascii="Calibri" w:cs="Calibri" w:eastAsia="Calibri" w:hAnsi="Calibri"/>
          <w:sz w:val="20"/>
          <w:szCs w:val="20"/>
          <w:color w:val="auto"/>
        </w:rPr>
        <w:t>Each party warrants and represents to the other party that it:</w:t>
      </w:r>
    </w:p>
    <w:p>
      <w:pPr>
        <w:spacing w:after="0" w:line="239" w:lineRule="exact"/>
        <w:rPr>
          <w:sz w:val="20"/>
          <w:szCs w:val="20"/>
          <w:color w:val="auto"/>
        </w:rPr>
      </w:pPr>
    </w:p>
    <w:p>
      <w:pPr>
        <w:ind w:left="1452" w:hanging="705"/>
        <w:spacing w:after="0"/>
        <w:tabs>
          <w:tab w:leader="none" w:pos="1452" w:val="left"/>
        </w:tabs>
        <w:numPr>
          <w:ilvl w:val="0"/>
          <w:numId w:val="105"/>
        </w:numPr>
        <w:rPr>
          <w:rFonts w:ascii="Arial" w:cs="Arial" w:eastAsia="Arial" w:hAnsi="Arial"/>
          <w:sz w:val="20"/>
          <w:szCs w:val="20"/>
          <w:color w:val="auto"/>
        </w:rPr>
      </w:pPr>
      <w:r>
        <w:rPr>
          <w:rFonts w:ascii="Calibri" w:cs="Calibri" w:eastAsia="Calibri" w:hAnsi="Calibri"/>
          <w:sz w:val="20"/>
          <w:szCs w:val="20"/>
          <w:color w:val="auto"/>
        </w:rPr>
        <w:t>has not commited an ofence under any Ant-Bribery Law (a "</w:t>
      </w:r>
      <w:r>
        <w:rPr>
          <w:rFonts w:ascii="Calibri" w:cs="Calibri" w:eastAsia="Calibri" w:hAnsi="Calibri"/>
          <w:sz w:val="20"/>
          <w:szCs w:val="20"/>
          <w:b w:val="1"/>
          <w:bCs w:val="1"/>
          <w:color w:val="auto"/>
        </w:rPr>
        <w:t>Bribery Ofence</w:t>
      </w:r>
      <w:r>
        <w:rPr>
          <w:rFonts w:ascii="Calibri" w:cs="Calibri" w:eastAsia="Calibri" w:hAnsi="Calibri"/>
          <w:sz w:val="20"/>
          <w:szCs w:val="20"/>
          <w:color w:val="auto"/>
        </w:rPr>
        <w:t>");</w:t>
      </w:r>
    </w:p>
    <w:p>
      <w:pPr>
        <w:spacing w:after="0" w:line="238" w:lineRule="exact"/>
        <w:rPr>
          <w:rFonts w:ascii="Arial" w:cs="Arial" w:eastAsia="Arial" w:hAnsi="Arial"/>
          <w:sz w:val="20"/>
          <w:szCs w:val="20"/>
          <w:color w:val="auto"/>
        </w:rPr>
      </w:pPr>
    </w:p>
    <w:p>
      <w:pPr>
        <w:ind w:left="1452" w:hanging="705"/>
        <w:spacing w:after="0" w:line="234" w:lineRule="auto"/>
        <w:tabs>
          <w:tab w:leader="none" w:pos="1452" w:val="left"/>
        </w:tabs>
        <w:numPr>
          <w:ilvl w:val="0"/>
          <w:numId w:val="105"/>
        </w:numPr>
        <w:rPr>
          <w:rFonts w:ascii="Arial" w:cs="Arial" w:eastAsia="Arial" w:hAnsi="Arial"/>
          <w:sz w:val="20"/>
          <w:szCs w:val="20"/>
          <w:color w:val="auto"/>
        </w:rPr>
      </w:pPr>
      <w:r>
        <w:rPr>
          <w:rFonts w:ascii="Calibri" w:cs="Calibri" w:eastAsia="Calibri" w:hAnsi="Calibri"/>
          <w:sz w:val="20"/>
          <w:szCs w:val="20"/>
          <w:color w:val="auto"/>
        </w:rPr>
        <w:t>has not been formally notfed that it is subject to an investgaton relatng to alleged Bribery Ofences or prosecuton or enforcement acton under any Ant- Bribery Law;</w:t>
      </w:r>
    </w:p>
    <w:p>
      <w:pPr>
        <w:spacing w:after="0" w:line="239" w:lineRule="exact"/>
        <w:rPr>
          <w:rFonts w:ascii="Arial" w:cs="Arial" w:eastAsia="Arial" w:hAnsi="Arial"/>
          <w:sz w:val="20"/>
          <w:szCs w:val="20"/>
          <w:color w:val="auto"/>
        </w:rPr>
      </w:pPr>
    </w:p>
    <w:p>
      <w:pPr>
        <w:ind w:left="1452" w:right="20" w:hanging="705"/>
        <w:spacing w:after="0" w:line="234" w:lineRule="auto"/>
        <w:tabs>
          <w:tab w:leader="none" w:pos="1452" w:val="left"/>
        </w:tabs>
        <w:numPr>
          <w:ilvl w:val="0"/>
          <w:numId w:val="105"/>
        </w:numPr>
        <w:rPr>
          <w:rFonts w:ascii="Arial" w:cs="Arial" w:eastAsia="Arial" w:hAnsi="Arial"/>
          <w:sz w:val="20"/>
          <w:szCs w:val="20"/>
          <w:color w:val="auto"/>
        </w:rPr>
      </w:pPr>
      <w:r>
        <w:rPr>
          <w:rFonts w:ascii="Calibri" w:cs="Calibri" w:eastAsia="Calibri" w:hAnsi="Calibri"/>
          <w:sz w:val="20"/>
          <w:szCs w:val="20"/>
          <w:color w:val="auto"/>
        </w:rPr>
        <w:t>is not aware of any circumstances that could give rise to an investgaton relatng to an alleged Bribery Ofence or prosecuton or enforcement acton under any Ant-Bribery Law.</w:t>
      </w:r>
    </w:p>
    <w:p>
      <w:pPr>
        <w:spacing w:after="0" w:line="219" w:lineRule="exact"/>
        <w:rPr>
          <w:sz w:val="20"/>
          <w:szCs w:val="20"/>
          <w:color w:val="auto"/>
        </w:rPr>
      </w:pPr>
    </w:p>
    <w:p>
      <w:pPr>
        <w:ind w:left="12"/>
        <w:spacing w:after="0"/>
        <w:tabs>
          <w:tab w:leader="none" w:pos="732" w:val="left"/>
        </w:tabs>
        <w:rPr>
          <w:sz w:val="20"/>
          <w:szCs w:val="20"/>
          <w:color w:val="auto"/>
        </w:rPr>
      </w:pPr>
      <w:r>
        <w:rPr>
          <w:rFonts w:ascii="Arial" w:cs="Arial" w:eastAsia="Arial" w:hAnsi="Arial"/>
          <w:sz w:val="20"/>
          <w:szCs w:val="20"/>
          <w:color w:val="auto"/>
        </w:rPr>
        <w:t>17.2</w:t>
      </w:r>
      <w:r>
        <w:rPr>
          <w:sz w:val="20"/>
          <w:szCs w:val="20"/>
          <w:color w:val="auto"/>
        </w:rPr>
        <w:tab/>
      </w:r>
      <w:r>
        <w:rPr>
          <w:rFonts w:ascii="Calibri" w:cs="Calibri" w:eastAsia="Calibri" w:hAnsi="Calibri"/>
          <w:sz w:val="20"/>
          <w:szCs w:val="20"/>
          <w:color w:val="auto"/>
        </w:rPr>
        <w:t>Each party agrees that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238125</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12"/>
          </w:cols>
          <w:pgMar w:left="508" w:top="1398" w:right="879" w:bottom="1440" w:gutter="0" w:footer="0" w:header="0"/>
        </w:sectPr>
      </w:pPr>
    </w:p>
    <w:bookmarkStart w:id="153" w:name="page154"/>
    <w:bookmarkEnd w:id="153"/>
    <w:p>
      <w:pPr>
        <w:spacing w:after="0" w:line="107" w:lineRule="exact"/>
        <w:rPr>
          <w:sz w:val="20"/>
          <w:szCs w:val="20"/>
          <w:color w:val="auto"/>
        </w:rPr>
      </w:pPr>
    </w:p>
    <w:p>
      <w:pPr>
        <w:jc w:val="both"/>
        <w:ind w:left="705" w:hanging="705"/>
        <w:spacing w:after="0" w:line="236" w:lineRule="auto"/>
        <w:tabs>
          <w:tab w:leader="none" w:pos="705" w:val="left"/>
        </w:tabs>
        <w:numPr>
          <w:ilvl w:val="0"/>
          <w:numId w:val="106"/>
        </w:numPr>
        <w:rPr>
          <w:rFonts w:ascii="Arial" w:cs="Arial" w:eastAsia="Arial" w:hAnsi="Arial"/>
          <w:sz w:val="20"/>
          <w:szCs w:val="20"/>
          <w:color w:val="auto"/>
        </w:rPr>
      </w:pPr>
      <w:r>
        <w:rPr>
          <w:rFonts w:ascii="Calibri" w:cs="Calibri" w:eastAsia="Calibri" w:hAnsi="Calibri"/>
          <w:sz w:val="20"/>
          <w:szCs w:val="20"/>
          <w:color w:val="auto"/>
        </w:rPr>
        <w:t>has in place, and shall maintain untl terminaton of this Agreement, adequate documented procedures designed to prevent persons associated with such party (including an employee, sub-contractor or agent or other third party working on behalf of such party or any Afliate) (an "</w:t>
      </w:r>
      <w:r>
        <w:rPr>
          <w:rFonts w:ascii="Calibri" w:cs="Calibri" w:eastAsia="Calibri" w:hAnsi="Calibri"/>
          <w:sz w:val="20"/>
          <w:szCs w:val="20"/>
          <w:b w:val="1"/>
          <w:bCs w:val="1"/>
          <w:color w:val="auto"/>
        </w:rPr>
        <w:t>Associated Person</w:t>
      </w:r>
      <w:r>
        <w:rPr>
          <w:rFonts w:ascii="Calibri" w:cs="Calibri" w:eastAsia="Calibri" w:hAnsi="Calibri"/>
          <w:sz w:val="20"/>
          <w:szCs w:val="20"/>
          <w:color w:val="auto"/>
        </w:rPr>
        <w:t>") from commitng a Bribery Ofence; and</w:t>
      </w:r>
    </w:p>
    <w:p>
      <w:pPr>
        <w:spacing w:after="0" w:line="241" w:lineRule="exact"/>
        <w:rPr>
          <w:rFonts w:ascii="Arial" w:cs="Arial" w:eastAsia="Arial" w:hAnsi="Arial"/>
          <w:sz w:val="20"/>
          <w:szCs w:val="20"/>
          <w:color w:val="auto"/>
        </w:rPr>
      </w:pPr>
    </w:p>
    <w:p>
      <w:pPr>
        <w:ind w:left="705" w:right="20" w:hanging="705"/>
        <w:spacing w:after="0" w:line="234" w:lineRule="auto"/>
        <w:tabs>
          <w:tab w:leader="none" w:pos="705" w:val="left"/>
        </w:tabs>
        <w:numPr>
          <w:ilvl w:val="0"/>
          <w:numId w:val="106"/>
        </w:numPr>
        <w:rPr>
          <w:rFonts w:ascii="Arial" w:cs="Arial" w:eastAsia="Arial" w:hAnsi="Arial"/>
          <w:sz w:val="20"/>
          <w:szCs w:val="20"/>
          <w:color w:val="auto"/>
        </w:rPr>
      </w:pPr>
      <w:r>
        <w:rPr>
          <w:rFonts w:ascii="Calibri" w:cs="Calibri" w:eastAsia="Calibri" w:hAnsi="Calibri"/>
          <w:sz w:val="20"/>
          <w:szCs w:val="20"/>
          <w:color w:val="auto"/>
        </w:rPr>
        <w:t>shall comply with any applicable Ant-Bribery Law and shall not, and shall procure that no Associated Person shall, commit any Bribery Ofence or any act which would consttute a Bribery Ofence; and</w:t>
      </w:r>
    </w:p>
    <w:p>
      <w:pPr>
        <w:spacing w:after="0" w:line="239" w:lineRule="exact"/>
        <w:rPr>
          <w:rFonts w:ascii="Arial" w:cs="Arial" w:eastAsia="Arial" w:hAnsi="Arial"/>
          <w:sz w:val="20"/>
          <w:szCs w:val="20"/>
          <w:color w:val="auto"/>
        </w:rPr>
      </w:pPr>
    </w:p>
    <w:p>
      <w:pPr>
        <w:ind w:left="705" w:hanging="705"/>
        <w:spacing w:after="0" w:line="234" w:lineRule="auto"/>
        <w:tabs>
          <w:tab w:leader="none" w:pos="705" w:val="left"/>
        </w:tabs>
        <w:numPr>
          <w:ilvl w:val="0"/>
          <w:numId w:val="106"/>
        </w:numPr>
        <w:rPr>
          <w:rFonts w:ascii="Arial" w:cs="Arial" w:eastAsia="Arial" w:hAnsi="Arial"/>
          <w:sz w:val="20"/>
          <w:szCs w:val="20"/>
          <w:color w:val="auto"/>
        </w:rPr>
      </w:pPr>
      <w:r>
        <w:rPr>
          <w:rFonts w:ascii="Calibri" w:cs="Calibri" w:eastAsia="Calibri" w:hAnsi="Calibri"/>
          <w:sz w:val="20"/>
          <w:szCs w:val="20"/>
          <w:color w:val="auto"/>
        </w:rPr>
        <w:t>comply with all compliance requirements and related operatng procedures, directon and guidance for interacton with Healthcare Providers or Government Ofcials;</w:t>
      </w:r>
    </w:p>
    <w:p>
      <w:pPr>
        <w:spacing w:after="0" w:line="239" w:lineRule="exact"/>
        <w:rPr>
          <w:rFonts w:ascii="Arial" w:cs="Arial" w:eastAsia="Arial" w:hAnsi="Arial"/>
          <w:sz w:val="20"/>
          <w:szCs w:val="20"/>
          <w:color w:val="auto"/>
        </w:rPr>
      </w:pPr>
    </w:p>
    <w:p>
      <w:pPr>
        <w:jc w:val="both"/>
        <w:ind w:left="705" w:hanging="705"/>
        <w:spacing w:after="0" w:line="236" w:lineRule="auto"/>
        <w:tabs>
          <w:tab w:leader="none" w:pos="705" w:val="left"/>
        </w:tabs>
        <w:numPr>
          <w:ilvl w:val="0"/>
          <w:numId w:val="106"/>
        </w:numPr>
        <w:rPr>
          <w:rFonts w:ascii="Arial" w:cs="Arial" w:eastAsia="Arial" w:hAnsi="Arial"/>
          <w:sz w:val="20"/>
          <w:szCs w:val="20"/>
          <w:color w:val="auto"/>
        </w:rPr>
      </w:pPr>
      <w:r>
        <w:rPr>
          <w:rFonts w:ascii="Calibri" w:cs="Calibri" w:eastAsia="Calibri" w:hAnsi="Calibri"/>
          <w:sz w:val="20"/>
          <w:szCs w:val="20"/>
          <w:color w:val="auto"/>
        </w:rPr>
        <w:t>shall not do or permit anything to be done which would cause the other party or any of the other party’s employees, sub-contractors or agents to commit a Bribery Ofence or incur any liability in relaton to an act of bribery; and</w:t>
      </w:r>
    </w:p>
    <w:p>
      <w:pPr>
        <w:spacing w:after="0" w:line="238" w:lineRule="exact"/>
        <w:rPr>
          <w:rFonts w:ascii="Arial" w:cs="Arial" w:eastAsia="Arial" w:hAnsi="Arial"/>
          <w:sz w:val="20"/>
          <w:szCs w:val="20"/>
          <w:color w:val="auto"/>
        </w:rPr>
      </w:pPr>
    </w:p>
    <w:p>
      <w:pPr>
        <w:jc w:val="both"/>
        <w:ind w:left="705" w:hanging="705"/>
        <w:spacing w:after="0" w:line="237" w:lineRule="auto"/>
        <w:tabs>
          <w:tab w:leader="none" w:pos="705" w:val="left"/>
        </w:tabs>
        <w:numPr>
          <w:ilvl w:val="0"/>
          <w:numId w:val="106"/>
        </w:numPr>
        <w:rPr>
          <w:rFonts w:ascii="Arial" w:cs="Arial" w:eastAsia="Arial" w:hAnsi="Arial"/>
          <w:sz w:val="20"/>
          <w:szCs w:val="20"/>
          <w:color w:val="auto"/>
        </w:rPr>
      </w:pPr>
      <w:r>
        <w:rPr>
          <w:rFonts w:ascii="Calibri" w:cs="Calibri" w:eastAsia="Calibri" w:hAnsi="Calibri"/>
          <w:sz w:val="20"/>
          <w:szCs w:val="20"/>
          <w:color w:val="auto"/>
        </w:rPr>
        <w:t>shall not, directly or indirectly, make ofer, promise, or authorise the payment or giving of any money or thing of value to any third party (which includes a Government Ofcial or any Healthcare Provider or other person) for the purpose of obtaining any improper business advantage. Such purpose shall be deemed to exist if a payment or gif is made, ofered, promised or authorized with the intent to or with the knowledge that it is likely to:</w:t>
      </w:r>
    </w:p>
    <w:p>
      <w:pPr>
        <w:spacing w:after="0" w:line="239" w:lineRule="exact"/>
        <w:rPr>
          <w:rFonts w:ascii="Arial" w:cs="Arial" w:eastAsia="Arial" w:hAnsi="Arial"/>
          <w:sz w:val="20"/>
          <w:szCs w:val="20"/>
          <w:color w:val="auto"/>
        </w:rPr>
      </w:pPr>
    </w:p>
    <w:p>
      <w:pPr>
        <w:ind w:left="1445" w:hanging="696"/>
        <w:spacing w:after="0" w:line="234" w:lineRule="auto"/>
        <w:tabs>
          <w:tab w:leader="none" w:pos="1445" w:val="left"/>
        </w:tabs>
        <w:numPr>
          <w:ilvl w:val="1"/>
          <w:numId w:val="106"/>
        </w:numPr>
        <w:rPr>
          <w:rFonts w:ascii="Arial" w:cs="Arial" w:eastAsia="Arial" w:hAnsi="Arial"/>
          <w:sz w:val="20"/>
          <w:szCs w:val="20"/>
          <w:color w:val="auto"/>
        </w:rPr>
      </w:pPr>
      <w:r>
        <w:rPr>
          <w:rFonts w:ascii="Calibri" w:cs="Calibri" w:eastAsia="Calibri" w:hAnsi="Calibri"/>
          <w:sz w:val="20"/>
          <w:szCs w:val="20"/>
          <w:color w:val="auto"/>
        </w:rPr>
        <w:t>corruptly afect or infuence any act or decision of a third party, including a decision to fail to perform his or her lawful duty; or</w:t>
      </w:r>
    </w:p>
    <w:p>
      <w:pPr>
        <w:spacing w:after="0" w:line="239" w:lineRule="exact"/>
        <w:rPr>
          <w:rFonts w:ascii="Arial" w:cs="Arial" w:eastAsia="Arial" w:hAnsi="Arial"/>
          <w:sz w:val="20"/>
          <w:szCs w:val="20"/>
          <w:color w:val="auto"/>
        </w:rPr>
      </w:pPr>
    </w:p>
    <w:p>
      <w:pPr>
        <w:jc w:val="both"/>
        <w:ind w:left="1445" w:hanging="696"/>
        <w:spacing w:after="0"/>
        <w:tabs>
          <w:tab w:leader="none" w:pos="1445" w:val="left"/>
        </w:tabs>
        <w:numPr>
          <w:ilvl w:val="1"/>
          <w:numId w:val="106"/>
        </w:numPr>
        <w:rPr>
          <w:rFonts w:ascii="Arial" w:cs="Arial" w:eastAsia="Arial" w:hAnsi="Arial"/>
          <w:sz w:val="20"/>
          <w:szCs w:val="20"/>
          <w:color w:val="auto"/>
        </w:rPr>
      </w:pPr>
      <w:r>
        <w:rPr>
          <w:rFonts w:ascii="Calibri" w:cs="Calibri" w:eastAsia="Calibri" w:hAnsi="Calibri"/>
          <w:sz w:val="20"/>
          <w:szCs w:val="20"/>
          <w:color w:val="auto"/>
        </w:rPr>
        <w:t>induce a third party to corruptly afect or infuence any act or decision of any Public Authority or customer in order to assist Kyowa Kirin or UGNX in connecton with the use or sale of the Product; and</w:t>
      </w:r>
    </w:p>
    <w:p>
      <w:pPr>
        <w:spacing w:after="0" w:line="200" w:lineRule="exact"/>
        <w:rPr>
          <w:rFonts w:ascii="Arial" w:cs="Arial" w:eastAsia="Arial" w:hAnsi="Arial"/>
          <w:sz w:val="20"/>
          <w:szCs w:val="20"/>
          <w:color w:val="auto"/>
        </w:rPr>
      </w:pPr>
    </w:p>
    <w:p>
      <w:pPr>
        <w:spacing w:after="0" w:line="270" w:lineRule="exact"/>
        <w:rPr>
          <w:rFonts w:ascii="Arial" w:cs="Arial" w:eastAsia="Arial" w:hAnsi="Arial"/>
          <w:sz w:val="20"/>
          <w:szCs w:val="20"/>
          <w:color w:val="auto"/>
        </w:rPr>
      </w:pPr>
    </w:p>
    <w:p>
      <w:pPr>
        <w:jc w:val="both"/>
        <w:ind w:left="705" w:hanging="705"/>
        <w:spacing w:after="0" w:line="236" w:lineRule="auto"/>
        <w:tabs>
          <w:tab w:leader="none" w:pos="705" w:val="left"/>
        </w:tabs>
        <w:numPr>
          <w:ilvl w:val="0"/>
          <w:numId w:val="106"/>
        </w:numPr>
        <w:rPr>
          <w:rFonts w:ascii="Arial" w:cs="Arial" w:eastAsia="Arial" w:hAnsi="Arial"/>
          <w:sz w:val="20"/>
          <w:szCs w:val="20"/>
          <w:color w:val="auto"/>
        </w:rPr>
      </w:pPr>
      <w:r>
        <w:rPr>
          <w:rFonts w:ascii="Calibri" w:cs="Calibri" w:eastAsia="Calibri" w:hAnsi="Calibri"/>
          <w:sz w:val="20"/>
          <w:szCs w:val="20"/>
          <w:color w:val="auto"/>
        </w:rPr>
        <w:t>shall notfy the other party, to the extent legally practcable and permissible, immediately in writng if it becomes aware or has reason to believe that it has, or any of its Associated Persons have, breached or potentally breached any of the party’s obligatons under this Clause 17. Such notce to set out full details, to the extent legally practcable and permissible under Applicable Laws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233045</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65"/>
          </w:cols>
          <w:pgMar w:left="1255" w:top="1440" w:right="879" w:bottom="1440" w:gutter="0" w:footer="0" w:header="0"/>
        </w:sectPr>
      </w:pPr>
    </w:p>
    <w:bookmarkStart w:id="154" w:name="page155"/>
    <w:bookmarkEnd w:id="154"/>
    <w:p>
      <w:pPr>
        <w:ind w:left="1492" w:right="300"/>
        <w:spacing w:after="0" w:line="234" w:lineRule="auto"/>
        <w:rPr>
          <w:sz w:val="20"/>
          <w:szCs w:val="20"/>
          <w:color w:val="auto"/>
        </w:rPr>
      </w:pPr>
      <w:r>
        <w:rPr>
          <w:rFonts w:ascii="Calibri" w:cs="Calibri" w:eastAsia="Calibri" w:hAnsi="Calibri"/>
          <w:sz w:val="20"/>
          <w:szCs w:val="20"/>
          <w:color w:val="auto"/>
        </w:rPr>
        <w:t>Confdentality obligatons, of the circumstances concerning the breach or potental breach of such party’s obligatons.</w:t>
      </w:r>
    </w:p>
    <w:p>
      <w:pPr>
        <w:spacing w:after="0" w:line="229" w:lineRule="exact"/>
        <w:rPr>
          <w:sz w:val="20"/>
          <w:szCs w:val="20"/>
          <w:color w:val="auto"/>
        </w:rPr>
      </w:pPr>
    </w:p>
    <w:p>
      <w:pPr>
        <w:jc w:val="both"/>
        <w:ind w:left="712" w:right="20" w:hanging="697"/>
        <w:spacing w:after="0" w:line="236" w:lineRule="auto"/>
        <w:tabs>
          <w:tab w:leader="none" w:pos="692" w:val="left"/>
        </w:tabs>
        <w:rPr>
          <w:sz w:val="20"/>
          <w:szCs w:val="20"/>
          <w:color w:val="auto"/>
        </w:rPr>
      </w:pPr>
      <w:r>
        <w:rPr>
          <w:rFonts w:ascii="Arial" w:cs="Arial" w:eastAsia="Arial" w:hAnsi="Arial"/>
          <w:sz w:val="20"/>
          <w:szCs w:val="20"/>
          <w:color w:val="auto"/>
        </w:rPr>
        <w:t>17.3</w:t>
      </w:r>
      <w:r>
        <w:rPr>
          <w:sz w:val="20"/>
          <w:szCs w:val="20"/>
          <w:color w:val="auto"/>
        </w:rPr>
        <w:tab/>
      </w:r>
      <w:r>
        <w:rPr>
          <w:rFonts w:ascii="Calibri" w:cs="Calibri" w:eastAsia="Calibri" w:hAnsi="Calibri"/>
          <w:sz w:val="20"/>
          <w:szCs w:val="20"/>
          <w:color w:val="auto"/>
        </w:rPr>
        <w:t>Each party acknowledges that no employee of the other party or any of its Afliates has any authority to give any directon, writen or oral, in contraventon of the foregoing in connecton with the making of any payment or commitment by the party to any third party.</w:t>
      </w:r>
    </w:p>
    <w:p>
      <w:pPr>
        <w:spacing w:after="0" w:line="238" w:lineRule="exact"/>
        <w:rPr>
          <w:sz w:val="20"/>
          <w:szCs w:val="20"/>
          <w:color w:val="auto"/>
        </w:rPr>
      </w:pPr>
    </w:p>
    <w:p>
      <w:pPr>
        <w:jc w:val="both"/>
        <w:ind w:left="712" w:hanging="697"/>
        <w:spacing w:after="0" w:line="237" w:lineRule="auto"/>
        <w:tabs>
          <w:tab w:leader="none" w:pos="692" w:val="left"/>
        </w:tabs>
        <w:rPr>
          <w:sz w:val="20"/>
          <w:szCs w:val="20"/>
          <w:color w:val="auto"/>
        </w:rPr>
      </w:pPr>
      <w:r>
        <w:rPr>
          <w:rFonts w:ascii="Arial" w:cs="Arial" w:eastAsia="Arial" w:hAnsi="Arial"/>
          <w:sz w:val="20"/>
          <w:szCs w:val="20"/>
          <w:color w:val="auto"/>
        </w:rPr>
        <w:t>17.4</w:t>
      </w:r>
      <w:r>
        <w:rPr>
          <w:sz w:val="20"/>
          <w:szCs w:val="20"/>
          <w:color w:val="auto"/>
        </w:rPr>
        <w:tab/>
      </w:r>
      <w:r>
        <w:rPr>
          <w:rFonts w:ascii="Calibri" w:cs="Calibri" w:eastAsia="Calibri" w:hAnsi="Calibri"/>
          <w:sz w:val="20"/>
          <w:szCs w:val="20"/>
          <w:color w:val="auto"/>
        </w:rPr>
        <w:t>Each party acknowledges that the failure of itself, its employees, agents, sub- distributors or other representatves to comply strictly with this Clause 17 shall be considered, if proven that a breach of this Clause 17 was actually commited, a material breach of this Agreement and the other party shall be enttled to terminate the Agreement in accordance with Clause 22.1. In additon, such failure may subject the other party and its Afliates, employees, agents and other representatves to substantal fnes, penaltes, damages, expenses, the impositon of additonal taxes or the loss of tax deductons.</w:t>
      </w:r>
    </w:p>
    <w:p>
      <w:pPr>
        <w:spacing w:after="0" w:line="242" w:lineRule="exact"/>
        <w:rPr>
          <w:sz w:val="20"/>
          <w:szCs w:val="20"/>
          <w:color w:val="auto"/>
        </w:rPr>
      </w:pPr>
    </w:p>
    <w:p>
      <w:pPr>
        <w:ind w:left="752" w:hanging="752"/>
        <w:spacing w:after="0"/>
        <w:tabs>
          <w:tab w:leader="none" w:pos="752" w:val="left"/>
        </w:tabs>
        <w:numPr>
          <w:ilvl w:val="0"/>
          <w:numId w:val="107"/>
        </w:numPr>
        <w:rPr>
          <w:rFonts w:ascii="Arial" w:cs="Arial" w:eastAsia="Arial" w:hAnsi="Arial"/>
          <w:sz w:val="20"/>
          <w:szCs w:val="20"/>
          <w:b w:val="1"/>
          <w:bCs w:val="1"/>
          <w:color w:val="auto"/>
        </w:rPr>
      </w:pPr>
      <w:r>
        <w:rPr>
          <w:rFonts w:ascii="Calibri" w:cs="Calibri" w:eastAsia="Calibri" w:hAnsi="Calibri"/>
          <w:sz w:val="20"/>
          <w:szCs w:val="20"/>
          <w:b w:val="1"/>
          <w:bCs w:val="1"/>
          <w:color w:val="auto"/>
        </w:rPr>
        <w:t>FORCE MAJEURE</w:t>
      </w:r>
    </w:p>
    <w:p>
      <w:pPr>
        <w:spacing w:after="0" w:line="227" w:lineRule="exact"/>
        <w:rPr>
          <w:sz w:val="20"/>
          <w:szCs w:val="20"/>
          <w:color w:val="auto"/>
        </w:rPr>
      </w:pPr>
    </w:p>
    <w:p>
      <w:pPr>
        <w:jc w:val="both"/>
        <w:ind w:left="712" w:hanging="697"/>
        <w:spacing w:after="0" w:line="236" w:lineRule="auto"/>
        <w:tabs>
          <w:tab w:leader="none" w:pos="692" w:val="left"/>
        </w:tabs>
        <w:rPr>
          <w:sz w:val="20"/>
          <w:szCs w:val="20"/>
          <w:color w:val="auto"/>
        </w:rPr>
      </w:pPr>
      <w:r>
        <w:rPr>
          <w:rFonts w:ascii="Arial" w:cs="Arial" w:eastAsia="Arial" w:hAnsi="Arial"/>
          <w:sz w:val="20"/>
          <w:szCs w:val="20"/>
          <w:color w:val="auto"/>
        </w:rPr>
        <w:t>18.1</w:t>
      </w:r>
      <w:r>
        <w:rPr>
          <w:sz w:val="20"/>
          <w:szCs w:val="20"/>
          <w:color w:val="auto"/>
        </w:rPr>
        <w:tab/>
      </w:r>
      <w:r>
        <w:rPr>
          <w:rFonts w:ascii="Calibri" w:cs="Calibri" w:eastAsia="Calibri" w:hAnsi="Calibri"/>
          <w:sz w:val="20"/>
          <w:szCs w:val="20"/>
          <w:color w:val="auto"/>
        </w:rPr>
        <w:t>A party will not be in breach of this Agreement nor liable for any failure or delay in performance of any obligatons under this Agreement (and the date for performance of the obligatons afected will be extended accordingly) as a result of Force Majeure, provided that such party complies with the obligatons set out in this Clause 18 (Force Majeure). Save as provided in Clause 18.4, a Force Majeure will not enttle either party to terminate this Agreement.</w:t>
      </w:r>
    </w:p>
    <w:p>
      <w:pPr>
        <w:spacing w:after="0" w:line="241" w:lineRule="exact"/>
        <w:rPr>
          <w:sz w:val="20"/>
          <w:szCs w:val="20"/>
          <w:color w:val="auto"/>
        </w:rPr>
      </w:pPr>
    </w:p>
    <w:p>
      <w:pPr>
        <w:jc w:val="both"/>
        <w:ind w:left="712" w:hanging="697"/>
        <w:spacing w:after="0" w:line="236" w:lineRule="auto"/>
        <w:tabs>
          <w:tab w:leader="none" w:pos="692" w:val="left"/>
        </w:tabs>
        <w:rPr>
          <w:sz w:val="20"/>
          <w:szCs w:val="20"/>
          <w:color w:val="auto"/>
        </w:rPr>
      </w:pPr>
      <w:r>
        <w:rPr>
          <w:rFonts w:ascii="Arial" w:cs="Arial" w:eastAsia="Arial" w:hAnsi="Arial"/>
          <w:sz w:val="20"/>
          <w:szCs w:val="20"/>
          <w:color w:val="auto"/>
        </w:rPr>
        <w:t>18.2</w:t>
      </w:r>
      <w:r>
        <w:rPr>
          <w:sz w:val="20"/>
          <w:szCs w:val="20"/>
          <w:color w:val="auto"/>
        </w:rPr>
        <w:tab/>
      </w:r>
      <w:r>
        <w:rPr>
          <w:rFonts w:ascii="Calibri" w:cs="Calibri" w:eastAsia="Calibri" w:hAnsi="Calibri"/>
          <w:sz w:val="20"/>
          <w:szCs w:val="20"/>
          <w:color w:val="auto"/>
        </w:rPr>
        <w:t>The party afected by Force Majeure shall immediately notfy the other in writng of the maters consttutng the Force Majeure and shall keep that party fully informed of their contnuance and of any relevant change of circumstances whilst such Force Majeure contnues.</w:t>
      </w:r>
    </w:p>
    <w:p>
      <w:pPr>
        <w:spacing w:after="0" w:line="238" w:lineRule="exact"/>
        <w:rPr>
          <w:sz w:val="20"/>
          <w:szCs w:val="20"/>
          <w:color w:val="auto"/>
        </w:rPr>
      </w:pPr>
    </w:p>
    <w:p>
      <w:pPr>
        <w:jc w:val="both"/>
        <w:ind w:left="712" w:hanging="697"/>
        <w:spacing w:after="0" w:line="234" w:lineRule="auto"/>
        <w:tabs>
          <w:tab w:leader="none" w:pos="692" w:val="left"/>
        </w:tabs>
        <w:rPr>
          <w:sz w:val="20"/>
          <w:szCs w:val="20"/>
          <w:color w:val="auto"/>
        </w:rPr>
      </w:pPr>
      <w:r>
        <w:rPr>
          <w:rFonts w:ascii="Arial" w:cs="Arial" w:eastAsia="Arial" w:hAnsi="Arial"/>
          <w:sz w:val="20"/>
          <w:szCs w:val="20"/>
          <w:color w:val="auto"/>
        </w:rPr>
        <w:t>18.3</w:t>
      </w:r>
      <w:r>
        <w:rPr>
          <w:sz w:val="20"/>
          <w:szCs w:val="20"/>
          <w:color w:val="auto"/>
        </w:rPr>
        <w:tab/>
      </w:r>
      <w:r>
        <w:rPr>
          <w:rFonts w:ascii="Calibri" w:cs="Calibri" w:eastAsia="Calibri" w:hAnsi="Calibri"/>
          <w:sz w:val="20"/>
          <w:szCs w:val="20"/>
          <w:color w:val="auto"/>
        </w:rPr>
        <w:t>The party afected by Force Majeure shall take all reasonable steps available to it to minimise its efects on the performance of its obligatons under this Agreement.</w:t>
      </w:r>
    </w:p>
    <w:p>
      <w:pPr>
        <w:spacing w:after="0" w:line="239" w:lineRule="exact"/>
        <w:rPr>
          <w:sz w:val="20"/>
          <w:szCs w:val="20"/>
          <w:color w:val="auto"/>
        </w:rPr>
      </w:pPr>
    </w:p>
    <w:p>
      <w:pPr>
        <w:jc w:val="both"/>
        <w:ind w:left="712" w:hanging="697"/>
        <w:spacing w:after="0" w:line="234" w:lineRule="auto"/>
        <w:tabs>
          <w:tab w:leader="none" w:pos="692" w:val="left"/>
        </w:tabs>
        <w:rPr>
          <w:sz w:val="20"/>
          <w:szCs w:val="20"/>
          <w:color w:val="auto"/>
        </w:rPr>
      </w:pPr>
      <w:r>
        <w:rPr>
          <w:rFonts w:ascii="Arial" w:cs="Arial" w:eastAsia="Arial" w:hAnsi="Arial"/>
          <w:sz w:val="20"/>
          <w:szCs w:val="20"/>
          <w:color w:val="auto"/>
        </w:rPr>
        <w:t>18.4</w:t>
      </w:r>
      <w:r>
        <w:rPr>
          <w:sz w:val="20"/>
          <w:szCs w:val="20"/>
          <w:color w:val="auto"/>
        </w:rPr>
        <w:tab/>
      </w:r>
      <w:r>
        <w:rPr>
          <w:rFonts w:ascii="Calibri" w:cs="Calibri" w:eastAsia="Calibri" w:hAnsi="Calibri"/>
          <w:sz w:val="20"/>
          <w:szCs w:val="20"/>
          <w:color w:val="auto"/>
        </w:rPr>
        <w:t>If Force Majeure contnues for longer than [***] either party may, whilst the Force Majeure contnues, immediately terminate this Agreement by notce in writng to the other.</w:t>
      </w:r>
    </w:p>
    <w:p>
      <w:pPr>
        <w:spacing w:after="0" w:line="240" w:lineRule="exact"/>
        <w:rPr>
          <w:sz w:val="20"/>
          <w:szCs w:val="20"/>
          <w:color w:val="auto"/>
        </w:rPr>
      </w:pPr>
    </w:p>
    <w:p>
      <w:pPr>
        <w:ind w:left="772" w:hanging="758"/>
        <w:spacing w:after="0"/>
        <w:tabs>
          <w:tab w:leader="none" w:pos="772" w:val="left"/>
        </w:tabs>
        <w:numPr>
          <w:ilvl w:val="0"/>
          <w:numId w:val="108"/>
        </w:numPr>
        <w:rPr>
          <w:rFonts w:ascii="Arial" w:cs="Arial" w:eastAsia="Arial" w:hAnsi="Arial"/>
          <w:sz w:val="20"/>
          <w:szCs w:val="20"/>
          <w:b w:val="1"/>
          <w:bCs w:val="1"/>
          <w:color w:val="auto"/>
        </w:rPr>
      </w:pPr>
      <w:r>
        <w:rPr>
          <w:rFonts w:ascii="Calibri" w:cs="Calibri" w:eastAsia="Calibri" w:hAnsi="Calibri"/>
          <w:sz w:val="20"/>
          <w:szCs w:val="20"/>
          <w:b w:val="1"/>
          <w:bCs w:val="1"/>
          <w:color w:val="auto"/>
        </w:rPr>
        <w:t>LIABILITY</w:t>
      </w:r>
    </w:p>
    <w:p>
      <w:pPr>
        <w:spacing w:after="0" w:line="218" w:lineRule="exact"/>
        <w:rPr>
          <w:sz w:val="20"/>
          <w:szCs w:val="20"/>
          <w:color w:val="auto"/>
        </w:rPr>
      </w:pPr>
    </w:p>
    <w:p>
      <w:pPr>
        <w:ind w:left="12"/>
        <w:spacing w:after="0"/>
        <w:tabs>
          <w:tab w:leader="none" w:pos="732" w:val="left"/>
        </w:tabs>
        <w:rPr>
          <w:sz w:val="20"/>
          <w:szCs w:val="20"/>
          <w:color w:val="auto"/>
        </w:rPr>
      </w:pPr>
      <w:r>
        <w:rPr>
          <w:rFonts w:ascii="Arial" w:cs="Arial" w:eastAsia="Arial" w:hAnsi="Arial"/>
          <w:sz w:val="20"/>
          <w:szCs w:val="20"/>
          <w:color w:val="auto"/>
        </w:rPr>
        <w:t>19.1</w:t>
      </w:r>
      <w:r>
        <w:rPr>
          <w:sz w:val="20"/>
          <w:szCs w:val="20"/>
          <w:color w:val="auto"/>
        </w:rPr>
        <w:tab/>
      </w:r>
      <w:r>
        <w:rPr>
          <w:rFonts w:ascii="Calibri" w:cs="Calibri" w:eastAsia="Calibri" w:hAnsi="Calibri"/>
          <w:sz w:val="20"/>
          <w:szCs w:val="20"/>
          <w:color w:val="auto"/>
        </w:rPr>
        <w:t>Nothing in this Agreement excludes or limits either party's liability for:</w:t>
      </w:r>
    </w:p>
    <w:p>
      <w:pPr>
        <w:spacing w:after="0" w:line="239" w:lineRule="exact"/>
        <w:rPr>
          <w:sz w:val="20"/>
          <w:szCs w:val="20"/>
          <w:color w:val="auto"/>
        </w:rPr>
      </w:pPr>
    </w:p>
    <w:p>
      <w:pPr>
        <w:ind w:left="1472" w:hanging="709"/>
        <w:spacing w:after="0"/>
        <w:tabs>
          <w:tab w:leader="none" w:pos="1472" w:val="left"/>
        </w:tabs>
        <w:numPr>
          <w:ilvl w:val="0"/>
          <w:numId w:val="109"/>
        </w:numPr>
        <w:rPr>
          <w:rFonts w:ascii="Arial" w:cs="Arial" w:eastAsia="Arial" w:hAnsi="Arial"/>
          <w:sz w:val="20"/>
          <w:szCs w:val="20"/>
          <w:color w:val="auto"/>
        </w:rPr>
      </w:pPr>
      <w:r>
        <w:rPr>
          <w:rFonts w:ascii="Calibri" w:cs="Calibri" w:eastAsia="Calibri" w:hAnsi="Calibri"/>
          <w:sz w:val="20"/>
          <w:szCs w:val="20"/>
          <w:color w:val="auto"/>
        </w:rPr>
        <w:t>[***];</w:t>
      </w:r>
    </w:p>
    <w:p>
      <w:pPr>
        <w:spacing w:after="0" w:line="228" w:lineRule="exact"/>
        <w:rPr>
          <w:rFonts w:ascii="Arial" w:cs="Arial" w:eastAsia="Arial" w:hAnsi="Arial"/>
          <w:sz w:val="20"/>
          <w:szCs w:val="20"/>
          <w:color w:val="auto"/>
        </w:rPr>
      </w:pPr>
    </w:p>
    <w:p>
      <w:pPr>
        <w:ind w:left="1472" w:hanging="709"/>
        <w:spacing w:after="0"/>
        <w:tabs>
          <w:tab w:leader="none" w:pos="1472" w:val="left"/>
        </w:tabs>
        <w:numPr>
          <w:ilvl w:val="0"/>
          <w:numId w:val="109"/>
        </w:numPr>
        <w:rPr>
          <w:rFonts w:ascii="Arial" w:cs="Arial" w:eastAsia="Arial" w:hAnsi="Arial"/>
          <w:sz w:val="20"/>
          <w:szCs w:val="20"/>
          <w:color w:val="auto"/>
        </w:rPr>
      </w:pPr>
      <w:r>
        <w:rPr>
          <w:rFonts w:ascii="Calibri" w:cs="Calibri" w:eastAsia="Calibri" w:hAnsi="Calibri"/>
          <w:sz w:val="20"/>
          <w:szCs w:val="20"/>
          <w:color w:val="auto"/>
        </w:rPr>
        <w:t>[***]; or</w:t>
      </w:r>
    </w:p>
    <w:p>
      <w:pPr>
        <w:spacing w:after="0" w:line="228" w:lineRule="exact"/>
        <w:rPr>
          <w:rFonts w:ascii="Arial" w:cs="Arial" w:eastAsia="Arial" w:hAnsi="Arial"/>
          <w:sz w:val="20"/>
          <w:szCs w:val="20"/>
          <w:color w:val="auto"/>
        </w:rPr>
      </w:pPr>
    </w:p>
    <w:p>
      <w:pPr>
        <w:ind w:left="1472" w:hanging="709"/>
        <w:spacing w:after="0"/>
        <w:tabs>
          <w:tab w:leader="none" w:pos="1472" w:val="left"/>
        </w:tabs>
        <w:numPr>
          <w:ilvl w:val="0"/>
          <w:numId w:val="109"/>
        </w:numPr>
        <w:rPr>
          <w:rFonts w:ascii="Arial" w:cs="Arial" w:eastAsia="Arial" w:hAnsi="Arial"/>
          <w:sz w:val="20"/>
          <w:szCs w:val="20"/>
          <w:color w:val="auto"/>
        </w:rPr>
      </w:pPr>
      <w:r>
        <w:rPr>
          <w:rFonts w:ascii="Calibri" w:cs="Calibri" w:eastAsia="Calibri" w:hAnsi="Calibri"/>
          <w:sz w:val="20"/>
          <w:szCs w:val="20"/>
          <w:color w:val="auto"/>
        </w:rPr>
        <w:t>any liability that cannot legally be excluded or limited.</w:t>
      </w:r>
    </w:p>
    <w:p>
      <w:pPr>
        <w:spacing w:after="0" w:line="227" w:lineRule="exact"/>
        <w:rPr>
          <w:sz w:val="20"/>
          <w:szCs w:val="20"/>
          <w:color w:val="auto"/>
        </w:rPr>
      </w:pPr>
    </w:p>
    <w:p>
      <w:pPr>
        <w:ind w:left="712" w:hanging="697"/>
        <w:spacing w:after="0" w:line="234" w:lineRule="auto"/>
        <w:tabs>
          <w:tab w:leader="none" w:pos="692" w:val="left"/>
        </w:tabs>
        <w:rPr>
          <w:sz w:val="20"/>
          <w:szCs w:val="20"/>
          <w:color w:val="auto"/>
        </w:rPr>
      </w:pPr>
      <w:r>
        <w:rPr>
          <w:rFonts w:ascii="Arial" w:cs="Arial" w:eastAsia="Arial" w:hAnsi="Arial"/>
          <w:sz w:val="20"/>
          <w:szCs w:val="20"/>
          <w:color w:val="auto"/>
        </w:rPr>
        <w:t>19.2</w:t>
      </w:r>
      <w:r>
        <w:rPr>
          <w:sz w:val="20"/>
          <w:szCs w:val="20"/>
          <w:color w:val="auto"/>
        </w:rPr>
        <w:tab/>
      </w:r>
      <w:r>
        <w:rPr>
          <w:rFonts w:ascii="Calibri" w:cs="Calibri" w:eastAsia="Calibri" w:hAnsi="Calibri"/>
          <w:sz w:val="20"/>
          <w:szCs w:val="20"/>
          <w:color w:val="auto"/>
        </w:rPr>
        <w:t>Subject to Clause 19.1, each party is not liable, whether in contract, tort (including negligence or breach of statutory duty), misrepresentaton or otherwise in connecton with this Agreement for any</w:t>
      </w:r>
      <w:r>
        <w:rPr>
          <w:rFonts w:ascii="Calibri" w:cs="Calibri" w:eastAsia="Calibri" w:hAnsi="Calibri"/>
          <w:sz w:val="20"/>
          <w:szCs w:val="20"/>
          <w:b w:val="1"/>
          <w:bCs w:val="1"/>
          <w:i w:val="1"/>
          <w:iCs w:val="1"/>
          <w:color w:val="auto"/>
        </w:rPr>
        <w:t>:</w:t>
      </w:r>
    </w:p>
    <w:p>
      <w:pPr>
        <w:spacing w:after="0" w:line="227" w:lineRule="exact"/>
        <w:rPr>
          <w:sz w:val="20"/>
          <w:szCs w:val="20"/>
          <w:color w:val="auto"/>
        </w:rPr>
      </w:pPr>
    </w:p>
    <w:p>
      <w:pPr>
        <w:ind w:left="1472" w:hanging="709"/>
        <w:spacing w:after="0"/>
        <w:tabs>
          <w:tab w:leader="none" w:pos="1472" w:val="left"/>
        </w:tabs>
        <w:numPr>
          <w:ilvl w:val="0"/>
          <w:numId w:val="110"/>
        </w:numPr>
        <w:rPr>
          <w:rFonts w:ascii="Arial" w:cs="Arial" w:eastAsia="Arial" w:hAnsi="Arial"/>
          <w:sz w:val="20"/>
          <w:szCs w:val="20"/>
          <w:color w:val="auto"/>
        </w:rPr>
      </w:pPr>
      <w:r>
        <w:rPr>
          <w:rFonts w:ascii="Calibri" w:cs="Calibri" w:eastAsia="Calibri" w:hAnsi="Calibri"/>
          <w:sz w:val="20"/>
          <w:szCs w:val="20"/>
          <w:color w:val="auto"/>
        </w:rPr>
        <w:t>[***];</w:t>
      </w:r>
    </w:p>
    <w:p>
      <w:pPr>
        <w:spacing w:after="0" w:line="241" w:lineRule="exact"/>
        <w:rPr>
          <w:rFonts w:ascii="Arial" w:cs="Arial" w:eastAsia="Arial" w:hAnsi="Arial"/>
          <w:sz w:val="20"/>
          <w:szCs w:val="20"/>
          <w:color w:val="auto"/>
        </w:rPr>
      </w:pPr>
    </w:p>
    <w:p>
      <w:pPr>
        <w:ind w:left="1472" w:hanging="709"/>
        <w:spacing w:after="0"/>
        <w:tabs>
          <w:tab w:leader="none" w:pos="1472" w:val="left"/>
        </w:tabs>
        <w:numPr>
          <w:ilvl w:val="0"/>
          <w:numId w:val="110"/>
        </w:numPr>
        <w:rPr>
          <w:rFonts w:ascii="Arial" w:cs="Arial" w:eastAsia="Arial" w:hAnsi="Arial"/>
          <w:sz w:val="20"/>
          <w:szCs w:val="20"/>
          <w:color w:val="auto"/>
        </w:rPr>
      </w:pPr>
      <w:r>
        <w:rPr>
          <w:rFonts w:ascii="Calibri" w:cs="Calibri" w:eastAsia="Calibri" w:hAnsi="Calibri"/>
          <w:sz w:val="20"/>
          <w:szCs w:val="20"/>
          <w:color w:val="auto"/>
        </w:rPr>
        <w:t>[***];</w:t>
      </w:r>
    </w:p>
    <w:p>
      <w:pPr>
        <w:spacing w:after="0" w:line="79" w:lineRule="exact"/>
        <w:rPr>
          <w:rFonts w:ascii="Arial" w:cs="Arial" w:eastAsia="Arial" w:hAnsi="Arial"/>
          <w:sz w:val="20"/>
          <w:szCs w:val="20"/>
          <w:color w:val="auto"/>
        </w:rPr>
      </w:pPr>
    </w:p>
    <w:p>
      <w:pPr>
        <w:ind w:left="1472" w:hanging="709"/>
        <w:spacing w:after="0"/>
        <w:tabs>
          <w:tab w:leader="none" w:pos="1472" w:val="left"/>
        </w:tabs>
        <w:numPr>
          <w:ilvl w:val="0"/>
          <w:numId w:val="110"/>
        </w:numPr>
        <w:rPr>
          <w:rFonts w:ascii="Arial" w:cs="Arial" w:eastAsia="Arial" w:hAnsi="Arial"/>
          <w:sz w:val="20"/>
          <w:szCs w:val="20"/>
          <w:color w:val="auto"/>
        </w:rPr>
      </w:pPr>
      <w:r>
        <w:rPr>
          <w:rFonts w:ascii="Calibri" w:cs="Calibri" w:eastAsia="Calibri" w:hAnsi="Calibri"/>
          <w:sz w:val="20"/>
          <w:szCs w:val="20"/>
          <w:color w:val="auto"/>
        </w:rPr>
        <w:t>[***]; or</w:t>
      </w:r>
    </w:p>
    <w:p>
      <w:pPr>
        <w:spacing w:after="0" w:line="228" w:lineRule="exact"/>
        <w:rPr>
          <w:rFonts w:ascii="Arial" w:cs="Arial" w:eastAsia="Arial" w:hAnsi="Arial"/>
          <w:sz w:val="20"/>
          <w:szCs w:val="20"/>
          <w:color w:val="auto"/>
        </w:rPr>
      </w:pPr>
    </w:p>
    <w:p>
      <w:pPr>
        <w:ind w:left="1472" w:hanging="709"/>
        <w:spacing w:after="0"/>
        <w:tabs>
          <w:tab w:leader="none" w:pos="1472" w:val="left"/>
        </w:tabs>
        <w:numPr>
          <w:ilvl w:val="0"/>
          <w:numId w:val="110"/>
        </w:numPr>
        <w:rPr>
          <w:rFonts w:ascii="Arial" w:cs="Arial" w:eastAsia="Arial" w:hAnsi="Arial"/>
          <w:sz w:val="20"/>
          <w:szCs w:val="20"/>
          <w:color w:val="auto"/>
        </w:rPr>
      </w:pPr>
      <w:r>
        <w:rPr>
          <w:rFonts w:ascii="Calibri" w:cs="Calibri" w:eastAsia="Calibri" w:hAnsi="Calibri"/>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231140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12"/>
          </w:cols>
          <w:pgMar w:left="508" w:top="1398" w:right="879" w:bottom="1440" w:gutter="0" w:footer="0" w:header="0"/>
        </w:sectPr>
      </w:pPr>
    </w:p>
    <w:bookmarkStart w:id="155" w:name="page156"/>
    <w:bookmarkEnd w:id="155"/>
    <w:p>
      <w:pPr>
        <w:spacing w:after="0" w:line="84" w:lineRule="exact"/>
        <w:rPr>
          <w:sz w:val="20"/>
          <w:szCs w:val="20"/>
          <w:color w:val="auto"/>
        </w:rPr>
      </w:pPr>
    </w:p>
    <w:p>
      <w:pPr>
        <w:ind w:left="752"/>
        <w:spacing w:after="0"/>
        <w:rPr>
          <w:sz w:val="20"/>
          <w:szCs w:val="20"/>
          <w:color w:val="auto"/>
        </w:rPr>
      </w:pPr>
      <w:r>
        <w:rPr>
          <w:rFonts w:ascii="Calibri" w:cs="Calibri" w:eastAsia="Calibri" w:hAnsi="Calibri"/>
          <w:sz w:val="20"/>
          <w:szCs w:val="20"/>
          <w:color w:val="auto"/>
        </w:rPr>
        <w:t>in each case whether direct or indirect, or for any indirect, special or consequental loss or damage, howsoever arising.</w:t>
      </w:r>
    </w:p>
    <w:p>
      <w:pPr>
        <w:spacing w:after="0" w:line="228" w:lineRule="exact"/>
        <w:rPr>
          <w:sz w:val="20"/>
          <w:szCs w:val="20"/>
          <w:color w:val="auto"/>
        </w:rPr>
      </w:pPr>
    </w:p>
    <w:p>
      <w:pPr>
        <w:ind w:left="752" w:hanging="752"/>
        <w:spacing w:after="0"/>
        <w:tabs>
          <w:tab w:leader="none" w:pos="752" w:val="left"/>
        </w:tabs>
        <w:numPr>
          <w:ilvl w:val="0"/>
          <w:numId w:val="111"/>
        </w:numPr>
        <w:rPr>
          <w:rFonts w:ascii="Arial" w:cs="Arial" w:eastAsia="Arial" w:hAnsi="Arial"/>
          <w:sz w:val="20"/>
          <w:szCs w:val="20"/>
          <w:b w:val="1"/>
          <w:bCs w:val="1"/>
          <w:color w:val="auto"/>
        </w:rPr>
      </w:pPr>
      <w:r>
        <w:rPr>
          <w:rFonts w:ascii="Calibri" w:cs="Calibri" w:eastAsia="Calibri" w:hAnsi="Calibri"/>
          <w:sz w:val="20"/>
          <w:szCs w:val="20"/>
          <w:b w:val="1"/>
          <w:bCs w:val="1"/>
          <w:color w:val="auto"/>
        </w:rPr>
        <w:t>INDEMNITY</w:t>
      </w:r>
    </w:p>
    <w:p>
      <w:pPr>
        <w:spacing w:after="0" w:line="227" w:lineRule="exact"/>
        <w:rPr>
          <w:sz w:val="20"/>
          <w:szCs w:val="20"/>
          <w:color w:val="auto"/>
        </w:rPr>
      </w:pPr>
    </w:p>
    <w:p>
      <w:pPr>
        <w:jc w:val="both"/>
        <w:ind w:left="712" w:hanging="697"/>
        <w:spacing w:after="0" w:line="237" w:lineRule="auto"/>
        <w:tabs>
          <w:tab w:leader="none" w:pos="692" w:val="left"/>
        </w:tabs>
        <w:rPr>
          <w:sz w:val="20"/>
          <w:szCs w:val="20"/>
          <w:color w:val="auto"/>
        </w:rPr>
      </w:pPr>
      <w:r>
        <w:rPr>
          <w:rFonts w:ascii="Arial" w:cs="Arial" w:eastAsia="Arial" w:hAnsi="Arial"/>
          <w:sz w:val="20"/>
          <w:szCs w:val="20"/>
          <w:color w:val="auto"/>
        </w:rPr>
        <w:t>20.1</w:t>
      </w:r>
      <w:r>
        <w:rPr>
          <w:sz w:val="20"/>
          <w:szCs w:val="20"/>
          <w:color w:val="auto"/>
        </w:rPr>
        <w:tab/>
      </w:r>
      <w:r>
        <w:rPr>
          <w:rFonts w:ascii="Calibri" w:cs="Calibri" w:eastAsia="Calibri" w:hAnsi="Calibri"/>
          <w:sz w:val="20"/>
          <w:szCs w:val="20"/>
          <w:u w:val="single" w:color="auto"/>
          <w:color w:val="auto"/>
        </w:rPr>
        <w:t>Indemnifcaton by UGNX</w:t>
      </w:r>
      <w:r>
        <w:rPr>
          <w:rFonts w:ascii="Calibri" w:cs="Calibri" w:eastAsia="Calibri" w:hAnsi="Calibri"/>
          <w:sz w:val="20"/>
          <w:szCs w:val="20"/>
          <w:color w:val="auto"/>
        </w:rPr>
        <w:t>: UGNX shall indemnify, defend and hold harmless Kyowa Kirin, its Afliates, and its and their</w:t>
      </w:r>
      <w:r>
        <w:rPr>
          <w:rFonts w:ascii="Calibri" w:cs="Calibri" w:eastAsia="Calibri" w:hAnsi="Calibri"/>
          <w:sz w:val="20"/>
          <w:szCs w:val="20"/>
          <w:u w:val="single" w:color="auto"/>
          <w:color w:val="auto"/>
        </w:rPr>
        <w:t xml:space="preserve"> </w:t>
      </w:r>
      <w:r>
        <w:rPr>
          <w:rFonts w:ascii="Calibri" w:cs="Calibri" w:eastAsia="Calibri" w:hAnsi="Calibri"/>
          <w:sz w:val="20"/>
          <w:szCs w:val="20"/>
          <w:color w:val="auto"/>
        </w:rPr>
        <w:t>respectve, directors, ofcers and employees (collectvely “</w:t>
      </w:r>
      <w:r>
        <w:rPr>
          <w:rFonts w:ascii="Calibri" w:cs="Calibri" w:eastAsia="Calibri" w:hAnsi="Calibri"/>
          <w:sz w:val="20"/>
          <w:szCs w:val="20"/>
          <w:b w:val="1"/>
          <w:bCs w:val="1"/>
          <w:color w:val="auto"/>
        </w:rPr>
        <w:t>the Kyowa Kirin Indemnifed Party</w:t>
      </w:r>
      <w:r>
        <w:rPr>
          <w:rFonts w:ascii="Calibri" w:cs="Calibri" w:eastAsia="Calibri" w:hAnsi="Calibri"/>
          <w:sz w:val="20"/>
          <w:szCs w:val="20"/>
          <w:color w:val="auto"/>
        </w:rPr>
        <w:t>”) against any and all claims, liabilites, losses, damages, costs or expenses, including reasonable atorneys’ fees, arising out of any claim or acton brought by a third party (collectvely, “</w:t>
      </w:r>
      <w:r>
        <w:rPr>
          <w:rFonts w:ascii="Calibri" w:cs="Calibri" w:eastAsia="Calibri" w:hAnsi="Calibri"/>
          <w:sz w:val="20"/>
          <w:szCs w:val="20"/>
          <w:b w:val="1"/>
          <w:bCs w:val="1"/>
          <w:color w:val="auto"/>
        </w:rPr>
        <w:t>Losses</w:t>
      </w:r>
      <w:r>
        <w:rPr>
          <w:rFonts w:ascii="Calibri" w:cs="Calibri" w:eastAsia="Calibri" w:hAnsi="Calibri"/>
          <w:sz w:val="20"/>
          <w:szCs w:val="20"/>
          <w:color w:val="auto"/>
        </w:rPr>
        <w:t>”) incurred or sufered by the Kyowa Kirin Indemnifed Party to the extent arising out of or caused by:</w:t>
      </w:r>
    </w:p>
    <w:p>
      <w:pPr>
        <w:spacing w:after="0" w:line="250" w:lineRule="exact"/>
        <w:rPr>
          <w:sz w:val="20"/>
          <w:szCs w:val="20"/>
          <w:color w:val="auto"/>
        </w:rPr>
      </w:pPr>
    </w:p>
    <w:p>
      <w:pPr>
        <w:ind w:left="1452" w:hanging="705"/>
        <w:spacing w:after="0" w:line="234" w:lineRule="auto"/>
        <w:tabs>
          <w:tab w:leader="none" w:pos="1452" w:val="left"/>
        </w:tabs>
        <w:numPr>
          <w:ilvl w:val="0"/>
          <w:numId w:val="112"/>
        </w:numPr>
        <w:rPr>
          <w:rFonts w:ascii="Arial" w:cs="Arial" w:eastAsia="Arial" w:hAnsi="Arial"/>
          <w:sz w:val="20"/>
          <w:szCs w:val="20"/>
          <w:color w:val="auto"/>
        </w:rPr>
      </w:pPr>
      <w:r>
        <w:rPr>
          <w:rFonts w:ascii="Calibri" w:cs="Calibri" w:eastAsia="Calibri" w:hAnsi="Calibri"/>
          <w:sz w:val="20"/>
          <w:szCs w:val="20"/>
          <w:color w:val="auto"/>
        </w:rPr>
        <w:t>the negligence, recklessness or intentonal misconduct of UGNX or its Afliates in connecton with the importaton, storage, sale, ofer for sale and distributon of the Product in the Territory; or</w:t>
      </w:r>
    </w:p>
    <w:p>
      <w:pPr>
        <w:spacing w:after="0" w:line="239" w:lineRule="exact"/>
        <w:rPr>
          <w:rFonts w:ascii="Arial" w:cs="Arial" w:eastAsia="Arial" w:hAnsi="Arial"/>
          <w:sz w:val="20"/>
          <w:szCs w:val="20"/>
          <w:color w:val="auto"/>
        </w:rPr>
      </w:pPr>
    </w:p>
    <w:p>
      <w:pPr>
        <w:ind w:left="1452" w:hanging="705"/>
        <w:spacing w:after="0" w:line="234" w:lineRule="auto"/>
        <w:tabs>
          <w:tab w:leader="none" w:pos="1452" w:val="left"/>
        </w:tabs>
        <w:numPr>
          <w:ilvl w:val="0"/>
          <w:numId w:val="112"/>
        </w:numPr>
        <w:rPr>
          <w:rFonts w:ascii="Arial" w:cs="Arial" w:eastAsia="Arial" w:hAnsi="Arial"/>
          <w:sz w:val="20"/>
          <w:szCs w:val="20"/>
          <w:color w:val="auto"/>
        </w:rPr>
      </w:pPr>
      <w:r>
        <w:rPr>
          <w:rFonts w:ascii="Calibri" w:cs="Calibri" w:eastAsia="Calibri" w:hAnsi="Calibri"/>
          <w:sz w:val="20"/>
          <w:szCs w:val="20"/>
          <w:color w:val="auto"/>
        </w:rPr>
        <w:t>the breach by UGNX of one or more of its representatons, warrantes or other material obligatons under this Agreement,</w:t>
      </w:r>
    </w:p>
    <w:p>
      <w:pPr>
        <w:spacing w:after="0" w:line="226" w:lineRule="exact"/>
        <w:rPr>
          <w:sz w:val="20"/>
          <w:szCs w:val="20"/>
          <w:color w:val="auto"/>
        </w:rPr>
      </w:pPr>
    </w:p>
    <w:p>
      <w:pPr>
        <w:jc w:val="both"/>
        <w:ind w:left="752"/>
        <w:spacing w:after="0" w:line="236" w:lineRule="auto"/>
        <w:rPr>
          <w:sz w:val="20"/>
          <w:szCs w:val="20"/>
          <w:color w:val="auto"/>
        </w:rPr>
      </w:pPr>
      <w:r>
        <w:rPr>
          <w:rFonts w:ascii="Calibri" w:cs="Calibri" w:eastAsia="Calibri" w:hAnsi="Calibri"/>
          <w:sz w:val="20"/>
          <w:szCs w:val="20"/>
          <w:color w:val="auto"/>
        </w:rPr>
        <w:t>except to the extent such Losses result from or arise out of (i) the inaccuracy of any representaton of warranty of Kyowa Kirin set forth in this Agreement; (ii) the breach of any warranty or covenant contained in this Agreement by Kyowa Kirin; or (iii) the negligence, recklessness or intentonal misconduct of Kyowa Kirin.</w:t>
      </w:r>
    </w:p>
    <w:p>
      <w:pPr>
        <w:spacing w:after="0" w:line="228" w:lineRule="exact"/>
        <w:rPr>
          <w:sz w:val="20"/>
          <w:szCs w:val="20"/>
          <w:color w:val="auto"/>
        </w:rPr>
      </w:pPr>
    </w:p>
    <w:p>
      <w:pPr>
        <w:jc w:val="both"/>
        <w:ind w:left="712" w:hanging="697"/>
        <w:spacing w:after="0" w:line="236" w:lineRule="auto"/>
        <w:tabs>
          <w:tab w:leader="none" w:pos="692" w:val="left"/>
        </w:tabs>
        <w:rPr>
          <w:sz w:val="20"/>
          <w:szCs w:val="20"/>
          <w:color w:val="auto"/>
        </w:rPr>
      </w:pPr>
      <w:r>
        <w:rPr>
          <w:rFonts w:ascii="Arial" w:cs="Arial" w:eastAsia="Arial" w:hAnsi="Arial"/>
          <w:sz w:val="20"/>
          <w:szCs w:val="20"/>
          <w:color w:val="auto"/>
        </w:rPr>
        <w:t>20.2</w:t>
      </w:r>
      <w:r>
        <w:rPr>
          <w:sz w:val="20"/>
          <w:szCs w:val="20"/>
          <w:color w:val="auto"/>
        </w:rPr>
        <w:tab/>
      </w:r>
      <w:r>
        <w:rPr>
          <w:rFonts w:ascii="Calibri" w:cs="Calibri" w:eastAsia="Calibri" w:hAnsi="Calibri"/>
          <w:sz w:val="20"/>
          <w:szCs w:val="20"/>
          <w:u w:val="single" w:color="auto"/>
          <w:color w:val="auto"/>
        </w:rPr>
        <w:t>Indemnifcaton by Kyowa Kirin</w:t>
      </w:r>
      <w:r>
        <w:rPr>
          <w:rFonts w:ascii="Calibri" w:cs="Calibri" w:eastAsia="Calibri" w:hAnsi="Calibri"/>
          <w:sz w:val="20"/>
          <w:szCs w:val="20"/>
          <w:color w:val="auto"/>
        </w:rPr>
        <w:t>: Kyowa Kirin shall indemnify, defend and hold harmless UGNX, its Afliates, and its and</w:t>
      </w:r>
      <w:r>
        <w:rPr>
          <w:rFonts w:ascii="Calibri" w:cs="Calibri" w:eastAsia="Calibri" w:hAnsi="Calibri"/>
          <w:sz w:val="20"/>
          <w:szCs w:val="20"/>
          <w:u w:val="single" w:color="auto"/>
          <w:color w:val="auto"/>
        </w:rPr>
        <w:t xml:space="preserve"> </w:t>
      </w:r>
      <w:r>
        <w:rPr>
          <w:rFonts w:ascii="Calibri" w:cs="Calibri" w:eastAsia="Calibri" w:hAnsi="Calibri"/>
          <w:sz w:val="20"/>
          <w:szCs w:val="20"/>
          <w:color w:val="auto"/>
        </w:rPr>
        <w:t>their respectve, directors, ofcers and, employees (collectvely “</w:t>
      </w:r>
      <w:r>
        <w:rPr>
          <w:rFonts w:ascii="Calibri" w:cs="Calibri" w:eastAsia="Calibri" w:hAnsi="Calibri"/>
          <w:sz w:val="20"/>
          <w:szCs w:val="20"/>
          <w:b w:val="1"/>
          <w:bCs w:val="1"/>
          <w:color w:val="auto"/>
        </w:rPr>
        <w:t>the UGNX Indemnifed Party</w:t>
      </w:r>
      <w:r>
        <w:rPr>
          <w:rFonts w:ascii="Calibri" w:cs="Calibri" w:eastAsia="Calibri" w:hAnsi="Calibri"/>
          <w:sz w:val="20"/>
          <w:szCs w:val="20"/>
          <w:color w:val="auto"/>
        </w:rPr>
        <w:t>”) against any and all Losses (as defned above) incurred or sufered by the UGNX Indemnifed Party to the extent arising out of or caused by:</w:t>
      </w:r>
    </w:p>
    <w:p>
      <w:pPr>
        <w:spacing w:after="0" w:line="249" w:lineRule="exact"/>
        <w:rPr>
          <w:sz w:val="20"/>
          <w:szCs w:val="20"/>
          <w:color w:val="auto"/>
        </w:rPr>
      </w:pPr>
    </w:p>
    <w:p>
      <w:pPr>
        <w:ind w:left="1452" w:hanging="705"/>
        <w:spacing w:after="0" w:line="234" w:lineRule="auto"/>
        <w:tabs>
          <w:tab w:leader="none" w:pos="1452" w:val="left"/>
        </w:tabs>
        <w:numPr>
          <w:ilvl w:val="0"/>
          <w:numId w:val="113"/>
        </w:numPr>
        <w:rPr>
          <w:rFonts w:ascii="Arial" w:cs="Arial" w:eastAsia="Arial" w:hAnsi="Arial"/>
          <w:sz w:val="20"/>
          <w:szCs w:val="20"/>
          <w:color w:val="auto"/>
        </w:rPr>
      </w:pPr>
      <w:r>
        <w:rPr>
          <w:rFonts w:ascii="Calibri" w:cs="Calibri" w:eastAsia="Calibri" w:hAnsi="Calibri"/>
          <w:sz w:val="20"/>
          <w:szCs w:val="20"/>
          <w:color w:val="auto"/>
        </w:rPr>
        <w:t>the negligence, recklessness or intentonal misconduct of Kyowa Kirin or its Afliates in connecton with the manufacturing, quality control, release and supply of the Product;</w:t>
      </w:r>
    </w:p>
    <w:p>
      <w:pPr>
        <w:spacing w:after="0" w:line="239" w:lineRule="exact"/>
        <w:rPr>
          <w:rFonts w:ascii="Arial" w:cs="Arial" w:eastAsia="Arial" w:hAnsi="Arial"/>
          <w:sz w:val="20"/>
          <w:szCs w:val="20"/>
          <w:color w:val="auto"/>
        </w:rPr>
      </w:pPr>
    </w:p>
    <w:p>
      <w:pPr>
        <w:ind w:left="1452" w:hanging="705"/>
        <w:spacing w:after="0" w:line="234" w:lineRule="auto"/>
        <w:tabs>
          <w:tab w:leader="none" w:pos="1452" w:val="left"/>
        </w:tabs>
        <w:numPr>
          <w:ilvl w:val="0"/>
          <w:numId w:val="113"/>
        </w:numPr>
        <w:rPr>
          <w:rFonts w:ascii="Arial" w:cs="Arial" w:eastAsia="Arial" w:hAnsi="Arial"/>
          <w:sz w:val="20"/>
          <w:szCs w:val="20"/>
          <w:color w:val="auto"/>
        </w:rPr>
      </w:pPr>
      <w:r>
        <w:rPr>
          <w:rFonts w:ascii="Calibri" w:cs="Calibri" w:eastAsia="Calibri" w:hAnsi="Calibri"/>
          <w:sz w:val="20"/>
          <w:szCs w:val="20"/>
          <w:color w:val="auto"/>
        </w:rPr>
        <w:t>a defciency in the Product, provided that this shall not extend to any Loss arising out of or related to (i) [***], or (ii) [***];</w:t>
      </w:r>
    </w:p>
    <w:p>
      <w:pPr>
        <w:spacing w:after="0" w:line="239" w:lineRule="exact"/>
        <w:rPr>
          <w:rFonts w:ascii="Arial" w:cs="Arial" w:eastAsia="Arial" w:hAnsi="Arial"/>
          <w:sz w:val="20"/>
          <w:szCs w:val="20"/>
          <w:color w:val="auto"/>
        </w:rPr>
      </w:pPr>
    </w:p>
    <w:p>
      <w:pPr>
        <w:ind w:left="1452" w:hanging="705"/>
        <w:spacing w:after="0" w:line="234" w:lineRule="auto"/>
        <w:tabs>
          <w:tab w:leader="none" w:pos="1452" w:val="left"/>
        </w:tabs>
        <w:numPr>
          <w:ilvl w:val="0"/>
          <w:numId w:val="113"/>
        </w:numPr>
        <w:rPr>
          <w:rFonts w:ascii="Arial" w:cs="Arial" w:eastAsia="Arial" w:hAnsi="Arial"/>
          <w:sz w:val="20"/>
          <w:szCs w:val="20"/>
          <w:color w:val="auto"/>
        </w:rPr>
      </w:pPr>
      <w:r>
        <w:rPr>
          <w:rFonts w:ascii="Calibri" w:cs="Calibri" w:eastAsia="Calibri" w:hAnsi="Calibri"/>
          <w:sz w:val="20"/>
          <w:szCs w:val="20"/>
          <w:color w:val="auto"/>
        </w:rPr>
        <w:t>the breach by Kyowa Kirin of one or more of its representatons, warrantes or other material obligatons under this Agreement; or</w:t>
      </w:r>
    </w:p>
    <w:p>
      <w:pPr>
        <w:spacing w:after="0" w:line="239" w:lineRule="exact"/>
        <w:rPr>
          <w:rFonts w:ascii="Arial" w:cs="Arial" w:eastAsia="Arial" w:hAnsi="Arial"/>
          <w:sz w:val="20"/>
          <w:szCs w:val="20"/>
          <w:color w:val="auto"/>
        </w:rPr>
      </w:pPr>
    </w:p>
    <w:p>
      <w:pPr>
        <w:jc w:val="both"/>
        <w:ind w:left="1452" w:hanging="705"/>
        <w:spacing w:after="0" w:line="236" w:lineRule="auto"/>
        <w:tabs>
          <w:tab w:leader="none" w:pos="1452" w:val="left"/>
        </w:tabs>
        <w:numPr>
          <w:ilvl w:val="0"/>
          <w:numId w:val="113"/>
        </w:numPr>
        <w:rPr>
          <w:rFonts w:ascii="Arial" w:cs="Arial" w:eastAsia="Arial" w:hAnsi="Arial"/>
          <w:sz w:val="20"/>
          <w:szCs w:val="20"/>
          <w:color w:val="auto"/>
        </w:rPr>
      </w:pPr>
      <w:r>
        <w:rPr>
          <w:rFonts w:ascii="Calibri" w:cs="Calibri" w:eastAsia="Calibri" w:hAnsi="Calibri"/>
          <w:sz w:val="20"/>
          <w:szCs w:val="20"/>
          <w:color w:val="auto"/>
        </w:rPr>
        <w:t>any infringement claim made, brought or threatened against UGNX as a result of an alleged or actual infringement of a third party’s Intellectual Property Right, to the extent such infringement claim (and related Losses) arises out of UGNX’s importaton, storage, sale, ofer for sale, distributon, marketng, use, or promoton of the Product in the Territory in accordance with the 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241935</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12"/>
          </w:cols>
          <w:pgMar w:left="508" w:top="1440" w:right="879" w:bottom="1440" w:gutter="0" w:footer="0" w:header="0"/>
        </w:sectPr>
      </w:pPr>
    </w:p>
    <w:bookmarkStart w:id="156" w:name="page157"/>
    <w:bookmarkEnd w:id="156"/>
    <w:p>
      <w:pPr>
        <w:jc w:val="both"/>
        <w:ind w:left="740"/>
        <w:spacing w:after="0" w:line="236" w:lineRule="auto"/>
        <w:rPr>
          <w:sz w:val="20"/>
          <w:szCs w:val="20"/>
          <w:color w:val="auto"/>
        </w:rPr>
      </w:pPr>
      <w:r>
        <w:rPr>
          <w:rFonts w:ascii="Calibri" w:cs="Calibri" w:eastAsia="Calibri" w:hAnsi="Calibri"/>
          <w:sz w:val="20"/>
          <w:szCs w:val="20"/>
          <w:color w:val="auto"/>
        </w:rPr>
        <w:t>except to the extent such Losses result from or arise out of (i) the inaccuracy of any representaton of warranty of UGNX set forth in this Agreement; (ii) the breach of any warranty or covenant contained in this Agreement by UGNX; or (iii) the negligence, recklessness or intentonal misconduct of UGNX.</w:t>
      </w:r>
    </w:p>
    <w:p>
      <w:pPr>
        <w:spacing w:after="0" w:line="228" w:lineRule="exact"/>
        <w:rPr>
          <w:sz w:val="20"/>
          <w:szCs w:val="20"/>
          <w:color w:val="auto"/>
        </w:rPr>
      </w:pPr>
    </w:p>
    <w:p>
      <w:pPr>
        <w:jc w:val="center"/>
        <w:spacing w:after="0" w:line="239" w:lineRule="auto"/>
        <w:rPr>
          <w:sz w:val="20"/>
          <w:szCs w:val="20"/>
          <w:color w:val="auto"/>
        </w:rPr>
      </w:pPr>
      <w:r>
        <w:rPr>
          <w:rFonts w:ascii="Arial" w:cs="Arial" w:eastAsia="Arial" w:hAnsi="Arial"/>
          <w:sz w:val="20"/>
          <w:szCs w:val="20"/>
          <w:color w:val="auto"/>
        </w:rPr>
        <w:t xml:space="preserve">20.3   </w:t>
      </w:r>
      <w:r>
        <w:rPr>
          <w:rFonts w:ascii="Calibri" w:cs="Calibri" w:eastAsia="Calibri" w:hAnsi="Calibri"/>
          <w:sz w:val="20"/>
          <w:szCs w:val="20"/>
          <w:color w:val="auto"/>
        </w:rPr>
        <w:t>Notfcaton of Liabilites/Losses: In the event that either party intends to seek indemnifcaton for any claim under any</w:t>
      </w:r>
      <w:r>
        <w:rPr>
          <w:rFonts w:ascii="Arial" w:cs="Arial" w:eastAsia="Arial" w:hAnsi="Arial"/>
          <w:sz w:val="20"/>
          <w:szCs w:val="20"/>
          <w:color w:val="auto"/>
        </w:rPr>
        <w:t xml:space="preserve"> </w:t>
      </w:r>
      <w:r>
        <w:rPr>
          <w:rFonts w:ascii="Calibri" w:cs="Calibri" w:eastAsia="Calibri" w:hAnsi="Calibri"/>
          <w:sz w:val="20"/>
          <w:szCs w:val="20"/>
          <w:color w:val="auto"/>
        </w:rPr>
        <w:t>of Clauses 20.1 or 20.2, it shall inform the other party of the claim promptly afer receiving notce of the claim.</w:t>
      </w:r>
    </w:p>
    <w:p>
      <w:pPr>
        <w:spacing w:after="0" w:line="229" w:lineRule="exact"/>
        <w:rPr>
          <w:sz w:val="20"/>
          <w:szCs w:val="20"/>
          <w:color w:val="auto"/>
        </w:rPr>
      </w:pPr>
    </w:p>
    <w:p>
      <w:pPr>
        <w:jc w:val="both"/>
        <w:ind w:left="700" w:hanging="697"/>
        <w:spacing w:after="0" w:line="237" w:lineRule="auto"/>
        <w:tabs>
          <w:tab w:leader="none" w:pos="680" w:val="left"/>
        </w:tabs>
        <w:rPr>
          <w:sz w:val="20"/>
          <w:szCs w:val="20"/>
          <w:color w:val="auto"/>
        </w:rPr>
      </w:pPr>
      <w:r>
        <w:rPr>
          <w:rFonts w:ascii="Arial" w:cs="Arial" w:eastAsia="Arial" w:hAnsi="Arial"/>
          <w:sz w:val="20"/>
          <w:szCs w:val="20"/>
          <w:color w:val="auto"/>
        </w:rPr>
        <w:t>20.4</w:t>
      </w:r>
      <w:r>
        <w:rPr>
          <w:sz w:val="20"/>
          <w:szCs w:val="20"/>
          <w:color w:val="auto"/>
        </w:rPr>
        <w:tab/>
      </w:r>
      <w:r>
        <w:rPr>
          <w:rFonts w:ascii="Calibri" w:cs="Calibri" w:eastAsia="Calibri" w:hAnsi="Calibri"/>
          <w:sz w:val="20"/>
          <w:szCs w:val="20"/>
          <w:color w:val="auto"/>
        </w:rPr>
        <w:t>In the case of a claim for which Kyowa Kirin seeks indemnifcaton under Clause 20.1, upon UGNX’s request, Kyowa Kirin shall permit UGNX to direct and control the defence of any claim and shall provide such reasonable assistance as is reasonably requested by UGNX (at UGNX’s cost) in the defence of the claim; provided that nothing in this Clause 20.4 shall permit UGNX to make any admission on behalf of Kyowa Kirin, or to setle any claim or litgaton which would impose any fnancial obligatons on Kyowa Kirin without the prior writen consent of Kyowa Kirin, such consent not to be unreasonably withheld or delayed. Notwithstanding the foregoing, Kyowa Kirin may partcipate at its own expense in the defense and any setlement discussions.</w:t>
      </w:r>
    </w:p>
    <w:p>
      <w:pPr>
        <w:spacing w:after="0" w:line="243" w:lineRule="exact"/>
        <w:rPr>
          <w:sz w:val="20"/>
          <w:szCs w:val="20"/>
          <w:color w:val="auto"/>
        </w:rPr>
      </w:pPr>
    </w:p>
    <w:p>
      <w:pPr>
        <w:jc w:val="both"/>
        <w:ind w:left="700" w:hanging="697"/>
        <w:spacing w:after="0" w:line="237" w:lineRule="auto"/>
        <w:tabs>
          <w:tab w:leader="none" w:pos="680" w:val="left"/>
        </w:tabs>
        <w:rPr>
          <w:sz w:val="20"/>
          <w:szCs w:val="20"/>
          <w:color w:val="auto"/>
        </w:rPr>
      </w:pPr>
      <w:r>
        <w:rPr>
          <w:rFonts w:ascii="Arial" w:cs="Arial" w:eastAsia="Arial" w:hAnsi="Arial"/>
          <w:sz w:val="20"/>
          <w:szCs w:val="20"/>
          <w:color w:val="auto"/>
        </w:rPr>
        <w:t>20.5</w:t>
      </w:r>
      <w:r>
        <w:rPr>
          <w:sz w:val="20"/>
          <w:szCs w:val="20"/>
          <w:color w:val="auto"/>
        </w:rPr>
        <w:tab/>
      </w:r>
      <w:r>
        <w:rPr>
          <w:rFonts w:ascii="Calibri" w:cs="Calibri" w:eastAsia="Calibri" w:hAnsi="Calibri"/>
          <w:sz w:val="20"/>
          <w:szCs w:val="20"/>
          <w:color w:val="auto"/>
        </w:rPr>
        <w:t>In the case of a claim for which UGNX seeks indemnifcaton under Clause 20.2, upon Kyowa Kirin’s request, UGNX shall permit Kyowa Kirin to direct and control the defence of the claim and shall provide such reasonable assistance as is reasonably requested by Kyowa Kirin (at Kyowa Kirin’s cost) in the defence of the claim, provided always that nothing in this Clause 20.5 shall permit Kyowa Kirin to make any admission on behalf of UGNX, or to setle any claim or litgaton which would impose any fnancial obligatons on UGNX without the prior writen consent of UGNX, such consent not to be unreasonably withheld or delayed. Notwithstanding the foregoing, UGNX may partcipate at its own expense in the defense and any setlement discussions.</w:t>
      </w:r>
    </w:p>
    <w:p>
      <w:pPr>
        <w:spacing w:after="0" w:line="243" w:lineRule="exact"/>
        <w:rPr>
          <w:sz w:val="20"/>
          <w:szCs w:val="20"/>
          <w:color w:val="auto"/>
        </w:rPr>
      </w:pPr>
    </w:p>
    <w:p>
      <w:pPr>
        <w:jc w:val="both"/>
        <w:ind w:left="700" w:hanging="697"/>
        <w:spacing w:after="0" w:line="234" w:lineRule="auto"/>
        <w:tabs>
          <w:tab w:leader="none" w:pos="680" w:val="left"/>
        </w:tabs>
        <w:rPr>
          <w:sz w:val="20"/>
          <w:szCs w:val="20"/>
          <w:color w:val="auto"/>
        </w:rPr>
      </w:pPr>
      <w:r>
        <w:rPr>
          <w:rFonts w:ascii="Arial" w:cs="Arial" w:eastAsia="Arial" w:hAnsi="Arial"/>
          <w:sz w:val="20"/>
          <w:szCs w:val="20"/>
          <w:color w:val="auto"/>
        </w:rPr>
        <w:t>20.6</w:t>
      </w:r>
      <w:r>
        <w:rPr>
          <w:sz w:val="20"/>
          <w:szCs w:val="20"/>
          <w:color w:val="auto"/>
        </w:rPr>
        <w:tab/>
      </w:r>
      <w:r>
        <w:rPr>
          <w:rFonts w:ascii="Calibri" w:cs="Calibri" w:eastAsia="Calibri" w:hAnsi="Calibri"/>
          <w:sz w:val="20"/>
          <w:szCs w:val="20"/>
          <w:color w:val="auto"/>
        </w:rPr>
        <w:t>Neither party limits or excluded its liability for fraudulent misrepresentaton nor for death or personal injury arising from its negligence.</w:t>
      </w:r>
    </w:p>
    <w:p>
      <w:pPr>
        <w:spacing w:after="0" w:line="239" w:lineRule="exact"/>
        <w:rPr>
          <w:sz w:val="20"/>
          <w:szCs w:val="20"/>
          <w:color w:val="auto"/>
        </w:rPr>
      </w:pPr>
    </w:p>
    <w:p>
      <w:pPr>
        <w:jc w:val="both"/>
        <w:ind w:left="700" w:hanging="697"/>
        <w:spacing w:after="0" w:line="236" w:lineRule="auto"/>
        <w:tabs>
          <w:tab w:leader="none" w:pos="680" w:val="left"/>
        </w:tabs>
        <w:rPr>
          <w:sz w:val="20"/>
          <w:szCs w:val="20"/>
          <w:color w:val="auto"/>
        </w:rPr>
      </w:pPr>
      <w:r>
        <w:rPr>
          <w:rFonts w:ascii="Arial" w:cs="Arial" w:eastAsia="Arial" w:hAnsi="Arial"/>
          <w:sz w:val="20"/>
          <w:szCs w:val="20"/>
          <w:color w:val="auto"/>
        </w:rPr>
        <w:t>20.7</w:t>
      </w:r>
      <w:r>
        <w:rPr>
          <w:sz w:val="20"/>
          <w:szCs w:val="20"/>
          <w:color w:val="auto"/>
        </w:rPr>
        <w:tab/>
      </w:r>
      <w:r>
        <w:rPr>
          <w:rFonts w:ascii="Calibri" w:cs="Calibri" w:eastAsia="Calibri" w:hAnsi="Calibri"/>
          <w:sz w:val="20"/>
          <w:szCs w:val="20"/>
          <w:color w:val="auto"/>
        </w:rPr>
        <w:t>Exclusive Remedy: Each party agrees that its sole and exclusive remedy with respect to any Losses shall be pursuant to the indemnifcaton provision of this Clause 20. For clarity, no remedies with respect to claims or losses other than Losses shall be limited by this Clause 20.7.</w:t>
      </w:r>
    </w:p>
    <w:p>
      <w:pPr>
        <w:spacing w:after="0" w:line="239" w:lineRule="exact"/>
        <w:rPr>
          <w:sz w:val="20"/>
          <w:szCs w:val="20"/>
          <w:color w:val="auto"/>
        </w:rPr>
      </w:pPr>
    </w:p>
    <w:p>
      <w:pPr>
        <w:ind w:left="760" w:hanging="758"/>
        <w:spacing w:after="0"/>
        <w:tabs>
          <w:tab w:leader="none" w:pos="760" w:val="left"/>
        </w:tabs>
        <w:numPr>
          <w:ilvl w:val="0"/>
          <w:numId w:val="114"/>
        </w:numPr>
        <w:rPr>
          <w:rFonts w:ascii="Arial" w:cs="Arial" w:eastAsia="Arial" w:hAnsi="Arial"/>
          <w:sz w:val="20"/>
          <w:szCs w:val="20"/>
          <w:b w:val="1"/>
          <w:bCs w:val="1"/>
          <w:color w:val="auto"/>
        </w:rPr>
      </w:pPr>
      <w:r>
        <w:rPr>
          <w:rFonts w:ascii="Calibri" w:cs="Calibri" w:eastAsia="Calibri" w:hAnsi="Calibri"/>
          <w:sz w:val="20"/>
          <w:szCs w:val="20"/>
          <w:b w:val="1"/>
          <w:bCs w:val="1"/>
          <w:color w:val="auto"/>
        </w:rPr>
        <w:t>INSURANCE</w:t>
      </w:r>
    </w:p>
    <w:p>
      <w:pPr>
        <w:spacing w:after="0" w:line="227" w:lineRule="exact"/>
        <w:rPr>
          <w:sz w:val="20"/>
          <w:szCs w:val="20"/>
          <w:color w:val="auto"/>
        </w:rPr>
      </w:pPr>
    </w:p>
    <w:p>
      <w:pPr>
        <w:ind w:left="700" w:hanging="697"/>
        <w:spacing w:after="0" w:line="234" w:lineRule="auto"/>
        <w:tabs>
          <w:tab w:leader="none" w:pos="680" w:val="left"/>
        </w:tabs>
        <w:rPr>
          <w:sz w:val="20"/>
          <w:szCs w:val="20"/>
          <w:color w:val="auto"/>
        </w:rPr>
      </w:pPr>
      <w:r>
        <w:rPr>
          <w:rFonts w:ascii="Arial" w:cs="Arial" w:eastAsia="Arial" w:hAnsi="Arial"/>
          <w:sz w:val="20"/>
          <w:szCs w:val="20"/>
          <w:color w:val="auto"/>
        </w:rPr>
        <w:t>21.1</w:t>
      </w:r>
      <w:r>
        <w:rPr>
          <w:sz w:val="20"/>
          <w:szCs w:val="20"/>
          <w:color w:val="auto"/>
        </w:rPr>
        <w:tab/>
      </w:r>
      <w:r>
        <w:rPr>
          <w:rFonts w:ascii="Calibri" w:cs="Calibri" w:eastAsia="Calibri" w:hAnsi="Calibri"/>
          <w:sz w:val="20"/>
          <w:szCs w:val="20"/>
          <w:color w:val="auto"/>
        </w:rPr>
        <w:t>UGNX and Kyowa Kirin shall maintain sufcient insurances with reputable providers to cover any and all liabilites arising out of or in connecton with this Agreement, including [***].</w:t>
      </w:r>
    </w:p>
    <w:p>
      <w:pPr>
        <w:spacing w:after="0" w:line="240" w:lineRule="exact"/>
        <w:rPr>
          <w:sz w:val="20"/>
          <w:szCs w:val="20"/>
          <w:color w:val="auto"/>
        </w:rPr>
      </w:pPr>
    </w:p>
    <w:p>
      <w:pPr>
        <w:ind w:left="760" w:hanging="758"/>
        <w:spacing w:after="0"/>
        <w:tabs>
          <w:tab w:leader="none" w:pos="760" w:val="left"/>
        </w:tabs>
        <w:numPr>
          <w:ilvl w:val="0"/>
          <w:numId w:val="115"/>
        </w:numPr>
        <w:rPr>
          <w:rFonts w:ascii="Arial" w:cs="Arial" w:eastAsia="Arial" w:hAnsi="Arial"/>
          <w:sz w:val="20"/>
          <w:szCs w:val="20"/>
          <w:b w:val="1"/>
          <w:bCs w:val="1"/>
          <w:color w:val="auto"/>
        </w:rPr>
      </w:pPr>
      <w:r>
        <w:rPr>
          <w:rFonts w:ascii="Calibri" w:cs="Calibri" w:eastAsia="Calibri" w:hAnsi="Calibri"/>
          <w:sz w:val="20"/>
          <w:szCs w:val="20"/>
          <w:b w:val="1"/>
          <w:bCs w:val="1"/>
          <w:color w:val="auto"/>
        </w:rPr>
        <w:t>TERMINATION</w:t>
      </w:r>
    </w:p>
    <w:p>
      <w:pPr>
        <w:spacing w:after="0" w:line="227" w:lineRule="exact"/>
        <w:rPr>
          <w:sz w:val="20"/>
          <w:szCs w:val="20"/>
          <w:color w:val="auto"/>
        </w:rPr>
      </w:pPr>
    </w:p>
    <w:p>
      <w:pPr>
        <w:jc w:val="both"/>
        <w:ind w:left="700" w:hanging="697"/>
        <w:spacing w:after="0"/>
        <w:tabs>
          <w:tab w:leader="none" w:pos="680" w:val="left"/>
        </w:tabs>
        <w:rPr>
          <w:sz w:val="20"/>
          <w:szCs w:val="20"/>
          <w:color w:val="auto"/>
        </w:rPr>
      </w:pPr>
      <w:r>
        <w:rPr>
          <w:rFonts w:ascii="Arial" w:cs="Arial" w:eastAsia="Arial" w:hAnsi="Arial"/>
          <w:sz w:val="20"/>
          <w:szCs w:val="20"/>
          <w:color w:val="auto"/>
        </w:rPr>
        <w:t>22.1</w:t>
      </w:r>
      <w:r>
        <w:rPr>
          <w:sz w:val="20"/>
          <w:szCs w:val="20"/>
          <w:color w:val="auto"/>
        </w:rPr>
        <w:tab/>
      </w:r>
      <w:r>
        <w:rPr>
          <w:rFonts w:ascii="Calibri" w:cs="Calibri" w:eastAsia="Calibri" w:hAnsi="Calibri"/>
          <w:sz w:val="20"/>
          <w:szCs w:val="20"/>
          <w:color w:val="auto"/>
        </w:rPr>
        <w:t>If the Collaboraton Agreement is terminated, either party may immediately terminate this Agreement without payment of compensaton of other damages caused to the other party solely by such terminaton by giving notce in writng to the other party. Notwithstanding any other provision, all amounts payable to Kyowa Kirin under the Agreement shall remain due upon terminaton of this Agreement for whatever reason pursuant to the payment terms set forth herein.</w:t>
      </w:r>
    </w:p>
    <w:p>
      <w:pPr>
        <w:spacing w:after="0" w:line="319" w:lineRule="exact"/>
        <w:rPr>
          <w:sz w:val="20"/>
          <w:szCs w:val="20"/>
          <w:color w:val="auto"/>
        </w:rPr>
      </w:pPr>
    </w:p>
    <w:p>
      <w:pPr>
        <w:jc w:val="both"/>
        <w:ind w:left="700" w:hanging="697"/>
        <w:spacing w:after="0" w:line="236" w:lineRule="auto"/>
        <w:tabs>
          <w:tab w:leader="none" w:pos="680" w:val="left"/>
        </w:tabs>
        <w:rPr>
          <w:sz w:val="20"/>
          <w:szCs w:val="20"/>
          <w:color w:val="auto"/>
        </w:rPr>
      </w:pPr>
      <w:r>
        <w:rPr>
          <w:rFonts w:ascii="Arial" w:cs="Arial" w:eastAsia="Arial" w:hAnsi="Arial"/>
          <w:sz w:val="20"/>
          <w:szCs w:val="20"/>
          <w:color w:val="auto"/>
        </w:rPr>
        <w:t>22.2</w:t>
      </w:r>
      <w:r>
        <w:rPr>
          <w:sz w:val="20"/>
          <w:szCs w:val="20"/>
          <w:color w:val="auto"/>
        </w:rPr>
        <w:tab/>
      </w:r>
      <w:r>
        <w:rPr>
          <w:rFonts w:ascii="Calibri" w:cs="Calibri" w:eastAsia="Calibri" w:hAnsi="Calibri"/>
          <w:sz w:val="20"/>
          <w:szCs w:val="20"/>
          <w:color w:val="auto"/>
        </w:rPr>
        <w:t>It is expressly agreed that, to the maximum extent permited by the laws within the Territory, terminaton of this Agreement (in accordance with the terms of this Agreement) at any tme and for whatever reason shall not enttle [***] in accordance with or in relaton to this Agreement.</w:t>
      </w:r>
    </w:p>
    <w:p>
      <w:pPr>
        <w:spacing w:after="0" w:line="239" w:lineRule="exact"/>
        <w:rPr>
          <w:sz w:val="20"/>
          <w:szCs w:val="20"/>
          <w:color w:val="auto"/>
        </w:rPr>
      </w:pPr>
    </w:p>
    <w:p>
      <w:pPr>
        <w:ind w:left="760" w:hanging="758"/>
        <w:spacing w:after="0"/>
        <w:tabs>
          <w:tab w:leader="none" w:pos="760" w:val="left"/>
        </w:tabs>
        <w:numPr>
          <w:ilvl w:val="0"/>
          <w:numId w:val="116"/>
        </w:numPr>
        <w:rPr>
          <w:rFonts w:ascii="Arial" w:cs="Arial" w:eastAsia="Arial" w:hAnsi="Arial"/>
          <w:sz w:val="20"/>
          <w:szCs w:val="20"/>
          <w:b w:val="1"/>
          <w:bCs w:val="1"/>
          <w:color w:val="auto"/>
        </w:rPr>
      </w:pPr>
      <w:r>
        <w:rPr>
          <w:rFonts w:ascii="Calibri" w:cs="Calibri" w:eastAsia="Calibri" w:hAnsi="Calibri"/>
          <w:sz w:val="20"/>
          <w:szCs w:val="20"/>
          <w:b w:val="1"/>
          <w:bCs w:val="1"/>
          <w:color w:val="auto"/>
        </w:rPr>
        <w:t>CONSEQUENCES OF TERMINATION</w:t>
      </w:r>
    </w:p>
    <w:p>
      <w:pPr>
        <w:spacing w:after="0" w:line="218"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23.1</w:t>
      </w:r>
      <w:r>
        <w:rPr>
          <w:sz w:val="20"/>
          <w:szCs w:val="20"/>
          <w:color w:val="auto"/>
        </w:rPr>
        <w:tab/>
      </w:r>
      <w:r>
        <w:rPr>
          <w:rFonts w:ascii="Calibri" w:cs="Calibri" w:eastAsia="Calibri" w:hAnsi="Calibri"/>
          <w:sz w:val="20"/>
          <w:szCs w:val="20"/>
          <w:color w:val="auto"/>
        </w:rPr>
        <w:t>The Terminaton of this Agreement will be without prejudice to the rights and remedies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238125</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520" w:top="1398" w:right="879" w:bottom="1440" w:gutter="0" w:footer="0" w:header="0"/>
        </w:sectPr>
      </w:pPr>
    </w:p>
    <w:bookmarkStart w:id="157" w:name="page158"/>
    <w:bookmarkEnd w:id="157"/>
    <w:p>
      <w:pPr>
        <w:spacing w:after="0" w:line="84" w:lineRule="exact"/>
        <w:rPr>
          <w:sz w:val="20"/>
          <w:szCs w:val="20"/>
          <w:color w:val="auto"/>
        </w:rPr>
      </w:pPr>
    </w:p>
    <w:p>
      <w:pPr>
        <w:ind w:left="712"/>
        <w:spacing w:after="0"/>
        <w:rPr>
          <w:sz w:val="20"/>
          <w:szCs w:val="20"/>
          <w:color w:val="auto"/>
        </w:rPr>
      </w:pPr>
      <w:r>
        <w:rPr>
          <w:rFonts w:ascii="Calibri" w:cs="Calibri" w:eastAsia="Calibri" w:hAnsi="Calibri"/>
          <w:sz w:val="20"/>
          <w:szCs w:val="20"/>
          <w:color w:val="auto"/>
        </w:rPr>
        <w:t>either party that may have accrued up to the date of terminaton.</w:t>
      </w:r>
    </w:p>
    <w:p>
      <w:pPr>
        <w:spacing w:after="0" w:line="218" w:lineRule="exact"/>
        <w:rPr>
          <w:sz w:val="20"/>
          <w:szCs w:val="20"/>
          <w:color w:val="auto"/>
        </w:rPr>
      </w:pPr>
    </w:p>
    <w:p>
      <w:pPr>
        <w:ind w:left="12"/>
        <w:spacing w:after="0"/>
        <w:tabs>
          <w:tab w:leader="none" w:pos="732" w:val="left"/>
        </w:tabs>
        <w:rPr>
          <w:sz w:val="20"/>
          <w:szCs w:val="20"/>
          <w:color w:val="auto"/>
        </w:rPr>
      </w:pPr>
      <w:r>
        <w:rPr>
          <w:rFonts w:ascii="Arial" w:cs="Arial" w:eastAsia="Arial" w:hAnsi="Arial"/>
          <w:sz w:val="20"/>
          <w:szCs w:val="20"/>
          <w:color w:val="auto"/>
        </w:rPr>
        <w:t>23.2</w:t>
      </w:r>
      <w:r>
        <w:rPr>
          <w:sz w:val="20"/>
          <w:szCs w:val="20"/>
          <w:color w:val="auto"/>
        </w:rPr>
        <w:tab/>
      </w:r>
      <w:r>
        <w:rPr>
          <w:rFonts w:ascii="Calibri" w:cs="Calibri" w:eastAsia="Calibri" w:hAnsi="Calibri"/>
          <w:sz w:val="20"/>
          <w:szCs w:val="20"/>
          <w:color w:val="auto"/>
        </w:rPr>
        <w:t>On Terminaton of this Agreement for any reason whatsoever:</w:t>
      </w:r>
    </w:p>
    <w:p>
      <w:pPr>
        <w:spacing w:after="0" w:line="249" w:lineRule="exact"/>
        <w:rPr>
          <w:sz w:val="20"/>
          <w:szCs w:val="20"/>
          <w:color w:val="auto"/>
        </w:rPr>
      </w:pPr>
    </w:p>
    <w:p>
      <w:pPr>
        <w:jc w:val="both"/>
        <w:ind w:left="1452" w:hanging="689"/>
        <w:spacing w:after="0" w:line="236" w:lineRule="auto"/>
        <w:tabs>
          <w:tab w:leader="none" w:pos="1452" w:val="left"/>
        </w:tabs>
        <w:numPr>
          <w:ilvl w:val="1"/>
          <w:numId w:val="117"/>
        </w:numPr>
        <w:rPr>
          <w:rFonts w:ascii="Arial" w:cs="Arial" w:eastAsia="Arial" w:hAnsi="Arial"/>
          <w:sz w:val="20"/>
          <w:szCs w:val="20"/>
          <w:color w:val="auto"/>
        </w:rPr>
      </w:pPr>
      <w:r>
        <w:rPr>
          <w:rFonts w:ascii="Calibri" w:cs="Calibri" w:eastAsia="Calibri" w:hAnsi="Calibri"/>
          <w:sz w:val="20"/>
          <w:szCs w:val="20"/>
          <w:color w:val="auto"/>
        </w:rPr>
        <w:t>subject to Clause 23.1, the relatonship of the partes will cease and any rights or licences granted under or pursuant to this Agreement will cease to have efect save as (and to the extent) expressly provided for in this Clause 23;</w:t>
      </w:r>
    </w:p>
    <w:p>
      <w:pPr>
        <w:spacing w:after="0" w:line="238" w:lineRule="exact"/>
        <w:rPr>
          <w:rFonts w:ascii="Arial" w:cs="Arial" w:eastAsia="Arial" w:hAnsi="Arial"/>
          <w:sz w:val="20"/>
          <w:szCs w:val="20"/>
          <w:color w:val="auto"/>
        </w:rPr>
      </w:pPr>
    </w:p>
    <w:p>
      <w:pPr>
        <w:ind w:left="1452" w:hanging="689"/>
        <w:spacing w:after="0" w:line="234" w:lineRule="auto"/>
        <w:tabs>
          <w:tab w:leader="none" w:pos="1452" w:val="left"/>
        </w:tabs>
        <w:numPr>
          <w:ilvl w:val="1"/>
          <w:numId w:val="117"/>
        </w:numPr>
        <w:rPr>
          <w:rFonts w:ascii="Arial" w:cs="Arial" w:eastAsia="Arial" w:hAnsi="Arial"/>
          <w:sz w:val="20"/>
          <w:szCs w:val="20"/>
          <w:color w:val="auto"/>
        </w:rPr>
      </w:pPr>
      <w:r>
        <w:rPr>
          <w:rFonts w:ascii="Calibri" w:cs="Calibri" w:eastAsia="Calibri" w:hAnsi="Calibri"/>
          <w:sz w:val="20"/>
          <w:szCs w:val="20"/>
          <w:color w:val="auto"/>
        </w:rPr>
        <w:t>any provision which expressly or by implicaton is intended to come into or remain in force on or afer terminaton will contnue in full force and efect;</w:t>
      </w:r>
    </w:p>
    <w:p>
      <w:pPr>
        <w:spacing w:after="0" w:line="239" w:lineRule="exact"/>
        <w:rPr>
          <w:rFonts w:ascii="Arial" w:cs="Arial" w:eastAsia="Arial" w:hAnsi="Arial"/>
          <w:sz w:val="20"/>
          <w:szCs w:val="20"/>
          <w:color w:val="auto"/>
        </w:rPr>
      </w:pPr>
    </w:p>
    <w:p>
      <w:pPr>
        <w:jc w:val="both"/>
        <w:ind w:left="1452" w:hanging="705"/>
        <w:spacing w:after="0"/>
        <w:tabs>
          <w:tab w:leader="none" w:pos="1452" w:val="left"/>
        </w:tabs>
        <w:numPr>
          <w:ilvl w:val="0"/>
          <w:numId w:val="118"/>
        </w:numPr>
        <w:rPr>
          <w:rFonts w:ascii="Arial" w:cs="Arial" w:eastAsia="Arial" w:hAnsi="Arial"/>
          <w:sz w:val="20"/>
          <w:szCs w:val="20"/>
          <w:color w:val="auto"/>
        </w:rPr>
      </w:pPr>
      <w:r>
        <w:rPr>
          <w:rFonts w:ascii="Calibri" w:cs="Calibri" w:eastAsia="Calibri" w:hAnsi="Calibri"/>
          <w:sz w:val="20"/>
          <w:szCs w:val="20"/>
          <w:color w:val="auto"/>
        </w:rPr>
        <w:t>subject to Clause 23.2(d) each of the partes shall immediately return to the other party (or, if the other party so requests by notce in writng, destroy) all of the other party's property in its possession at the date of terminaton, including all of its Confdental Informaton, together with all copies of such Confdental Informaton and shall certfy that it has done so, and shall make no further use of such Confdental Informaton; and</w:t>
      </w:r>
    </w:p>
    <w:p>
      <w:pPr>
        <w:spacing w:after="0" w:line="200" w:lineRule="exact"/>
        <w:rPr>
          <w:rFonts w:ascii="Arial" w:cs="Arial" w:eastAsia="Arial" w:hAnsi="Arial"/>
          <w:sz w:val="20"/>
          <w:szCs w:val="20"/>
          <w:color w:val="auto"/>
        </w:rPr>
      </w:pPr>
    </w:p>
    <w:p>
      <w:pPr>
        <w:spacing w:after="0" w:line="267" w:lineRule="exact"/>
        <w:rPr>
          <w:rFonts w:ascii="Arial" w:cs="Arial" w:eastAsia="Arial" w:hAnsi="Arial"/>
          <w:sz w:val="20"/>
          <w:szCs w:val="20"/>
          <w:color w:val="auto"/>
        </w:rPr>
      </w:pPr>
    </w:p>
    <w:p>
      <w:pPr>
        <w:jc w:val="both"/>
        <w:ind w:left="1452" w:hanging="705"/>
        <w:spacing w:after="0" w:line="236" w:lineRule="auto"/>
        <w:tabs>
          <w:tab w:leader="none" w:pos="1452" w:val="left"/>
        </w:tabs>
        <w:numPr>
          <w:ilvl w:val="0"/>
          <w:numId w:val="118"/>
        </w:numPr>
        <w:rPr>
          <w:rFonts w:ascii="Arial" w:cs="Arial" w:eastAsia="Arial" w:hAnsi="Arial"/>
          <w:sz w:val="20"/>
          <w:szCs w:val="20"/>
          <w:color w:val="auto"/>
        </w:rPr>
      </w:pPr>
      <w:r>
        <w:rPr>
          <w:rFonts w:ascii="Calibri" w:cs="Calibri" w:eastAsia="Calibri" w:hAnsi="Calibri"/>
          <w:sz w:val="20"/>
          <w:szCs w:val="20"/>
          <w:color w:val="auto"/>
        </w:rPr>
        <w:t>if a party is required by any Applicable Laws, regulaton or government or regulatory body to retain any documents or materials which it would otherwise be required to return or destroy by Clause 23.2(c), it shall notfy the other party in writng of such retenton, giving details of the documents or materials that it must retain; and</w:t>
      </w:r>
    </w:p>
    <w:p>
      <w:pPr>
        <w:spacing w:after="0" w:line="232" w:lineRule="exact"/>
        <w:rPr>
          <w:sz w:val="20"/>
          <w:szCs w:val="20"/>
          <w:color w:val="auto"/>
        </w:rPr>
      </w:pPr>
    </w:p>
    <w:p>
      <w:pPr>
        <w:ind w:left="752" w:hanging="752"/>
        <w:spacing w:after="0"/>
        <w:tabs>
          <w:tab w:leader="none" w:pos="752" w:val="left"/>
        </w:tabs>
        <w:numPr>
          <w:ilvl w:val="0"/>
          <w:numId w:val="119"/>
        </w:numPr>
        <w:rPr>
          <w:rFonts w:ascii="Arial" w:cs="Arial" w:eastAsia="Arial" w:hAnsi="Arial"/>
          <w:sz w:val="20"/>
          <w:szCs w:val="20"/>
          <w:b w:val="1"/>
          <w:bCs w:val="1"/>
          <w:color w:val="auto"/>
        </w:rPr>
      </w:pPr>
      <w:r>
        <w:rPr>
          <w:rFonts w:ascii="Calibri" w:cs="Calibri" w:eastAsia="Calibri" w:hAnsi="Calibri"/>
          <w:sz w:val="20"/>
          <w:szCs w:val="20"/>
          <w:b w:val="1"/>
          <w:bCs w:val="1"/>
          <w:color w:val="auto"/>
        </w:rPr>
        <w:t>CONFIDENTIALITY</w:t>
      </w:r>
    </w:p>
    <w:p>
      <w:pPr>
        <w:spacing w:after="0" w:line="227" w:lineRule="exact"/>
        <w:rPr>
          <w:sz w:val="20"/>
          <w:szCs w:val="20"/>
          <w:color w:val="auto"/>
        </w:rPr>
      </w:pPr>
    </w:p>
    <w:p>
      <w:pPr>
        <w:jc w:val="both"/>
        <w:ind w:left="712" w:hanging="697"/>
        <w:spacing w:after="0" w:line="236" w:lineRule="auto"/>
        <w:tabs>
          <w:tab w:leader="none" w:pos="692" w:val="left"/>
        </w:tabs>
        <w:rPr>
          <w:sz w:val="20"/>
          <w:szCs w:val="20"/>
          <w:color w:val="auto"/>
        </w:rPr>
      </w:pPr>
      <w:r>
        <w:rPr>
          <w:rFonts w:ascii="Arial" w:cs="Arial" w:eastAsia="Arial" w:hAnsi="Arial"/>
          <w:sz w:val="20"/>
          <w:szCs w:val="20"/>
          <w:color w:val="auto"/>
        </w:rPr>
        <w:t>24.1</w:t>
      </w:r>
      <w:r>
        <w:rPr>
          <w:sz w:val="20"/>
          <w:szCs w:val="20"/>
          <w:color w:val="auto"/>
        </w:rPr>
        <w:tab/>
      </w:r>
      <w:r>
        <w:rPr>
          <w:rFonts w:ascii="Calibri" w:cs="Calibri" w:eastAsia="Calibri" w:hAnsi="Calibri"/>
          <w:sz w:val="20"/>
          <w:szCs w:val="20"/>
          <w:color w:val="auto"/>
        </w:rPr>
        <w:t>Each party shall keep and procure to be kept secret and confdental all Confdental Informaton belonging to the other party disclosed or obtained as a result of the relatonship of the partes under this Agreement and shall not use nor disclose the same save for the purposes of the proper performance of this Agreement or with the prior writen consent of the other party.</w:t>
      </w:r>
    </w:p>
    <w:p>
      <w:pPr>
        <w:spacing w:after="0" w:line="241" w:lineRule="exact"/>
        <w:rPr>
          <w:sz w:val="20"/>
          <w:szCs w:val="20"/>
          <w:color w:val="auto"/>
        </w:rPr>
      </w:pPr>
    </w:p>
    <w:p>
      <w:pPr>
        <w:jc w:val="both"/>
        <w:ind w:left="712" w:hanging="697"/>
        <w:spacing w:after="0" w:line="237" w:lineRule="auto"/>
        <w:tabs>
          <w:tab w:leader="none" w:pos="692" w:val="left"/>
        </w:tabs>
        <w:rPr>
          <w:sz w:val="20"/>
          <w:szCs w:val="20"/>
          <w:color w:val="auto"/>
        </w:rPr>
      </w:pPr>
      <w:r>
        <w:rPr>
          <w:rFonts w:ascii="Arial" w:cs="Arial" w:eastAsia="Arial" w:hAnsi="Arial"/>
          <w:sz w:val="20"/>
          <w:szCs w:val="20"/>
          <w:color w:val="auto"/>
        </w:rPr>
        <w:t>24.2</w:t>
      </w:r>
      <w:r>
        <w:rPr>
          <w:sz w:val="20"/>
          <w:szCs w:val="20"/>
          <w:color w:val="auto"/>
        </w:rPr>
        <w:tab/>
      </w:r>
      <w:r>
        <w:rPr>
          <w:rFonts w:ascii="Calibri" w:cs="Calibri" w:eastAsia="Calibri" w:hAnsi="Calibri"/>
          <w:sz w:val="20"/>
          <w:szCs w:val="20"/>
          <w:color w:val="auto"/>
        </w:rPr>
        <w:t>The partes may disclose Confdental Informaton to an employee, Afliate, consultant or agent to the extent necessary for the performance of this Agreement provided such disclosure is subject to obligatons equivalent to those set out in this Agreement. Each party shall use its best endeavours to procure that any such employee, consultant or agent complies with such obligatons. Each party will be responsible to the other party in respect of any disclosure or use of such Confdental Informaton by a person to whom disclosure is made.</w:t>
      </w:r>
    </w:p>
    <w:p>
      <w:pPr>
        <w:spacing w:after="0" w:line="239" w:lineRule="exact"/>
        <w:rPr>
          <w:sz w:val="20"/>
          <w:szCs w:val="20"/>
          <w:color w:val="auto"/>
        </w:rPr>
      </w:pPr>
    </w:p>
    <w:p>
      <w:pPr>
        <w:jc w:val="both"/>
        <w:ind w:left="712" w:right="20" w:hanging="697"/>
        <w:spacing w:after="0" w:line="234" w:lineRule="auto"/>
        <w:tabs>
          <w:tab w:leader="none" w:pos="692" w:val="left"/>
        </w:tabs>
        <w:rPr>
          <w:sz w:val="20"/>
          <w:szCs w:val="20"/>
          <w:color w:val="auto"/>
        </w:rPr>
      </w:pPr>
      <w:r>
        <w:rPr>
          <w:rFonts w:ascii="Arial" w:cs="Arial" w:eastAsia="Arial" w:hAnsi="Arial"/>
          <w:sz w:val="20"/>
          <w:szCs w:val="20"/>
          <w:color w:val="auto"/>
        </w:rPr>
        <w:t>24.3</w:t>
      </w:r>
      <w:r>
        <w:rPr>
          <w:sz w:val="20"/>
          <w:szCs w:val="20"/>
          <w:color w:val="auto"/>
        </w:rPr>
        <w:tab/>
      </w:r>
      <w:r>
        <w:rPr>
          <w:rFonts w:ascii="Calibri" w:cs="Calibri" w:eastAsia="Calibri" w:hAnsi="Calibri"/>
          <w:sz w:val="20"/>
          <w:szCs w:val="20"/>
          <w:color w:val="auto"/>
        </w:rPr>
        <w:t>The obligatons of confdentality in this Clause 24 do not extend to any Confdental Informaton that the party that wishes to disclose or use can show:</w:t>
      </w:r>
    </w:p>
    <w:p>
      <w:pPr>
        <w:spacing w:after="0" w:line="250" w:lineRule="exact"/>
        <w:rPr>
          <w:sz w:val="20"/>
          <w:szCs w:val="20"/>
          <w:color w:val="auto"/>
        </w:rPr>
      </w:pPr>
    </w:p>
    <w:p>
      <w:pPr>
        <w:ind w:left="1452" w:hanging="705"/>
        <w:spacing w:after="0" w:line="234" w:lineRule="auto"/>
        <w:tabs>
          <w:tab w:leader="none" w:pos="1452" w:val="left"/>
        </w:tabs>
        <w:numPr>
          <w:ilvl w:val="0"/>
          <w:numId w:val="120"/>
        </w:numPr>
        <w:rPr>
          <w:rFonts w:ascii="Arial" w:cs="Arial" w:eastAsia="Arial" w:hAnsi="Arial"/>
          <w:sz w:val="20"/>
          <w:szCs w:val="20"/>
          <w:color w:val="auto"/>
        </w:rPr>
      </w:pPr>
      <w:r>
        <w:rPr>
          <w:rFonts w:ascii="Calibri" w:cs="Calibri" w:eastAsia="Calibri" w:hAnsi="Calibri"/>
          <w:sz w:val="20"/>
          <w:szCs w:val="20"/>
          <w:color w:val="auto"/>
        </w:rPr>
        <w:t>is or becomes generally available to the public other than as a result of a breach of the obligatons of confdentality under this Agreement; or</w:t>
      </w:r>
    </w:p>
    <w:p>
      <w:pPr>
        <w:spacing w:after="0" w:line="104" w:lineRule="exact"/>
        <w:rPr>
          <w:rFonts w:ascii="Arial" w:cs="Arial" w:eastAsia="Arial" w:hAnsi="Arial"/>
          <w:sz w:val="20"/>
          <w:szCs w:val="20"/>
          <w:color w:val="auto"/>
        </w:rPr>
      </w:pPr>
    </w:p>
    <w:p>
      <w:pPr>
        <w:ind w:left="1452" w:right="20" w:hanging="705"/>
        <w:spacing w:after="0"/>
        <w:tabs>
          <w:tab w:leader="none" w:pos="1452" w:val="left"/>
        </w:tabs>
        <w:numPr>
          <w:ilvl w:val="0"/>
          <w:numId w:val="120"/>
        </w:numPr>
        <w:rPr>
          <w:rFonts w:ascii="Arial" w:cs="Arial" w:eastAsia="Arial" w:hAnsi="Arial"/>
          <w:sz w:val="20"/>
          <w:szCs w:val="20"/>
          <w:color w:val="auto"/>
        </w:rPr>
      </w:pPr>
      <w:r>
        <w:rPr>
          <w:rFonts w:ascii="Calibri" w:cs="Calibri" w:eastAsia="Calibri" w:hAnsi="Calibri"/>
          <w:sz w:val="20"/>
          <w:szCs w:val="20"/>
          <w:color w:val="auto"/>
        </w:rPr>
        <w:t>was in its writen records prior to the date of this Agreement and not subject to any confdentality obligatons; or</w:t>
      </w:r>
    </w:p>
    <w:p>
      <w:pPr>
        <w:spacing w:after="0" w:line="200" w:lineRule="exact"/>
        <w:rPr>
          <w:rFonts w:ascii="Arial" w:cs="Arial" w:eastAsia="Arial" w:hAnsi="Arial"/>
          <w:sz w:val="20"/>
          <w:szCs w:val="20"/>
          <w:color w:val="auto"/>
        </w:rPr>
      </w:pPr>
    </w:p>
    <w:p>
      <w:pPr>
        <w:spacing w:after="0" w:line="261" w:lineRule="exact"/>
        <w:rPr>
          <w:rFonts w:ascii="Arial" w:cs="Arial" w:eastAsia="Arial" w:hAnsi="Arial"/>
          <w:sz w:val="20"/>
          <w:szCs w:val="20"/>
          <w:color w:val="auto"/>
        </w:rPr>
      </w:pPr>
    </w:p>
    <w:p>
      <w:pPr>
        <w:ind w:left="1472" w:hanging="709"/>
        <w:spacing w:after="0"/>
        <w:tabs>
          <w:tab w:leader="none" w:pos="1472" w:val="left"/>
        </w:tabs>
        <w:numPr>
          <w:ilvl w:val="0"/>
          <w:numId w:val="120"/>
        </w:numPr>
        <w:rPr>
          <w:rFonts w:ascii="Arial" w:cs="Arial" w:eastAsia="Arial" w:hAnsi="Arial"/>
          <w:sz w:val="20"/>
          <w:szCs w:val="20"/>
          <w:color w:val="auto"/>
        </w:rPr>
      </w:pPr>
      <w:r>
        <w:rPr>
          <w:rFonts w:ascii="Calibri" w:cs="Calibri" w:eastAsia="Calibri" w:hAnsi="Calibri"/>
          <w:sz w:val="20"/>
          <w:szCs w:val="20"/>
          <w:color w:val="auto"/>
        </w:rPr>
        <w:t>was or is disclosed to it by a third party enttled to do so; or</w:t>
      </w:r>
    </w:p>
    <w:p>
      <w:pPr>
        <w:spacing w:after="0" w:line="228" w:lineRule="exact"/>
        <w:rPr>
          <w:rFonts w:ascii="Arial" w:cs="Arial" w:eastAsia="Arial" w:hAnsi="Arial"/>
          <w:sz w:val="20"/>
          <w:szCs w:val="20"/>
          <w:color w:val="auto"/>
        </w:rPr>
      </w:pPr>
    </w:p>
    <w:p>
      <w:pPr>
        <w:ind w:left="1452" w:hanging="705"/>
        <w:spacing w:after="0"/>
        <w:tabs>
          <w:tab w:leader="none" w:pos="1452" w:val="left"/>
        </w:tabs>
        <w:numPr>
          <w:ilvl w:val="0"/>
          <w:numId w:val="120"/>
        </w:numPr>
        <w:rPr>
          <w:rFonts w:ascii="Arial" w:cs="Arial" w:eastAsia="Arial" w:hAnsi="Arial"/>
          <w:sz w:val="20"/>
          <w:szCs w:val="20"/>
          <w:color w:val="auto"/>
        </w:rPr>
      </w:pPr>
      <w:r>
        <w:rPr>
          <w:rFonts w:ascii="Calibri" w:cs="Calibri" w:eastAsia="Calibri" w:hAnsi="Calibri"/>
          <w:sz w:val="20"/>
          <w:szCs w:val="20"/>
          <w:color w:val="auto"/>
        </w:rPr>
        <w:t>the partes agree in writng is not Confdental Informaton or may be disclosed; or</w:t>
      </w:r>
    </w:p>
    <w:p>
      <w:pPr>
        <w:spacing w:after="0" w:line="238" w:lineRule="exact"/>
        <w:rPr>
          <w:rFonts w:ascii="Arial" w:cs="Arial" w:eastAsia="Arial" w:hAnsi="Arial"/>
          <w:sz w:val="20"/>
          <w:szCs w:val="20"/>
          <w:color w:val="auto"/>
        </w:rPr>
      </w:pPr>
    </w:p>
    <w:p>
      <w:pPr>
        <w:ind w:left="1452" w:hanging="705"/>
        <w:spacing w:after="0" w:line="234" w:lineRule="auto"/>
        <w:tabs>
          <w:tab w:leader="none" w:pos="1452" w:val="left"/>
        </w:tabs>
        <w:numPr>
          <w:ilvl w:val="0"/>
          <w:numId w:val="120"/>
        </w:numPr>
        <w:rPr>
          <w:rFonts w:ascii="Arial" w:cs="Arial" w:eastAsia="Arial" w:hAnsi="Arial"/>
          <w:sz w:val="20"/>
          <w:szCs w:val="20"/>
          <w:color w:val="auto"/>
        </w:rPr>
      </w:pPr>
      <w:r>
        <w:rPr>
          <w:rFonts w:ascii="Calibri" w:cs="Calibri" w:eastAsia="Calibri" w:hAnsi="Calibri"/>
          <w:sz w:val="20"/>
          <w:szCs w:val="20"/>
          <w:color w:val="auto"/>
        </w:rPr>
        <w:t>is required to be disclosed under any Applicable Law, or by order of a court or governmental body or authority of competent jurisdicton.</w:t>
      </w:r>
    </w:p>
    <w:p>
      <w:pPr>
        <w:spacing w:after="0" w:line="229" w:lineRule="exact"/>
        <w:rPr>
          <w:sz w:val="20"/>
          <w:szCs w:val="20"/>
          <w:color w:val="auto"/>
        </w:rPr>
      </w:pPr>
    </w:p>
    <w:p>
      <w:pPr>
        <w:jc w:val="both"/>
        <w:ind w:left="712" w:hanging="697"/>
        <w:spacing w:after="0" w:line="236" w:lineRule="auto"/>
        <w:tabs>
          <w:tab w:leader="none" w:pos="692" w:val="left"/>
        </w:tabs>
        <w:rPr>
          <w:sz w:val="20"/>
          <w:szCs w:val="20"/>
          <w:color w:val="auto"/>
        </w:rPr>
      </w:pPr>
      <w:r>
        <w:rPr>
          <w:rFonts w:ascii="Arial" w:cs="Arial" w:eastAsia="Arial" w:hAnsi="Arial"/>
          <w:sz w:val="20"/>
          <w:szCs w:val="20"/>
          <w:color w:val="auto"/>
        </w:rPr>
        <w:t>24.4</w:t>
      </w:r>
      <w:r>
        <w:rPr>
          <w:sz w:val="20"/>
          <w:szCs w:val="20"/>
          <w:color w:val="auto"/>
        </w:rPr>
        <w:tab/>
      </w:r>
      <w:r>
        <w:rPr>
          <w:rFonts w:ascii="Calibri" w:cs="Calibri" w:eastAsia="Calibri" w:hAnsi="Calibri"/>
          <w:sz w:val="20"/>
          <w:szCs w:val="20"/>
          <w:color w:val="auto"/>
        </w:rPr>
        <w:t>Press Releases. UGNX and Kyowa Kirin shall consult in advance and reasonably cooperate in the method and manner of any press release regarding this Agreement and any actvity related thereto. For clarity, following any press release issued pursuant to this Clause 24.4, UGNX and Kyowa Kirin may each disclose to third partes the informaton set forth in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240030</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12"/>
          </w:cols>
          <w:pgMar w:left="508" w:top="1440" w:right="879" w:bottom="1440" w:gutter="0" w:footer="0" w:header="0"/>
        </w:sectPr>
      </w:pPr>
    </w:p>
    <w:bookmarkStart w:id="158" w:name="page159"/>
    <w:bookmarkEnd w:id="158"/>
    <w:p>
      <w:pPr>
        <w:spacing w:after="0" w:line="93" w:lineRule="exact"/>
        <w:rPr>
          <w:sz w:val="20"/>
          <w:szCs w:val="20"/>
          <w:color w:val="auto"/>
        </w:rPr>
      </w:pPr>
    </w:p>
    <w:p>
      <w:pPr>
        <w:jc w:val="both"/>
        <w:ind w:left="700"/>
        <w:spacing w:after="0" w:line="236" w:lineRule="auto"/>
        <w:rPr>
          <w:sz w:val="20"/>
          <w:szCs w:val="20"/>
          <w:color w:val="auto"/>
        </w:rPr>
      </w:pPr>
      <w:r>
        <w:rPr>
          <w:rFonts w:ascii="Calibri" w:cs="Calibri" w:eastAsia="Calibri" w:hAnsi="Calibri"/>
          <w:sz w:val="20"/>
          <w:szCs w:val="20"/>
          <w:color w:val="auto"/>
        </w:rPr>
        <w:t>press release without the need for further approval by the other. Notwithstanding the foregoing, each party may make flings to the U.S. Securites and Exchange Commission (SEC) or similar requirements under Applicable Law, provided, that such party shall ensure that any such release will be limited in its disclosure only to informaton that is required for such disclosing party to be in compliance with Applicable Law.</w:t>
      </w:r>
    </w:p>
    <w:p>
      <w:pPr>
        <w:spacing w:after="0" w:line="232" w:lineRule="exact"/>
        <w:rPr>
          <w:sz w:val="20"/>
          <w:szCs w:val="20"/>
          <w:color w:val="auto"/>
        </w:rPr>
      </w:pPr>
    </w:p>
    <w:p>
      <w:pPr>
        <w:ind w:left="760" w:hanging="758"/>
        <w:spacing w:after="0"/>
        <w:tabs>
          <w:tab w:leader="none" w:pos="760" w:val="left"/>
        </w:tabs>
        <w:numPr>
          <w:ilvl w:val="0"/>
          <w:numId w:val="121"/>
        </w:numPr>
        <w:rPr>
          <w:rFonts w:ascii="Arial" w:cs="Arial" w:eastAsia="Arial" w:hAnsi="Arial"/>
          <w:sz w:val="20"/>
          <w:szCs w:val="20"/>
          <w:b w:val="1"/>
          <w:bCs w:val="1"/>
          <w:color w:val="auto"/>
        </w:rPr>
      </w:pPr>
      <w:r>
        <w:rPr>
          <w:rFonts w:ascii="Calibri" w:cs="Calibri" w:eastAsia="Calibri" w:hAnsi="Calibri"/>
          <w:sz w:val="20"/>
          <w:szCs w:val="20"/>
          <w:b w:val="1"/>
          <w:bCs w:val="1"/>
          <w:color w:val="auto"/>
        </w:rPr>
        <w:t>PARTIES</w:t>
      </w:r>
    </w:p>
    <w:p>
      <w:pPr>
        <w:spacing w:after="0" w:line="227" w:lineRule="exact"/>
        <w:rPr>
          <w:sz w:val="20"/>
          <w:szCs w:val="20"/>
          <w:color w:val="auto"/>
        </w:rPr>
      </w:pPr>
    </w:p>
    <w:p>
      <w:pPr>
        <w:jc w:val="both"/>
        <w:ind w:left="700" w:hanging="697"/>
        <w:spacing w:after="0" w:line="237" w:lineRule="auto"/>
        <w:tabs>
          <w:tab w:leader="none" w:pos="680" w:val="left"/>
        </w:tabs>
        <w:rPr>
          <w:sz w:val="20"/>
          <w:szCs w:val="20"/>
          <w:color w:val="auto"/>
        </w:rPr>
      </w:pPr>
      <w:r>
        <w:rPr>
          <w:rFonts w:ascii="Arial" w:cs="Arial" w:eastAsia="Arial" w:hAnsi="Arial"/>
          <w:sz w:val="20"/>
          <w:szCs w:val="20"/>
          <w:color w:val="auto"/>
        </w:rPr>
        <w:t>25.1</w:t>
      </w:r>
      <w:r>
        <w:rPr>
          <w:sz w:val="20"/>
          <w:szCs w:val="20"/>
          <w:color w:val="auto"/>
        </w:rPr>
        <w:tab/>
      </w:r>
      <w:r>
        <w:rPr>
          <w:rFonts w:ascii="Calibri" w:cs="Calibri" w:eastAsia="Calibri" w:hAnsi="Calibri"/>
          <w:sz w:val="20"/>
          <w:szCs w:val="20"/>
          <w:color w:val="auto"/>
        </w:rPr>
        <w:t>This Agreement may not be assigned by either of the partes without the prior writen consent of the other party; provided, however, either party may assign this Agreement in its entrety without such consent to any of its Afliates, to any purchaser of all, or substantally all, of its assets or to any successor corporaton resultng from any merger, consolidaton, share exchange, or other similar transacton, and provided further that either party may assign or sell its rights to receive any amounts due hereunder.</w:t>
      </w:r>
    </w:p>
    <w:p>
      <w:pPr>
        <w:spacing w:after="0" w:line="229"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25.2</w:t>
      </w:r>
      <w:r>
        <w:rPr>
          <w:sz w:val="20"/>
          <w:szCs w:val="20"/>
          <w:color w:val="auto"/>
        </w:rPr>
        <w:tab/>
      </w:r>
      <w:r>
        <w:rPr>
          <w:rFonts w:ascii="Calibri" w:cs="Calibri" w:eastAsia="Calibri" w:hAnsi="Calibri"/>
          <w:sz w:val="20"/>
          <w:szCs w:val="20"/>
          <w:color w:val="auto"/>
        </w:rPr>
        <w:t>A person who is not a party to this Agreement has no rights to enforce any provision of this Agreement.</w:t>
      </w:r>
    </w:p>
    <w:p>
      <w:pPr>
        <w:spacing w:after="0" w:line="238" w:lineRule="exact"/>
        <w:rPr>
          <w:sz w:val="20"/>
          <w:szCs w:val="20"/>
          <w:color w:val="auto"/>
        </w:rPr>
      </w:pPr>
    </w:p>
    <w:p>
      <w:pPr>
        <w:jc w:val="both"/>
        <w:ind w:left="700" w:hanging="697"/>
        <w:spacing w:after="0" w:line="234" w:lineRule="auto"/>
        <w:tabs>
          <w:tab w:leader="none" w:pos="680" w:val="left"/>
        </w:tabs>
        <w:rPr>
          <w:sz w:val="20"/>
          <w:szCs w:val="20"/>
          <w:color w:val="auto"/>
        </w:rPr>
      </w:pPr>
      <w:r>
        <w:rPr>
          <w:rFonts w:ascii="Arial" w:cs="Arial" w:eastAsia="Arial" w:hAnsi="Arial"/>
          <w:sz w:val="20"/>
          <w:szCs w:val="20"/>
          <w:color w:val="auto"/>
        </w:rPr>
        <w:t>25.3</w:t>
      </w:r>
      <w:r>
        <w:rPr>
          <w:sz w:val="20"/>
          <w:szCs w:val="20"/>
          <w:color w:val="auto"/>
        </w:rPr>
        <w:tab/>
      </w:r>
      <w:r>
        <w:rPr>
          <w:rFonts w:ascii="Calibri" w:cs="Calibri" w:eastAsia="Calibri" w:hAnsi="Calibri"/>
          <w:sz w:val="20"/>
          <w:szCs w:val="20"/>
          <w:color w:val="auto"/>
        </w:rPr>
        <w:t>The rights of the partes to terminate, rescind or agree any variaton, waiver or setlement under this Agreement are not subject to the consent of any person that is not a party to this Agreement.</w:t>
      </w:r>
    </w:p>
    <w:p>
      <w:pPr>
        <w:spacing w:after="0" w:line="239" w:lineRule="exact"/>
        <w:rPr>
          <w:sz w:val="20"/>
          <w:szCs w:val="20"/>
          <w:color w:val="auto"/>
        </w:rPr>
      </w:pPr>
    </w:p>
    <w:p>
      <w:pPr>
        <w:jc w:val="both"/>
        <w:ind w:left="700" w:hanging="697"/>
        <w:spacing w:after="0" w:line="237" w:lineRule="auto"/>
        <w:tabs>
          <w:tab w:leader="none" w:pos="680" w:val="left"/>
        </w:tabs>
        <w:rPr>
          <w:sz w:val="20"/>
          <w:szCs w:val="20"/>
          <w:color w:val="auto"/>
        </w:rPr>
      </w:pPr>
      <w:r>
        <w:rPr>
          <w:rFonts w:ascii="Arial" w:cs="Arial" w:eastAsia="Arial" w:hAnsi="Arial"/>
          <w:sz w:val="20"/>
          <w:szCs w:val="20"/>
          <w:color w:val="auto"/>
        </w:rPr>
        <w:t>25.4</w:t>
      </w:r>
      <w:r>
        <w:rPr>
          <w:sz w:val="20"/>
          <w:szCs w:val="20"/>
          <w:color w:val="auto"/>
        </w:rPr>
        <w:tab/>
      </w:r>
      <w:r>
        <w:rPr>
          <w:rFonts w:ascii="Calibri" w:cs="Calibri" w:eastAsia="Calibri" w:hAnsi="Calibri"/>
          <w:sz w:val="20"/>
          <w:szCs w:val="20"/>
          <w:color w:val="auto"/>
        </w:rPr>
        <w:t>Neither party may pledge the credit of the other party nor represent itself as being the other party nor an agent, partner, employee or representatve of the other party and neither party may hold itself out as such nor as having any power or authority to incur any obligaton of any nature, express or implied, on behalf of the other. Nothing in this Agreement, and no acton taken by the partes pursuant to this Agreement creates, or is deemed to create, a partnership or joint venture or relatonship of employer and employee or principal and agent between the partes.</w:t>
      </w:r>
    </w:p>
    <w:p>
      <w:pPr>
        <w:spacing w:after="0" w:line="240" w:lineRule="exact"/>
        <w:rPr>
          <w:sz w:val="20"/>
          <w:szCs w:val="20"/>
          <w:color w:val="auto"/>
        </w:rPr>
      </w:pPr>
    </w:p>
    <w:p>
      <w:pPr>
        <w:ind w:left="760" w:hanging="758"/>
        <w:spacing w:after="0"/>
        <w:tabs>
          <w:tab w:leader="none" w:pos="760" w:val="left"/>
        </w:tabs>
        <w:numPr>
          <w:ilvl w:val="0"/>
          <w:numId w:val="122"/>
        </w:numPr>
        <w:rPr>
          <w:rFonts w:ascii="Arial" w:cs="Arial" w:eastAsia="Arial" w:hAnsi="Arial"/>
          <w:sz w:val="20"/>
          <w:szCs w:val="20"/>
          <w:b w:val="1"/>
          <w:bCs w:val="1"/>
          <w:color w:val="auto"/>
        </w:rPr>
      </w:pPr>
      <w:r>
        <w:rPr>
          <w:rFonts w:ascii="Calibri" w:cs="Calibri" w:eastAsia="Calibri" w:hAnsi="Calibri"/>
          <w:sz w:val="20"/>
          <w:szCs w:val="20"/>
          <w:b w:val="1"/>
          <w:bCs w:val="1"/>
          <w:color w:val="auto"/>
        </w:rPr>
        <w:t>CONSTRUCTION AND INTERPRETATION OF THIS AGREEMENT</w:t>
      </w:r>
    </w:p>
    <w:p>
      <w:pPr>
        <w:spacing w:after="0" w:line="218"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26.1</w:t>
      </w:r>
      <w:r>
        <w:rPr>
          <w:sz w:val="20"/>
          <w:szCs w:val="20"/>
          <w:color w:val="auto"/>
        </w:rPr>
        <w:tab/>
      </w:r>
      <w:r>
        <w:rPr>
          <w:rFonts w:ascii="Calibri" w:cs="Calibri" w:eastAsia="Calibri" w:hAnsi="Calibri"/>
          <w:sz w:val="20"/>
          <w:szCs w:val="20"/>
          <w:color w:val="auto"/>
        </w:rPr>
        <w:t>Entre Agreement</w:t>
      </w:r>
    </w:p>
    <w:p>
      <w:pPr>
        <w:spacing w:after="0" w:line="249" w:lineRule="exact"/>
        <w:rPr>
          <w:sz w:val="20"/>
          <w:szCs w:val="20"/>
          <w:color w:val="auto"/>
        </w:rPr>
      </w:pPr>
    </w:p>
    <w:p>
      <w:pPr>
        <w:jc w:val="both"/>
        <w:ind w:left="1440" w:hanging="689"/>
        <w:spacing w:after="0" w:line="236" w:lineRule="auto"/>
        <w:tabs>
          <w:tab w:leader="none" w:pos="1440" w:val="left"/>
        </w:tabs>
        <w:numPr>
          <w:ilvl w:val="1"/>
          <w:numId w:val="123"/>
        </w:numPr>
        <w:rPr>
          <w:rFonts w:ascii="Arial" w:cs="Arial" w:eastAsia="Arial" w:hAnsi="Arial"/>
          <w:sz w:val="20"/>
          <w:szCs w:val="20"/>
          <w:color w:val="auto"/>
        </w:rPr>
      </w:pPr>
      <w:r>
        <w:rPr>
          <w:rFonts w:ascii="Calibri" w:cs="Calibri" w:eastAsia="Calibri" w:hAnsi="Calibri"/>
          <w:sz w:val="20"/>
          <w:szCs w:val="20"/>
          <w:color w:val="auto"/>
        </w:rPr>
        <w:t>This Agreement contains the entre agreement between the partes in relaton to its subject mater and supersedes any prior arrangement, understanding writen or oral agreements between the partes in relaton to such subject mater.</w:t>
      </w:r>
    </w:p>
    <w:p>
      <w:pPr>
        <w:spacing w:after="0" w:line="103" w:lineRule="exact"/>
        <w:rPr>
          <w:rFonts w:ascii="Arial" w:cs="Arial" w:eastAsia="Arial" w:hAnsi="Arial"/>
          <w:sz w:val="20"/>
          <w:szCs w:val="20"/>
          <w:color w:val="auto"/>
        </w:rPr>
      </w:pPr>
    </w:p>
    <w:p>
      <w:pPr>
        <w:jc w:val="both"/>
        <w:ind w:left="1440" w:hanging="705"/>
        <w:spacing w:after="0" w:line="236" w:lineRule="auto"/>
        <w:tabs>
          <w:tab w:leader="none" w:pos="1440" w:val="left"/>
        </w:tabs>
        <w:numPr>
          <w:ilvl w:val="0"/>
          <w:numId w:val="124"/>
        </w:numPr>
        <w:rPr>
          <w:rFonts w:ascii="Arial" w:cs="Arial" w:eastAsia="Arial" w:hAnsi="Arial"/>
          <w:sz w:val="20"/>
          <w:szCs w:val="20"/>
          <w:color w:val="auto"/>
        </w:rPr>
      </w:pPr>
      <w:r>
        <w:rPr>
          <w:rFonts w:ascii="Calibri" w:cs="Calibri" w:eastAsia="Calibri" w:hAnsi="Calibri"/>
          <w:sz w:val="20"/>
          <w:szCs w:val="20"/>
          <w:color w:val="auto"/>
        </w:rPr>
        <w:t>The partes acknowledge that this Agreement has not been entered into wholly or partly in reliance on, nor has either party been given, any warranty, statement, promise or representaton by the other or on its behalf other than as expressly set out in this Agreement.</w:t>
      </w:r>
    </w:p>
    <w:p>
      <w:pPr>
        <w:spacing w:after="0" w:line="238" w:lineRule="exact"/>
        <w:rPr>
          <w:rFonts w:ascii="Arial" w:cs="Arial" w:eastAsia="Arial" w:hAnsi="Arial"/>
          <w:sz w:val="20"/>
          <w:szCs w:val="20"/>
          <w:color w:val="auto"/>
        </w:rPr>
      </w:pPr>
    </w:p>
    <w:p>
      <w:pPr>
        <w:ind w:left="1440" w:hanging="705"/>
        <w:spacing w:after="0" w:line="234" w:lineRule="auto"/>
        <w:tabs>
          <w:tab w:leader="none" w:pos="1440" w:val="left"/>
        </w:tabs>
        <w:numPr>
          <w:ilvl w:val="0"/>
          <w:numId w:val="124"/>
        </w:numPr>
        <w:rPr>
          <w:rFonts w:ascii="Arial" w:cs="Arial" w:eastAsia="Arial" w:hAnsi="Arial"/>
          <w:sz w:val="20"/>
          <w:szCs w:val="20"/>
          <w:color w:val="auto"/>
        </w:rPr>
      </w:pPr>
      <w:r>
        <w:rPr>
          <w:rFonts w:ascii="Calibri" w:cs="Calibri" w:eastAsia="Calibri" w:hAnsi="Calibri"/>
          <w:sz w:val="20"/>
          <w:szCs w:val="20"/>
          <w:color w:val="auto"/>
        </w:rPr>
        <w:t>All warrantes and conditons, terms and conditons not set out in this Agreement whether implied by statute or otherwise are excluded to the extent permited by law.</w:t>
      </w:r>
    </w:p>
    <w:p>
      <w:pPr>
        <w:spacing w:after="0" w:line="229" w:lineRule="exact"/>
        <w:rPr>
          <w:rFonts w:ascii="Arial" w:cs="Arial" w:eastAsia="Arial" w:hAnsi="Arial"/>
          <w:sz w:val="20"/>
          <w:szCs w:val="20"/>
          <w:color w:val="auto"/>
        </w:rPr>
      </w:pPr>
    </w:p>
    <w:p>
      <w:pPr>
        <w:ind w:left="1440" w:hanging="705"/>
        <w:spacing w:after="0"/>
        <w:tabs>
          <w:tab w:leader="none" w:pos="1440" w:val="left"/>
        </w:tabs>
        <w:numPr>
          <w:ilvl w:val="0"/>
          <w:numId w:val="124"/>
        </w:numPr>
        <w:rPr>
          <w:rFonts w:ascii="Arial" w:cs="Arial" w:eastAsia="Arial" w:hAnsi="Arial"/>
          <w:sz w:val="20"/>
          <w:szCs w:val="20"/>
          <w:color w:val="auto"/>
        </w:rPr>
      </w:pPr>
      <w:r>
        <w:rPr>
          <w:rFonts w:ascii="Calibri" w:cs="Calibri" w:eastAsia="Calibri" w:hAnsi="Calibri"/>
          <w:sz w:val="20"/>
          <w:szCs w:val="20"/>
          <w:color w:val="auto"/>
        </w:rPr>
        <w:t>Nothing in this Clause 26 will exclude any liability in respect of misrepresentatons made fraudulently.</w:t>
      </w:r>
    </w:p>
    <w:p>
      <w:pPr>
        <w:spacing w:after="0" w:line="218"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26.2</w:t>
      </w:r>
      <w:r>
        <w:rPr>
          <w:sz w:val="20"/>
          <w:szCs w:val="20"/>
          <w:color w:val="auto"/>
        </w:rPr>
        <w:tab/>
      </w:r>
      <w:r>
        <w:rPr>
          <w:rFonts w:ascii="Calibri" w:cs="Calibri" w:eastAsia="Calibri" w:hAnsi="Calibri"/>
          <w:sz w:val="20"/>
          <w:szCs w:val="20"/>
          <w:color w:val="auto"/>
        </w:rPr>
        <w:t>Precedence</w:t>
      </w:r>
    </w:p>
    <w:p>
      <w:pPr>
        <w:spacing w:after="0" w:line="249" w:lineRule="exact"/>
        <w:rPr>
          <w:sz w:val="20"/>
          <w:szCs w:val="20"/>
          <w:color w:val="auto"/>
        </w:rPr>
      </w:pPr>
    </w:p>
    <w:p>
      <w:pPr>
        <w:ind w:left="1440" w:hanging="705"/>
        <w:spacing w:after="0" w:line="234" w:lineRule="auto"/>
        <w:tabs>
          <w:tab w:leader="none" w:pos="1440" w:val="left"/>
        </w:tabs>
        <w:numPr>
          <w:ilvl w:val="0"/>
          <w:numId w:val="125"/>
        </w:numPr>
        <w:rPr>
          <w:rFonts w:ascii="Arial" w:cs="Arial" w:eastAsia="Arial" w:hAnsi="Arial"/>
          <w:sz w:val="20"/>
          <w:szCs w:val="20"/>
          <w:color w:val="auto"/>
        </w:rPr>
      </w:pPr>
      <w:r>
        <w:rPr>
          <w:rFonts w:ascii="Calibri" w:cs="Calibri" w:eastAsia="Calibri" w:hAnsi="Calibri"/>
          <w:sz w:val="20"/>
          <w:szCs w:val="20"/>
          <w:color w:val="auto"/>
        </w:rPr>
        <w:t>In the event of a confict or ambiguity the order of precedence for this Agreement and the documents atached to or referred to in this Agreement are as follows:</w:t>
      </w:r>
    </w:p>
    <w:p>
      <w:pPr>
        <w:spacing w:after="0" w:line="229" w:lineRule="exact"/>
        <w:rPr>
          <w:rFonts w:ascii="Arial" w:cs="Arial" w:eastAsia="Arial" w:hAnsi="Arial"/>
          <w:sz w:val="20"/>
          <w:szCs w:val="20"/>
          <w:color w:val="auto"/>
        </w:rPr>
      </w:pPr>
    </w:p>
    <w:p>
      <w:pPr>
        <w:ind w:left="2200" w:hanging="715"/>
        <w:spacing w:after="0"/>
        <w:tabs>
          <w:tab w:leader="none" w:pos="2200" w:val="left"/>
        </w:tabs>
        <w:numPr>
          <w:ilvl w:val="1"/>
          <w:numId w:val="125"/>
        </w:numPr>
        <w:rPr>
          <w:rFonts w:ascii="Arial" w:cs="Arial" w:eastAsia="Arial" w:hAnsi="Arial"/>
          <w:sz w:val="20"/>
          <w:szCs w:val="20"/>
          <w:color w:val="auto"/>
        </w:rPr>
      </w:pPr>
      <w:r>
        <w:rPr>
          <w:rFonts w:ascii="Calibri" w:cs="Calibri" w:eastAsia="Calibri" w:hAnsi="Calibri"/>
          <w:sz w:val="20"/>
          <w:szCs w:val="20"/>
          <w:color w:val="auto"/>
        </w:rPr>
        <w:t>frst the Clauses of this Agreement; and</w:t>
      </w:r>
    </w:p>
    <w:p>
      <w:pPr>
        <w:spacing w:after="0" w:line="228" w:lineRule="exact"/>
        <w:rPr>
          <w:rFonts w:ascii="Arial" w:cs="Arial" w:eastAsia="Arial" w:hAnsi="Arial"/>
          <w:sz w:val="20"/>
          <w:szCs w:val="20"/>
          <w:color w:val="auto"/>
        </w:rPr>
      </w:pPr>
    </w:p>
    <w:p>
      <w:pPr>
        <w:ind w:left="2200" w:hanging="715"/>
        <w:spacing w:after="0"/>
        <w:tabs>
          <w:tab w:leader="none" w:pos="2200" w:val="left"/>
        </w:tabs>
        <w:numPr>
          <w:ilvl w:val="1"/>
          <w:numId w:val="125"/>
        </w:numPr>
        <w:rPr>
          <w:rFonts w:ascii="Arial" w:cs="Arial" w:eastAsia="Arial" w:hAnsi="Arial"/>
          <w:sz w:val="20"/>
          <w:szCs w:val="20"/>
          <w:color w:val="auto"/>
        </w:rPr>
      </w:pPr>
      <w:r>
        <w:rPr>
          <w:rFonts w:ascii="Calibri" w:cs="Calibri" w:eastAsia="Calibri" w:hAnsi="Calibri"/>
          <w:sz w:val="20"/>
          <w:szCs w:val="20"/>
          <w:color w:val="auto"/>
        </w:rPr>
        <w:t>then second the Schedules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231140</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520" w:top="1440" w:right="879" w:bottom="1440" w:gutter="0" w:footer="0" w:header="0"/>
        </w:sectPr>
      </w:pPr>
    </w:p>
    <w:bookmarkStart w:id="159" w:name="page160"/>
    <w:bookmarkEnd w:id="159"/>
    <w:p>
      <w:pPr>
        <w:spacing w:after="0" w:line="97" w:lineRule="exact"/>
        <w:rPr>
          <w:sz w:val="20"/>
          <w:szCs w:val="20"/>
          <w:color w:val="auto"/>
        </w:rPr>
      </w:pPr>
    </w:p>
    <w:p>
      <w:pPr>
        <w:ind w:left="2200" w:hanging="715"/>
        <w:spacing w:after="0"/>
        <w:tabs>
          <w:tab w:leader="none" w:pos="2200" w:val="left"/>
        </w:tabs>
        <w:numPr>
          <w:ilvl w:val="1"/>
          <w:numId w:val="126"/>
        </w:numPr>
        <w:rPr>
          <w:rFonts w:ascii="Arial" w:cs="Arial" w:eastAsia="Arial" w:hAnsi="Arial"/>
          <w:sz w:val="20"/>
          <w:szCs w:val="20"/>
          <w:color w:val="auto"/>
        </w:rPr>
      </w:pPr>
      <w:r>
        <w:rPr>
          <w:rFonts w:ascii="Calibri" w:cs="Calibri" w:eastAsia="Calibri" w:hAnsi="Calibri"/>
          <w:sz w:val="20"/>
          <w:szCs w:val="20"/>
          <w:color w:val="auto"/>
        </w:rPr>
        <w:t>then the Quality Agreement</w:t>
      </w:r>
    </w:p>
    <w:p>
      <w:pPr>
        <w:spacing w:after="0" w:line="238" w:lineRule="exact"/>
        <w:rPr>
          <w:rFonts w:ascii="Arial" w:cs="Arial" w:eastAsia="Arial" w:hAnsi="Arial"/>
          <w:sz w:val="20"/>
          <w:szCs w:val="20"/>
          <w:color w:val="auto"/>
        </w:rPr>
      </w:pPr>
    </w:p>
    <w:p>
      <w:pPr>
        <w:jc w:val="both"/>
        <w:ind w:left="1440" w:hanging="705"/>
        <w:spacing w:after="0" w:line="237" w:lineRule="auto"/>
        <w:tabs>
          <w:tab w:leader="none" w:pos="1440" w:val="left"/>
        </w:tabs>
        <w:numPr>
          <w:ilvl w:val="0"/>
          <w:numId w:val="127"/>
        </w:numPr>
        <w:rPr>
          <w:rFonts w:ascii="Arial" w:cs="Arial" w:eastAsia="Arial" w:hAnsi="Arial"/>
          <w:sz w:val="20"/>
          <w:szCs w:val="20"/>
          <w:color w:val="auto"/>
        </w:rPr>
      </w:pPr>
      <w:r>
        <w:rPr>
          <w:rFonts w:ascii="Calibri" w:cs="Calibri" w:eastAsia="Calibri" w:hAnsi="Calibri"/>
          <w:sz w:val="20"/>
          <w:szCs w:val="20"/>
          <w:color w:val="auto"/>
        </w:rPr>
        <w:t>Notwithstanding the foregoing, in the event of a confict or ambiguity between any term of this Agreement (including anything contained within its Schedules) and the Quality Agreement or pharmacovigilance agreement concerning the Product, the term provided in the Quality Agreement or pharmacovigilance agreement shall take precedence in as far as the confict or ambiguity concerns a quality or pharmacovigilance mater respectvely.</w:t>
      </w:r>
    </w:p>
    <w:p>
      <w:pPr>
        <w:spacing w:after="0" w:line="219"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26.3</w:t>
      </w:r>
      <w:r>
        <w:rPr>
          <w:sz w:val="20"/>
          <w:szCs w:val="20"/>
          <w:color w:val="auto"/>
        </w:rPr>
        <w:tab/>
      </w:r>
      <w:r>
        <w:rPr>
          <w:rFonts w:ascii="Calibri" w:cs="Calibri" w:eastAsia="Calibri" w:hAnsi="Calibri"/>
          <w:sz w:val="20"/>
          <w:szCs w:val="20"/>
          <w:color w:val="auto"/>
        </w:rPr>
        <w:t>Severability of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238125</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520" w:top="1440" w:right="879" w:bottom="1440" w:gutter="0" w:footer="0" w:header="0"/>
        </w:sectPr>
      </w:pPr>
    </w:p>
    <w:bookmarkStart w:id="160" w:name="page161"/>
    <w:bookmarkEnd w:id="160"/>
    <w:p>
      <w:pPr>
        <w:spacing w:after="0" w:line="93" w:lineRule="exact"/>
        <w:rPr>
          <w:sz w:val="20"/>
          <w:szCs w:val="20"/>
          <w:color w:val="auto"/>
        </w:rPr>
      </w:pPr>
    </w:p>
    <w:p>
      <w:pPr>
        <w:jc w:val="both"/>
        <w:ind w:left="740"/>
        <w:spacing w:after="0"/>
        <w:rPr>
          <w:sz w:val="20"/>
          <w:szCs w:val="20"/>
          <w:color w:val="auto"/>
        </w:rPr>
      </w:pPr>
      <w:r>
        <w:rPr>
          <w:rFonts w:ascii="Calibri" w:cs="Calibri" w:eastAsia="Calibri" w:hAnsi="Calibri"/>
          <w:sz w:val="20"/>
          <w:szCs w:val="20"/>
          <w:color w:val="auto"/>
        </w:rPr>
        <w:t>If at any tme any part of this Agreement is held to be or becomes void or otherwise unenforceable for any reason under any applicable law, the same shall be deemed omited from this Agreement and the validity and/or enforceability of the remaining provisions of this Agreement shall not in any way be afected or impaired as a result of that omission.</w:t>
      </w:r>
    </w:p>
    <w:p>
      <w:pPr>
        <w:spacing w:after="0" w:line="200" w:lineRule="exact"/>
        <w:rPr>
          <w:sz w:val="20"/>
          <w:szCs w:val="20"/>
          <w:color w:val="auto"/>
        </w:rPr>
      </w:pPr>
    </w:p>
    <w:p>
      <w:pPr>
        <w:spacing w:after="0" w:line="249"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26.4</w:t>
      </w:r>
      <w:r>
        <w:rPr>
          <w:sz w:val="20"/>
          <w:szCs w:val="20"/>
          <w:color w:val="auto"/>
        </w:rPr>
        <w:tab/>
      </w:r>
      <w:r>
        <w:rPr>
          <w:rFonts w:ascii="Calibri" w:cs="Calibri" w:eastAsia="Calibri" w:hAnsi="Calibri"/>
          <w:sz w:val="20"/>
          <w:szCs w:val="20"/>
          <w:color w:val="auto"/>
        </w:rPr>
        <w:t>Waiver</w:t>
      </w:r>
    </w:p>
    <w:p>
      <w:pPr>
        <w:spacing w:after="0" w:line="235" w:lineRule="exact"/>
        <w:rPr>
          <w:sz w:val="20"/>
          <w:szCs w:val="20"/>
          <w:color w:val="auto"/>
        </w:rPr>
      </w:pPr>
    </w:p>
    <w:p>
      <w:pPr>
        <w:jc w:val="both"/>
        <w:ind w:left="740"/>
        <w:spacing w:after="0"/>
        <w:rPr>
          <w:sz w:val="20"/>
          <w:szCs w:val="20"/>
          <w:color w:val="auto"/>
        </w:rPr>
      </w:pPr>
      <w:r>
        <w:rPr>
          <w:rFonts w:ascii="Calibri" w:cs="Calibri" w:eastAsia="Calibri" w:hAnsi="Calibri"/>
          <w:sz w:val="20"/>
          <w:szCs w:val="20"/>
          <w:color w:val="auto"/>
        </w:rPr>
        <w:t>The rights and remedies of either party in respect of this Agreement shall not be diminished, waived or extnguished by the grantng of any indulgence, forbearance or extension of tme granted by that party to the other nor by any failure of, or delay in ascertaining or exercising any such rights or remedies. Any waiver of any breach of this Agreement shall be in writng. The waiver by either party of any breach of this Agreement shall not prevent the subsequent enforcement of that provision and shall not be deemed to be a waiver of any subsequent breach of that or any other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376555</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520" w:top="1440" w:right="879" w:bottom="1440" w:gutter="0" w:footer="0" w:header="0"/>
        </w:sectPr>
      </w:pPr>
    </w:p>
    <w:bookmarkStart w:id="161" w:name="page162"/>
    <w:bookmarkEnd w:id="161"/>
    <w:p>
      <w:pPr>
        <w:ind w:left="820" w:hanging="752"/>
        <w:spacing w:after="0"/>
        <w:tabs>
          <w:tab w:leader="none" w:pos="820" w:val="left"/>
        </w:tabs>
        <w:numPr>
          <w:ilvl w:val="0"/>
          <w:numId w:val="128"/>
        </w:numPr>
        <w:rPr>
          <w:rFonts w:ascii="Arial" w:cs="Arial" w:eastAsia="Arial" w:hAnsi="Arial"/>
          <w:sz w:val="20"/>
          <w:szCs w:val="20"/>
          <w:b w:val="1"/>
          <w:bCs w:val="1"/>
          <w:color w:val="auto"/>
        </w:rPr>
      </w:pPr>
      <w:r>
        <w:rPr>
          <w:rFonts w:ascii="Calibri" w:cs="Calibri" w:eastAsia="Calibri" w:hAnsi="Calibri"/>
          <w:sz w:val="20"/>
          <w:szCs w:val="20"/>
          <w:b w:val="1"/>
          <w:bCs w:val="1"/>
          <w:color w:val="auto"/>
        </w:rPr>
        <w:t>CONTRACT ADMINISTRATION</w:t>
      </w:r>
    </w:p>
    <w:p>
      <w:pPr>
        <w:spacing w:after="0" w:line="218" w:lineRule="exact"/>
        <w:rPr>
          <w:sz w:val="20"/>
          <w:szCs w:val="20"/>
          <w:color w:val="auto"/>
        </w:rPr>
      </w:pPr>
    </w:p>
    <w:p>
      <w:pPr>
        <w:ind w:left="80"/>
        <w:spacing w:after="0"/>
        <w:tabs>
          <w:tab w:leader="none" w:pos="800" w:val="left"/>
        </w:tabs>
        <w:rPr>
          <w:sz w:val="20"/>
          <w:szCs w:val="20"/>
          <w:color w:val="auto"/>
        </w:rPr>
      </w:pPr>
      <w:r>
        <w:rPr>
          <w:rFonts w:ascii="Arial" w:cs="Arial" w:eastAsia="Arial" w:hAnsi="Arial"/>
          <w:sz w:val="20"/>
          <w:szCs w:val="20"/>
          <w:color w:val="auto"/>
        </w:rPr>
        <w:t>27.1</w:t>
      </w:r>
      <w:r>
        <w:rPr>
          <w:sz w:val="20"/>
          <w:szCs w:val="20"/>
          <w:color w:val="auto"/>
        </w:rPr>
        <w:tab/>
      </w:r>
      <w:r>
        <w:rPr>
          <w:rFonts w:ascii="Calibri" w:cs="Calibri" w:eastAsia="Calibri" w:hAnsi="Calibri"/>
          <w:sz w:val="20"/>
          <w:szCs w:val="20"/>
          <w:color w:val="auto"/>
        </w:rPr>
        <w:t>Variaton</w:t>
      </w:r>
    </w:p>
    <w:p>
      <w:pPr>
        <w:spacing w:after="0" w:line="235" w:lineRule="exact"/>
        <w:rPr>
          <w:sz w:val="20"/>
          <w:szCs w:val="20"/>
          <w:color w:val="auto"/>
        </w:rPr>
      </w:pPr>
    </w:p>
    <w:p>
      <w:pPr>
        <w:jc w:val="both"/>
        <w:ind w:left="820"/>
        <w:spacing w:after="0" w:line="234" w:lineRule="auto"/>
        <w:rPr>
          <w:sz w:val="20"/>
          <w:szCs w:val="20"/>
          <w:color w:val="auto"/>
        </w:rPr>
      </w:pPr>
      <w:r>
        <w:rPr>
          <w:rFonts w:ascii="Calibri" w:cs="Calibri" w:eastAsia="Calibri" w:hAnsi="Calibri"/>
          <w:sz w:val="20"/>
          <w:szCs w:val="20"/>
          <w:color w:val="auto"/>
        </w:rPr>
        <w:t>No purported alteraton or variaton of this Agreement shall be efectve unless it is in writng, refers specifcally to this Agreement and is signed by a director of each of the partes to this Agreement.</w:t>
      </w:r>
    </w:p>
    <w:p>
      <w:pPr>
        <w:spacing w:after="0" w:line="219" w:lineRule="exact"/>
        <w:rPr>
          <w:sz w:val="20"/>
          <w:szCs w:val="20"/>
          <w:color w:val="auto"/>
        </w:rPr>
      </w:pPr>
    </w:p>
    <w:p>
      <w:pPr>
        <w:ind w:left="80"/>
        <w:spacing w:after="0"/>
        <w:tabs>
          <w:tab w:leader="none" w:pos="800" w:val="left"/>
        </w:tabs>
        <w:rPr>
          <w:sz w:val="20"/>
          <w:szCs w:val="20"/>
          <w:color w:val="auto"/>
        </w:rPr>
      </w:pPr>
      <w:r>
        <w:rPr>
          <w:rFonts w:ascii="Arial" w:cs="Arial" w:eastAsia="Arial" w:hAnsi="Arial"/>
          <w:sz w:val="20"/>
          <w:szCs w:val="20"/>
          <w:color w:val="auto"/>
        </w:rPr>
        <w:t>27.2</w:t>
      </w:r>
      <w:r>
        <w:rPr>
          <w:sz w:val="20"/>
          <w:szCs w:val="20"/>
          <w:color w:val="auto"/>
        </w:rPr>
        <w:tab/>
      </w:r>
      <w:r>
        <w:rPr>
          <w:rFonts w:ascii="Calibri" w:cs="Calibri" w:eastAsia="Calibri" w:hAnsi="Calibri"/>
          <w:sz w:val="20"/>
          <w:szCs w:val="20"/>
          <w:color w:val="auto"/>
        </w:rPr>
        <w:t>Language</w:t>
      </w:r>
    </w:p>
    <w:p>
      <w:pPr>
        <w:spacing w:after="0" w:line="235" w:lineRule="exact"/>
        <w:rPr>
          <w:sz w:val="20"/>
          <w:szCs w:val="20"/>
          <w:color w:val="auto"/>
        </w:rPr>
      </w:pPr>
    </w:p>
    <w:p>
      <w:pPr>
        <w:jc w:val="both"/>
        <w:ind w:left="820"/>
        <w:spacing w:after="0"/>
        <w:rPr>
          <w:sz w:val="20"/>
          <w:szCs w:val="20"/>
          <w:color w:val="auto"/>
        </w:rPr>
      </w:pPr>
      <w:r>
        <w:rPr>
          <w:rFonts w:ascii="Calibri" w:cs="Calibri" w:eastAsia="Calibri" w:hAnsi="Calibri"/>
          <w:sz w:val="20"/>
          <w:szCs w:val="20"/>
          <w:color w:val="auto"/>
        </w:rPr>
        <w:t>This Agreement is entered into in the English language. All amendments or correspondence concerning or relatng to this Agreement and all notces given and all documentaton to be delivered by either party to the other under this Agreement shall be in writng in the English language or shall be accompanied by an English translaton prepared by such person or body as the partes shall have approved in advance. If there is any confict in meaning between the English language version and any version or translaton of this Agreement in any other language the English version shall prevail.</w:t>
      </w:r>
    </w:p>
    <w:p>
      <w:pPr>
        <w:spacing w:after="0" w:line="200" w:lineRule="exact"/>
        <w:rPr>
          <w:sz w:val="20"/>
          <w:szCs w:val="20"/>
          <w:color w:val="auto"/>
        </w:rPr>
      </w:pPr>
    </w:p>
    <w:p>
      <w:pPr>
        <w:spacing w:after="0" w:line="246" w:lineRule="exact"/>
        <w:rPr>
          <w:sz w:val="20"/>
          <w:szCs w:val="20"/>
          <w:color w:val="auto"/>
        </w:rPr>
      </w:pPr>
    </w:p>
    <w:p>
      <w:pPr>
        <w:ind w:left="80"/>
        <w:spacing w:after="0"/>
        <w:tabs>
          <w:tab w:leader="none" w:pos="800" w:val="left"/>
        </w:tabs>
        <w:rPr>
          <w:sz w:val="20"/>
          <w:szCs w:val="20"/>
          <w:color w:val="auto"/>
        </w:rPr>
      </w:pPr>
      <w:r>
        <w:rPr>
          <w:rFonts w:ascii="Arial" w:cs="Arial" w:eastAsia="Arial" w:hAnsi="Arial"/>
          <w:sz w:val="20"/>
          <w:szCs w:val="20"/>
          <w:color w:val="auto"/>
        </w:rPr>
        <w:t>27.3</w:t>
      </w:r>
      <w:r>
        <w:rPr>
          <w:sz w:val="20"/>
          <w:szCs w:val="20"/>
          <w:color w:val="auto"/>
        </w:rPr>
        <w:tab/>
      </w:r>
      <w:r>
        <w:rPr>
          <w:rFonts w:ascii="Calibri" w:cs="Calibri" w:eastAsia="Calibri" w:hAnsi="Calibri"/>
          <w:sz w:val="20"/>
          <w:szCs w:val="20"/>
          <w:color w:val="auto"/>
        </w:rPr>
        <w:t>Counterpart Signatures</w:t>
      </w:r>
    </w:p>
    <w:p>
      <w:pPr>
        <w:spacing w:after="0" w:line="235" w:lineRule="exact"/>
        <w:rPr>
          <w:sz w:val="20"/>
          <w:szCs w:val="20"/>
          <w:color w:val="auto"/>
        </w:rPr>
      </w:pPr>
    </w:p>
    <w:p>
      <w:pPr>
        <w:jc w:val="both"/>
        <w:ind w:left="820"/>
        <w:spacing w:after="0" w:line="236" w:lineRule="auto"/>
        <w:rPr>
          <w:sz w:val="20"/>
          <w:szCs w:val="20"/>
          <w:color w:val="auto"/>
        </w:rPr>
      </w:pPr>
      <w:r>
        <w:rPr>
          <w:rFonts w:ascii="Calibri" w:cs="Calibri" w:eastAsia="Calibri" w:hAnsi="Calibri"/>
          <w:sz w:val="20"/>
          <w:szCs w:val="20"/>
          <w:color w:val="auto"/>
        </w:rPr>
        <w:t>This Agreement may be executed in any number of counterparts, each of which when executed shall consttute an original of this Agreement, but all the counterparts together consttute the same Agreement. No counterpart shall be efectve untl each party has executed at least one counterpart.</w:t>
      </w:r>
    </w:p>
    <w:p>
      <w:pPr>
        <w:spacing w:after="0" w:line="218" w:lineRule="exact"/>
        <w:rPr>
          <w:sz w:val="20"/>
          <w:szCs w:val="20"/>
          <w:color w:val="auto"/>
        </w:rPr>
      </w:pPr>
    </w:p>
    <w:p>
      <w:pPr>
        <w:ind w:left="80"/>
        <w:spacing w:after="0"/>
        <w:tabs>
          <w:tab w:leader="none" w:pos="800" w:val="left"/>
        </w:tabs>
        <w:rPr>
          <w:sz w:val="20"/>
          <w:szCs w:val="20"/>
          <w:color w:val="auto"/>
        </w:rPr>
      </w:pPr>
      <w:r>
        <w:rPr>
          <w:rFonts w:ascii="Arial" w:cs="Arial" w:eastAsia="Arial" w:hAnsi="Arial"/>
          <w:sz w:val="20"/>
          <w:szCs w:val="20"/>
          <w:color w:val="auto"/>
        </w:rPr>
        <w:t>27.4</w:t>
      </w:r>
      <w:r>
        <w:rPr>
          <w:sz w:val="20"/>
          <w:szCs w:val="20"/>
          <w:color w:val="auto"/>
        </w:rPr>
        <w:tab/>
      </w:r>
      <w:r>
        <w:rPr>
          <w:rFonts w:ascii="Calibri" w:cs="Calibri" w:eastAsia="Calibri" w:hAnsi="Calibri"/>
          <w:sz w:val="20"/>
          <w:szCs w:val="20"/>
          <w:color w:val="auto"/>
        </w:rPr>
        <w:t>Further Actons Required</w:t>
      </w:r>
    </w:p>
    <w:p>
      <w:pPr>
        <w:spacing w:after="0" w:line="235" w:lineRule="exact"/>
        <w:rPr>
          <w:sz w:val="20"/>
          <w:szCs w:val="20"/>
          <w:color w:val="auto"/>
        </w:rPr>
      </w:pPr>
    </w:p>
    <w:p>
      <w:pPr>
        <w:jc w:val="both"/>
        <w:ind w:left="820"/>
        <w:spacing w:after="0" w:line="236" w:lineRule="auto"/>
        <w:rPr>
          <w:sz w:val="20"/>
          <w:szCs w:val="20"/>
          <w:color w:val="auto"/>
        </w:rPr>
      </w:pPr>
      <w:r>
        <w:rPr>
          <w:rFonts w:ascii="Calibri" w:cs="Calibri" w:eastAsia="Calibri" w:hAnsi="Calibri"/>
          <w:sz w:val="20"/>
          <w:szCs w:val="20"/>
          <w:color w:val="auto"/>
        </w:rPr>
        <w:t>Each of the partes shall, and shall use their reasonable endeavours to procure that any necessary third partes shall, execute and deliver to the other party such other instruments and documents and take such other acton as may reasonably be required for the purpose of giving full efect to this Agreement.</w:t>
      </w:r>
    </w:p>
    <w:p>
      <w:pPr>
        <w:spacing w:after="0" w:line="218" w:lineRule="exact"/>
        <w:rPr>
          <w:sz w:val="20"/>
          <w:szCs w:val="20"/>
          <w:color w:val="auto"/>
        </w:rPr>
      </w:pPr>
    </w:p>
    <w:p>
      <w:pPr>
        <w:ind w:left="80"/>
        <w:spacing w:after="0"/>
        <w:tabs>
          <w:tab w:leader="none" w:pos="800" w:val="left"/>
        </w:tabs>
        <w:rPr>
          <w:sz w:val="20"/>
          <w:szCs w:val="20"/>
          <w:color w:val="auto"/>
        </w:rPr>
      </w:pPr>
      <w:r>
        <w:rPr>
          <w:rFonts w:ascii="Arial" w:cs="Arial" w:eastAsia="Arial" w:hAnsi="Arial"/>
          <w:sz w:val="20"/>
          <w:szCs w:val="20"/>
          <w:color w:val="auto"/>
        </w:rPr>
        <w:t>27.5</w:t>
      </w:r>
      <w:r>
        <w:rPr>
          <w:sz w:val="20"/>
          <w:szCs w:val="20"/>
          <w:color w:val="auto"/>
        </w:rPr>
        <w:tab/>
      </w:r>
      <w:r>
        <w:rPr>
          <w:rFonts w:ascii="Calibri" w:cs="Calibri" w:eastAsia="Calibri" w:hAnsi="Calibri"/>
          <w:sz w:val="20"/>
          <w:szCs w:val="20"/>
          <w:color w:val="auto"/>
        </w:rPr>
        <w:t>Notces</w:t>
      </w:r>
    </w:p>
    <w:p>
      <w:pPr>
        <w:spacing w:after="0" w:line="239" w:lineRule="exact"/>
        <w:rPr>
          <w:sz w:val="20"/>
          <w:szCs w:val="20"/>
          <w:color w:val="auto"/>
        </w:rPr>
      </w:pPr>
    </w:p>
    <w:p>
      <w:pPr>
        <w:ind w:left="1540" w:hanging="709"/>
        <w:spacing w:after="0"/>
        <w:tabs>
          <w:tab w:leader="none" w:pos="1540" w:val="left"/>
        </w:tabs>
        <w:numPr>
          <w:ilvl w:val="1"/>
          <w:numId w:val="129"/>
        </w:numPr>
        <w:rPr>
          <w:rFonts w:ascii="Arial" w:cs="Arial" w:eastAsia="Arial" w:hAnsi="Arial"/>
          <w:sz w:val="20"/>
          <w:szCs w:val="20"/>
          <w:color w:val="auto"/>
        </w:rPr>
      </w:pPr>
      <w:r>
        <w:rPr>
          <w:rFonts w:ascii="Calibri" w:cs="Calibri" w:eastAsia="Calibri" w:hAnsi="Calibri"/>
          <w:sz w:val="20"/>
          <w:szCs w:val="20"/>
          <w:color w:val="auto"/>
        </w:rPr>
        <w:t>Any notces sent under this Agreement must be in writng.</w:t>
      </w:r>
    </w:p>
    <w:p>
      <w:pPr>
        <w:spacing w:after="0" w:line="238" w:lineRule="exact"/>
        <w:rPr>
          <w:rFonts w:ascii="Arial" w:cs="Arial" w:eastAsia="Arial" w:hAnsi="Arial"/>
          <w:sz w:val="20"/>
          <w:szCs w:val="20"/>
          <w:color w:val="auto"/>
        </w:rPr>
      </w:pPr>
    </w:p>
    <w:p>
      <w:pPr>
        <w:jc w:val="both"/>
        <w:ind w:left="1520" w:hanging="705"/>
        <w:spacing w:after="0"/>
        <w:tabs>
          <w:tab w:leader="none" w:pos="1520" w:val="left"/>
        </w:tabs>
        <w:numPr>
          <w:ilvl w:val="0"/>
          <w:numId w:val="130"/>
        </w:numPr>
        <w:rPr>
          <w:rFonts w:ascii="Arial" w:cs="Arial" w:eastAsia="Arial" w:hAnsi="Arial"/>
          <w:sz w:val="20"/>
          <w:szCs w:val="20"/>
          <w:color w:val="auto"/>
        </w:rPr>
      </w:pPr>
      <w:r>
        <w:rPr>
          <w:rFonts w:ascii="Calibri" w:cs="Calibri" w:eastAsia="Calibri" w:hAnsi="Calibri"/>
          <w:sz w:val="20"/>
          <w:szCs w:val="20"/>
          <w:color w:val="auto"/>
        </w:rPr>
        <w:t>Notces may be served in the ways set out below at the addresses set out at the top of this Agreement or at such other address as the relevant party may give notce to the other party for the purpose of service of notces under this Agreement and, the following table sets out the respectve deemed tme and proof of service:</w:t>
      </w:r>
    </w:p>
    <w:p>
      <w:pPr>
        <w:spacing w:after="0" w:line="200" w:lineRule="exact"/>
        <w:rPr>
          <w:sz w:val="20"/>
          <w:szCs w:val="20"/>
          <w:color w:val="auto"/>
        </w:rPr>
      </w:pPr>
    </w:p>
    <w:p>
      <w:pPr>
        <w:spacing w:after="0" w:line="284"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2760" w:type="dxa"/>
            <w:vAlign w:val="bottom"/>
            <w:tcBorders>
              <w:top w:val="single" w:sz="8" w:color="auto"/>
              <w:left w:val="single" w:sz="8" w:color="auto"/>
              <w:right w:val="single" w:sz="8" w:color="auto"/>
            </w:tcBorders>
          </w:tcPr>
          <w:p>
            <w:pPr>
              <w:ind w:left="60"/>
              <w:spacing w:after="0"/>
              <w:rPr>
                <w:sz w:val="20"/>
                <w:szCs w:val="20"/>
                <w:color w:val="auto"/>
              </w:rPr>
            </w:pPr>
            <w:r>
              <w:rPr>
                <w:rFonts w:ascii="Calibri" w:cs="Calibri" w:eastAsia="Calibri" w:hAnsi="Calibri"/>
                <w:sz w:val="20"/>
                <w:szCs w:val="20"/>
                <w:b w:val="1"/>
                <w:bCs w:val="1"/>
                <w:color w:val="auto"/>
              </w:rPr>
              <w:t>Manner of Delivery</w:t>
            </w:r>
          </w:p>
        </w:tc>
        <w:tc>
          <w:tcPr>
            <w:tcW w:w="3740" w:type="dxa"/>
            <w:vAlign w:val="bottom"/>
            <w:tcBorders>
              <w:top w:val="single" w:sz="8" w:color="auto"/>
              <w:right w:val="single" w:sz="8" w:color="auto"/>
            </w:tcBorders>
          </w:tcPr>
          <w:p>
            <w:pPr>
              <w:ind w:left="20"/>
              <w:spacing w:after="0"/>
              <w:rPr>
                <w:sz w:val="20"/>
                <w:szCs w:val="20"/>
                <w:color w:val="auto"/>
              </w:rPr>
            </w:pPr>
            <w:r>
              <w:rPr>
                <w:rFonts w:ascii="Calibri" w:cs="Calibri" w:eastAsia="Calibri" w:hAnsi="Calibri"/>
                <w:sz w:val="20"/>
                <w:szCs w:val="20"/>
                <w:b w:val="1"/>
                <w:bCs w:val="1"/>
                <w:color w:val="auto"/>
              </w:rPr>
              <w:t>Deemed tme of delivery</w:t>
            </w:r>
          </w:p>
        </w:tc>
        <w:tc>
          <w:tcPr>
            <w:tcW w:w="4080" w:type="dxa"/>
            <w:vAlign w:val="bottom"/>
            <w:tcBorders>
              <w:top w:val="single" w:sz="8" w:color="auto"/>
              <w:right w:val="single" w:sz="8" w:color="auto"/>
            </w:tcBorders>
          </w:tcPr>
          <w:p>
            <w:pPr>
              <w:ind w:left="40"/>
              <w:spacing w:after="0"/>
              <w:rPr>
                <w:sz w:val="20"/>
                <w:szCs w:val="20"/>
                <w:color w:val="auto"/>
              </w:rPr>
            </w:pPr>
            <w:r>
              <w:rPr>
                <w:rFonts w:ascii="Calibri" w:cs="Calibri" w:eastAsia="Calibri" w:hAnsi="Calibri"/>
                <w:sz w:val="20"/>
                <w:szCs w:val="20"/>
                <w:b w:val="1"/>
                <w:bCs w:val="1"/>
                <w:color w:val="auto"/>
              </w:rPr>
              <w:t>Proof of Service</w:t>
            </w:r>
          </w:p>
        </w:tc>
      </w:tr>
      <w:tr>
        <w:trPr>
          <w:trHeight w:val="258"/>
        </w:trPr>
        <w:tc>
          <w:tcPr>
            <w:tcW w:w="2760" w:type="dxa"/>
            <w:vAlign w:val="bottom"/>
            <w:tcBorders>
              <w:left w:val="single" w:sz="8" w:color="auto"/>
              <w:bottom w:val="single" w:sz="8" w:color="auto"/>
              <w:right w:val="single" w:sz="8" w:color="auto"/>
            </w:tcBorders>
          </w:tcPr>
          <w:p>
            <w:pPr>
              <w:spacing w:after="0"/>
              <w:rPr>
                <w:sz w:val="22"/>
                <w:szCs w:val="22"/>
                <w:color w:val="auto"/>
              </w:rPr>
            </w:pPr>
          </w:p>
        </w:tc>
        <w:tc>
          <w:tcPr>
            <w:tcW w:w="3740" w:type="dxa"/>
            <w:vAlign w:val="bottom"/>
            <w:tcBorders>
              <w:bottom w:val="single" w:sz="8" w:color="auto"/>
              <w:right w:val="single" w:sz="8" w:color="auto"/>
            </w:tcBorders>
          </w:tcPr>
          <w:p>
            <w:pPr>
              <w:spacing w:after="0"/>
              <w:rPr>
                <w:sz w:val="22"/>
                <w:szCs w:val="22"/>
                <w:color w:val="auto"/>
              </w:rPr>
            </w:pPr>
          </w:p>
        </w:tc>
        <w:tc>
          <w:tcPr>
            <w:tcW w:w="4080" w:type="dxa"/>
            <w:vAlign w:val="bottom"/>
            <w:tcBorders>
              <w:bottom w:val="single" w:sz="8" w:color="auto"/>
              <w:right w:val="single" w:sz="8" w:color="auto"/>
            </w:tcBorders>
          </w:tcPr>
          <w:p>
            <w:pPr>
              <w:spacing w:after="0"/>
              <w:rPr>
                <w:sz w:val="22"/>
                <w:szCs w:val="22"/>
                <w:color w:val="auto"/>
              </w:rPr>
            </w:pPr>
          </w:p>
        </w:tc>
      </w:tr>
      <w:tr>
        <w:trPr>
          <w:trHeight w:val="175"/>
        </w:trPr>
        <w:tc>
          <w:tcPr>
            <w:tcW w:w="2760" w:type="dxa"/>
            <w:vAlign w:val="bottom"/>
            <w:tcBorders>
              <w:left w:val="single" w:sz="8" w:color="auto"/>
              <w:right w:val="single" w:sz="8" w:color="auto"/>
            </w:tcBorders>
          </w:tcPr>
          <w:p>
            <w:pPr>
              <w:ind w:left="60"/>
              <w:spacing w:after="0" w:line="175" w:lineRule="exact"/>
              <w:rPr>
                <w:sz w:val="20"/>
                <w:szCs w:val="20"/>
                <w:color w:val="auto"/>
              </w:rPr>
            </w:pPr>
            <w:r>
              <w:rPr>
                <w:rFonts w:ascii="Calibri" w:cs="Calibri" w:eastAsia="Calibri" w:hAnsi="Calibri"/>
                <w:sz w:val="19"/>
                <w:szCs w:val="19"/>
                <w:color w:val="auto"/>
              </w:rPr>
              <w:t>Personal delivery/Cour</w:t>
            </w:r>
          </w:p>
        </w:tc>
        <w:tc>
          <w:tcPr>
            <w:tcW w:w="3740" w:type="dxa"/>
            <w:vAlign w:val="bottom"/>
            <w:tcBorders>
              <w:right w:val="single" w:sz="8" w:color="auto"/>
            </w:tcBorders>
          </w:tcPr>
          <w:p>
            <w:pPr>
              <w:ind w:left="20"/>
              <w:spacing w:after="0" w:line="175" w:lineRule="exact"/>
              <w:rPr>
                <w:sz w:val="20"/>
                <w:szCs w:val="20"/>
                <w:color w:val="auto"/>
              </w:rPr>
            </w:pPr>
            <w:r>
              <w:rPr>
                <w:rFonts w:ascii="Calibri" w:cs="Calibri" w:eastAsia="Calibri" w:hAnsi="Calibri"/>
                <w:sz w:val="19"/>
                <w:szCs w:val="19"/>
                <w:color w:val="auto"/>
              </w:rPr>
              <w:t>On delivery provided delivery between</w:t>
            </w:r>
          </w:p>
        </w:tc>
        <w:tc>
          <w:tcPr>
            <w:tcW w:w="4080" w:type="dxa"/>
            <w:vAlign w:val="bottom"/>
            <w:tcBorders>
              <w:right w:val="single" w:sz="8" w:color="auto"/>
            </w:tcBorders>
          </w:tcPr>
          <w:p>
            <w:pPr>
              <w:ind w:left="40"/>
              <w:spacing w:after="0" w:line="175" w:lineRule="exact"/>
              <w:rPr>
                <w:sz w:val="20"/>
                <w:szCs w:val="20"/>
                <w:color w:val="auto"/>
              </w:rPr>
            </w:pPr>
            <w:r>
              <w:rPr>
                <w:rFonts w:ascii="Calibri" w:cs="Calibri" w:eastAsia="Calibri" w:hAnsi="Calibri"/>
                <w:sz w:val="19"/>
                <w:szCs w:val="19"/>
                <w:color w:val="auto"/>
              </w:rPr>
              <w:t>properly addressed and delivered</w:t>
            </w:r>
          </w:p>
        </w:tc>
      </w:tr>
      <w:tr>
        <w:trPr>
          <w:trHeight w:val="234"/>
        </w:trPr>
        <w:tc>
          <w:tcPr>
            <w:tcW w:w="2760" w:type="dxa"/>
            <w:vAlign w:val="bottom"/>
            <w:tcBorders>
              <w:left w:val="single" w:sz="8" w:color="auto"/>
              <w:right w:val="single" w:sz="8" w:color="auto"/>
            </w:tcBorders>
          </w:tcPr>
          <w:p>
            <w:pPr>
              <w:spacing w:after="0"/>
              <w:rPr>
                <w:sz w:val="20"/>
                <w:szCs w:val="20"/>
                <w:color w:val="auto"/>
              </w:rPr>
            </w:pPr>
          </w:p>
        </w:tc>
        <w:tc>
          <w:tcPr>
            <w:tcW w:w="3740" w:type="dxa"/>
            <w:vAlign w:val="bottom"/>
            <w:tcBorders>
              <w:right w:val="single" w:sz="8" w:color="auto"/>
            </w:tcBorders>
          </w:tcPr>
          <w:p>
            <w:pPr>
              <w:ind w:left="20"/>
              <w:spacing w:after="0" w:line="234" w:lineRule="exact"/>
              <w:rPr>
                <w:sz w:val="20"/>
                <w:szCs w:val="20"/>
                <w:color w:val="auto"/>
              </w:rPr>
            </w:pPr>
            <w:r>
              <w:rPr>
                <w:rFonts w:ascii="Calibri" w:cs="Calibri" w:eastAsia="Calibri" w:hAnsi="Calibri"/>
                <w:sz w:val="20"/>
                <w:szCs w:val="20"/>
                <w:color w:val="auto"/>
              </w:rPr>
              <w:t>9.00am and 5.00pm on Business Day</w:t>
            </w:r>
          </w:p>
        </w:tc>
        <w:tc>
          <w:tcPr>
            <w:tcW w:w="4080" w:type="dxa"/>
            <w:vAlign w:val="bottom"/>
            <w:tcBorders>
              <w:right w:val="single" w:sz="8" w:color="auto"/>
            </w:tcBorders>
          </w:tcPr>
          <w:p>
            <w:pPr>
              <w:spacing w:after="0"/>
              <w:rPr>
                <w:sz w:val="20"/>
                <w:szCs w:val="20"/>
                <w:color w:val="auto"/>
              </w:rPr>
            </w:pPr>
          </w:p>
        </w:tc>
      </w:tr>
      <w:tr>
        <w:trPr>
          <w:trHeight w:val="465"/>
        </w:trPr>
        <w:tc>
          <w:tcPr>
            <w:tcW w:w="2760" w:type="dxa"/>
            <w:vAlign w:val="bottom"/>
            <w:tcBorders>
              <w:left w:val="single" w:sz="8" w:color="auto"/>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4080" w:type="dxa"/>
            <w:vAlign w:val="bottom"/>
            <w:tcBorders>
              <w:bottom w:val="single" w:sz="8" w:color="auto"/>
              <w:right w:val="single" w:sz="8" w:color="auto"/>
            </w:tcBorders>
          </w:tcPr>
          <w:p>
            <w:pPr>
              <w:spacing w:after="0"/>
              <w:rPr>
                <w:sz w:val="24"/>
                <w:szCs w:val="24"/>
                <w:color w:val="auto"/>
              </w:rPr>
            </w:pPr>
          </w:p>
        </w:tc>
      </w:tr>
      <w:tr>
        <w:trPr>
          <w:trHeight w:val="212"/>
        </w:trPr>
        <w:tc>
          <w:tcPr>
            <w:tcW w:w="2760" w:type="dxa"/>
            <w:vAlign w:val="bottom"/>
            <w:tcBorders>
              <w:left w:val="single" w:sz="8" w:color="auto"/>
              <w:right w:val="single" w:sz="8" w:color="auto"/>
            </w:tcBorders>
          </w:tcPr>
          <w:p>
            <w:pPr>
              <w:ind w:left="60"/>
              <w:spacing w:after="0" w:line="212" w:lineRule="exact"/>
              <w:rPr>
                <w:sz w:val="20"/>
                <w:szCs w:val="20"/>
                <w:color w:val="auto"/>
              </w:rPr>
            </w:pPr>
            <w:r>
              <w:rPr>
                <w:rFonts w:ascii="Calibri" w:cs="Calibri" w:eastAsia="Calibri" w:hAnsi="Calibri"/>
                <w:sz w:val="20"/>
                <w:szCs w:val="20"/>
                <w:color w:val="auto"/>
              </w:rPr>
              <w:t>Prepaid internatonal mail</w:t>
            </w:r>
          </w:p>
        </w:tc>
        <w:tc>
          <w:tcPr>
            <w:tcW w:w="3740" w:type="dxa"/>
            <w:vAlign w:val="bottom"/>
            <w:tcBorders>
              <w:right w:val="single" w:sz="8" w:color="auto"/>
            </w:tcBorders>
          </w:tcPr>
          <w:p>
            <w:pPr>
              <w:ind w:left="20"/>
              <w:spacing w:after="0" w:line="212" w:lineRule="exact"/>
              <w:rPr>
                <w:sz w:val="20"/>
                <w:szCs w:val="20"/>
                <w:color w:val="auto"/>
              </w:rPr>
            </w:pPr>
            <w:r>
              <w:rPr>
                <w:rFonts w:ascii="Calibri" w:cs="Calibri" w:eastAsia="Calibri" w:hAnsi="Calibri"/>
                <w:sz w:val="20"/>
                <w:szCs w:val="20"/>
                <w:color w:val="auto"/>
              </w:rPr>
              <w:t>9.00am on the ffh Business D afer postng</w:t>
            </w:r>
          </w:p>
        </w:tc>
        <w:tc>
          <w:tcPr>
            <w:tcW w:w="4080" w:type="dxa"/>
            <w:vAlign w:val="bottom"/>
            <w:tcBorders>
              <w:right w:val="single" w:sz="8" w:color="auto"/>
            </w:tcBorders>
          </w:tcPr>
          <w:p>
            <w:pPr>
              <w:ind w:left="40"/>
              <w:spacing w:after="0" w:line="212" w:lineRule="exact"/>
              <w:rPr>
                <w:sz w:val="20"/>
                <w:szCs w:val="20"/>
                <w:color w:val="auto"/>
              </w:rPr>
            </w:pPr>
            <w:r>
              <w:rPr>
                <w:rFonts w:ascii="Calibri" w:cs="Calibri" w:eastAsia="Calibri" w:hAnsi="Calibri"/>
                <w:sz w:val="20"/>
                <w:szCs w:val="20"/>
                <w:color w:val="auto"/>
              </w:rPr>
              <w:t>properly addressed   prepaid a posted</w:t>
            </w:r>
          </w:p>
        </w:tc>
      </w:tr>
      <w:tr>
        <w:trPr>
          <w:trHeight w:val="234"/>
        </w:trPr>
        <w:tc>
          <w:tcPr>
            <w:tcW w:w="2760" w:type="dxa"/>
            <w:vAlign w:val="bottom"/>
            <w:tcBorders>
              <w:left w:val="single" w:sz="8" w:color="auto"/>
              <w:right w:val="single" w:sz="8" w:color="auto"/>
            </w:tcBorders>
          </w:tcPr>
          <w:p>
            <w:pPr>
              <w:ind w:left="60"/>
              <w:spacing w:after="0" w:line="234" w:lineRule="exact"/>
              <w:rPr>
                <w:sz w:val="20"/>
                <w:szCs w:val="20"/>
                <w:color w:val="auto"/>
              </w:rPr>
            </w:pPr>
            <w:r>
              <w:rPr>
                <w:rFonts w:ascii="Calibri" w:cs="Calibri" w:eastAsia="Calibri" w:hAnsi="Calibri"/>
                <w:sz w:val="20"/>
                <w:szCs w:val="20"/>
                <w:color w:val="auto"/>
              </w:rPr>
              <w:t>postal service</w:t>
            </w:r>
          </w:p>
        </w:tc>
        <w:tc>
          <w:tcPr>
            <w:tcW w:w="3740" w:type="dxa"/>
            <w:vAlign w:val="bottom"/>
            <w:tcBorders>
              <w:right w:val="single" w:sz="8" w:color="auto"/>
            </w:tcBorders>
          </w:tcPr>
          <w:p>
            <w:pPr>
              <w:spacing w:after="0"/>
              <w:rPr>
                <w:sz w:val="20"/>
                <w:szCs w:val="20"/>
                <w:color w:val="auto"/>
              </w:rPr>
            </w:pPr>
          </w:p>
        </w:tc>
        <w:tc>
          <w:tcPr>
            <w:tcW w:w="4080" w:type="dxa"/>
            <w:vAlign w:val="bottom"/>
            <w:tcBorders>
              <w:right w:val="single" w:sz="8" w:color="auto"/>
            </w:tcBorders>
          </w:tcPr>
          <w:p>
            <w:pPr>
              <w:spacing w:after="0"/>
              <w:rPr>
                <w:sz w:val="20"/>
                <w:szCs w:val="20"/>
                <w:color w:val="auto"/>
              </w:rPr>
            </w:pPr>
          </w:p>
        </w:tc>
      </w:tr>
      <w:tr>
        <w:trPr>
          <w:trHeight w:val="236"/>
        </w:trPr>
        <w:tc>
          <w:tcPr>
            <w:tcW w:w="2760" w:type="dxa"/>
            <w:vAlign w:val="bottom"/>
            <w:tcBorders>
              <w:left w:val="single" w:sz="8" w:color="auto"/>
              <w:bottom w:val="single" w:sz="8" w:color="auto"/>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spacing w:after="0"/>
              <w:rPr>
                <w:sz w:val="20"/>
                <w:szCs w:val="20"/>
                <w:color w:val="auto"/>
              </w:rPr>
            </w:pPr>
          </w:p>
        </w:tc>
        <w:tc>
          <w:tcPr>
            <w:tcW w:w="408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48" w:lineRule="exact"/>
        <w:rPr>
          <w:sz w:val="20"/>
          <w:szCs w:val="20"/>
          <w:color w:val="auto"/>
        </w:rPr>
      </w:pPr>
    </w:p>
    <w:p>
      <w:pPr>
        <w:ind w:left="1520" w:right="20" w:hanging="705"/>
        <w:spacing w:after="0" w:line="234" w:lineRule="auto"/>
        <w:tabs>
          <w:tab w:leader="none" w:pos="1520" w:val="left"/>
        </w:tabs>
        <w:numPr>
          <w:ilvl w:val="0"/>
          <w:numId w:val="131"/>
        </w:numPr>
        <w:rPr>
          <w:rFonts w:ascii="Arial" w:cs="Arial" w:eastAsia="Arial" w:hAnsi="Arial"/>
          <w:sz w:val="20"/>
          <w:szCs w:val="20"/>
          <w:color w:val="auto"/>
        </w:rPr>
      </w:pPr>
      <w:r>
        <w:rPr>
          <w:rFonts w:ascii="Calibri" w:cs="Calibri" w:eastAsia="Calibri" w:hAnsi="Calibri"/>
          <w:sz w:val="20"/>
          <w:szCs w:val="20"/>
          <w:color w:val="auto"/>
        </w:rPr>
        <w:t>For the purpose of Clause 27.5(b) and calculatng deemed receipt all references to tme are local tme in the place of deemed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240665</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440" w:top="1402" w:right="879" w:bottom="1440" w:gutter="0" w:footer="0" w:header="0"/>
        </w:sectPr>
      </w:pPr>
    </w:p>
    <w:bookmarkStart w:id="162" w:name="page163"/>
    <w:bookmarkEnd w:id="162"/>
    <w:p>
      <w:pPr>
        <w:ind w:left="752" w:hanging="752"/>
        <w:spacing w:after="0"/>
        <w:tabs>
          <w:tab w:leader="none" w:pos="752" w:val="left"/>
        </w:tabs>
        <w:numPr>
          <w:ilvl w:val="0"/>
          <w:numId w:val="132"/>
        </w:numPr>
        <w:rPr>
          <w:rFonts w:ascii="Arial" w:cs="Arial" w:eastAsia="Arial" w:hAnsi="Arial"/>
          <w:sz w:val="20"/>
          <w:szCs w:val="20"/>
          <w:b w:val="1"/>
          <w:bCs w:val="1"/>
          <w:color w:val="auto"/>
        </w:rPr>
      </w:pPr>
      <w:r>
        <w:rPr>
          <w:rFonts w:ascii="Calibri" w:cs="Calibri" w:eastAsia="Calibri" w:hAnsi="Calibri"/>
          <w:sz w:val="20"/>
          <w:szCs w:val="20"/>
          <w:b w:val="1"/>
          <w:bCs w:val="1"/>
          <w:color w:val="auto"/>
        </w:rPr>
        <w:t>DISPUTE RESOLUTION PROCEDURE</w:t>
      </w:r>
    </w:p>
    <w:p>
      <w:pPr>
        <w:spacing w:after="0" w:line="227" w:lineRule="exact"/>
        <w:rPr>
          <w:sz w:val="20"/>
          <w:szCs w:val="20"/>
          <w:color w:val="auto"/>
        </w:rPr>
      </w:pPr>
    </w:p>
    <w:p>
      <w:pPr>
        <w:jc w:val="both"/>
        <w:ind w:left="712" w:hanging="697"/>
        <w:spacing w:after="0" w:line="237" w:lineRule="auto"/>
        <w:tabs>
          <w:tab w:leader="none" w:pos="692" w:val="left"/>
        </w:tabs>
        <w:rPr>
          <w:sz w:val="20"/>
          <w:szCs w:val="20"/>
          <w:color w:val="auto"/>
        </w:rPr>
      </w:pPr>
      <w:r>
        <w:rPr>
          <w:rFonts w:ascii="Arial" w:cs="Arial" w:eastAsia="Arial" w:hAnsi="Arial"/>
          <w:sz w:val="20"/>
          <w:szCs w:val="20"/>
          <w:color w:val="auto"/>
        </w:rPr>
        <w:t>28.1</w:t>
      </w:r>
      <w:r>
        <w:rPr>
          <w:sz w:val="20"/>
          <w:szCs w:val="20"/>
          <w:color w:val="auto"/>
        </w:rPr>
        <w:tab/>
      </w:r>
      <w:r>
        <w:rPr>
          <w:rFonts w:ascii="Calibri" w:cs="Calibri" w:eastAsia="Calibri" w:hAnsi="Calibri"/>
          <w:sz w:val="20"/>
          <w:szCs w:val="20"/>
          <w:color w:val="auto"/>
        </w:rPr>
        <w:t>Disputes. The partes recognize that disagreements as to certain maters may from tme to tme arise out of this Agreement. The partes agree that such disagreements are to be governed in accordance with this Clause 28. Disagreements that are claims, counterclaims, demands, causes of acton, disputes or controversies both arising out of this Agreement and related to the performance, enforcement, breach or terminaton of this Agreement are each, a “</w:t>
      </w:r>
      <w:r>
        <w:rPr>
          <w:rFonts w:ascii="Calibri" w:cs="Calibri" w:eastAsia="Calibri" w:hAnsi="Calibri"/>
          <w:sz w:val="20"/>
          <w:szCs w:val="20"/>
          <w:b w:val="1"/>
          <w:bCs w:val="1"/>
          <w:color w:val="auto"/>
        </w:rPr>
        <w:t>Dispute</w:t>
      </w:r>
      <w:r>
        <w:rPr>
          <w:rFonts w:ascii="Calibri" w:cs="Calibri" w:eastAsia="Calibri" w:hAnsi="Calibri"/>
          <w:sz w:val="20"/>
          <w:szCs w:val="20"/>
          <w:color w:val="auto"/>
        </w:rPr>
        <w:t>”. For the avoidance of doubt, Dispute does not include any claims, counterclaims, demands, causes of acton, disputes or controversies regarding a party’s use of any Intellectual Property Rights of the other party, where such use is not expressly granted by the other party.</w:t>
      </w:r>
    </w:p>
    <w:p>
      <w:pPr>
        <w:spacing w:after="0" w:line="243" w:lineRule="exact"/>
        <w:rPr>
          <w:sz w:val="20"/>
          <w:szCs w:val="20"/>
          <w:color w:val="auto"/>
        </w:rPr>
      </w:pPr>
    </w:p>
    <w:p>
      <w:pPr>
        <w:jc w:val="both"/>
        <w:ind w:left="712" w:hanging="697"/>
        <w:spacing w:after="0" w:line="234" w:lineRule="auto"/>
        <w:tabs>
          <w:tab w:leader="none" w:pos="692" w:val="left"/>
        </w:tabs>
        <w:rPr>
          <w:sz w:val="20"/>
          <w:szCs w:val="20"/>
          <w:color w:val="auto"/>
        </w:rPr>
      </w:pPr>
      <w:r>
        <w:rPr>
          <w:rFonts w:ascii="Arial" w:cs="Arial" w:eastAsia="Arial" w:hAnsi="Arial"/>
          <w:sz w:val="20"/>
          <w:szCs w:val="20"/>
          <w:color w:val="auto"/>
        </w:rPr>
        <w:t>28.2</w:t>
      </w:r>
      <w:r>
        <w:rPr>
          <w:sz w:val="20"/>
          <w:szCs w:val="20"/>
          <w:color w:val="auto"/>
        </w:rPr>
        <w:tab/>
      </w:r>
      <w:r>
        <w:rPr>
          <w:rFonts w:ascii="Calibri" w:cs="Calibri" w:eastAsia="Calibri" w:hAnsi="Calibri"/>
          <w:sz w:val="20"/>
          <w:szCs w:val="20"/>
          <w:color w:val="auto"/>
        </w:rPr>
        <w:t>In the event of any Dispute under this Agreement, the partes shall refer such dispute to [***] for atempted resoluton by good faith negotatons within [***] days afer such referral is made.</w:t>
      </w:r>
    </w:p>
    <w:p>
      <w:pPr>
        <w:spacing w:after="0" w:line="239" w:lineRule="exact"/>
        <w:rPr>
          <w:sz w:val="20"/>
          <w:szCs w:val="20"/>
          <w:color w:val="auto"/>
        </w:rPr>
      </w:pPr>
    </w:p>
    <w:p>
      <w:pPr>
        <w:jc w:val="both"/>
        <w:ind w:left="712" w:hanging="697"/>
        <w:spacing w:after="0" w:line="236" w:lineRule="auto"/>
        <w:tabs>
          <w:tab w:leader="none" w:pos="692" w:val="left"/>
        </w:tabs>
        <w:rPr>
          <w:sz w:val="20"/>
          <w:szCs w:val="20"/>
          <w:color w:val="auto"/>
        </w:rPr>
      </w:pPr>
      <w:r>
        <w:rPr>
          <w:rFonts w:ascii="Arial" w:cs="Arial" w:eastAsia="Arial" w:hAnsi="Arial"/>
          <w:sz w:val="20"/>
          <w:szCs w:val="20"/>
          <w:color w:val="auto"/>
        </w:rPr>
        <w:t>28.3</w:t>
      </w:r>
      <w:r>
        <w:rPr>
          <w:sz w:val="20"/>
          <w:szCs w:val="20"/>
          <w:color w:val="auto"/>
        </w:rPr>
        <w:tab/>
      </w:r>
      <w:r>
        <w:rPr>
          <w:rFonts w:ascii="Calibri" w:cs="Calibri" w:eastAsia="Calibri" w:hAnsi="Calibri"/>
          <w:sz w:val="20"/>
          <w:szCs w:val="20"/>
          <w:color w:val="auto"/>
        </w:rPr>
        <w:t>Agreement to Arbitrate. If the partes fail to resolve any Dispute pursuant to Clause 28.2, either party may submit that Dispute for fnal resoluton by binding arbitraton administered by the Internatonal Chamber of Commerce (“</w:t>
      </w:r>
      <w:r>
        <w:rPr>
          <w:rFonts w:ascii="Calibri" w:cs="Calibri" w:eastAsia="Calibri" w:hAnsi="Calibri"/>
          <w:sz w:val="20"/>
          <w:szCs w:val="20"/>
          <w:b w:val="1"/>
          <w:bCs w:val="1"/>
          <w:color w:val="auto"/>
        </w:rPr>
        <w:t>ICC</w:t>
      </w:r>
      <w:r>
        <w:rPr>
          <w:rFonts w:ascii="Calibri" w:cs="Calibri" w:eastAsia="Calibri" w:hAnsi="Calibri"/>
          <w:sz w:val="20"/>
          <w:szCs w:val="20"/>
          <w:color w:val="auto"/>
        </w:rPr>
        <w:t>”) in accordance with its Rules of Arbitraton (the “</w:t>
      </w:r>
      <w:r>
        <w:rPr>
          <w:rFonts w:ascii="Calibri" w:cs="Calibri" w:eastAsia="Calibri" w:hAnsi="Calibri"/>
          <w:sz w:val="20"/>
          <w:szCs w:val="20"/>
          <w:b w:val="1"/>
          <w:bCs w:val="1"/>
          <w:color w:val="auto"/>
        </w:rPr>
        <w:t>Rules</w:t>
      </w:r>
      <w:r>
        <w:rPr>
          <w:rFonts w:ascii="Calibri" w:cs="Calibri" w:eastAsia="Calibri" w:hAnsi="Calibri"/>
          <w:sz w:val="20"/>
          <w:szCs w:val="20"/>
          <w:color w:val="auto"/>
        </w:rPr>
        <w:t>”) then in force, to the extent such Rules are not inconsistent with the provisions of this Agreement.</w:t>
      </w:r>
    </w:p>
    <w:p>
      <w:pPr>
        <w:spacing w:after="0" w:line="241" w:lineRule="exact"/>
        <w:rPr>
          <w:sz w:val="20"/>
          <w:szCs w:val="20"/>
          <w:color w:val="auto"/>
        </w:rPr>
      </w:pPr>
    </w:p>
    <w:p>
      <w:pPr>
        <w:jc w:val="both"/>
        <w:ind w:left="712" w:hanging="697"/>
        <w:spacing w:after="0"/>
        <w:tabs>
          <w:tab w:leader="none" w:pos="692" w:val="left"/>
        </w:tabs>
        <w:rPr>
          <w:sz w:val="20"/>
          <w:szCs w:val="20"/>
          <w:color w:val="auto"/>
        </w:rPr>
      </w:pPr>
      <w:r>
        <w:rPr>
          <w:rFonts w:ascii="Arial" w:cs="Arial" w:eastAsia="Arial" w:hAnsi="Arial"/>
          <w:sz w:val="20"/>
          <w:szCs w:val="20"/>
          <w:color w:val="auto"/>
        </w:rPr>
        <w:t>28.4</w:t>
      </w:r>
      <w:r>
        <w:rPr>
          <w:sz w:val="20"/>
          <w:szCs w:val="20"/>
          <w:color w:val="auto"/>
        </w:rPr>
        <w:tab/>
      </w:r>
      <w:r>
        <w:rPr>
          <w:rFonts w:ascii="Calibri" w:cs="Calibri" w:eastAsia="Calibri" w:hAnsi="Calibri"/>
          <w:sz w:val="20"/>
          <w:szCs w:val="20"/>
          <w:color w:val="auto"/>
        </w:rPr>
        <w:t>Number and Appointment of Arbitrators. Except as provided by this Clause 28.4 or in Clause 28.5, the appointment and confrmaton of the arbitrators shall be made in accordance with the relevant provisions of the Rules. The arbitral tribunal shall be composed of three (3) arbitrators (the “</w:t>
      </w:r>
      <w:r>
        <w:rPr>
          <w:rFonts w:ascii="Calibri" w:cs="Calibri" w:eastAsia="Calibri" w:hAnsi="Calibri"/>
          <w:sz w:val="20"/>
          <w:szCs w:val="20"/>
          <w:b w:val="1"/>
          <w:bCs w:val="1"/>
          <w:color w:val="auto"/>
        </w:rPr>
        <w:t>Tribunal</w:t>
      </w:r>
      <w:r>
        <w:rPr>
          <w:rFonts w:ascii="Calibri" w:cs="Calibri" w:eastAsia="Calibri" w:hAnsi="Calibri"/>
          <w:sz w:val="20"/>
          <w:szCs w:val="20"/>
          <w:color w:val="auto"/>
        </w:rPr>
        <w:t>”) to be appointed in accordance with the Rules, except as expressly provided for herein. Each party shall select one (1) arbitrator from the list of available ICC arbitrators and such arbitrators shall jointly appoint the third arbitrator who shall act as the chairman of the Tribunal (the “</w:t>
      </w:r>
      <w:r>
        <w:rPr>
          <w:rFonts w:ascii="Calibri" w:cs="Calibri" w:eastAsia="Calibri" w:hAnsi="Calibri"/>
          <w:sz w:val="20"/>
          <w:szCs w:val="20"/>
          <w:b w:val="1"/>
          <w:bCs w:val="1"/>
          <w:color w:val="auto"/>
        </w:rPr>
        <w:t>Chairman</w:t>
      </w:r>
      <w:r>
        <w:rPr>
          <w:rFonts w:ascii="Calibri" w:cs="Calibri" w:eastAsia="Calibri" w:hAnsi="Calibri"/>
          <w:sz w:val="20"/>
          <w:szCs w:val="20"/>
          <w:color w:val="auto"/>
        </w:rPr>
        <w:t>”). In the event any arbitrator becomes unable to serve, that arbitrator will be replaced in the same manner in which he or she was appointed. If either party fails to appoint an arbitrator within [***] days of the initaton of arbitraton, the other party may request the ICC to appoint such co-arbitrator (for the non-responsive party). Such appointment shall be binding on the partes. If the arbitrators selected by the partes cannot agree on a Chairman within [***] days afer they have been selected, then the ICC shall appoint the Chairman upon request by either party.</w:t>
      </w:r>
    </w:p>
    <w:p>
      <w:pPr>
        <w:spacing w:after="0" w:line="200" w:lineRule="exact"/>
        <w:rPr>
          <w:sz w:val="20"/>
          <w:szCs w:val="20"/>
          <w:color w:val="auto"/>
        </w:rPr>
      </w:pPr>
    </w:p>
    <w:p>
      <w:pPr>
        <w:spacing w:after="0" w:line="261" w:lineRule="exact"/>
        <w:rPr>
          <w:sz w:val="20"/>
          <w:szCs w:val="20"/>
          <w:color w:val="auto"/>
        </w:rPr>
      </w:pPr>
    </w:p>
    <w:p>
      <w:pPr>
        <w:jc w:val="both"/>
        <w:ind w:left="712" w:hanging="697"/>
        <w:spacing w:after="0" w:line="237" w:lineRule="auto"/>
        <w:tabs>
          <w:tab w:leader="none" w:pos="692" w:val="left"/>
        </w:tabs>
        <w:rPr>
          <w:sz w:val="20"/>
          <w:szCs w:val="20"/>
          <w:color w:val="auto"/>
        </w:rPr>
      </w:pPr>
      <w:r>
        <w:rPr>
          <w:rFonts w:ascii="Arial" w:cs="Arial" w:eastAsia="Arial" w:hAnsi="Arial"/>
          <w:sz w:val="20"/>
          <w:szCs w:val="20"/>
          <w:color w:val="auto"/>
        </w:rPr>
        <w:t>28.5</w:t>
      </w:r>
      <w:r>
        <w:rPr>
          <w:sz w:val="20"/>
          <w:szCs w:val="20"/>
          <w:color w:val="auto"/>
        </w:rPr>
        <w:tab/>
      </w:r>
      <w:r>
        <w:rPr>
          <w:rFonts w:ascii="Calibri" w:cs="Calibri" w:eastAsia="Calibri" w:hAnsi="Calibri"/>
          <w:sz w:val="20"/>
          <w:szCs w:val="20"/>
          <w:color w:val="auto"/>
        </w:rPr>
        <w:t>Confdentality. Except to the extent necessary for proceedings relatng to enforcement of the arbitraton agreement, the award, or other related rights of the partes, the fact of the arbitraton, the arbitraton proceeding itself, all evidence, writen statements or other documents exchanged or used in the arbitraton and the Tribunal’s award will be maintained in confdence by the partes to the fullest extent permited by law. However, a violaton of this covenant will not afect the enforceability of this agreement to arbitrate or of the Tribunal’s award.</w:t>
      </w:r>
    </w:p>
    <w:p>
      <w:pPr>
        <w:spacing w:after="0" w:line="239" w:lineRule="exact"/>
        <w:rPr>
          <w:sz w:val="20"/>
          <w:szCs w:val="20"/>
          <w:color w:val="auto"/>
        </w:rPr>
      </w:pPr>
    </w:p>
    <w:p>
      <w:pPr>
        <w:jc w:val="both"/>
        <w:ind w:left="712" w:hanging="697"/>
        <w:spacing w:after="0" w:line="236" w:lineRule="auto"/>
        <w:tabs>
          <w:tab w:leader="none" w:pos="692" w:val="left"/>
        </w:tabs>
        <w:rPr>
          <w:sz w:val="20"/>
          <w:szCs w:val="20"/>
          <w:color w:val="auto"/>
        </w:rPr>
      </w:pPr>
      <w:r>
        <w:rPr>
          <w:rFonts w:ascii="Arial" w:cs="Arial" w:eastAsia="Arial" w:hAnsi="Arial"/>
          <w:sz w:val="20"/>
          <w:szCs w:val="20"/>
          <w:color w:val="auto"/>
        </w:rPr>
        <w:t>28.6</w:t>
      </w:r>
      <w:r>
        <w:rPr>
          <w:sz w:val="20"/>
          <w:szCs w:val="20"/>
          <w:color w:val="auto"/>
        </w:rPr>
        <w:tab/>
      </w:r>
      <w:r>
        <w:rPr>
          <w:rFonts w:ascii="Calibri" w:cs="Calibri" w:eastAsia="Calibri" w:hAnsi="Calibri"/>
          <w:sz w:val="20"/>
          <w:szCs w:val="20"/>
          <w:color w:val="auto"/>
        </w:rPr>
        <w:t>Costs. Each party shall [***]. The Tribunal may also fx such costs and expenses proportonate to the extent each party prevails in the arbitraton, as the circumstances may warrant. If a party fails to proceed with arbitraton, unsuccessfully challenges the arbitraton award or fails to comply with the arbitraton award, the other party will be enttled to costs, including reasonable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240030</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12"/>
          </w:cols>
          <w:pgMar w:left="508" w:top="1402" w:right="879" w:bottom="1440" w:gutter="0" w:footer="0" w:header="0"/>
        </w:sectPr>
      </w:pPr>
    </w:p>
    <w:bookmarkStart w:id="163" w:name="page164"/>
    <w:bookmarkEnd w:id="163"/>
    <w:p>
      <w:pPr>
        <w:ind w:left="920"/>
        <w:spacing w:after="0"/>
        <w:rPr>
          <w:sz w:val="20"/>
          <w:szCs w:val="20"/>
          <w:color w:val="auto"/>
        </w:rPr>
      </w:pPr>
      <w:r>
        <w:rPr>
          <w:rFonts w:ascii="Calibri" w:cs="Calibri" w:eastAsia="Calibri" w:hAnsi="Calibri"/>
          <w:sz w:val="20"/>
          <w:szCs w:val="20"/>
          <w:color w:val="auto"/>
        </w:rPr>
        <w:t>atorneys’ fees and disbursements, for having to compel arbitraton or defend or enforce the award.</w:t>
      </w:r>
    </w:p>
    <w:p>
      <w:pPr>
        <w:spacing w:after="0" w:line="227" w:lineRule="exact"/>
        <w:rPr>
          <w:sz w:val="20"/>
          <w:szCs w:val="20"/>
          <w:color w:val="auto"/>
        </w:rPr>
      </w:pPr>
    </w:p>
    <w:p>
      <w:pPr>
        <w:jc w:val="both"/>
        <w:ind w:left="880" w:hanging="697"/>
        <w:spacing w:after="0" w:line="237" w:lineRule="auto"/>
        <w:tabs>
          <w:tab w:leader="none" w:pos="860" w:val="left"/>
        </w:tabs>
        <w:rPr>
          <w:sz w:val="20"/>
          <w:szCs w:val="20"/>
          <w:color w:val="auto"/>
        </w:rPr>
      </w:pPr>
      <w:r>
        <w:rPr>
          <w:rFonts w:ascii="Arial" w:cs="Arial" w:eastAsia="Arial" w:hAnsi="Arial"/>
          <w:sz w:val="20"/>
          <w:szCs w:val="20"/>
          <w:color w:val="auto"/>
        </w:rPr>
        <w:t>28.7</w:t>
      </w:r>
      <w:r>
        <w:rPr>
          <w:sz w:val="20"/>
          <w:szCs w:val="20"/>
          <w:color w:val="auto"/>
        </w:rPr>
        <w:tab/>
      </w:r>
      <w:r>
        <w:rPr>
          <w:rFonts w:ascii="Calibri" w:cs="Calibri" w:eastAsia="Calibri" w:hAnsi="Calibri"/>
          <w:sz w:val="20"/>
          <w:szCs w:val="20"/>
          <w:color w:val="auto"/>
        </w:rPr>
        <w:t>Notwithstanding the provisions of this Clause 28, either party may (unless agreed otherwise in writng) take proceedings or seek remedies before the courts or any competent authority of any country for injunctve relief or interlocutory remedies in relaton to any breach of this Agreement or infringement by the other party of that party’s Intellectual Property Rights, confdentality rights or other such rights that without which would otherwise result in substantal fnancial or commercial harm.</w:t>
      </w:r>
    </w:p>
    <w:p>
      <w:pPr>
        <w:spacing w:after="0" w:line="240" w:lineRule="exact"/>
        <w:rPr>
          <w:sz w:val="20"/>
          <w:szCs w:val="20"/>
          <w:color w:val="auto"/>
        </w:rPr>
      </w:pPr>
    </w:p>
    <w:p>
      <w:pPr>
        <w:ind w:left="920" w:hanging="752"/>
        <w:spacing w:after="0"/>
        <w:tabs>
          <w:tab w:leader="none" w:pos="920" w:val="left"/>
        </w:tabs>
        <w:numPr>
          <w:ilvl w:val="0"/>
          <w:numId w:val="133"/>
        </w:numPr>
        <w:rPr>
          <w:rFonts w:ascii="Arial" w:cs="Arial" w:eastAsia="Arial" w:hAnsi="Arial"/>
          <w:sz w:val="20"/>
          <w:szCs w:val="20"/>
          <w:b w:val="1"/>
          <w:bCs w:val="1"/>
          <w:color w:val="auto"/>
        </w:rPr>
      </w:pPr>
      <w:r>
        <w:rPr>
          <w:rFonts w:ascii="Calibri" w:cs="Calibri" w:eastAsia="Calibri" w:hAnsi="Calibri"/>
          <w:sz w:val="20"/>
          <w:szCs w:val="20"/>
          <w:b w:val="1"/>
          <w:bCs w:val="1"/>
          <w:color w:val="auto"/>
        </w:rPr>
        <w:t>LAW AND JURISDICTION</w:t>
      </w:r>
    </w:p>
    <w:p>
      <w:pPr>
        <w:spacing w:after="0" w:line="227" w:lineRule="exact"/>
        <w:rPr>
          <w:sz w:val="20"/>
          <w:szCs w:val="20"/>
          <w:color w:val="auto"/>
        </w:rPr>
      </w:pPr>
    </w:p>
    <w:p>
      <w:pPr>
        <w:jc w:val="both"/>
        <w:ind w:left="880" w:hanging="697"/>
        <w:spacing w:after="0" w:line="236" w:lineRule="auto"/>
        <w:tabs>
          <w:tab w:leader="none" w:pos="860" w:val="left"/>
        </w:tabs>
        <w:rPr>
          <w:sz w:val="20"/>
          <w:szCs w:val="20"/>
          <w:color w:val="auto"/>
        </w:rPr>
      </w:pPr>
      <w:r>
        <w:rPr>
          <w:rFonts w:ascii="Arial" w:cs="Arial" w:eastAsia="Arial" w:hAnsi="Arial"/>
          <w:sz w:val="20"/>
          <w:szCs w:val="20"/>
          <w:color w:val="auto"/>
        </w:rPr>
        <w:t>29.1</w:t>
      </w:r>
      <w:r>
        <w:rPr>
          <w:sz w:val="20"/>
          <w:szCs w:val="20"/>
          <w:color w:val="auto"/>
        </w:rPr>
        <w:tab/>
      </w:r>
      <w:r>
        <w:rPr>
          <w:rFonts w:ascii="Calibri" w:cs="Calibri" w:eastAsia="Calibri" w:hAnsi="Calibri"/>
          <w:sz w:val="20"/>
          <w:szCs w:val="20"/>
          <w:color w:val="auto"/>
        </w:rPr>
        <w:t>Resoluton of all disputes arising out of or related to this Agreement or the performance, enforcement, breach or terminaton of this Agreement and any remedies relatng thereto, will be governed by and construed under the substantve laws of the State of New York, U.S.A., without reference to any choice of law principles thereof that would cause the applicaton of the laws of a diferent jurisdicton.</w:t>
      </w:r>
    </w:p>
    <w:p>
      <w:pPr>
        <w:spacing w:after="0" w:line="350" w:lineRule="exact"/>
        <w:rPr>
          <w:sz w:val="20"/>
          <w:szCs w:val="20"/>
          <w:color w:val="auto"/>
        </w:rPr>
      </w:pPr>
    </w:p>
    <w:p>
      <w:pPr>
        <w:ind w:left="180"/>
        <w:spacing w:after="0"/>
        <w:rPr>
          <w:sz w:val="20"/>
          <w:szCs w:val="20"/>
          <w:color w:val="auto"/>
        </w:rPr>
      </w:pPr>
      <w:r>
        <w:rPr>
          <w:rFonts w:ascii="Calibri" w:cs="Calibri" w:eastAsia="Calibri" w:hAnsi="Calibri"/>
          <w:sz w:val="20"/>
          <w:szCs w:val="20"/>
          <w:b w:val="1"/>
          <w:bCs w:val="1"/>
          <w:color w:val="auto"/>
        </w:rPr>
        <w:t xml:space="preserve">IN WITNESS OF THE ABOVE </w:t>
      </w:r>
      <w:r>
        <w:rPr>
          <w:rFonts w:ascii="Calibri" w:cs="Calibri" w:eastAsia="Calibri" w:hAnsi="Calibri"/>
          <w:sz w:val="20"/>
          <w:szCs w:val="20"/>
          <w:color w:val="auto"/>
        </w:rPr>
        <w:t>the partes have signed this Agreement on the date writen at the head of this Agreement.</w:t>
      </w: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SIGNED </w:t>
      </w:r>
      <w:r>
        <w:rPr>
          <w:rFonts w:ascii="Arial" w:cs="Arial" w:eastAsia="Arial" w:hAnsi="Arial"/>
          <w:sz w:val="20"/>
          <w:szCs w:val="20"/>
          <w:color w:val="auto"/>
        </w:rPr>
        <w:t>for and on behalf of</w:t>
      </w:r>
      <w:r>
        <w:rPr>
          <w:rFonts w:ascii="Arial" w:cs="Arial" w:eastAsia="Arial" w:hAnsi="Arial"/>
          <w:sz w:val="20"/>
          <w:szCs w:val="20"/>
          <w:b w:val="1"/>
          <w:bCs w:val="1"/>
          <w:color w:val="auto"/>
        </w:rPr>
        <w:t xml:space="preserve"> KYOWA KIRIN</w:t>
      </w:r>
    </w:p>
    <w:p>
      <w:pPr>
        <w:spacing w:after="0" w:line="231" w:lineRule="auto"/>
        <w:rPr>
          <w:sz w:val="20"/>
          <w:szCs w:val="20"/>
          <w:color w:val="auto"/>
        </w:rPr>
      </w:pPr>
      <w:r>
        <w:rPr>
          <w:rFonts w:ascii="Arial" w:cs="Arial" w:eastAsia="Arial" w:hAnsi="Arial"/>
          <w:sz w:val="20"/>
          <w:szCs w:val="20"/>
          <w:b w:val="1"/>
          <w:bCs w:val="1"/>
          <w:color w:val="auto"/>
        </w:rPr>
        <w:t>/s/ Tara D’Orsi</w:t>
      </w:r>
    </w:p>
    <w:p>
      <w:pPr>
        <w:spacing w:after="0" w:line="226" w:lineRule="auto"/>
        <w:rPr>
          <w:sz w:val="20"/>
          <w:szCs w:val="20"/>
          <w:color w:val="auto"/>
        </w:rPr>
      </w:pPr>
      <w:r>
        <w:rPr>
          <w:rFonts w:ascii="Arial" w:cs="Arial" w:eastAsia="Arial" w:hAnsi="Arial"/>
          <w:sz w:val="20"/>
          <w:szCs w:val="20"/>
          <w:b w:val="1"/>
          <w:bCs w:val="1"/>
          <w:color w:val="auto"/>
        </w:rPr>
        <w:t xml:space="preserve">Name: </w:t>
      </w:r>
      <w:r>
        <w:rPr>
          <w:rFonts w:ascii="Arial" w:cs="Arial" w:eastAsia="Arial" w:hAnsi="Arial"/>
          <w:sz w:val="20"/>
          <w:szCs w:val="20"/>
          <w:b w:val="1"/>
          <w:bCs w:val="1"/>
          <w:u w:val="single" w:color="auto"/>
          <w:color w:val="auto"/>
        </w:rPr>
        <w:t>Tara D’Orsi</w:t>
      </w:r>
    </w:p>
    <w:p>
      <w:pPr>
        <w:ind w:left="40"/>
        <w:spacing w:after="0"/>
        <w:rPr>
          <w:sz w:val="20"/>
          <w:szCs w:val="20"/>
          <w:color w:val="auto"/>
        </w:rPr>
      </w:pPr>
      <w:r>
        <w:rPr>
          <w:rFonts w:ascii="Arial" w:cs="Arial" w:eastAsia="Arial" w:hAnsi="Arial"/>
          <w:sz w:val="20"/>
          <w:szCs w:val="20"/>
          <w:b w:val="1"/>
          <w:bCs w:val="1"/>
          <w:color w:val="auto"/>
        </w:rPr>
        <w:t xml:space="preserve">Title: </w:t>
      </w:r>
      <w:r>
        <w:rPr>
          <w:rFonts w:ascii="Arial" w:cs="Arial" w:eastAsia="Arial" w:hAnsi="Arial"/>
          <w:sz w:val="20"/>
          <w:szCs w:val="20"/>
          <w:b w:val="1"/>
          <w:bCs w:val="1"/>
          <w:u w:val="single" w:color="auto"/>
          <w:color w:val="auto"/>
        </w:rPr>
        <w:t>General Counsel</w:t>
      </w:r>
      <w:r>
        <w:rPr>
          <w:rFonts w:ascii="Arial" w:cs="Arial" w:eastAsia="Arial" w:hAnsi="Arial"/>
          <w:sz w:val="20"/>
          <w:szCs w:val="20"/>
          <w:b w:val="1"/>
          <w:bCs w:val="1"/>
          <w:color w:val="auto"/>
        </w:rPr>
        <w:t xml:space="preserve"> KYOWA KIRIN,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SIGNED </w:t>
      </w:r>
      <w:r>
        <w:rPr>
          <w:rFonts w:ascii="Arial" w:cs="Arial" w:eastAsia="Arial" w:hAnsi="Arial"/>
          <w:sz w:val="20"/>
          <w:szCs w:val="20"/>
          <w:color w:val="auto"/>
        </w:rPr>
        <w:t>for and on behalf of</w:t>
      </w:r>
      <w:r>
        <w:rPr>
          <w:rFonts w:ascii="Arial" w:cs="Arial" w:eastAsia="Arial" w:hAnsi="Arial"/>
          <w:sz w:val="20"/>
          <w:szCs w:val="20"/>
          <w:b w:val="1"/>
          <w:bCs w:val="1"/>
          <w:color w:val="auto"/>
        </w:rPr>
        <w:t xml:space="preserve"> UGNX </w:t>
      </w:r>
      <w:r>
        <w:rPr>
          <w:rFonts w:ascii="Arial" w:cs="Arial" w:eastAsia="Arial" w:hAnsi="Arial"/>
          <w:sz w:val="20"/>
          <w:szCs w:val="20"/>
          <w:color w:val="auto"/>
        </w:rPr>
        <w:t>by</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/s/ Siegfried Hackl</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 xml:space="preserve">Name: </w:t>
      </w:r>
      <w:r>
        <w:rPr>
          <w:rFonts w:ascii="Arial" w:cs="Arial" w:eastAsia="Arial" w:hAnsi="Arial"/>
          <w:sz w:val="20"/>
          <w:szCs w:val="20"/>
          <w:b w:val="1"/>
          <w:bCs w:val="1"/>
          <w:u w:val="single" w:color="auto"/>
          <w:color w:val="auto"/>
        </w:rPr>
        <w:t>Siegfried Hackl</w:t>
      </w:r>
      <w:r>
        <w:rPr>
          <w:rFonts w:ascii="Arial" w:cs="Arial" w:eastAsia="Arial" w:hAnsi="Arial"/>
          <w:sz w:val="20"/>
          <w:szCs w:val="20"/>
          <w:b w:val="1"/>
          <w:bCs w:val="1"/>
          <w:color w:val="auto"/>
        </w:rPr>
        <w:t xml:space="preserve"> Title: </w:t>
      </w:r>
      <w:r>
        <w:rPr>
          <w:rFonts w:ascii="Arial" w:cs="Arial" w:eastAsia="Arial" w:hAnsi="Arial"/>
          <w:sz w:val="20"/>
          <w:szCs w:val="20"/>
          <w:b w:val="1"/>
          <w:bCs w:val="1"/>
          <w:u w:val="single" w:color="auto"/>
          <w:color w:val="auto"/>
        </w:rPr>
        <w:t>SVP Product</w:t>
      </w:r>
    </w:p>
    <w:p>
      <w:pPr>
        <w:ind w:left="40"/>
        <w:spacing w:after="0" w:line="231" w:lineRule="auto"/>
        <w:rPr>
          <w:sz w:val="20"/>
          <w:szCs w:val="20"/>
          <w:color w:val="auto"/>
        </w:rPr>
      </w:pPr>
      <w:r>
        <w:rPr>
          <w:rFonts w:ascii="Arial" w:cs="Arial" w:eastAsia="Arial" w:hAnsi="Arial"/>
          <w:sz w:val="20"/>
          <w:szCs w:val="20"/>
          <w:b w:val="1"/>
          <w:bCs w:val="1"/>
          <w:u w:val="single" w:color="auto"/>
          <w:color w:val="auto"/>
        </w:rPr>
        <w:t>Supply</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ULTRAGENYX PHARMACEUTICAL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417830</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40" w:top="1388" w:right="87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44"/>
        </w:trPr>
        <w:tc>
          <w:tcPr>
            <w:tcW w:w="780" w:type="dxa"/>
            <w:vAlign w:val="bottom"/>
          </w:tcPr>
          <w:p>
            <w:pPr>
              <w:spacing w:after="0"/>
              <w:rPr>
                <w:sz w:val="21"/>
                <w:szCs w:val="21"/>
                <w:color w:val="auto"/>
              </w:rPr>
            </w:pPr>
          </w:p>
        </w:tc>
        <w:tc>
          <w:tcPr>
            <w:tcW w:w="5800" w:type="dxa"/>
            <w:vAlign w:val="bottom"/>
          </w:tcPr>
          <w:p>
            <w:pPr>
              <w:jc w:val="center"/>
              <w:ind w:left="3401"/>
              <w:spacing w:after="0"/>
              <w:rPr>
                <w:sz w:val="20"/>
                <w:szCs w:val="20"/>
                <w:color w:val="auto"/>
              </w:rPr>
            </w:pPr>
            <w:r>
              <w:rPr>
                <w:rFonts w:ascii="Calibri" w:cs="Calibri" w:eastAsia="Calibri" w:hAnsi="Calibri"/>
                <w:sz w:val="20"/>
                <w:szCs w:val="20"/>
                <w:b w:val="1"/>
                <w:bCs w:val="1"/>
                <w:color w:val="auto"/>
              </w:rPr>
              <w:t>SCHEDULE 1</w:t>
            </w:r>
          </w:p>
        </w:tc>
        <w:tc>
          <w:tcPr>
            <w:tcW w:w="3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0"/>
        </w:trPr>
        <w:tc>
          <w:tcPr>
            <w:tcW w:w="780" w:type="dxa"/>
            <w:vAlign w:val="bottom"/>
          </w:tcPr>
          <w:p>
            <w:pPr>
              <w:spacing w:after="0"/>
              <w:rPr>
                <w:sz w:val="24"/>
                <w:szCs w:val="24"/>
                <w:color w:val="auto"/>
              </w:rPr>
            </w:pPr>
          </w:p>
        </w:tc>
        <w:tc>
          <w:tcPr>
            <w:tcW w:w="5800" w:type="dxa"/>
            <w:vAlign w:val="bottom"/>
          </w:tcPr>
          <w:p>
            <w:pPr>
              <w:jc w:val="center"/>
              <w:ind w:left="3421"/>
              <w:spacing w:after="0"/>
              <w:rPr>
                <w:sz w:val="20"/>
                <w:szCs w:val="20"/>
                <w:color w:val="auto"/>
              </w:rPr>
            </w:pPr>
            <w:r>
              <w:rPr>
                <w:rFonts w:ascii="Calibri" w:cs="Calibri" w:eastAsia="Calibri" w:hAnsi="Calibri"/>
                <w:sz w:val="20"/>
                <w:szCs w:val="20"/>
                <w:b w:val="1"/>
                <w:bCs w:val="1"/>
                <w:color w:val="auto"/>
              </w:rPr>
              <w:t>Price and Payment</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0"/>
        </w:trPr>
        <w:tc>
          <w:tcPr>
            <w:tcW w:w="780" w:type="dxa"/>
            <w:vAlign w:val="bottom"/>
          </w:tcPr>
          <w:p>
            <w:pPr>
              <w:jc w:val="right"/>
              <w:ind w:right="501"/>
              <w:spacing w:after="0"/>
              <w:rPr>
                <w:sz w:val="20"/>
                <w:szCs w:val="20"/>
                <w:color w:val="auto"/>
              </w:rPr>
            </w:pPr>
            <w:r>
              <w:rPr>
                <w:rFonts w:ascii="Arial" w:cs="Arial" w:eastAsia="Arial" w:hAnsi="Arial"/>
                <w:sz w:val="20"/>
                <w:szCs w:val="20"/>
                <w:b w:val="1"/>
                <w:bCs w:val="1"/>
                <w:color w:val="auto"/>
                <w:w w:val="95"/>
              </w:rPr>
              <w:t>1.</w:t>
            </w:r>
          </w:p>
        </w:tc>
        <w:tc>
          <w:tcPr>
            <w:tcW w:w="5800" w:type="dxa"/>
            <w:vAlign w:val="bottom"/>
          </w:tcPr>
          <w:p>
            <w:pPr>
              <w:spacing w:after="0"/>
              <w:rPr>
                <w:sz w:val="20"/>
                <w:szCs w:val="20"/>
                <w:color w:val="auto"/>
              </w:rPr>
            </w:pPr>
            <w:r>
              <w:rPr>
                <w:rFonts w:ascii="Calibri" w:cs="Calibri" w:eastAsia="Calibri" w:hAnsi="Calibri"/>
                <w:sz w:val="20"/>
                <w:szCs w:val="20"/>
                <w:b w:val="1"/>
                <w:bCs w:val="1"/>
                <w:color w:val="auto"/>
              </w:rPr>
              <w:t>MINIMUM SUPPLY PRICE</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80" w:type="dxa"/>
            <w:vAlign w:val="bottom"/>
          </w:tcPr>
          <w:p>
            <w:pPr>
              <w:spacing w:after="0"/>
              <w:rPr>
                <w:sz w:val="22"/>
                <w:szCs w:val="22"/>
                <w:color w:val="auto"/>
              </w:rPr>
            </w:pPr>
          </w:p>
        </w:tc>
        <w:tc>
          <w:tcPr>
            <w:tcW w:w="5800" w:type="dxa"/>
            <w:vAlign w:val="bottom"/>
            <w:tcBorders>
              <w:bottom w:val="single" w:sz="8" w:color="auto"/>
            </w:tcBorders>
          </w:tcPr>
          <w:p>
            <w:pPr>
              <w:spacing w:after="0"/>
              <w:rPr>
                <w:sz w:val="22"/>
                <w:szCs w:val="22"/>
                <w:color w:val="auto"/>
              </w:rPr>
            </w:pPr>
          </w:p>
        </w:tc>
        <w:tc>
          <w:tcPr>
            <w:tcW w:w="37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01"/>
        </w:trPr>
        <w:tc>
          <w:tcPr>
            <w:tcW w:w="780" w:type="dxa"/>
            <w:vAlign w:val="bottom"/>
            <w:tcBorders>
              <w:right w:val="single" w:sz="8" w:color="auto"/>
            </w:tcBorders>
          </w:tcPr>
          <w:p>
            <w:pPr>
              <w:spacing w:after="0"/>
              <w:rPr>
                <w:sz w:val="24"/>
                <w:szCs w:val="24"/>
                <w:color w:val="auto"/>
              </w:rPr>
            </w:pPr>
          </w:p>
        </w:tc>
        <w:tc>
          <w:tcPr>
            <w:tcW w:w="5800" w:type="dxa"/>
            <w:vAlign w:val="bottom"/>
            <w:tcBorders>
              <w:right w:val="single" w:sz="8" w:color="auto"/>
            </w:tcBorders>
          </w:tcPr>
          <w:p>
            <w:pPr>
              <w:ind w:left="140"/>
              <w:spacing w:after="0"/>
              <w:rPr>
                <w:sz w:val="20"/>
                <w:szCs w:val="20"/>
                <w:color w:val="auto"/>
              </w:rPr>
            </w:pPr>
            <w:r>
              <w:rPr>
                <w:rFonts w:ascii="Calibri" w:cs="Calibri" w:eastAsia="Calibri" w:hAnsi="Calibri"/>
                <w:sz w:val="20"/>
                <w:szCs w:val="20"/>
                <w:b w:val="1"/>
                <w:bCs w:val="1"/>
                <w:color w:val="auto"/>
              </w:rPr>
              <w:t>Product</w:t>
            </w:r>
          </w:p>
        </w:tc>
        <w:tc>
          <w:tcPr>
            <w:tcW w:w="3740" w:type="dxa"/>
            <w:vAlign w:val="bottom"/>
            <w:tcBorders>
              <w:right w:val="single" w:sz="8" w:color="auto"/>
            </w:tcBorders>
          </w:tcPr>
          <w:p>
            <w:pPr>
              <w:ind w:left="80"/>
              <w:spacing w:after="0"/>
              <w:rPr>
                <w:sz w:val="20"/>
                <w:szCs w:val="20"/>
                <w:color w:val="auto"/>
              </w:rPr>
            </w:pPr>
            <w:r>
              <w:rPr>
                <w:rFonts w:ascii="Calibri" w:cs="Calibri" w:eastAsia="Calibri" w:hAnsi="Calibri"/>
                <w:sz w:val="20"/>
                <w:szCs w:val="20"/>
                <w:b w:val="1"/>
                <w:bCs w:val="1"/>
                <w:color w:val="auto"/>
              </w:rPr>
              <w:t>Price</w:t>
            </w:r>
          </w:p>
        </w:tc>
        <w:tc>
          <w:tcPr>
            <w:tcW w:w="0" w:type="dxa"/>
            <w:vAlign w:val="bottom"/>
          </w:tcPr>
          <w:p>
            <w:pPr>
              <w:spacing w:after="0"/>
              <w:rPr>
                <w:sz w:val="1"/>
                <w:szCs w:val="1"/>
                <w:color w:val="auto"/>
              </w:rPr>
            </w:pPr>
          </w:p>
        </w:tc>
      </w:tr>
      <w:tr>
        <w:trPr>
          <w:trHeight w:val="43"/>
        </w:trPr>
        <w:tc>
          <w:tcPr>
            <w:tcW w:w="780" w:type="dxa"/>
            <w:vAlign w:val="bottom"/>
            <w:tcBorders>
              <w:right w:val="single" w:sz="8" w:color="auto"/>
            </w:tcBorders>
          </w:tcPr>
          <w:p>
            <w:pPr>
              <w:spacing w:after="0"/>
              <w:rPr>
                <w:sz w:val="3"/>
                <w:szCs w:val="3"/>
                <w:color w:val="auto"/>
              </w:rPr>
            </w:pPr>
          </w:p>
        </w:tc>
        <w:tc>
          <w:tcPr>
            <w:tcW w:w="580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50"/>
        </w:trPr>
        <w:tc>
          <w:tcPr>
            <w:tcW w:w="780" w:type="dxa"/>
            <w:vAlign w:val="bottom"/>
            <w:tcBorders>
              <w:right w:val="single" w:sz="8" w:color="auto"/>
            </w:tcBorders>
          </w:tcPr>
          <w:p>
            <w:pPr>
              <w:spacing w:after="0"/>
              <w:rPr>
                <w:sz w:val="24"/>
                <w:szCs w:val="24"/>
                <w:color w:val="auto"/>
              </w:rPr>
            </w:pPr>
          </w:p>
        </w:tc>
        <w:tc>
          <w:tcPr>
            <w:tcW w:w="5800" w:type="dxa"/>
            <w:vAlign w:val="bottom"/>
            <w:tcBorders>
              <w:right w:val="single" w:sz="8" w:color="auto"/>
            </w:tcBorders>
          </w:tcPr>
          <w:p>
            <w:pPr>
              <w:ind w:left="140"/>
              <w:spacing w:after="0"/>
              <w:rPr>
                <w:sz w:val="20"/>
                <w:szCs w:val="20"/>
                <w:color w:val="auto"/>
              </w:rPr>
            </w:pPr>
            <w:r>
              <w:rPr>
                <w:rFonts w:ascii="Calibri" w:cs="Calibri" w:eastAsia="Calibri" w:hAnsi="Calibri"/>
                <w:sz w:val="20"/>
                <w:szCs w:val="20"/>
                <w:color w:val="auto"/>
              </w:rPr>
              <w:t>KRN23 in all commercialized formulatons, including, but not limited</w:t>
            </w:r>
          </w:p>
        </w:tc>
        <w:tc>
          <w:tcPr>
            <w:tcW w:w="3740" w:type="dxa"/>
            <w:vAlign w:val="bottom"/>
            <w:tcBorders>
              <w:right w:val="single" w:sz="8" w:color="auto"/>
            </w:tcBorders>
            <w:vMerge w:val="restart"/>
          </w:tcPr>
          <w:p>
            <w:pPr>
              <w:ind w:left="80"/>
              <w:spacing w:after="0"/>
              <w:rPr>
                <w:sz w:val="20"/>
                <w:szCs w:val="20"/>
                <w:color w:val="auto"/>
              </w:rPr>
            </w:pPr>
            <w:r>
              <w:rPr>
                <w:rFonts w:ascii="Calibri" w:cs="Calibri" w:eastAsia="Calibri" w:hAnsi="Calibri"/>
                <w:sz w:val="20"/>
                <w:szCs w:val="20"/>
                <w:color w:val="auto"/>
              </w:rPr>
              <w:t>USD$[***] per vial</w:t>
            </w:r>
          </w:p>
        </w:tc>
        <w:tc>
          <w:tcPr>
            <w:tcW w:w="0" w:type="dxa"/>
            <w:vAlign w:val="bottom"/>
          </w:tcPr>
          <w:p>
            <w:pPr>
              <w:spacing w:after="0"/>
              <w:rPr>
                <w:sz w:val="1"/>
                <w:szCs w:val="1"/>
                <w:color w:val="auto"/>
              </w:rPr>
            </w:pPr>
          </w:p>
        </w:tc>
      </w:tr>
      <w:tr>
        <w:trPr>
          <w:trHeight w:val="243"/>
        </w:trPr>
        <w:tc>
          <w:tcPr>
            <w:tcW w:w="780" w:type="dxa"/>
            <w:vAlign w:val="bottom"/>
            <w:tcBorders>
              <w:right w:val="single" w:sz="8" w:color="auto"/>
            </w:tcBorders>
          </w:tcPr>
          <w:p>
            <w:pPr>
              <w:spacing w:after="0"/>
              <w:rPr>
                <w:sz w:val="21"/>
                <w:szCs w:val="21"/>
                <w:color w:val="auto"/>
              </w:rPr>
            </w:pPr>
          </w:p>
        </w:tc>
        <w:tc>
          <w:tcPr>
            <w:tcW w:w="5800" w:type="dxa"/>
            <w:vAlign w:val="bottom"/>
            <w:tcBorders>
              <w:right w:val="single" w:sz="8" w:color="auto"/>
            </w:tcBorders>
          </w:tcPr>
          <w:p>
            <w:pPr>
              <w:ind w:left="140"/>
              <w:spacing w:after="0" w:line="243" w:lineRule="exact"/>
              <w:rPr>
                <w:sz w:val="20"/>
                <w:szCs w:val="20"/>
                <w:color w:val="auto"/>
              </w:rPr>
            </w:pPr>
            <w:r>
              <w:rPr>
                <w:rFonts w:ascii="Calibri" w:cs="Calibri" w:eastAsia="Calibri" w:hAnsi="Calibri"/>
                <w:sz w:val="20"/>
                <w:szCs w:val="20"/>
                <w:color w:val="auto"/>
              </w:rPr>
              <w:t>to 10mg, 20mg and 30mg presentatons, in fully-fnished form</w:t>
            </w:r>
          </w:p>
        </w:tc>
        <w:tc>
          <w:tcPr>
            <w:tcW w:w="374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24"/>
        </w:trPr>
        <w:tc>
          <w:tcPr>
            <w:tcW w:w="780" w:type="dxa"/>
            <w:vAlign w:val="bottom"/>
            <w:tcBorders>
              <w:right w:val="single" w:sz="8" w:color="auto"/>
            </w:tcBorders>
          </w:tcPr>
          <w:p>
            <w:pPr>
              <w:spacing w:after="0"/>
              <w:rPr>
                <w:sz w:val="24"/>
                <w:szCs w:val="24"/>
                <w:color w:val="auto"/>
              </w:rPr>
            </w:pPr>
          </w:p>
        </w:tc>
        <w:tc>
          <w:tcPr>
            <w:tcW w:w="5800" w:type="dxa"/>
            <w:vAlign w:val="bottom"/>
            <w:tcBorders>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60" w:hanging="752"/>
        <w:spacing w:after="0"/>
        <w:tabs>
          <w:tab w:leader="none" w:pos="760" w:val="left"/>
        </w:tabs>
        <w:numPr>
          <w:ilvl w:val="0"/>
          <w:numId w:val="134"/>
        </w:numPr>
        <w:rPr>
          <w:rFonts w:ascii="Arial" w:cs="Arial" w:eastAsia="Arial" w:hAnsi="Arial"/>
          <w:sz w:val="20"/>
          <w:szCs w:val="20"/>
          <w:b w:val="1"/>
          <w:bCs w:val="1"/>
          <w:color w:val="auto"/>
        </w:rPr>
      </w:pPr>
      <w:r>
        <w:rPr>
          <w:rFonts w:ascii="Calibri" w:cs="Calibri" w:eastAsia="Calibri" w:hAnsi="Calibri"/>
          <w:sz w:val="20"/>
          <w:szCs w:val="20"/>
          <w:b w:val="1"/>
          <w:bCs w:val="1"/>
          <w:color w:val="auto"/>
        </w:rPr>
        <w:t>PAYMENT AND ROYALTIES</w:t>
      </w:r>
    </w:p>
    <w:p>
      <w:pPr>
        <w:spacing w:after="0" w:line="238" w:lineRule="exact"/>
        <w:rPr>
          <w:rFonts w:ascii="Arial" w:cs="Arial" w:eastAsia="Arial" w:hAnsi="Arial"/>
          <w:sz w:val="20"/>
          <w:szCs w:val="20"/>
          <w:b w:val="1"/>
          <w:bCs w:val="1"/>
          <w:color w:val="auto"/>
        </w:rPr>
      </w:pPr>
    </w:p>
    <w:p>
      <w:pPr>
        <w:jc w:val="both"/>
        <w:ind w:left="1460" w:hanging="703"/>
        <w:spacing w:after="0" w:line="236" w:lineRule="auto"/>
        <w:tabs>
          <w:tab w:leader="none" w:pos="1460" w:val="left"/>
        </w:tabs>
        <w:numPr>
          <w:ilvl w:val="1"/>
          <w:numId w:val="134"/>
        </w:numPr>
        <w:rPr>
          <w:rFonts w:ascii="Arial" w:cs="Arial" w:eastAsia="Arial" w:hAnsi="Arial"/>
          <w:sz w:val="20"/>
          <w:szCs w:val="20"/>
          <w:color w:val="auto"/>
        </w:rPr>
      </w:pPr>
      <w:r>
        <w:rPr>
          <w:rFonts w:ascii="Calibri" w:cs="Calibri" w:eastAsia="Calibri" w:hAnsi="Calibri"/>
          <w:sz w:val="20"/>
          <w:szCs w:val="20"/>
          <w:color w:val="auto"/>
        </w:rPr>
        <w:t>Within [***] days of delivery of Product to UGNX by Kyowa Kirin, Kyowa Kirin will invoice and UGNX shall pay an amount equal to the Minimum Supply Price multplied by the number of naked vials of Product delivered (the “</w:t>
      </w:r>
      <w:r>
        <w:rPr>
          <w:rFonts w:ascii="Calibri" w:cs="Calibri" w:eastAsia="Calibri" w:hAnsi="Calibri"/>
          <w:sz w:val="20"/>
          <w:szCs w:val="20"/>
          <w:b w:val="1"/>
          <w:bCs w:val="1"/>
          <w:color w:val="auto"/>
        </w:rPr>
        <w:t>Total Minimum Supply Price</w:t>
      </w:r>
      <w:r>
        <w:rPr>
          <w:rFonts w:ascii="Calibri" w:cs="Calibri" w:eastAsia="Calibri" w:hAnsi="Calibri"/>
          <w:sz w:val="20"/>
          <w:szCs w:val="20"/>
          <w:color w:val="auto"/>
        </w:rPr>
        <w:t>”).</w:t>
      </w:r>
    </w:p>
    <w:p>
      <w:pPr>
        <w:spacing w:after="0" w:line="238" w:lineRule="exact"/>
        <w:rPr>
          <w:rFonts w:ascii="Arial" w:cs="Arial" w:eastAsia="Arial" w:hAnsi="Arial"/>
          <w:sz w:val="20"/>
          <w:szCs w:val="20"/>
          <w:color w:val="auto"/>
        </w:rPr>
      </w:pPr>
    </w:p>
    <w:p>
      <w:pPr>
        <w:ind w:left="1460" w:hanging="703"/>
        <w:spacing w:after="0" w:line="234" w:lineRule="auto"/>
        <w:tabs>
          <w:tab w:leader="none" w:pos="1460" w:val="left"/>
        </w:tabs>
        <w:numPr>
          <w:ilvl w:val="1"/>
          <w:numId w:val="134"/>
        </w:numPr>
        <w:rPr>
          <w:rFonts w:ascii="Arial" w:cs="Arial" w:eastAsia="Arial" w:hAnsi="Arial"/>
          <w:sz w:val="20"/>
          <w:szCs w:val="20"/>
          <w:color w:val="auto"/>
        </w:rPr>
      </w:pPr>
      <w:r>
        <w:rPr>
          <w:rFonts w:ascii="Calibri" w:cs="Calibri" w:eastAsia="Calibri" w:hAnsi="Calibri"/>
          <w:sz w:val="20"/>
          <w:szCs w:val="20"/>
          <w:color w:val="auto"/>
        </w:rPr>
        <w:t>In the event that the Total Minimum Supply Price in the relevant [***] is less than the Agreed Supply Price, UGNX shall [***] within [***] days of the end of [***].</w:t>
      </w:r>
    </w:p>
    <w:p>
      <w:pPr>
        <w:spacing w:after="0" w:line="239" w:lineRule="exact"/>
        <w:rPr>
          <w:rFonts w:ascii="Arial" w:cs="Arial" w:eastAsia="Arial" w:hAnsi="Arial"/>
          <w:sz w:val="20"/>
          <w:szCs w:val="20"/>
          <w:color w:val="auto"/>
        </w:rPr>
      </w:pPr>
    </w:p>
    <w:p>
      <w:pPr>
        <w:ind w:left="1460" w:hanging="703"/>
        <w:spacing w:after="0" w:line="234" w:lineRule="auto"/>
        <w:tabs>
          <w:tab w:leader="none" w:pos="1460" w:val="left"/>
        </w:tabs>
        <w:numPr>
          <w:ilvl w:val="1"/>
          <w:numId w:val="134"/>
        </w:numPr>
        <w:rPr>
          <w:rFonts w:ascii="Arial" w:cs="Arial" w:eastAsia="Arial" w:hAnsi="Arial"/>
          <w:sz w:val="20"/>
          <w:szCs w:val="20"/>
          <w:color w:val="auto"/>
        </w:rPr>
      </w:pPr>
      <w:r>
        <w:rPr>
          <w:rFonts w:ascii="Calibri" w:cs="Calibri" w:eastAsia="Calibri" w:hAnsi="Calibri"/>
          <w:sz w:val="20"/>
          <w:szCs w:val="20"/>
          <w:color w:val="auto"/>
        </w:rPr>
        <w:t>In the event that the Total Minimum Supply Price is greater than the Agreed Supply Price, Kyowa Kirin shall [***] within [***] days of the end of [***].</w:t>
      </w:r>
    </w:p>
    <w:p>
      <w:pPr>
        <w:spacing w:after="0" w:line="229" w:lineRule="exact"/>
        <w:rPr>
          <w:rFonts w:ascii="Arial" w:cs="Arial" w:eastAsia="Arial" w:hAnsi="Arial"/>
          <w:sz w:val="20"/>
          <w:szCs w:val="20"/>
          <w:color w:val="auto"/>
        </w:rPr>
      </w:pPr>
    </w:p>
    <w:p>
      <w:pPr>
        <w:ind w:left="760" w:hanging="752"/>
        <w:spacing w:after="0"/>
        <w:tabs>
          <w:tab w:leader="none" w:pos="760" w:val="left"/>
        </w:tabs>
        <w:numPr>
          <w:ilvl w:val="0"/>
          <w:numId w:val="134"/>
        </w:numPr>
        <w:rPr>
          <w:rFonts w:ascii="Arial" w:cs="Arial" w:eastAsia="Arial" w:hAnsi="Arial"/>
          <w:sz w:val="20"/>
          <w:szCs w:val="20"/>
          <w:b w:val="1"/>
          <w:bCs w:val="1"/>
          <w:color w:val="auto"/>
        </w:rPr>
      </w:pPr>
      <w:r>
        <w:rPr>
          <w:rFonts w:ascii="Calibri" w:cs="Calibri" w:eastAsia="Calibri" w:hAnsi="Calibri"/>
          <w:sz w:val="20"/>
          <w:szCs w:val="20"/>
          <w:b w:val="1"/>
          <w:bCs w:val="1"/>
          <w:color w:val="auto"/>
        </w:rPr>
        <w:t>NET SALES</w:t>
      </w:r>
    </w:p>
    <w:p>
      <w:pPr>
        <w:spacing w:after="0" w:line="227" w:lineRule="exact"/>
        <w:rPr>
          <w:sz w:val="20"/>
          <w:szCs w:val="20"/>
          <w:color w:val="auto"/>
        </w:rPr>
      </w:pPr>
    </w:p>
    <w:p>
      <w:pPr>
        <w:jc w:val="both"/>
        <w:ind w:left="720" w:hanging="711"/>
        <w:spacing w:after="0" w:line="236" w:lineRule="auto"/>
        <w:tabs>
          <w:tab w:leader="none" w:pos="700" w:val="left"/>
        </w:tabs>
        <w:rPr>
          <w:sz w:val="20"/>
          <w:szCs w:val="20"/>
          <w:color w:val="auto"/>
        </w:rPr>
      </w:pPr>
      <w:r>
        <w:rPr>
          <w:rFonts w:ascii="Arial" w:cs="Arial" w:eastAsia="Arial" w:hAnsi="Arial"/>
          <w:sz w:val="20"/>
          <w:szCs w:val="20"/>
          <w:color w:val="auto"/>
        </w:rPr>
        <w:t>3.1</w:t>
      </w:r>
      <w:r>
        <w:rPr>
          <w:sz w:val="20"/>
          <w:szCs w:val="20"/>
          <w:color w:val="auto"/>
        </w:rPr>
        <w:tab/>
      </w:r>
      <w:r>
        <w:rPr>
          <w:rFonts w:ascii="Calibri" w:cs="Calibri" w:eastAsia="Calibri" w:hAnsi="Calibri"/>
          <w:sz w:val="20"/>
          <w:szCs w:val="20"/>
          <w:color w:val="auto"/>
        </w:rPr>
        <w:t>"</w:t>
      </w:r>
      <w:r>
        <w:rPr>
          <w:rFonts w:ascii="Calibri" w:cs="Calibri" w:eastAsia="Calibri" w:hAnsi="Calibri"/>
          <w:sz w:val="20"/>
          <w:szCs w:val="20"/>
          <w:b w:val="1"/>
          <w:bCs w:val="1"/>
          <w:color w:val="auto"/>
        </w:rPr>
        <w:t>Net Sales</w:t>
      </w:r>
      <w:r>
        <w:rPr>
          <w:rFonts w:ascii="Calibri" w:cs="Calibri" w:eastAsia="Calibri" w:hAnsi="Calibri"/>
          <w:sz w:val="20"/>
          <w:szCs w:val="20"/>
          <w:color w:val="auto"/>
        </w:rPr>
        <w:t>" means, with respect to the Product, the gross amounts invoiced by UGNX or its Afliates ("</w:t>
      </w:r>
      <w:r>
        <w:rPr>
          <w:rFonts w:ascii="Calibri" w:cs="Calibri" w:eastAsia="Calibri" w:hAnsi="Calibri"/>
          <w:sz w:val="20"/>
          <w:szCs w:val="20"/>
          <w:b w:val="1"/>
          <w:bCs w:val="1"/>
          <w:color w:val="auto"/>
        </w:rPr>
        <w:t>Selling Party</w:t>
      </w:r>
      <w:r>
        <w:rPr>
          <w:rFonts w:ascii="Calibri" w:cs="Calibri" w:eastAsia="Calibri" w:hAnsi="Calibri"/>
          <w:sz w:val="20"/>
          <w:szCs w:val="20"/>
          <w:color w:val="auto"/>
        </w:rPr>
        <w:t>") to any third party for sales of the Product in the Territory (for the avoidance of doubt, to include any revenue received in relaton to supply of the Product in the Territory, whether or not strictly deemed a sale), less the following items, provided that they are bona fde:</w:t>
      </w:r>
    </w:p>
    <w:p>
      <w:pPr>
        <w:spacing w:after="0" w:line="252" w:lineRule="exact"/>
        <w:rPr>
          <w:sz w:val="20"/>
          <w:szCs w:val="20"/>
          <w:color w:val="auto"/>
        </w:rPr>
      </w:pPr>
    </w:p>
    <w:p>
      <w:pPr>
        <w:ind w:left="1460" w:hanging="703"/>
        <w:spacing w:after="0" w:line="234" w:lineRule="auto"/>
        <w:tabs>
          <w:tab w:leader="none" w:pos="1460" w:val="left"/>
        </w:tabs>
        <w:numPr>
          <w:ilvl w:val="0"/>
          <w:numId w:val="135"/>
        </w:numPr>
        <w:rPr>
          <w:rFonts w:ascii="Arial" w:cs="Arial" w:eastAsia="Arial" w:hAnsi="Arial"/>
          <w:sz w:val="20"/>
          <w:szCs w:val="20"/>
          <w:color w:val="auto"/>
        </w:rPr>
      </w:pPr>
      <w:r>
        <w:rPr>
          <w:rFonts w:ascii="Calibri" w:cs="Calibri" w:eastAsia="Calibri" w:hAnsi="Calibri"/>
          <w:sz w:val="20"/>
          <w:szCs w:val="20"/>
          <w:color w:val="auto"/>
        </w:rPr>
        <w:t>actual credits, refunds or allowances to third party customers for spoiled, damaged, rejected, recalled, outdated and reasonably returned Product;</w:t>
      </w:r>
    </w:p>
    <w:p>
      <w:pPr>
        <w:spacing w:after="0" w:line="239" w:lineRule="exact"/>
        <w:rPr>
          <w:rFonts w:ascii="Arial" w:cs="Arial" w:eastAsia="Arial" w:hAnsi="Arial"/>
          <w:sz w:val="20"/>
          <w:szCs w:val="20"/>
          <w:color w:val="auto"/>
        </w:rPr>
      </w:pPr>
    </w:p>
    <w:p>
      <w:pPr>
        <w:jc w:val="both"/>
        <w:ind w:left="1460" w:hanging="703"/>
        <w:spacing w:after="0" w:line="236" w:lineRule="auto"/>
        <w:tabs>
          <w:tab w:leader="none" w:pos="1460" w:val="left"/>
        </w:tabs>
        <w:numPr>
          <w:ilvl w:val="0"/>
          <w:numId w:val="135"/>
        </w:numPr>
        <w:rPr>
          <w:rFonts w:ascii="Arial" w:cs="Arial" w:eastAsia="Arial" w:hAnsi="Arial"/>
          <w:sz w:val="20"/>
          <w:szCs w:val="20"/>
          <w:color w:val="auto"/>
        </w:rPr>
      </w:pPr>
      <w:r>
        <w:rPr>
          <w:rFonts w:ascii="Calibri" w:cs="Calibri" w:eastAsia="Calibri" w:hAnsi="Calibri"/>
          <w:sz w:val="20"/>
          <w:szCs w:val="20"/>
          <w:color w:val="auto"/>
        </w:rPr>
        <w:t>discounts, including cash, volume, quantty and other trade discounts, charge- back payments, and rebates and allowances actually granted, incurred or allowed in the ordinary course of business, as well as government-required discounts and allowances (including government rebates and other price reductons), and other reductons, concessions and allowances that efectvely reduce the selling price to the Selling Party;</w:t>
      </w:r>
    </w:p>
    <w:p>
      <w:pPr>
        <w:spacing w:after="0" w:line="241" w:lineRule="exact"/>
        <w:rPr>
          <w:rFonts w:ascii="Arial" w:cs="Arial" w:eastAsia="Arial" w:hAnsi="Arial"/>
          <w:sz w:val="20"/>
          <w:szCs w:val="20"/>
          <w:color w:val="auto"/>
        </w:rPr>
      </w:pPr>
    </w:p>
    <w:p>
      <w:pPr>
        <w:ind w:left="1460" w:hanging="703"/>
        <w:spacing w:after="0" w:line="234" w:lineRule="auto"/>
        <w:tabs>
          <w:tab w:leader="none" w:pos="1460" w:val="left"/>
        </w:tabs>
        <w:numPr>
          <w:ilvl w:val="0"/>
          <w:numId w:val="135"/>
        </w:numPr>
        <w:rPr>
          <w:rFonts w:ascii="Arial" w:cs="Arial" w:eastAsia="Arial" w:hAnsi="Arial"/>
          <w:sz w:val="20"/>
          <w:szCs w:val="20"/>
          <w:color w:val="auto"/>
        </w:rPr>
      </w:pPr>
      <w:r>
        <w:rPr>
          <w:rFonts w:ascii="Calibri" w:cs="Calibri" w:eastAsia="Calibri" w:hAnsi="Calibri"/>
          <w:sz w:val="20"/>
          <w:szCs w:val="20"/>
          <w:color w:val="auto"/>
        </w:rPr>
        <w:t>transportaton charges, freight, postage and insurance (but only insurance related to protectng the partcular shipment against physical loss or damage); and</w:t>
      </w:r>
    </w:p>
    <w:p>
      <w:pPr>
        <w:spacing w:after="0" w:line="90" w:lineRule="exact"/>
        <w:rPr>
          <w:rFonts w:ascii="Arial" w:cs="Arial" w:eastAsia="Arial" w:hAnsi="Arial"/>
          <w:sz w:val="20"/>
          <w:szCs w:val="20"/>
          <w:color w:val="auto"/>
        </w:rPr>
      </w:pPr>
    </w:p>
    <w:p>
      <w:pPr>
        <w:ind w:left="1460" w:hanging="703"/>
        <w:spacing w:after="0" w:line="234" w:lineRule="auto"/>
        <w:tabs>
          <w:tab w:leader="none" w:pos="1460" w:val="left"/>
        </w:tabs>
        <w:numPr>
          <w:ilvl w:val="0"/>
          <w:numId w:val="135"/>
        </w:numPr>
        <w:rPr>
          <w:rFonts w:ascii="Arial" w:cs="Arial" w:eastAsia="Arial" w:hAnsi="Arial"/>
          <w:sz w:val="20"/>
          <w:szCs w:val="20"/>
          <w:color w:val="auto"/>
        </w:rPr>
      </w:pPr>
      <w:r>
        <w:rPr>
          <w:rFonts w:ascii="Calibri" w:cs="Calibri" w:eastAsia="Calibri" w:hAnsi="Calibri"/>
          <w:sz w:val="20"/>
          <w:szCs w:val="20"/>
          <w:color w:val="auto"/>
        </w:rPr>
        <w:t>sales, use or excise taxes and import/export dutes or tarifs and similar governmental charges actually due or incurred in connecton with the sales of such Product.</w:t>
      </w:r>
    </w:p>
    <w:p>
      <w:pPr>
        <w:spacing w:after="0" w:line="229" w:lineRule="exact"/>
        <w:rPr>
          <w:sz w:val="20"/>
          <w:szCs w:val="20"/>
          <w:color w:val="auto"/>
        </w:rPr>
      </w:pPr>
    </w:p>
    <w:p>
      <w:pPr>
        <w:ind w:left="720" w:hanging="711"/>
        <w:spacing w:after="0" w:line="234" w:lineRule="auto"/>
        <w:tabs>
          <w:tab w:leader="none" w:pos="700" w:val="left"/>
        </w:tabs>
        <w:rPr>
          <w:sz w:val="20"/>
          <w:szCs w:val="20"/>
          <w:color w:val="auto"/>
        </w:rPr>
      </w:pPr>
      <w:r>
        <w:rPr>
          <w:rFonts w:ascii="Arial" w:cs="Arial" w:eastAsia="Arial" w:hAnsi="Arial"/>
          <w:sz w:val="20"/>
          <w:szCs w:val="20"/>
          <w:color w:val="auto"/>
        </w:rPr>
        <w:t>3.2</w:t>
      </w:r>
      <w:r>
        <w:rPr>
          <w:sz w:val="20"/>
          <w:szCs w:val="20"/>
          <w:color w:val="auto"/>
        </w:rPr>
        <w:tab/>
      </w:r>
      <w:r>
        <w:rPr>
          <w:rFonts w:ascii="Calibri" w:cs="Calibri" w:eastAsia="Calibri" w:hAnsi="Calibri"/>
          <w:sz w:val="20"/>
          <w:szCs w:val="20"/>
          <w:color w:val="auto"/>
        </w:rPr>
        <w:t>Components of Net Sales shall be determined in the ordinary course of business in accordance with GAAP (as applicable in the country of sale), consistently applied.</w:t>
      </w:r>
    </w:p>
    <w:p>
      <w:pPr>
        <w:spacing w:after="0" w:line="230"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3.3</w:t>
      </w:r>
      <w:r>
        <w:rPr>
          <w:sz w:val="20"/>
          <w:szCs w:val="20"/>
          <w:color w:val="auto"/>
        </w:rPr>
        <w:tab/>
      </w:r>
      <w:r>
        <w:rPr>
          <w:rFonts w:ascii="Calibri" w:cs="Calibri" w:eastAsia="Calibri" w:hAnsi="Calibri"/>
          <w:sz w:val="20"/>
          <w:szCs w:val="20"/>
          <w:color w:val="auto"/>
        </w:rPr>
        <w:t>Net Sales shall include, for the Product,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246380</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500" w:top="1388" w:right="879" w:bottom="1440" w:gutter="0" w:footer="0" w:header="0"/>
        </w:sectPr>
      </w:pPr>
    </w:p>
    <w:bookmarkStart w:id="165" w:name="page166"/>
    <w:bookmarkEnd w:id="165"/>
    <w:p>
      <w:pPr>
        <w:spacing w:after="0" w:line="96" w:lineRule="exact"/>
        <w:rPr>
          <w:sz w:val="20"/>
          <w:szCs w:val="20"/>
          <w:color w:val="auto"/>
        </w:rPr>
      </w:pPr>
    </w:p>
    <w:p>
      <w:pPr>
        <w:jc w:val="both"/>
        <w:ind w:left="720" w:hanging="711"/>
        <w:spacing w:after="0" w:line="236" w:lineRule="auto"/>
        <w:tabs>
          <w:tab w:leader="none" w:pos="700" w:val="left"/>
        </w:tabs>
        <w:rPr>
          <w:sz w:val="20"/>
          <w:szCs w:val="20"/>
          <w:color w:val="auto"/>
        </w:rPr>
      </w:pPr>
      <w:r>
        <w:rPr>
          <w:rFonts w:ascii="Arial" w:cs="Arial" w:eastAsia="Arial" w:hAnsi="Arial"/>
          <w:sz w:val="20"/>
          <w:szCs w:val="20"/>
          <w:color w:val="auto"/>
        </w:rPr>
        <w:t>3.4</w:t>
      </w:r>
      <w:r>
        <w:rPr>
          <w:sz w:val="20"/>
          <w:szCs w:val="20"/>
          <w:color w:val="auto"/>
        </w:rPr>
        <w:tab/>
      </w:r>
      <w:r>
        <w:rPr>
          <w:rFonts w:ascii="Calibri" w:cs="Calibri" w:eastAsia="Calibri" w:hAnsi="Calibri"/>
          <w:sz w:val="20"/>
          <w:szCs w:val="20"/>
          <w:color w:val="auto"/>
        </w:rPr>
        <w:t>For the purposes of determining when a sale of any Product occurs for purposes of calculatng Net Sales, the sale will be [***]. For purposes of this Agreement, “Accountng Standards” means U.S. generally accepted accountng principles as consistently applied throughout the applicable periods indicated herein by or on behalf of the relevant Selling Party.</w:t>
      </w:r>
    </w:p>
    <w:p>
      <w:pPr>
        <w:spacing w:after="0" w:line="238" w:lineRule="exact"/>
        <w:rPr>
          <w:sz w:val="20"/>
          <w:szCs w:val="20"/>
          <w:color w:val="auto"/>
        </w:rPr>
      </w:pPr>
    </w:p>
    <w:p>
      <w:pPr>
        <w:jc w:val="both"/>
        <w:ind w:left="720" w:hanging="711"/>
        <w:spacing w:after="0" w:line="236" w:lineRule="auto"/>
        <w:tabs>
          <w:tab w:leader="none" w:pos="700" w:val="left"/>
        </w:tabs>
        <w:rPr>
          <w:sz w:val="20"/>
          <w:szCs w:val="20"/>
          <w:color w:val="auto"/>
        </w:rPr>
      </w:pPr>
      <w:r>
        <w:rPr>
          <w:rFonts w:ascii="Arial" w:cs="Arial" w:eastAsia="Arial" w:hAnsi="Arial"/>
          <w:sz w:val="20"/>
          <w:szCs w:val="20"/>
          <w:color w:val="auto"/>
        </w:rPr>
        <w:t>3.5</w:t>
      </w:r>
      <w:r>
        <w:rPr>
          <w:sz w:val="20"/>
          <w:szCs w:val="20"/>
          <w:color w:val="auto"/>
        </w:rPr>
        <w:tab/>
      </w:r>
      <w:r>
        <w:rPr>
          <w:rFonts w:ascii="Calibri" w:cs="Calibri" w:eastAsia="Calibri" w:hAnsi="Calibri"/>
          <w:sz w:val="20"/>
          <w:szCs w:val="20"/>
          <w:color w:val="auto"/>
        </w:rPr>
        <w:t>For the purposes of determining Net Sales, a "sale" shall not include transfers or dispositons, at no cost or below cost, of the Product for charitable, compassionate, non-clinical, clinical or regulatory purposes or for promotonal samples or free goods.</w:t>
      </w:r>
    </w:p>
    <w:p>
      <w:pPr>
        <w:spacing w:after="0" w:line="238" w:lineRule="exact"/>
        <w:rPr>
          <w:sz w:val="20"/>
          <w:szCs w:val="20"/>
          <w:color w:val="auto"/>
        </w:rPr>
      </w:pPr>
    </w:p>
    <w:p>
      <w:pPr>
        <w:jc w:val="both"/>
        <w:ind w:left="720" w:right="20" w:hanging="711"/>
        <w:spacing w:after="0" w:line="234" w:lineRule="auto"/>
        <w:tabs>
          <w:tab w:leader="none" w:pos="700" w:val="left"/>
        </w:tabs>
        <w:rPr>
          <w:sz w:val="20"/>
          <w:szCs w:val="20"/>
          <w:color w:val="auto"/>
        </w:rPr>
      </w:pPr>
      <w:r>
        <w:rPr>
          <w:rFonts w:ascii="Arial" w:cs="Arial" w:eastAsia="Arial" w:hAnsi="Arial"/>
          <w:sz w:val="20"/>
          <w:szCs w:val="20"/>
          <w:color w:val="auto"/>
        </w:rPr>
        <w:t>3.6</w:t>
      </w:r>
      <w:r>
        <w:rPr>
          <w:sz w:val="20"/>
          <w:szCs w:val="20"/>
          <w:color w:val="auto"/>
        </w:rPr>
        <w:tab/>
      </w:r>
      <w:r>
        <w:rPr>
          <w:rFonts w:ascii="Calibri" w:cs="Calibri" w:eastAsia="Calibri" w:hAnsi="Calibri"/>
          <w:sz w:val="20"/>
          <w:szCs w:val="20"/>
          <w:color w:val="auto"/>
        </w:rPr>
        <w:t>Amounts invoiced by the Selling Party for the sale of Product to another Afliate for resale to a third party shall not be included in the computaton of Net Sales hereunder.</w:t>
      </w:r>
    </w:p>
    <w:p>
      <w:pPr>
        <w:spacing w:after="0" w:line="230" w:lineRule="exact"/>
        <w:rPr>
          <w:sz w:val="20"/>
          <w:szCs w:val="20"/>
          <w:color w:val="auto"/>
        </w:rPr>
      </w:pPr>
    </w:p>
    <w:p>
      <w:pPr>
        <w:spacing w:after="0"/>
        <w:tabs>
          <w:tab w:leader="none" w:pos="740" w:val="left"/>
        </w:tabs>
        <w:rPr>
          <w:sz w:val="20"/>
          <w:szCs w:val="20"/>
          <w:color w:val="auto"/>
        </w:rPr>
      </w:pPr>
      <w:r>
        <w:rPr>
          <w:rFonts w:ascii="Arial" w:cs="Arial" w:eastAsia="Arial" w:hAnsi="Arial"/>
          <w:sz w:val="20"/>
          <w:szCs w:val="20"/>
          <w:color w:val="auto"/>
        </w:rPr>
        <w:t>3.7</w:t>
      </w:r>
      <w:r>
        <w:rPr>
          <w:sz w:val="20"/>
          <w:szCs w:val="20"/>
          <w:color w:val="auto"/>
        </w:rPr>
        <w:tab/>
      </w:r>
      <w:r>
        <w:rPr>
          <w:rFonts w:ascii="Calibri" w:cs="Calibri" w:eastAsia="Calibri" w:hAnsi="Calibri"/>
          <w:sz w:val="20"/>
          <w:szCs w:val="20"/>
          <w:color w:val="auto"/>
        </w:rPr>
        <w:t>In the event that the Selling Party sells the Product:</w:t>
      </w:r>
    </w:p>
    <w:p>
      <w:pPr>
        <w:spacing w:after="0" w:line="249" w:lineRule="exact"/>
        <w:rPr>
          <w:sz w:val="20"/>
          <w:szCs w:val="20"/>
          <w:color w:val="auto"/>
        </w:rPr>
      </w:pPr>
    </w:p>
    <w:p>
      <w:pPr>
        <w:jc w:val="both"/>
        <w:ind w:left="1460" w:hanging="703"/>
        <w:spacing w:after="0" w:line="236" w:lineRule="auto"/>
        <w:tabs>
          <w:tab w:leader="none" w:pos="1460" w:val="left"/>
        </w:tabs>
        <w:numPr>
          <w:ilvl w:val="0"/>
          <w:numId w:val="136"/>
        </w:numPr>
        <w:rPr>
          <w:rFonts w:ascii="Arial" w:cs="Arial" w:eastAsia="Arial" w:hAnsi="Arial"/>
          <w:sz w:val="20"/>
          <w:szCs w:val="20"/>
          <w:color w:val="auto"/>
        </w:rPr>
      </w:pPr>
      <w:r>
        <w:rPr>
          <w:rFonts w:ascii="Calibri" w:cs="Calibri" w:eastAsia="Calibri" w:hAnsi="Calibri"/>
          <w:sz w:val="20"/>
          <w:szCs w:val="20"/>
          <w:color w:val="auto"/>
        </w:rPr>
        <w:t>to a third party in a bona fde arm's length transacton, for material consideraton, in whole or in part, other than cash (but excluding, for the avoidance of doubt, consideraton in the form of non-fnancial legal terms and conditons incident to sale including, for clarity, the supply of Product for non- commercial purposes substantally at cost);</w:t>
      </w:r>
    </w:p>
    <w:p>
      <w:pPr>
        <w:spacing w:after="0" w:line="231" w:lineRule="exact"/>
        <w:rPr>
          <w:rFonts w:ascii="Arial" w:cs="Arial" w:eastAsia="Arial" w:hAnsi="Arial"/>
          <w:sz w:val="20"/>
          <w:szCs w:val="20"/>
          <w:color w:val="auto"/>
        </w:rPr>
      </w:pPr>
    </w:p>
    <w:p>
      <w:pPr>
        <w:ind w:left="1500" w:hanging="743"/>
        <w:spacing w:after="0"/>
        <w:tabs>
          <w:tab w:leader="none" w:pos="1500" w:val="left"/>
        </w:tabs>
        <w:numPr>
          <w:ilvl w:val="0"/>
          <w:numId w:val="136"/>
        </w:numPr>
        <w:rPr>
          <w:rFonts w:ascii="Arial" w:cs="Arial" w:eastAsia="Arial" w:hAnsi="Arial"/>
          <w:sz w:val="20"/>
          <w:szCs w:val="20"/>
          <w:color w:val="auto"/>
        </w:rPr>
      </w:pPr>
      <w:r>
        <w:rPr>
          <w:rFonts w:ascii="Calibri" w:cs="Calibri" w:eastAsia="Calibri" w:hAnsi="Calibri"/>
          <w:sz w:val="20"/>
          <w:szCs w:val="20"/>
          <w:color w:val="auto"/>
        </w:rPr>
        <w:t>to a third party in other than a bona fde arm's length transacton; or</w:t>
      </w:r>
    </w:p>
    <w:p>
      <w:pPr>
        <w:spacing w:after="0" w:line="238" w:lineRule="exact"/>
        <w:rPr>
          <w:rFonts w:ascii="Arial" w:cs="Arial" w:eastAsia="Arial" w:hAnsi="Arial"/>
          <w:sz w:val="20"/>
          <w:szCs w:val="20"/>
          <w:color w:val="auto"/>
        </w:rPr>
      </w:pPr>
    </w:p>
    <w:p>
      <w:pPr>
        <w:ind w:left="1460" w:hanging="703"/>
        <w:spacing w:after="0" w:line="234" w:lineRule="auto"/>
        <w:tabs>
          <w:tab w:leader="none" w:pos="1460" w:val="left"/>
        </w:tabs>
        <w:numPr>
          <w:ilvl w:val="0"/>
          <w:numId w:val="136"/>
        </w:numPr>
        <w:rPr>
          <w:rFonts w:ascii="Arial" w:cs="Arial" w:eastAsia="Arial" w:hAnsi="Arial"/>
          <w:sz w:val="20"/>
          <w:szCs w:val="20"/>
          <w:color w:val="auto"/>
        </w:rPr>
      </w:pPr>
      <w:r>
        <w:rPr>
          <w:rFonts w:ascii="Calibri" w:cs="Calibri" w:eastAsia="Calibri" w:hAnsi="Calibri"/>
          <w:sz w:val="20"/>
          <w:szCs w:val="20"/>
          <w:color w:val="auto"/>
        </w:rPr>
        <w:t>with discounts of Product that are disproportonal to the discounts of other products sold by the Selling Party in conjuncton with such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231775</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500" w:top="1440" w:right="879" w:bottom="1440" w:gutter="0" w:footer="0" w:header="0"/>
        </w:sectPr>
      </w:pPr>
    </w:p>
    <w:bookmarkStart w:id="166" w:name="page167"/>
    <w:bookmarkEnd w:id="166"/>
    <w:p>
      <w:pPr>
        <w:spacing w:after="0" w:line="93" w:lineRule="exact"/>
        <w:rPr>
          <w:sz w:val="20"/>
          <w:szCs w:val="20"/>
          <w:color w:val="auto"/>
        </w:rPr>
      </w:pPr>
    </w:p>
    <w:p>
      <w:pPr>
        <w:jc w:val="both"/>
        <w:ind w:left="40"/>
        <w:spacing w:after="0" w:line="236" w:lineRule="auto"/>
        <w:rPr>
          <w:sz w:val="20"/>
          <w:szCs w:val="20"/>
          <w:color w:val="auto"/>
        </w:rPr>
      </w:pPr>
      <w:r>
        <w:rPr>
          <w:rFonts w:ascii="Calibri" w:cs="Calibri" w:eastAsia="Calibri" w:hAnsi="Calibri"/>
          <w:sz w:val="20"/>
          <w:szCs w:val="20"/>
          <w:color w:val="auto"/>
        </w:rPr>
        <w:t>then the Net Sales price for such Product shall be deemed to be the standard invoice price then being invoiced by the Selling Party in an arm's length transacton with similar customers in the Territory, less typical deductons as accounted for in 3.1(a)(c) and (d).</w:t>
      </w:r>
    </w:p>
    <w:p>
      <w:pPr>
        <w:spacing w:after="0" w:line="349" w:lineRule="exact"/>
        <w:rPr>
          <w:sz w:val="20"/>
          <w:szCs w:val="20"/>
          <w:color w:val="auto"/>
        </w:rPr>
      </w:pPr>
    </w:p>
    <w:p>
      <w:pPr>
        <w:jc w:val="both"/>
        <w:ind w:hanging="711"/>
        <w:spacing w:after="0" w:line="237" w:lineRule="auto"/>
        <w:rPr>
          <w:sz w:val="20"/>
          <w:szCs w:val="20"/>
          <w:color w:val="auto"/>
        </w:rPr>
      </w:pPr>
      <w:r>
        <w:rPr>
          <w:rFonts w:ascii="Arial" w:cs="Arial" w:eastAsia="Arial" w:hAnsi="Arial"/>
          <w:sz w:val="20"/>
          <w:szCs w:val="20"/>
          <w:color w:val="auto"/>
        </w:rPr>
        <w:t>3.8</w:t>
      </w:r>
      <w:r>
        <w:rPr>
          <w:sz w:val="20"/>
          <w:szCs w:val="20"/>
          <w:color w:val="auto"/>
        </w:rPr>
        <w:t xml:space="preserve"> </w:t>
      </w:r>
      <w:r>
        <w:rPr>
          <w:rFonts w:ascii="Calibri" w:cs="Calibri" w:eastAsia="Calibri" w:hAnsi="Calibri"/>
          <w:sz w:val="20"/>
          <w:szCs w:val="20"/>
          <w:color w:val="auto"/>
        </w:rPr>
        <w:t>In the event that the Selling Party includes one or more Product as part of a bundle of products, the price for such Product shall be deemed to be the standard invoice price for such Product when sold separately and not as part of a bundle of products. In the event that no separate prices are charged in the applicable transacton, then Net Sales for such bundle shall be determined based on the list price for the Product and the other products or services in the relevant county during the accountng period in which the sale was made. If no list price exists in such country for the Product or the other products or services that are part of the bundle, then Net Sales for such bundle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248285</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00"/>
          </w:cols>
          <w:pgMar w:left="1220" w:top="1440" w:right="879" w:bottom="1440" w:gutter="0" w:footer="0" w:header="0"/>
        </w:sectPr>
      </w:pPr>
    </w:p>
    <w:bookmarkStart w:id="167" w:name="page168"/>
    <w:bookmarkEnd w:id="167"/>
    <w:p>
      <w:pPr>
        <w:ind w:left="760" w:right="620"/>
        <w:spacing w:after="0" w:line="234" w:lineRule="auto"/>
        <w:rPr>
          <w:sz w:val="20"/>
          <w:szCs w:val="20"/>
          <w:color w:val="auto"/>
        </w:rPr>
      </w:pPr>
      <w:r>
        <w:rPr>
          <w:rFonts w:ascii="Calibri" w:cs="Calibri" w:eastAsia="Calibri" w:hAnsi="Calibri"/>
          <w:sz w:val="20"/>
          <w:szCs w:val="20"/>
          <w:color w:val="auto"/>
        </w:rPr>
        <w:t>be equitably determined based on the fair market value of the Product relatve to that of the other products or services.</w:t>
      </w:r>
    </w:p>
    <w:p>
      <w:pPr>
        <w:spacing w:after="0" w:line="229" w:lineRule="exact"/>
        <w:rPr>
          <w:sz w:val="20"/>
          <w:szCs w:val="20"/>
          <w:color w:val="auto"/>
        </w:rPr>
      </w:pPr>
    </w:p>
    <w:p>
      <w:pPr>
        <w:ind w:left="740" w:hanging="711"/>
        <w:spacing w:after="0" w:line="234" w:lineRule="auto"/>
        <w:tabs>
          <w:tab w:leader="none" w:pos="720" w:val="left"/>
        </w:tabs>
        <w:rPr>
          <w:sz w:val="20"/>
          <w:szCs w:val="20"/>
          <w:color w:val="auto"/>
        </w:rPr>
      </w:pPr>
      <w:r>
        <w:rPr>
          <w:rFonts w:ascii="Arial" w:cs="Arial" w:eastAsia="Arial" w:hAnsi="Arial"/>
          <w:sz w:val="20"/>
          <w:szCs w:val="20"/>
          <w:color w:val="auto"/>
        </w:rPr>
        <w:t>3.9</w:t>
      </w:r>
      <w:r>
        <w:rPr>
          <w:sz w:val="20"/>
          <w:szCs w:val="20"/>
          <w:color w:val="auto"/>
        </w:rPr>
        <w:tab/>
      </w:r>
      <w:r>
        <w:rPr>
          <w:rFonts w:ascii="Calibri" w:cs="Calibri" w:eastAsia="Calibri" w:hAnsi="Calibri"/>
          <w:sz w:val="20"/>
          <w:szCs w:val="20"/>
          <w:color w:val="auto"/>
        </w:rPr>
        <w:t>Any dispute between the partes with respect to the determinaton of such market value shall be fnally resolved pursuant to Clause 28 of the Agreement.</w:t>
      </w:r>
    </w:p>
    <w:p>
      <w:pPr>
        <w:spacing w:after="0" w:line="240" w:lineRule="exact"/>
        <w:rPr>
          <w:sz w:val="20"/>
          <w:szCs w:val="20"/>
          <w:color w:val="auto"/>
        </w:rPr>
      </w:pPr>
    </w:p>
    <w:p>
      <w:pPr>
        <w:ind w:left="760" w:hanging="752"/>
        <w:spacing w:after="0"/>
        <w:tabs>
          <w:tab w:leader="none" w:pos="760" w:val="left"/>
        </w:tabs>
        <w:numPr>
          <w:ilvl w:val="0"/>
          <w:numId w:val="137"/>
        </w:numPr>
        <w:rPr>
          <w:rFonts w:ascii="Arial" w:cs="Arial" w:eastAsia="Arial" w:hAnsi="Arial"/>
          <w:sz w:val="20"/>
          <w:szCs w:val="20"/>
          <w:b w:val="1"/>
          <w:bCs w:val="1"/>
          <w:color w:val="auto"/>
        </w:rPr>
      </w:pPr>
      <w:r>
        <w:rPr>
          <w:rFonts w:ascii="Calibri" w:cs="Calibri" w:eastAsia="Calibri" w:hAnsi="Calibri"/>
          <w:sz w:val="20"/>
          <w:szCs w:val="20"/>
          <w:b w:val="1"/>
          <w:bCs w:val="1"/>
          <w:color w:val="auto"/>
        </w:rPr>
        <w:t>RECORDS AND AUDIT RIGHT</w:t>
      </w:r>
    </w:p>
    <w:p>
      <w:pPr>
        <w:spacing w:after="0" w:line="227" w:lineRule="exact"/>
        <w:rPr>
          <w:sz w:val="20"/>
          <w:szCs w:val="20"/>
          <w:color w:val="auto"/>
        </w:rPr>
      </w:pPr>
    </w:p>
    <w:p>
      <w:pPr>
        <w:jc w:val="both"/>
        <w:ind w:left="720" w:hanging="711"/>
        <w:spacing w:after="0"/>
        <w:tabs>
          <w:tab w:leader="none" w:pos="700" w:val="left"/>
        </w:tabs>
        <w:rPr>
          <w:sz w:val="20"/>
          <w:szCs w:val="20"/>
          <w:color w:val="auto"/>
        </w:rPr>
      </w:pPr>
      <w:r>
        <w:rPr>
          <w:rFonts w:ascii="Arial" w:cs="Arial" w:eastAsia="Arial" w:hAnsi="Arial"/>
          <w:sz w:val="20"/>
          <w:szCs w:val="20"/>
          <w:color w:val="auto"/>
        </w:rPr>
        <w:t>4.1</w:t>
      </w:r>
      <w:r>
        <w:rPr>
          <w:sz w:val="20"/>
          <w:szCs w:val="20"/>
          <w:color w:val="auto"/>
        </w:rPr>
        <w:tab/>
      </w:r>
      <w:r>
        <w:rPr>
          <w:rFonts w:ascii="Calibri" w:cs="Calibri" w:eastAsia="Calibri" w:hAnsi="Calibri"/>
          <w:sz w:val="20"/>
          <w:szCs w:val="20"/>
          <w:color w:val="auto"/>
        </w:rPr>
        <w:t>UGNX will maintain complete and accurate records in sufcient detail to permit Kyowa Kirin to confrm the accuracy of the calculaton of payments under this Agreement. Upon reasonable prior notce, such records shall be available during regular business hours for a period of [***] from the end of the calendar year to which they pertain for examinaton at the expense of Kyowa Kirin, and not more ofen than [***] each [***], for the sole purpose of verifying the amounts payable hereunder (e.g. the calculaton of the Total Minimum Supply Price and Net Sales) and may include the use of an independent certfed public accountant selected by Kyowa Kirin and reasonably acceptable to UGNX. Any such auditor shall not disclose UGNX’s Confdental Informaton, except to the extent such disclosure is necessary to verify the accuracy of the fnancial reports furnished by UGNX or the amount of payments due under this Agreement during the prior [***]. Any amounts shown to be owed but unpaid shall be paid within [***] from the accountant’s report, [***] (as set forth in Clause 10.5 of the Agreement) from the original due date, unless challenged as provided below. Any amounts shown to have been overcharged or overpaid shall be refunded within [***] from the accountant’s report. [***].</w:t>
      </w:r>
    </w:p>
    <w:p>
      <w:pPr>
        <w:spacing w:after="0" w:line="200" w:lineRule="exact"/>
        <w:rPr>
          <w:sz w:val="20"/>
          <w:szCs w:val="20"/>
          <w:color w:val="auto"/>
        </w:rPr>
      </w:pPr>
    </w:p>
    <w:p>
      <w:pPr>
        <w:spacing w:after="0" w:line="260" w:lineRule="exact"/>
        <w:rPr>
          <w:sz w:val="20"/>
          <w:szCs w:val="20"/>
          <w:color w:val="auto"/>
        </w:rPr>
      </w:pPr>
    </w:p>
    <w:p>
      <w:pPr>
        <w:jc w:val="both"/>
        <w:ind w:left="720" w:hanging="711"/>
        <w:spacing w:after="0" w:line="238" w:lineRule="auto"/>
        <w:tabs>
          <w:tab w:leader="none" w:pos="700" w:val="left"/>
        </w:tabs>
        <w:rPr>
          <w:sz w:val="20"/>
          <w:szCs w:val="20"/>
          <w:color w:val="auto"/>
        </w:rPr>
      </w:pPr>
      <w:r>
        <w:rPr>
          <w:rFonts w:ascii="Arial" w:cs="Arial" w:eastAsia="Arial" w:hAnsi="Arial"/>
          <w:sz w:val="20"/>
          <w:szCs w:val="20"/>
          <w:color w:val="auto"/>
        </w:rPr>
        <w:t>4.2</w:t>
      </w:r>
      <w:r>
        <w:rPr>
          <w:sz w:val="20"/>
          <w:szCs w:val="20"/>
          <w:color w:val="auto"/>
        </w:rPr>
        <w:tab/>
      </w:r>
      <w:r>
        <w:rPr>
          <w:rFonts w:ascii="Calibri" w:cs="Calibri" w:eastAsia="Calibri" w:hAnsi="Calibri"/>
          <w:sz w:val="20"/>
          <w:szCs w:val="20"/>
          <w:color w:val="auto"/>
        </w:rPr>
        <w:t>If UGNX challenges the results of the audit in good faith, UGNX shall be enttled [***] to obtain a second independent certfed public accountant to confrm the accuracy of the frst audit. If the results of the confrmatory audit are substantally similar to the results of the frst audit, any amounts owed by UGNX shall be paid in accordance with the procedures above. If the results of the confrmatory audit are not substantally similar to the results of the frst audit, each party shall cause its respectve auditors to identfy the discrepancy and to agree on a fnal amount owed (as the case may be) by UGNX that shall be fnal and binding on the partes. If the auditors cannot resolve the discrepancy, the partes shall mutually agree on a third independent certfed public accountant to audit the discrepancy and provide a fnal amount owed (as the case may be) by UGNX, which shall be binding on the partes. The costs of such third audit shall be [***]. Amounts owed or overpaid as determined by such fnal audit shall be paid or refunded in accordance with the procedures above</w:t>
      </w:r>
    </w:p>
    <w:p>
      <w:pPr>
        <w:spacing w:after="0" w:line="239" w:lineRule="exact"/>
        <w:rPr>
          <w:sz w:val="20"/>
          <w:szCs w:val="20"/>
          <w:color w:val="auto"/>
        </w:rPr>
      </w:pPr>
    </w:p>
    <w:p>
      <w:pPr>
        <w:ind w:left="760" w:hanging="752"/>
        <w:spacing w:after="0"/>
        <w:tabs>
          <w:tab w:leader="none" w:pos="760" w:val="left"/>
        </w:tabs>
        <w:numPr>
          <w:ilvl w:val="0"/>
          <w:numId w:val="138"/>
        </w:numPr>
        <w:rPr>
          <w:rFonts w:ascii="Arial" w:cs="Arial" w:eastAsia="Arial" w:hAnsi="Arial"/>
          <w:sz w:val="20"/>
          <w:szCs w:val="20"/>
          <w:b w:val="1"/>
          <w:bCs w:val="1"/>
          <w:color w:val="auto"/>
        </w:rPr>
      </w:pPr>
      <w:r>
        <w:rPr>
          <w:rFonts w:ascii="Calibri" w:cs="Calibri" w:eastAsia="Calibri" w:hAnsi="Calibri"/>
          <w:sz w:val="20"/>
          <w:szCs w:val="20"/>
          <w:b w:val="1"/>
          <w:bCs w:val="1"/>
          <w:color w:val="auto"/>
        </w:rPr>
        <w:t>[***] REPORTING</w:t>
      </w:r>
    </w:p>
    <w:p>
      <w:pPr>
        <w:spacing w:after="0" w:line="218"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5.1</w:t>
      </w:r>
      <w:r>
        <w:rPr>
          <w:sz w:val="20"/>
          <w:szCs w:val="20"/>
          <w:color w:val="auto"/>
        </w:rPr>
        <w:tab/>
      </w:r>
      <w:r>
        <w:rPr>
          <w:rFonts w:ascii="Calibri" w:cs="Calibri" w:eastAsia="Calibri" w:hAnsi="Calibri"/>
          <w:sz w:val="20"/>
          <w:szCs w:val="20"/>
          <w:color w:val="auto"/>
        </w:rPr>
        <w:t>UGNX shall provide Kyowa Kirin with a [***] Report within [***] days of the end of each [***].</w:t>
      </w:r>
    </w:p>
    <w:p>
      <w:pPr>
        <w:spacing w:after="0" w:line="228"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5.2</w:t>
      </w:r>
      <w:r>
        <w:rPr>
          <w:sz w:val="20"/>
          <w:szCs w:val="20"/>
          <w:color w:val="auto"/>
        </w:rPr>
        <w:tab/>
      </w:r>
      <w:r>
        <w:rPr>
          <w:rFonts w:ascii="Calibri" w:cs="Calibri" w:eastAsia="Calibri" w:hAnsi="Calibri"/>
          <w:sz w:val="20"/>
          <w:szCs w:val="20"/>
          <w:color w:val="auto"/>
        </w:rPr>
        <w:t>"</w:t>
      </w:r>
      <w:r>
        <w:rPr>
          <w:rFonts w:ascii="Calibri" w:cs="Calibri" w:eastAsia="Calibri" w:hAnsi="Calibri"/>
          <w:sz w:val="20"/>
          <w:szCs w:val="20"/>
          <w:b w:val="1"/>
          <w:bCs w:val="1"/>
          <w:color w:val="auto"/>
        </w:rPr>
        <w:t>[</w:t>
      </w:r>
      <w:r>
        <w:rPr>
          <w:rFonts w:ascii="Calibri" w:cs="Calibri" w:eastAsia="Calibri" w:hAnsi="Calibri"/>
          <w:sz w:val="20"/>
          <w:szCs w:val="20"/>
          <w:color w:val="auto"/>
        </w:rPr>
        <w:t>***</w:t>
      </w:r>
      <w:r>
        <w:rPr>
          <w:rFonts w:ascii="Calibri" w:cs="Calibri" w:eastAsia="Calibri" w:hAnsi="Calibri"/>
          <w:sz w:val="20"/>
          <w:szCs w:val="20"/>
          <w:b w:val="1"/>
          <w:bCs w:val="1"/>
          <w:color w:val="auto"/>
        </w:rPr>
        <w:t>] Report</w:t>
      </w:r>
      <w:r>
        <w:rPr>
          <w:rFonts w:ascii="Calibri" w:cs="Calibri" w:eastAsia="Calibri" w:hAnsi="Calibri"/>
          <w:sz w:val="20"/>
          <w:szCs w:val="20"/>
          <w:color w:val="auto"/>
        </w:rPr>
        <w:t>" means a report which sets out, as a minimum, the following informaton:</w:t>
      </w:r>
    </w:p>
    <w:p>
      <w:pPr>
        <w:spacing w:after="0" w:line="239" w:lineRule="exact"/>
        <w:rPr>
          <w:sz w:val="20"/>
          <w:szCs w:val="20"/>
          <w:color w:val="auto"/>
        </w:rPr>
      </w:pPr>
    </w:p>
    <w:p>
      <w:pPr>
        <w:ind w:left="1460" w:hanging="703"/>
        <w:spacing w:after="0"/>
        <w:tabs>
          <w:tab w:leader="none" w:pos="1460" w:val="left"/>
        </w:tabs>
        <w:numPr>
          <w:ilvl w:val="1"/>
          <w:numId w:val="139"/>
        </w:numPr>
        <w:rPr>
          <w:rFonts w:ascii="Arial" w:cs="Arial" w:eastAsia="Arial" w:hAnsi="Arial"/>
          <w:sz w:val="20"/>
          <w:szCs w:val="20"/>
          <w:color w:val="auto"/>
        </w:rPr>
      </w:pPr>
      <w:r>
        <w:rPr>
          <w:rFonts w:ascii="Calibri" w:cs="Calibri" w:eastAsia="Calibri" w:hAnsi="Calibri"/>
          <w:sz w:val="20"/>
          <w:szCs w:val="20"/>
          <w:color w:val="auto"/>
        </w:rPr>
        <w:t>Unit sales of the Product in the Territory during the previous [***]; and</w:t>
      </w:r>
    </w:p>
    <w:p>
      <w:pPr>
        <w:spacing w:after="0" w:line="228" w:lineRule="exact"/>
        <w:rPr>
          <w:rFonts w:ascii="Arial" w:cs="Arial" w:eastAsia="Arial" w:hAnsi="Arial"/>
          <w:sz w:val="20"/>
          <w:szCs w:val="20"/>
          <w:color w:val="auto"/>
        </w:rPr>
      </w:pPr>
    </w:p>
    <w:p>
      <w:pPr>
        <w:ind w:left="1500" w:hanging="743"/>
        <w:spacing w:after="0"/>
        <w:tabs>
          <w:tab w:leader="none" w:pos="1500" w:val="left"/>
        </w:tabs>
        <w:numPr>
          <w:ilvl w:val="1"/>
          <w:numId w:val="139"/>
        </w:numPr>
        <w:rPr>
          <w:rFonts w:ascii="Arial" w:cs="Arial" w:eastAsia="Arial" w:hAnsi="Arial"/>
          <w:sz w:val="20"/>
          <w:szCs w:val="20"/>
          <w:color w:val="auto"/>
        </w:rPr>
      </w:pPr>
      <w:r>
        <w:rPr>
          <w:rFonts w:ascii="Calibri" w:cs="Calibri" w:eastAsia="Calibri" w:hAnsi="Calibri"/>
          <w:sz w:val="20"/>
          <w:szCs w:val="20"/>
          <w:color w:val="auto"/>
        </w:rPr>
        <w:t>Net Sales of the Product in the Territory during the previous [***].</w:t>
      </w:r>
    </w:p>
    <w:p>
      <w:pPr>
        <w:spacing w:after="0" w:line="79" w:lineRule="exact"/>
        <w:rPr>
          <w:rFonts w:ascii="Arial" w:cs="Arial" w:eastAsia="Arial" w:hAnsi="Arial"/>
          <w:sz w:val="20"/>
          <w:szCs w:val="20"/>
          <w:color w:val="auto"/>
        </w:rPr>
      </w:pPr>
    </w:p>
    <w:p>
      <w:pPr>
        <w:ind w:left="760" w:hanging="752"/>
        <w:spacing w:after="0"/>
        <w:tabs>
          <w:tab w:leader="none" w:pos="760" w:val="left"/>
        </w:tabs>
        <w:numPr>
          <w:ilvl w:val="0"/>
          <w:numId w:val="140"/>
        </w:numPr>
        <w:rPr>
          <w:rFonts w:ascii="Arial" w:cs="Arial" w:eastAsia="Arial" w:hAnsi="Arial"/>
          <w:sz w:val="20"/>
          <w:szCs w:val="20"/>
          <w:b w:val="1"/>
          <w:bCs w:val="1"/>
          <w:color w:val="auto"/>
        </w:rPr>
      </w:pPr>
      <w:r>
        <w:rPr>
          <w:rFonts w:ascii="Calibri" w:cs="Calibri" w:eastAsia="Calibri" w:hAnsi="Calibri"/>
          <w:sz w:val="20"/>
          <w:szCs w:val="20"/>
          <w:b w:val="1"/>
          <w:bCs w:val="1"/>
          <w:color w:val="auto"/>
        </w:rPr>
        <w:t>EXCHANGE RATE</w:t>
      </w:r>
    </w:p>
    <w:p>
      <w:pPr>
        <w:spacing w:after="0" w:line="227" w:lineRule="exact"/>
        <w:rPr>
          <w:sz w:val="20"/>
          <w:szCs w:val="20"/>
          <w:color w:val="auto"/>
        </w:rPr>
      </w:pPr>
    </w:p>
    <w:p>
      <w:pPr>
        <w:jc w:val="both"/>
        <w:ind w:left="720" w:hanging="711"/>
        <w:spacing w:after="0" w:line="236" w:lineRule="auto"/>
        <w:tabs>
          <w:tab w:leader="none" w:pos="700" w:val="left"/>
        </w:tabs>
        <w:rPr>
          <w:sz w:val="20"/>
          <w:szCs w:val="20"/>
          <w:color w:val="auto"/>
        </w:rPr>
      </w:pPr>
      <w:r>
        <w:rPr>
          <w:rFonts w:ascii="Arial" w:cs="Arial" w:eastAsia="Arial" w:hAnsi="Arial"/>
          <w:sz w:val="20"/>
          <w:szCs w:val="20"/>
          <w:color w:val="auto"/>
        </w:rPr>
        <w:t>6.1</w:t>
      </w:r>
      <w:r>
        <w:rPr>
          <w:sz w:val="20"/>
          <w:szCs w:val="20"/>
          <w:color w:val="auto"/>
        </w:rPr>
        <w:tab/>
      </w:r>
      <w:r>
        <w:rPr>
          <w:rFonts w:ascii="Calibri" w:cs="Calibri" w:eastAsia="Calibri" w:hAnsi="Calibri"/>
          <w:sz w:val="20"/>
          <w:szCs w:val="20"/>
          <w:color w:val="auto"/>
        </w:rPr>
        <w:t>The rate of exchange to be used in computng the amount of currency equivalent in US Dollars owed to a party for royaltes and Agreed Supply Price under this Agreement shall be equal to the average exchange rate, over the applicable Quarter, between each currency of origin and USD as reported by [***] or an equivalent resource as agreed by the partes, on the last Business Day of the [***] in which the applicable Net Sales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240030</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500" w:top="1398" w:right="879" w:bottom="1440" w:gutter="0" w:footer="0" w:header="0"/>
        </w:sectPr>
      </w:pPr>
    </w:p>
    <w:bookmarkStart w:id="168" w:name="page169"/>
    <w:bookmarkEnd w:id="168"/>
    <w:p>
      <w:pPr>
        <w:jc w:val="right"/>
        <w:spacing w:after="0"/>
        <w:rPr>
          <w:sz w:val="20"/>
          <w:szCs w:val="20"/>
          <w:color w:val="auto"/>
        </w:rPr>
      </w:pPr>
      <w:r>
        <w:rPr>
          <w:rFonts w:ascii="Calibri" w:cs="Calibri" w:eastAsia="Calibri" w:hAnsi="Calibri"/>
          <w:sz w:val="14"/>
          <w:szCs w:val="14"/>
          <w:b w:val="1"/>
          <w:bCs w:val="1"/>
          <w:u w:val="single" w:color="auto"/>
          <w:color w:val="auto"/>
        </w:rPr>
        <w:t>Exhibit 10.16</w:t>
      </w:r>
    </w:p>
    <w:p>
      <w:pPr>
        <w:spacing w:after="0" w:line="181" w:lineRule="exact"/>
        <w:rPr>
          <w:sz w:val="20"/>
          <w:szCs w:val="20"/>
          <w:color w:val="auto"/>
        </w:rPr>
      </w:pPr>
    </w:p>
    <w:p>
      <w:pPr>
        <w:ind w:right="240" w:firstLine="8"/>
        <w:spacing w:after="0" w:line="245" w:lineRule="auto"/>
        <w:tabs>
          <w:tab w:leader="none" w:pos="341" w:val="left"/>
        </w:tabs>
        <w:numPr>
          <w:ilvl w:val="0"/>
          <w:numId w:val="141"/>
        </w:numPr>
        <w:rPr>
          <w:rFonts w:ascii="Calibri" w:cs="Calibri" w:eastAsia="Calibri" w:hAnsi="Calibri"/>
          <w:sz w:val="14"/>
          <w:szCs w:val="14"/>
          <w:b w:val="1"/>
          <w:bCs w:val="1"/>
          <w:color w:val="auto"/>
        </w:rPr>
      </w:pPr>
      <w:r>
        <w:rPr>
          <w:rFonts w:ascii="Calibri" w:cs="Calibri" w:eastAsia="Calibri" w:hAnsi="Calibri"/>
          <w:sz w:val="14"/>
          <w:szCs w:val="14"/>
          <w:b w:val="1"/>
          <w:bCs w:val="1"/>
          <w:color w:val="auto"/>
        </w:rPr>
        <w:t>= CERTAIN CONFIDENTIAL INFORMATION CONTAINED IN THIS DOCUMENT, MARKED BY BRACKETS, HAS BEEN OMITTED BECAUSE THE INFORMATION (I) IS NOT MATERIAL AND (II) THE TYPE THAT THE REGISTRANT TREATS A PRIVATE OR CONFIDENTIAL.</w:t>
      </w:r>
    </w:p>
    <w:p>
      <w:pPr>
        <w:spacing w:after="0" w:line="374"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b w:val="1"/>
          <w:bCs w:val="1"/>
          <w:color w:val="auto"/>
        </w:rPr>
        <w:t>AMENDMENT NO.1 TO SUPPLY AGREEMENT</w:t>
      </w:r>
    </w:p>
    <w:p>
      <w:pPr>
        <w:spacing w:after="0" w:line="171" w:lineRule="exact"/>
        <w:rPr>
          <w:sz w:val="20"/>
          <w:szCs w:val="20"/>
          <w:color w:val="auto"/>
        </w:rPr>
      </w:pPr>
    </w:p>
    <w:p>
      <w:pPr>
        <w:jc w:val="both"/>
        <w:ind w:left="120" w:right="120" w:firstLine="749"/>
        <w:spacing w:after="0" w:line="237" w:lineRule="auto"/>
        <w:rPr>
          <w:sz w:val="20"/>
          <w:szCs w:val="20"/>
          <w:color w:val="auto"/>
        </w:rPr>
      </w:pPr>
      <w:r>
        <w:rPr>
          <w:rFonts w:ascii="Calibri" w:cs="Calibri" w:eastAsia="Calibri" w:hAnsi="Calibri"/>
          <w:sz w:val="20"/>
          <w:szCs w:val="20"/>
          <w:color w:val="auto"/>
        </w:rPr>
        <w:t>This Amendment No.1 to the Supply Agreement (“Amendment No.1”), efectve as of September 13, 2024 (“Efectve Date”), is made and entered into by and between Kyowa Kirin, Inc., a corporaton organized and existng under the laws of Delaware, having its principal place of business at 510 Carnegie Center, Princeton, NJ 08540 (“Kyowa Kirin”) and Ultragenyx Pharmaceutcal Inc., a company organized and existng under the laws of Delaware, having its principal place of business at 60 Leveroni Court, Novato, CA 94949 (“UGNX”). UGNX and Kyowa Kirin may be referred to herein individually as a “Party” or collectvely as the “Partes.”</w:t>
      </w:r>
    </w:p>
    <w:p>
      <w:pPr>
        <w:spacing w:after="0" w:line="216" w:lineRule="exact"/>
        <w:rPr>
          <w:sz w:val="20"/>
          <w:szCs w:val="20"/>
          <w:color w:val="auto"/>
        </w:rPr>
      </w:pPr>
    </w:p>
    <w:p>
      <w:pPr>
        <w:ind w:left="860"/>
        <w:spacing w:after="0"/>
        <w:rPr>
          <w:sz w:val="20"/>
          <w:szCs w:val="20"/>
          <w:color w:val="auto"/>
        </w:rPr>
      </w:pPr>
      <w:r>
        <w:rPr>
          <w:rFonts w:ascii="Calibri" w:cs="Calibri" w:eastAsia="Calibri" w:hAnsi="Calibri"/>
          <w:sz w:val="20"/>
          <w:szCs w:val="20"/>
          <w:b w:val="1"/>
          <w:bCs w:val="1"/>
          <w:color w:val="auto"/>
        </w:rPr>
        <w:t>WHEREAS</w:t>
      </w:r>
      <w:r>
        <w:rPr>
          <w:rFonts w:ascii="Calibri" w:cs="Calibri" w:eastAsia="Calibri" w:hAnsi="Calibri"/>
          <w:sz w:val="20"/>
          <w:szCs w:val="20"/>
          <w:color w:val="auto"/>
        </w:rPr>
        <w:t>, UGNX and Kyowa Kirin entered into that certain Supply Agreement made as of October 27, 2020 (“Agreement”).</w:t>
      </w:r>
    </w:p>
    <w:p>
      <w:pPr>
        <w:spacing w:after="0" w:line="215" w:lineRule="exact"/>
        <w:rPr>
          <w:sz w:val="20"/>
          <w:szCs w:val="20"/>
          <w:color w:val="auto"/>
        </w:rPr>
      </w:pPr>
    </w:p>
    <w:p>
      <w:pPr>
        <w:ind w:left="860"/>
        <w:spacing w:after="0"/>
        <w:rPr>
          <w:sz w:val="20"/>
          <w:szCs w:val="20"/>
          <w:color w:val="auto"/>
        </w:rPr>
      </w:pPr>
      <w:r>
        <w:rPr>
          <w:rFonts w:ascii="Calibri" w:cs="Calibri" w:eastAsia="Calibri" w:hAnsi="Calibri"/>
          <w:sz w:val="20"/>
          <w:szCs w:val="20"/>
          <w:b w:val="1"/>
          <w:bCs w:val="1"/>
          <w:color w:val="auto"/>
        </w:rPr>
        <w:t>WHEREAS</w:t>
      </w:r>
      <w:r>
        <w:rPr>
          <w:rFonts w:ascii="Calibri" w:cs="Calibri" w:eastAsia="Calibri" w:hAnsi="Calibri"/>
          <w:sz w:val="20"/>
          <w:szCs w:val="20"/>
          <w:color w:val="auto"/>
        </w:rPr>
        <w:t>, the Partes wish to hereby amend the Agreement as set forth below.</w:t>
      </w:r>
    </w:p>
    <w:p>
      <w:pPr>
        <w:spacing w:after="0" w:line="252" w:lineRule="exact"/>
        <w:rPr>
          <w:sz w:val="20"/>
          <w:szCs w:val="20"/>
          <w:color w:val="auto"/>
        </w:rPr>
      </w:pPr>
    </w:p>
    <w:p>
      <w:pPr>
        <w:jc w:val="both"/>
        <w:ind w:left="120" w:right="120" w:firstLine="749"/>
        <w:spacing w:after="0"/>
        <w:rPr>
          <w:sz w:val="20"/>
          <w:szCs w:val="20"/>
          <w:color w:val="auto"/>
        </w:rPr>
      </w:pPr>
      <w:r>
        <w:rPr>
          <w:rFonts w:ascii="Calibri" w:cs="Calibri" w:eastAsia="Calibri" w:hAnsi="Calibri"/>
          <w:sz w:val="20"/>
          <w:szCs w:val="20"/>
          <w:b w:val="1"/>
          <w:bCs w:val="1"/>
          <w:color w:val="auto"/>
        </w:rPr>
        <w:t>NOW, THEREFORE</w:t>
      </w:r>
      <w:r>
        <w:rPr>
          <w:rFonts w:ascii="Calibri" w:cs="Calibri" w:eastAsia="Calibri" w:hAnsi="Calibri"/>
          <w:sz w:val="20"/>
          <w:szCs w:val="20"/>
          <w:color w:val="auto"/>
        </w:rPr>
        <w:t>, in consideraton of the promises, the mutual covenants contained herein and other valuable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consideraton, the receipt and sufciency of which are hereby acknowledged, the Partes hereby agree to amend the Agreement as follows:</w:t>
      </w:r>
    </w:p>
    <w:p>
      <w:pPr>
        <w:spacing w:after="0" w:line="200" w:lineRule="exact"/>
        <w:rPr>
          <w:sz w:val="20"/>
          <w:szCs w:val="20"/>
          <w:color w:val="auto"/>
        </w:rPr>
      </w:pPr>
    </w:p>
    <w:p>
      <w:pPr>
        <w:spacing w:after="0" w:line="261" w:lineRule="exact"/>
        <w:rPr>
          <w:sz w:val="20"/>
          <w:szCs w:val="20"/>
          <w:color w:val="auto"/>
        </w:rPr>
      </w:pPr>
    </w:p>
    <w:p>
      <w:pPr>
        <w:ind w:left="860" w:hanging="373"/>
        <w:spacing w:after="0"/>
        <w:tabs>
          <w:tab w:leader="none" w:pos="860" w:val="left"/>
        </w:tabs>
        <w:numPr>
          <w:ilvl w:val="0"/>
          <w:numId w:val="142"/>
        </w:numPr>
        <w:rPr>
          <w:rFonts w:ascii="Times New Roman" w:cs="Times New Roman" w:eastAsia="Times New Roman" w:hAnsi="Times New Roman"/>
          <w:sz w:val="20"/>
          <w:szCs w:val="20"/>
          <w:color w:val="auto"/>
        </w:rPr>
      </w:pPr>
      <w:r>
        <w:rPr>
          <w:rFonts w:ascii="Calibri" w:cs="Calibri" w:eastAsia="Calibri" w:hAnsi="Calibri"/>
          <w:sz w:val="20"/>
          <w:szCs w:val="20"/>
          <w:color w:val="auto"/>
        </w:rPr>
        <w:t>Secton 1.1 in the Agreement is hereby amended to include the following defniton:</w:t>
      </w:r>
    </w:p>
    <w:p>
      <w:pPr>
        <w:spacing w:after="0" w:line="170" w:lineRule="exact"/>
        <w:rPr>
          <w:rFonts w:ascii="Times New Roman" w:cs="Times New Roman" w:eastAsia="Times New Roman" w:hAnsi="Times New Roman"/>
          <w:sz w:val="20"/>
          <w:szCs w:val="20"/>
          <w:color w:val="auto"/>
        </w:rPr>
      </w:pPr>
    </w:p>
    <w:p>
      <w:pPr>
        <w:ind w:left="2180" w:right="120" w:hanging="1310"/>
        <w:spacing w:after="0" w:line="236" w:lineRule="auto"/>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 xml:space="preserve">“Warehouse </w:t>
      </w:r>
      <w:r>
        <w:rPr>
          <w:rFonts w:ascii="Calibri" w:cs="Calibri" w:eastAsia="Calibri" w:hAnsi="Calibri"/>
          <w:sz w:val="20"/>
          <w:szCs w:val="20"/>
          <w:color w:val="auto"/>
        </w:rPr>
        <w:t>A Product handling and/or storage locaton directly managed by Kyowa Kirin or indirectly managed through</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Kyowa Kirin’s approved supplier network, whereby Kyowa Kirin’s approved supplier having previously satsfed the requirements of Kyowa Kirin’s supplier audit criteria and supported by an appropriate quality technical agreement;”</w:t>
      </w:r>
    </w:p>
    <w:p>
      <w:pPr>
        <w:spacing w:after="0" w:line="164" w:lineRule="exact"/>
        <w:rPr>
          <w:rFonts w:ascii="Times New Roman" w:cs="Times New Roman" w:eastAsia="Times New Roman" w:hAnsi="Times New Roman"/>
          <w:sz w:val="20"/>
          <w:szCs w:val="20"/>
          <w:color w:val="auto"/>
        </w:rPr>
      </w:pPr>
    </w:p>
    <w:p>
      <w:pPr>
        <w:ind w:left="860" w:hanging="373"/>
        <w:spacing w:after="0"/>
        <w:tabs>
          <w:tab w:leader="none" w:pos="860" w:val="left"/>
        </w:tabs>
        <w:numPr>
          <w:ilvl w:val="0"/>
          <w:numId w:val="142"/>
        </w:numPr>
        <w:rPr>
          <w:rFonts w:ascii="Times New Roman" w:cs="Times New Roman" w:eastAsia="Times New Roman" w:hAnsi="Times New Roman"/>
          <w:sz w:val="20"/>
          <w:szCs w:val="20"/>
          <w:color w:val="auto"/>
        </w:rPr>
      </w:pPr>
      <w:r>
        <w:rPr>
          <w:rFonts w:ascii="Calibri" w:cs="Calibri" w:eastAsia="Calibri" w:hAnsi="Calibri"/>
          <w:sz w:val="20"/>
          <w:szCs w:val="20"/>
          <w:color w:val="auto"/>
        </w:rPr>
        <w:t>Secton 6.1 in the Agreement is hereby deleted in its entrety and replaced with the following:</w:t>
      </w:r>
    </w:p>
    <w:p>
      <w:pPr>
        <w:spacing w:after="0" w:line="278" w:lineRule="exact"/>
        <w:rPr>
          <w:rFonts w:ascii="Times New Roman" w:cs="Times New Roman" w:eastAsia="Times New Roman" w:hAnsi="Times New Roman"/>
          <w:sz w:val="20"/>
          <w:szCs w:val="20"/>
          <w:color w:val="auto"/>
        </w:rPr>
      </w:pPr>
    </w:p>
    <w:p>
      <w:pPr>
        <w:jc w:val="both"/>
        <w:ind w:left="860" w:right="120"/>
        <w:spacing w:after="0" w:line="236" w:lineRule="auto"/>
        <w:rPr>
          <w:rFonts w:ascii="Times New Roman" w:cs="Times New Roman" w:eastAsia="Times New Roman" w:hAnsi="Times New Roman"/>
          <w:sz w:val="20"/>
          <w:szCs w:val="20"/>
          <w:color w:val="auto"/>
        </w:rPr>
      </w:pPr>
      <w:r>
        <w:rPr>
          <w:rFonts w:ascii="Calibri" w:cs="Calibri" w:eastAsia="Calibri" w:hAnsi="Calibri"/>
          <w:sz w:val="20"/>
          <w:szCs w:val="20"/>
          <w:color w:val="auto"/>
        </w:rPr>
        <w:t>“6.1 During the Term of this Agreement, Kyowa Kirin shall supply Product as naked, unlabelled product. Product will be supplied to UGNX from the bulk drug Product supply maintained or made available at Kyowa Kirin’s Warehouse (as defned herein) or Kyowa Kirin’s approved third-party packaging facility(ies) as outlined in Secton 7.2. Kyowa Kirin agrees to maintain an inventory of sufcient Product as mutually agreed through the joint sales and operatons planning process.”</w:t>
      </w:r>
    </w:p>
    <w:p>
      <w:pPr>
        <w:spacing w:after="0" w:line="231" w:lineRule="exact"/>
        <w:rPr>
          <w:rFonts w:ascii="Times New Roman" w:cs="Times New Roman" w:eastAsia="Times New Roman" w:hAnsi="Times New Roman"/>
          <w:sz w:val="20"/>
          <w:szCs w:val="20"/>
          <w:color w:val="auto"/>
        </w:rPr>
      </w:pPr>
    </w:p>
    <w:p>
      <w:pPr>
        <w:ind w:left="860" w:hanging="373"/>
        <w:spacing w:after="0"/>
        <w:tabs>
          <w:tab w:leader="none" w:pos="860" w:val="left"/>
        </w:tabs>
        <w:numPr>
          <w:ilvl w:val="0"/>
          <w:numId w:val="142"/>
        </w:numPr>
        <w:rPr>
          <w:rFonts w:ascii="Times New Roman" w:cs="Times New Roman" w:eastAsia="Times New Roman" w:hAnsi="Times New Roman"/>
          <w:sz w:val="20"/>
          <w:szCs w:val="20"/>
          <w:color w:val="auto"/>
        </w:rPr>
      </w:pPr>
      <w:r>
        <w:rPr>
          <w:rFonts w:ascii="Calibri" w:cs="Calibri" w:eastAsia="Calibri" w:hAnsi="Calibri"/>
          <w:sz w:val="20"/>
          <w:szCs w:val="20"/>
          <w:color w:val="auto"/>
        </w:rPr>
        <w:t>Secton 7.2 in the Agreement is hereby deleted in its entrety and replaced with the following:</w:t>
      </w:r>
    </w:p>
    <w:p>
      <w:pPr>
        <w:spacing w:after="0" w:line="292" w:lineRule="exact"/>
        <w:rPr>
          <w:rFonts w:ascii="Times New Roman" w:cs="Times New Roman" w:eastAsia="Times New Roman" w:hAnsi="Times New Roman"/>
          <w:sz w:val="20"/>
          <w:szCs w:val="20"/>
          <w:color w:val="auto"/>
        </w:rPr>
      </w:pPr>
    </w:p>
    <w:p>
      <w:pPr>
        <w:jc w:val="both"/>
        <w:ind w:left="860" w:right="120"/>
        <w:spacing w:after="0" w:line="237" w:lineRule="auto"/>
        <w:rPr>
          <w:rFonts w:ascii="Times New Roman" w:cs="Times New Roman" w:eastAsia="Times New Roman" w:hAnsi="Times New Roman"/>
          <w:sz w:val="20"/>
          <w:szCs w:val="20"/>
          <w:color w:val="auto"/>
        </w:rPr>
      </w:pPr>
      <w:r>
        <w:rPr>
          <w:rFonts w:ascii="Calibri" w:cs="Calibri" w:eastAsia="Calibri" w:hAnsi="Calibri"/>
          <w:sz w:val="20"/>
          <w:szCs w:val="20"/>
          <w:color w:val="auto"/>
        </w:rPr>
        <w:t>“7.2 Product will be shipped by Kyowa Kirin [***] to a regional packaging facility located in [***] or to a Kyowa Kirin qualifed Warehouse in the United States, or to the Kyowa Kirin regional packaging facility located in [***], or to any other such Kyowa Kirin packaging facility as approved in advance by UGNX. Kyowa Kirin will coordinate the shipment of the Product into the United States and the Product receipt at Kyowa Kirin’s qualifed Warehouse or packaging facility. Products shall be made available to UGNX from Kyowa Kirin approved inventory, having already</w:t>
      </w:r>
    </w:p>
    <w:p>
      <w:pPr>
        <w:spacing w:after="0" w:line="243" w:lineRule="exact"/>
        <w:rPr>
          <w:sz w:val="20"/>
          <w:szCs w:val="20"/>
          <w:color w:val="auto"/>
        </w:rPr>
      </w:pPr>
    </w:p>
    <w:p>
      <w:pPr>
        <w:ind w:left="80"/>
        <w:spacing w:after="0"/>
        <w:rPr>
          <w:sz w:val="20"/>
          <w:szCs w:val="20"/>
          <w:color w:val="auto"/>
        </w:rPr>
      </w:pPr>
      <w:r>
        <w:rPr>
          <w:rFonts w:ascii="Calibri" w:cs="Calibri" w:eastAsia="Calibri" w:hAnsi="Calibri"/>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676910</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6" w:right="339" w:bottom="1440" w:gutter="0" w:footer="0" w:header="0"/>
        </w:sectPr>
      </w:pPr>
    </w:p>
    <w:bookmarkStart w:id="169" w:name="page170"/>
    <w:bookmarkEnd w:id="169"/>
    <w:p>
      <w:pPr>
        <w:ind w:left="780"/>
        <w:spacing w:after="0"/>
        <w:rPr>
          <w:sz w:val="20"/>
          <w:szCs w:val="20"/>
          <w:color w:val="auto"/>
        </w:rPr>
      </w:pPr>
      <w:r>
        <w:rPr>
          <w:rFonts w:ascii="Calibri" w:cs="Calibri" w:eastAsia="Calibri" w:hAnsi="Calibri"/>
          <w:sz w:val="20"/>
          <w:szCs w:val="20"/>
          <w:color w:val="auto"/>
        </w:rPr>
        <w:t>been transported from the point of manufacture using Kyowa Kirin qualifed shipping lanes.”</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676910</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307" w:right="1440" w:bottom="1440" w:gutter="0" w:footer="0" w:header="0"/>
        </w:sectPr>
      </w:pPr>
    </w:p>
    <w:bookmarkStart w:id="170" w:name="page171"/>
    <w:bookmarkEnd w:id="170"/>
    <w:p>
      <w:pPr>
        <w:ind w:left="780" w:hanging="373"/>
        <w:spacing w:after="0"/>
        <w:tabs>
          <w:tab w:leader="none" w:pos="780" w:val="left"/>
        </w:tabs>
        <w:numPr>
          <w:ilvl w:val="0"/>
          <w:numId w:val="143"/>
        </w:numPr>
        <w:rPr>
          <w:rFonts w:ascii="Times New Roman" w:cs="Times New Roman" w:eastAsia="Times New Roman" w:hAnsi="Times New Roman"/>
          <w:sz w:val="20"/>
          <w:szCs w:val="20"/>
          <w:color w:val="auto"/>
        </w:rPr>
      </w:pPr>
      <w:r>
        <w:rPr>
          <w:rFonts w:ascii="Calibri" w:cs="Calibri" w:eastAsia="Calibri" w:hAnsi="Calibri"/>
          <w:sz w:val="20"/>
          <w:szCs w:val="20"/>
          <w:color w:val="auto"/>
        </w:rPr>
        <w:t>Secton 7.3 in the Agreement is hereby deleted in its entrety and replaced with the following:</w:t>
      </w:r>
    </w:p>
    <w:p>
      <w:pPr>
        <w:spacing w:after="0" w:line="278" w:lineRule="exact"/>
        <w:rPr>
          <w:rFonts w:ascii="Times New Roman" w:cs="Times New Roman" w:eastAsia="Times New Roman" w:hAnsi="Times New Roman"/>
          <w:sz w:val="20"/>
          <w:szCs w:val="20"/>
          <w:color w:val="auto"/>
        </w:rPr>
      </w:pPr>
    </w:p>
    <w:p>
      <w:pPr>
        <w:jc w:val="both"/>
        <w:ind w:left="780"/>
        <w:spacing w:after="0" w:line="237" w:lineRule="auto"/>
        <w:rPr>
          <w:rFonts w:ascii="Times New Roman" w:cs="Times New Roman" w:eastAsia="Times New Roman" w:hAnsi="Times New Roman"/>
          <w:sz w:val="20"/>
          <w:szCs w:val="20"/>
          <w:color w:val="auto"/>
        </w:rPr>
      </w:pPr>
      <w:r>
        <w:rPr>
          <w:rFonts w:ascii="Calibri" w:cs="Calibri" w:eastAsia="Calibri" w:hAnsi="Calibri"/>
          <w:sz w:val="20"/>
          <w:szCs w:val="20"/>
          <w:color w:val="auto"/>
        </w:rPr>
        <w:t>“7.3 All Product supplied by Kyowa Kirin that is (i) shipped from the regional packaging facility located at [***] shall be examined and checked upon transfer or delivery to UGNX (or its designee at the regional packaging site) and (ii) shipped from a qualifed Kyowa Kirin Warehouse, shall be examined and checked upon transfer or delivery to UGNX’s packaging facility at [***] in order to ascertain that the Product complies with the lot release informaton, quantty, and Inventory Acceptance Requirements.”</w:t>
      </w:r>
    </w:p>
    <w:p>
      <w:pPr>
        <w:spacing w:after="0" w:line="283" w:lineRule="exact"/>
        <w:rPr>
          <w:rFonts w:ascii="Times New Roman" w:cs="Times New Roman" w:eastAsia="Times New Roman" w:hAnsi="Times New Roman"/>
          <w:sz w:val="20"/>
          <w:szCs w:val="20"/>
          <w:color w:val="auto"/>
        </w:rPr>
      </w:pPr>
    </w:p>
    <w:p>
      <w:pPr>
        <w:ind w:left="780" w:hanging="373"/>
        <w:spacing w:after="0"/>
        <w:tabs>
          <w:tab w:leader="none" w:pos="780" w:val="left"/>
        </w:tabs>
        <w:numPr>
          <w:ilvl w:val="0"/>
          <w:numId w:val="143"/>
        </w:numPr>
        <w:rPr>
          <w:rFonts w:ascii="Times New Roman" w:cs="Times New Roman" w:eastAsia="Times New Roman" w:hAnsi="Times New Roman"/>
          <w:sz w:val="20"/>
          <w:szCs w:val="20"/>
          <w:color w:val="auto"/>
        </w:rPr>
      </w:pPr>
      <w:r>
        <w:rPr>
          <w:rFonts w:ascii="Calibri" w:cs="Calibri" w:eastAsia="Calibri" w:hAnsi="Calibri"/>
          <w:sz w:val="20"/>
          <w:szCs w:val="20"/>
          <w:color w:val="auto"/>
        </w:rPr>
        <w:t>Secton 8.1 in the Agreement is hereby deleted in its entrety and replaced with the following:</w:t>
      </w:r>
    </w:p>
    <w:p>
      <w:pPr>
        <w:spacing w:after="0" w:line="278" w:lineRule="exact"/>
        <w:rPr>
          <w:rFonts w:ascii="Times New Roman" w:cs="Times New Roman" w:eastAsia="Times New Roman" w:hAnsi="Times New Roman"/>
          <w:sz w:val="20"/>
          <w:szCs w:val="20"/>
          <w:color w:val="auto"/>
        </w:rPr>
      </w:pPr>
    </w:p>
    <w:p>
      <w:pPr>
        <w:jc w:val="both"/>
        <w:ind w:left="780" w:right="20"/>
        <w:spacing w:after="0" w:line="236" w:lineRule="auto"/>
        <w:rPr>
          <w:rFonts w:ascii="Times New Roman" w:cs="Times New Roman" w:eastAsia="Times New Roman" w:hAnsi="Times New Roman"/>
          <w:sz w:val="20"/>
          <w:szCs w:val="20"/>
          <w:color w:val="auto"/>
        </w:rPr>
      </w:pPr>
      <w:r>
        <w:rPr>
          <w:rFonts w:ascii="Calibri" w:cs="Calibri" w:eastAsia="Calibri" w:hAnsi="Calibri"/>
          <w:sz w:val="20"/>
          <w:szCs w:val="20"/>
          <w:color w:val="auto"/>
        </w:rPr>
        <w:t>“8.1 Title and risk of loss to Products shall pass to UGNX upon transfer or delivery to UGNX or its designee at: (i) the regional packaging facility located in [***] for the Products shipped to such facility, or (ii) at Kyowa Kirin’s Warehouse for the Products shipped to Kyowa Kirin’s Warehouse for further shipment by UGNX to UGNX packaging facility at [***] .”</w:t>
      </w:r>
    </w:p>
    <w:p>
      <w:pPr>
        <w:spacing w:after="0" w:line="278" w:lineRule="exact"/>
        <w:rPr>
          <w:rFonts w:ascii="Times New Roman" w:cs="Times New Roman" w:eastAsia="Times New Roman" w:hAnsi="Times New Roman"/>
          <w:sz w:val="20"/>
          <w:szCs w:val="20"/>
          <w:color w:val="auto"/>
        </w:rPr>
      </w:pPr>
    </w:p>
    <w:p>
      <w:pPr>
        <w:jc w:val="both"/>
        <w:ind w:left="780" w:hanging="373"/>
        <w:spacing w:after="0" w:line="236" w:lineRule="auto"/>
        <w:tabs>
          <w:tab w:leader="none" w:pos="780" w:val="left"/>
        </w:tabs>
        <w:numPr>
          <w:ilvl w:val="0"/>
          <w:numId w:val="143"/>
        </w:numPr>
        <w:rPr>
          <w:rFonts w:ascii="Times New Roman" w:cs="Times New Roman" w:eastAsia="Times New Roman" w:hAnsi="Times New Roman"/>
          <w:sz w:val="20"/>
          <w:szCs w:val="20"/>
          <w:color w:val="auto"/>
        </w:rPr>
      </w:pPr>
      <w:r>
        <w:rPr>
          <w:rFonts w:ascii="Calibri" w:cs="Calibri" w:eastAsia="Calibri" w:hAnsi="Calibri"/>
          <w:sz w:val="20"/>
          <w:szCs w:val="20"/>
          <w:color w:val="auto"/>
        </w:rPr>
        <w:t>Except as expressly provided in this Amendment No.1, all other terms, conditons and provisions of the Agreement shall contnue in full force and efect as provided therein. Capitalized terms used in this Amendment No.1 that are not otherwise defned herein, shall have the meanings assigned to them in the Agreement.</w:t>
      </w:r>
    </w:p>
    <w:p>
      <w:pPr>
        <w:spacing w:after="0" w:line="278" w:lineRule="exact"/>
        <w:rPr>
          <w:rFonts w:ascii="Times New Roman" w:cs="Times New Roman" w:eastAsia="Times New Roman" w:hAnsi="Times New Roman"/>
          <w:sz w:val="20"/>
          <w:szCs w:val="20"/>
          <w:color w:val="auto"/>
        </w:rPr>
      </w:pPr>
    </w:p>
    <w:p>
      <w:pPr>
        <w:ind w:left="780" w:hanging="373"/>
        <w:spacing w:after="0" w:line="234" w:lineRule="auto"/>
        <w:tabs>
          <w:tab w:leader="none" w:pos="780" w:val="left"/>
        </w:tabs>
        <w:numPr>
          <w:ilvl w:val="0"/>
          <w:numId w:val="143"/>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This Amendment No. 1 shall inure to the beneft of, and be binding upon, the Partes hereto and their respectve heirs, successors, trustees, transferees and assigns.</w:t>
      </w:r>
    </w:p>
    <w:p>
      <w:pPr>
        <w:spacing w:after="0" w:line="279" w:lineRule="exact"/>
        <w:rPr>
          <w:rFonts w:ascii="Times New Roman" w:cs="Times New Roman" w:eastAsia="Times New Roman" w:hAnsi="Times New Roman"/>
          <w:sz w:val="20"/>
          <w:szCs w:val="20"/>
          <w:color w:val="auto"/>
        </w:rPr>
      </w:pPr>
    </w:p>
    <w:p>
      <w:pPr>
        <w:jc w:val="both"/>
        <w:ind w:left="780" w:hanging="373"/>
        <w:spacing w:after="0" w:line="237" w:lineRule="auto"/>
        <w:tabs>
          <w:tab w:leader="none" w:pos="780" w:val="left"/>
        </w:tabs>
        <w:numPr>
          <w:ilvl w:val="0"/>
          <w:numId w:val="143"/>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This Amendment No.1 may be executed in two or more counterparts, each of which shall be deemed an original and all of which shall consttute together the same instrument. The Partes to this Amendment No.1 agree that a copy of the original signature (including an electronic copy) may be used for any and all purposes for which the original signature may have been used. The Partes agree they will have no rights to challenge the use or authentcity of this document based solely on the absence of an original signature.</w:t>
      </w:r>
    </w:p>
    <w:p>
      <w:pPr>
        <w:spacing w:after="0" w:line="256" w:lineRule="exact"/>
        <w:rPr>
          <w:sz w:val="20"/>
          <w:szCs w:val="20"/>
          <w:color w:val="auto"/>
        </w:rPr>
      </w:pPr>
    </w:p>
    <w:p>
      <w:pPr>
        <w:ind w:left="3580"/>
        <w:spacing w:after="0"/>
        <w:rPr>
          <w:sz w:val="20"/>
          <w:szCs w:val="20"/>
          <w:color w:val="auto"/>
        </w:rPr>
      </w:pPr>
      <w:r>
        <w:rPr>
          <w:rFonts w:ascii="Calibri" w:cs="Calibri" w:eastAsia="Calibri" w:hAnsi="Calibri"/>
          <w:sz w:val="20"/>
          <w:szCs w:val="20"/>
          <w:i w:val="1"/>
          <w:iCs w:val="1"/>
          <w:color w:val="auto"/>
        </w:rPr>
        <w:t>[Signature page follow on next page</w:t>
      </w:r>
      <w:r>
        <w:rPr>
          <w:rFonts w:ascii="Calibri" w:cs="Calibri" w:eastAsia="Calibri" w:hAnsi="Calibri"/>
          <w:sz w:val="20"/>
          <w:szCs w:val="20"/>
          <w:color w:val="auto"/>
        </w:rPr>
        <w:t>]</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676910</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402" w:right="459" w:bottom="1440" w:gutter="0" w:footer="0" w:header="0"/>
        </w:sectPr>
      </w:pPr>
    </w:p>
    <w:bookmarkStart w:id="171" w:name="page172"/>
    <w:bookmarkEnd w:id="171"/>
    <w:p>
      <w:pPr>
        <w:ind w:left="780"/>
        <w:spacing w:after="0"/>
        <w:rPr>
          <w:sz w:val="20"/>
          <w:szCs w:val="20"/>
          <w:color w:val="auto"/>
        </w:rPr>
      </w:pPr>
      <w:r>
        <w:rPr>
          <w:rFonts w:ascii="Calibri" w:cs="Calibri" w:eastAsia="Calibri" w:hAnsi="Calibri"/>
          <w:sz w:val="20"/>
          <w:szCs w:val="20"/>
          <w:b w:val="1"/>
          <w:bCs w:val="1"/>
          <w:color w:val="auto"/>
        </w:rPr>
        <w:t>IN WITNESS WHEREOF</w:t>
      </w:r>
      <w:r>
        <w:rPr>
          <w:rFonts w:ascii="Calibri" w:cs="Calibri" w:eastAsia="Calibri" w:hAnsi="Calibri"/>
          <w:sz w:val="20"/>
          <w:szCs w:val="20"/>
          <w:color w:val="auto"/>
        </w:rPr>
        <w:t>, the Partes have duly authorized persons executed this Amendment No.1 as of the Efectve Date.</w:t>
      </w:r>
    </w:p>
    <w:p>
      <w:pPr>
        <w:spacing w:after="0" w:line="320" w:lineRule="exact"/>
        <w:rPr>
          <w:sz w:val="20"/>
          <w:szCs w:val="20"/>
          <w:color w:val="auto"/>
        </w:rPr>
      </w:pPr>
    </w:p>
    <w:tbl>
      <w:tblPr>
        <w:tblLayout w:type="fixed"/>
        <w:tblInd w:w="790" w:type="dxa"/>
        <w:tblCellMar>
          <w:top w:w="0" w:type="dxa"/>
          <w:left w:w="0" w:type="dxa"/>
          <w:bottom w:w="0" w:type="dxa"/>
          <w:right w:w="0" w:type="dxa"/>
        </w:tblCellMar>
      </w:tblPr>
      <w:tr>
        <w:trPr>
          <w:trHeight w:val="257"/>
        </w:trPr>
        <w:tc>
          <w:tcPr>
            <w:tcW w:w="50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Calibri" w:cs="Calibri" w:eastAsia="Calibri" w:hAnsi="Calibri"/>
                <w:sz w:val="20"/>
                <w:szCs w:val="20"/>
                <w:color w:val="auto"/>
              </w:rPr>
              <w:t>ULTRAGENYX PHARMACEUTICAL INC.</w:t>
            </w:r>
          </w:p>
        </w:tc>
        <w:tc>
          <w:tcPr>
            <w:tcW w:w="5040" w:type="dxa"/>
            <w:vAlign w:val="bottom"/>
            <w:tcBorders>
              <w:top w:val="single" w:sz="8" w:color="auto"/>
              <w:bottom w:val="single" w:sz="8" w:color="auto"/>
            </w:tcBorders>
          </w:tcPr>
          <w:p>
            <w:pPr>
              <w:ind w:left="60"/>
              <w:spacing w:after="0"/>
              <w:rPr>
                <w:sz w:val="20"/>
                <w:szCs w:val="20"/>
                <w:color w:val="auto"/>
              </w:rPr>
            </w:pPr>
            <w:r>
              <w:rPr>
                <w:rFonts w:ascii="Calibri" w:cs="Calibri" w:eastAsia="Calibri" w:hAnsi="Calibri"/>
                <w:sz w:val="20"/>
                <w:szCs w:val="20"/>
                <w:color w:val="auto"/>
              </w:rPr>
              <w:t>KYOWA KIRIN,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-172720</wp:posOffset>
            </wp:positionV>
            <wp:extent cx="6412230" cy="432054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83">
                      <a:extLst>
                        <a:ext uri="{28A0092B-C50C-407E-A947-70E740481C1C}"/>
                      </a:extLst>
                    </a:blip>
                    <a:srcRect/>
                    <a:stretch>
                      <a:fillRect/>
                    </a:stretch>
                  </pic:blipFill>
                  <pic:spPr bwMode="auto">
                    <a:xfrm>
                      <a:off x="0" y="0"/>
                      <a:ext cx="6412230" cy="4320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820" w:type="dxa"/>
        <w:tblCellMar>
          <w:top w:w="0" w:type="dxa"/>
          <w:left w:w="0" w:type="dxa"/>
          <w:bottom w:w="0" w:type="dxa"/>
          <w:right w:w="0" w:type="dxa"/>
        </w:tblCellMar>
      </w:tblPr>
      <w:tr>
        <w:trPr>
          <w:trHeight w:val="244"/>
        </w:trPr>
        <w:tc>
          <w:tcPr>
            <w:tcW w:w="3420" w:type="dxa"/>
            <w:vAlign w:val="bottom"/>
          </w:tcPr>
          <w:p>
            <w:pPr>
              <w:spacing w:after="0"/>
              <w:rPr>
                <w:sz w:val="20"/>
                <w:szCs w:val="20"/>
                <w:color w:val="auto"/>
              </w:rPr>
            </w:pPr>
            <w:r>
              <w:rPr>
                <w:rFonts w:ascii="Calibri" w:cs="Calibri" w:eastAsia="Calibri" w:hAnsi="Calibri"/>
                <w:sz w:val="20"/>
                <w:szCs w:val="20"/>
                <w:color w:val="auto"/>
              </w:rPr>
              <w:t>By: /s/ Siegfried Hackl</w:t>
            </w:r>
          </w:p>
        </w:tc>
        <w:tc>
          <w:tcPr>
            <w:tcW w:w="3000" w:type="dxa"/>
            <w:vAlign w:val="bottom"/>
          </w:tcPr>
          <w:p>
            <w:pPr>
              <w:ind w:left="1620"/>
              <w:spacing w:after="0"/>
              <w:rPr>
                <w:sz w:val="20"/>
                <w:szCs w:val="20"/>
                <w:color w:val="auto"/>
              </w:rPr>
            </w:pPr>
            <w:r>
              <w:rPr>
                <w:rFonts w:ascii="Calibri" w:cs="Calibri" w:eastAsia="Calibri" w:hAnsi="Calibri"/>
                <w:sz w:val="20"/>
                <w:szCs w:val="20"/>
                <w:color w:val="auto"/>
                <w:w w:val="98"/>
              </w:rPr>
              <w:t>By: /s/ Paul Jesta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860" w:type="dxa"/>
        <w:tblCellMar>
          <w:top w:w="0" w:type="dxa"/>
          <w:left w:w="0" w:type="dxa"/>
          <w:bottom w:w="0" w:type="dxa"/>
          <w:right w:w="0" w:type="dxa"/>
        </w:tblCellMar>
      </w:tblPr>
      <w:tr>
        <w:trPr>
          <w:trHeight w:val="258"/>
        </w:trPr>
        <w:tc>
          <w:tcPr>
            <w:tcW w:w="3440" w:type="dxa"/>
            <w:vAlign w:val="bottom"/>
          </w:tcPr>
          <w:p>
            <w:pPr>
              <w:ind w:left="620"/>
              <w:spacing w:after="0"/>
              <w:rPr>
                <w:sz w:val="20"/>
                <w:szCs w:val="20"/>
                <w:color w:val="auto"/>
              </w:rPr>
            </w:pPr>
            <w:r>
              <w:rPr>
                <w:rFonts w:ascii="Calibri" w:cs="Calibri" w:eastAsia="Calibri" w:hAnsi="Calibri"/>
                <w:sz w:val="20"/>
                <w:szCs w:val="20"/>
                <w:color w:val="auto"/>
              </w:rPr>
              <w:t>Siegfried Hackl</w:t>
            </w:r>
          </w:p>
        </w:tc>
        <w:tc>
          <w:tcPr>
            <w:tcW w:w="2740" w:type="dxa"/>
            <w:vAlign w:val="bottom"/>
          </w:tcPr>
          <w:p>
            <w:pPr>
              <w:ind w:left="1880"/>
              <w:spacing w:after="0"/>
              <w:rPr>
                <w:sz w:val="20"/>
                <w:szCs w:val="20"/>
                <w:color w:val="auto"/>
              </w:rPr>
            </w:pPr>
            <w:r>
              <w:rPr>
                <w:rFonts w:ascii="Calibri" w:cs="Calibri" w:eastAsia="Calibri" w:hAnsi="Calibri"/>
                <w:sz w:val="20"/>
                <w:szCs w:val="20"/>
                <w:color w:val="auto"/>
              </w:rPr>
              <w:t>Paul Jesta</w:t>
            </w:r>
          </w:p>
        </w:tc>
      </w:tr>
      <w:tr>
        <w:trPr>
          <w:trHeight w:val="702"/>
        </w:trPr>
        <w:tc>
          <w:tcPr>
            <w:tcW w:w="3440" w:type="dxa"/>
            <w:vAlign w:val="bottom"/>
          </w:tcPr>
          <w:p>
            <w:pPr>
              <w:spacing w:after="0"/>
              <w:rPr>
                <w:sz w:val="20"/>
                <w:szCs w:val="20"/>
                <w:color w:val="auto"/>
              </w:rPr>
            </w:pPr>
            <w:r>
              <w:rPr>
                <w:rFonts w:ascii="Calibri" w:cs="Calibri" w:eastAsia="Calibri" w:hAnsi="Calibri"/>
                <w:sz w:val="20"/>
                <w:szCs w:val="20"/>
                <w:color w:val="auto"/>
              </w:rPr>
              <w:t>Printed Name</w:t>
            </w:r>
          </w:p>
        </w:tc>
        <w:tc>
          <w:tcPr>
            <w:tcW w:w="2740" w:type="dxa"/>
            <w:vAlign w:val="bottom"/>
          </w:tcPr>
          <w:p>
            <w:pPr>
              <w:ind w:left="1600"/>
              <w:spacing w:after="0"/>
              <w:rPr>
                <w:sz w:val="20"/>
                <w:szCs w:val="20"/>
                <w:color w:val="auto"/>
              </w:rPr>
            </w:pPr>
            <w:r>
              <w:rPr>
                <w:rFonts w:ascii="Calibri" w:cs="Calibri" w:eastAsia="Calibri" w:hAnsi="Calibri"/>
                <w:sz w:val="20"/>
                <w:szCs w:val="20"/>
                <w:color w:val="auto"/>
                <w:w w:val="99"/>
              </w:rPr>
              <w:t>Printed Name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860" w:type="dxa"/>
        <w:tblCellMar>
          <w:top w:w="0" w:type="dxa"/>
          <w:left w:w="0" w:type="dxa"/>
          <w:bottom w:w="0" w:type="dxa"/>
          <w:right w:w="0" w:type="dxa"/>
        </w:tblCellMar>
      </w:tblPr>
      <w:tr>
        <w:trPr>
          <w:trHeight w:val="244"/>
        </w:trPr>
        <w:tc>
          <w:tcPr>
            <w:tcW w:w="3660" w:type="dxa"/>
            <w:vAlign w:val="bottom"/>
          </w:tcPr>
          <w:p>
            <w:pPr>
              <w:ind w:left="680"/>
              <w:spacing w:after="0"/>
              <w:rPr>
                <w:sz w:val="20"/>
                <w:szCs w:val="20"/>
                <w:color w:val="auto"/>
              </w:rPr>
            </w:pPr>
            <w:r>
              <w:rPr>
                <w:rFonts w:ascii="Calibri" w:cs="Calibri" w:eastAsia="Calibri" w:hAnsi="Calibri"/>
                <w:sz w:val="20"/>
                <w:szCs w:val="20"/>
                <w:color w:val="auto"/>
              </w:rPr>
              <w:t>SVP Product Supply</w:t>
            </w:r>
          </w:p>
        </w:tc>
        <w:tc>
          <w:tcPr>
            <w:tcW w:w="3140" w:type="dxa"/>
            <w:vAlign w:val="bottom"/>
          </w:tcPr>
          <w:p>
            <w:pPr>
              <w:ind w:left="1740"/>
              <w:spacing w:after="0"/>
              <w:rPr>
                <w:sz w:val="20"/>
                <w:szCs w:val="20"/>
                <w:color w:val="auto"/>
              </w:rPr>
            </w:pPr>
            <w:r>
              <w:rPr>
                <w:rFonts w:ascii="Calibri" w:cs="Calibri" w:eastAsia="Calibri" w:hAnsi="Calibri"/>
                <w:sz w:val="20"/>
                <w:szCs w:val="20"/>
                <w:color w:val="auto"/>
              </w:rPr>
              <w:t>EVP - Operatons</w:t>
            </w:r>
          </w:p>
        </w:tc>
      </w:tr>
      <w:tr>
        <w:trPr>
          <w:trHeight w:val="702"/>
        </w:trPr>
        <w:tc>
          <w:tcPr>
            <w:tcW w:w="3660" w:type="dxa"/>
            <w:vAlign w:val="bottom"/>
          </w:tcPr>
          <w:p>
            <w:pPr>
              <w:spacing w:after="0"/>
              <w:rPr>
                <w:sz w:val="20"/>
                <w:szCs w:val="20"/>
                <w:color w:val="auto"/>
              </w:rPr>
            </w:pPr>
            <w:r>
              <w:rPr>
                <w:rFonts w:ascii="Calibri" w:cs="Calibri" w:eastAsia="Calibri" w:hAnsi="Calibri"/>
                <w:sz w:val="20"/>
                <w:szCs w:val="20"/>
                <w:color w:val="auto"/>
              </w:rPr>
              <w:t>Title</w:t>
            </w:r>
          </w:p>
        </w:tc>
        <w:tc>
          <w:tcPr>
            <w:tcW w:w="3140" w:type="dxa"/>
            <w:vAlign w:val="bottom"/>
          </w:tcPr>
          <w:p>
            <w:pPr>
              <w:ind w:left="1380"/>
              <w:spacing w:after="0"/>
              <w:rPr>
                <w:sz w:val="20"/>
                <w:szCs w:val="20"/>
                <w:color w:val="auto"/>
              </w:rPr>
            </w:pPr>
            <w:r>
              <w:rPr>
                <w:rFonts w:ascii="Calibri" w:cs="Calibri" w:eastAsia="Calibri" w:hAnsi="Calibri"/>
                <w:sz w:val="20"/>
                <w:szCs w:val="20"/>
                <w:color w:val="auto"/>
              </w:rPr>
              <w:t>Title</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860" w:type="dxa"/>
        <w:tblCellMar>
          <w:top w:w="0" w:type="dxa"/>
          <w:left w:w="0" w:type="dxa"/>
          <w:bottom w:w="0" w:type="dxa"/>
          <w:right w:w="0" w:type="dxa"/>
        </w:tblCellMar>
      </w:tblPr>
      <w:tr>
        <w:trPr>
          <w:trHeight w:val="258"/>
        </w:trPr>
        <w:tc>
          <w:tcPr>
            <w:tcW w:w="4000" w:type="dxa"/>
            <w:vAlign w:val="bottom"/>
          </w:tcPr>
          <w:p>
            <w:pPr>
              <w:ind w:left="1900"/>
              <w:spacing w:after="0"/>
              <w:rPr>
                <w:sz w:val="20"/>
                <w:szCs w:val="20"/>
                <w:color w:val="auto"/>
              </w:rPr>
            </w:pPr>
            <w:r>
              <w:rPr>
                <w:rFonts w:ascii="Calibri" w:cs="Calibri" w:eastAsia="Calibri" w:hAnsi="Calibri"/>
                <w:sz w:val="20"/>
                <w:szCs w:val="20"/>
                <w:color w:val="auto"/>
              </w:rPr>
              <w:t>13-Sep-2024</w:t>
            </w:r>
          </w:p>
        </w:tc>
        <w:tc>
          <w:tcPr>
            <w:tcW w:w="2660" w:type="dxa"/>
            <w:vAlign w:val="bottom"/>
          </w:tcPr>
          <w:p>
            <w:pPr>
              <w:ind w:left="1620"/>
              <w:spacing w:after="0"/>
              <w:rPr>
                <w:sz w:val="20"/>
                <w:szCs w:val="20"/>
                <w:color w:val="auto"/>
              </w:rPr>
            </w:pPr>
            <w:r>
              <w:rPr>
                <w:rFonts w:ascii="Calibri" w:cs="Calibri" w:eastAsia="Calibri" w:hAnsi="Calibri"/>
                <w:sz w:val="20"/>
                <w:szCs w:val="20"/>
                <w:color w:val="auto"/>
                <w:w w:val="99"/>
              </w:rPr>
              <w:t>19-Sep-2024</w:t>
            </w:r>
          </w:p>
        </w:tc>
      </w:tr>
      <w:tr>
        <w:trPr>
          <w:trHeight w:val="715"/>
        </w:trPr>
        <w:tc>
          <w:tcPr>
            <w:tcW w:w="4000" w:type="dxa"/>
            <w:vAlign w:val="bottom"/>
          </w:tcPr>
          <w:p>
            <w:pPr>
              <w:spacing w:after="0"/>
              <w:rPr>
                <w:sz w:val="20"/>
                <w:szCs w:val="20"/>
                <w:color w:val="auto"/>
              </w:rPr>
            </w:pPr>
            <w:r>
              <w:rPr>
                <w:rFonts w:ascii="Calibri" w:cs="Calibri" w:eastAsia="Calibri" w:hAnsi="Calibri"/>
                <w:sz w:val="20"/>
                <w:szCs w:val="20"/>
                <w:color w:val="auto"/>
              </w:rPr>
              <w:t>Date</w:t>
            </w:r>
          </w:p>
        </w:tc>
        <w:tc>
          <w:tcPr>
            <w:tcW w:w="2660" w:type="dxa"/>
            <w:vAlign w:val="bottom"/>
          </w:tcPr>
          <w:p>
            <w:pPr>
              <w:ind w:left="1040"/>
              <w:spacing w:after="0"/>
              <w:rPr>
                <w:sz w:val="20"/>
                <w:szCs w:val="20"/>
                <w:color w:val="auto"/>
              </w:rPr>
            </w:pPr>
            <w:r>
              <w:rPr>
                <w:rFonts w:ascii="Calibri" w:cs="Calibri" w:eastAsia="Calibri" w:hAnsi="Calibri"/>
                <w:sz w:val="20"/>
                <w:szCs w:val="20"/>
                <w:color w:val="auto"/>
              </w:rPr>
              <w:t>Date</w:t>
            </w:r>
          </w:p>
        </w:tc>
      </w:tr>
    </w:tbl>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alibri" w:cs="Calibri" w:eastAsia="Calibri" w:hAnsi="Calibri"/>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676910</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400" w:top="1388" w:right="619" w:bottom="1440" w:gutter="0" w:footer="0" w:header="0"/>
        </w:sectPr>
      </w:pPr>
    </w:p>
    <w:bookmarkStart w:id="172" w:name="page173"/>
    <w:bookmarkEnd w:id="172"/>
    <w:p>
      <w:pPr>
        <w:spacing w:after="0" w:line="185" w:lineRule="exact"/>
        <w:rPr>
          <w:sz w:val="20"/>
          <w:szCs w:val="20"/>
          <w:color w:val="auto"/>
        </w:rPr>
      </w:pPr>
    </w:p>
    <w:p>
      <w:pPr>
        <w:jc w:val="right"/>
        <w:spacing w:after="0"/>
        <w:rPr>
          <w:sz w:val="20"/>
          <w:szCs w:val="20"/>
          <w:color w:val="auto"/>
        </w:rPr>
      </w:pPr>
      <w:r>
        <w:rPr>
          <w:rFonts w:ascii="Calibri" w:cs="Calibri" w:eastAsia="Calibri" w:hAnsi="Calibri"/>
          <w:sz w:val="18"/>
          <w:szCs w:val="18"/>
          <w:b w:val="1"/>
          <w:bCs w:val="1"/>
          <w:u w:val="single" w:color="auto"/>
          <w:color w:val="auto"/>
        </w:rPr>
        <w:t>Exhibit 10.38</w:t>
      </w:r>
    </w:p>
    <w:p>
      <w:pPr>
        <w:spacing w:after="0" w:line="200" w:lineRule="exact"/>
        <w:rPr>
          <w:sz w:val="20"/>
          <w:szCs w:val="20"/>
          <w:color w:val="auto"/>
        </w:rPr>
      </w:pPr>
    </w:p>
    <w:p>
      <w:pPr>
        <w:spacing w:after="0" w:line="233" w:lineRule="exact"/>
        <w:rPr>
          <w:sz w:val="20"/>
          <w:szCs w:val="20"/>
          <w:color w:val="auto"/>
        </w:rPr>
      </w:pPr>
    </w:p>
    <w:p>
      <w:pPr>
        <w:ind w:left="380" w:right="700" w:firstLine="2"/>
        <w:spacing w:after="0" w:line="235" w:lineRule="auto"/>
        <w:tabs>
          <w:tab w:leader="none" w:pos="796" w:val="left"/>
        </w:tabs>
        <w:numPr>
          <w:ilvl w:val="0"/>
          <w:numId w:val="144"/>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 CERTAIN CONFIDENTIAL INFORMATION CONTAINED IN THIS DOCUMENT, MARKED BY BRACKETS, HAS BEEN OMITTED BECAUSE THE INFORMATION (I) IS NOT MATERIAL AND (II) THE TYPE THAT THE REGISTRANT TREATS A PRIVATE OR CONFIDENTIAL.</w:t>
      </w:r>
    </w:p>
    <w:p>
      <w:pPr>
        <w:spacing w:after="0" w:line="200" w:lineRule="exact"/>
        <w:rPr>
          <w:sz w:val="20"/>
          <w:szCs w:val="20"/>
          <w:color w:val="auto"/>
        </w:rPr>
      </w:pPr>
    </w:p>
    <w:p>
      <w:pPr>
        <w:spacing w:after="0" w:line="233" w:lineRule="exact"/>
        <w:rPr>
          <w:sz w:val="20"/>
          <w:szCs w:val="20"/>
          <w:color w:val="auto"/>
        </w:rPr>
      </w:pPr>
    </w:p>
    <w:p>
      <w:pPr>
        <w:ind w:left="380"/>
        <w:spacing w:after="0"/>
        <w:tabs>
          <w:tab w:leader="none" w:pos="1000" w:val="left"/>
        </w:tabs>
        <w:rPr>
          <w:sz w:val="20"/>
          <w:szCs w:val="20"/>
          <w:color w:val="auto"/>
        </w:rPr>
      </w:pPr>
      <w:r>
        <w:rPr>
          <w:rFonts w:ascii="Calibri" w:cs="Calibri" w:eastAsia="Calibri" w:hAnsi="Calibri"/>
          <w:sz w:val="18"/>
          <w:szCs w:val="18"/>
          <w:b w:val="1"/>
          <w:bCs w:val="1"/>
          <w:color w:val="auto"/>
        </w:rPr>
        <w:t>Name:</w:t>
      </w:r>
      <w:r>
        <w:rPr>
          <w:sz w:val="20"/>
          <w:szCs w:val="20"/>
          <w:color w:val="auto"/>
        </w:rPr>
        <w:tab/>
      </w:r>
      <w:r>
        <w:rPr>
          <w:rFonts w:ascii="Calibri" w:cs="Calibri" w:eastAsia="Calibri" w:hAnsi="Calibri"/>
          <w:sz w:val="17"/>
          <w:szCs w:val="17"/>
          <w:b w:val="1"/>
          <w:bCs w:val="1"/>
          <w:color w:val="auto"/>
        </w:rPr>
        <w:t>[</w:t>
      </w:r>
      <w:r>
        <w:rPr>
          <w:rFonts w:ascii="Arial" w:cs="Arial" w:eastAsia="Arial" w:hAnsi="Arial"/>
          <w:sz w:val="17"/>
          <w:szCs w:val="17"/>
          <w:b w:val="1"/>
          <w:bCs w:val="1"/>
          <w:color w:val="auto"/>
        </w:rPr>
        <w:t>●</w:t>
      </w:r>
      <w:r>
        <w:rPr>
          <w:rFonts w:ascii="Calibri" w:cs="Calibri" w:eastAsia="Calibri" w:hAnsi="Calibri"/>
          <w:sz w:val="17"/>
          <w:szCs w:val="17"/>
          <w:b w:val="1"/>
          <w:bCs w:val="1"/>
          <w:color w:val="auto"/>
        </w:rPr>
        <w:t>]</w:t>
      </w:r>
    </w:p>
    <w:p>
      <w:pPr>
        <w:spacing w:after="0" w:line="20" w:lineRule="exact"/>
        <w:rPr>
          <w:sz w:val="20"/>
          <w:szCs w:val="20"/>
          <w:color w:val="auto"/>
        </w:rPr>
      </w:pPr>
    </w:p>
    <w:p>
      <w:pPr>
        <w:ind w:left="380"/>
        <w:spacing w:after="0"/>
        <w:tabs>
          <w:tab w:leader="none" w:pos="5120" w:val="left"/>
        </w:tabs>
        <w:rPr>
          <w:sz w:val="20"/>
          <w:szCs w:val="20"/>
          <w:color w:val="auto"/>
        </w:rPr>
      </w:pPr>
      <w:r>
        <w:rPr>
          <w:rFonts w:ascii="Calibri" w:cs="Calibri" w:eastAsia="Calibri" w:hAnsi="Calibri"/>
          <w:sz w:val="18"/>
          <w:szCs w:val="18"/>
          <w:b w:val="1"/>
          <w:bCs w:val="1"/>
          <w:color w:val="auto"/>
        </w:rPr>
        <w:t>Target Number of Performance Stock Units subject to Award:</w:t>
      </w:r>
      <w:r>
        <w:rPr>
          <w:sz w:val="20"/>
          <w:szCs w:val="20"/>
          <w:color w:val="auto"/>
        </w:rPr>
        <w:tab/>
      </w:r>
      <w:r>
        <w:rPr>
          <w:rFonts w:ascii="Calibri" w:cs="Calibri" w:eastAsia="Calibri" w:hAnsi="Calibri"/>
          <w:sz w:val="17"/>
          <w:szCs w:val="17"/>
          <w:b w:val="1"/>
          <w:bCs w:val="1"/>
          <w:color w:val="auto"/>
        </w:rPr>
        <w:t>[</w:t>
      </w:r>
      <w:r>
        <w:rPr>
          <w:rFonts w:ascii="Arial" w:cs="Arial" w:eastAsia="Arial" w:hAnsi="Arial"/>
          <w:sz w:val="17"/>
          <w:szCs w:val="17"/>
          <w:b w:val="1"/>
          <w:bCs w:val="1"/>
          <w:color w:val="auto"/>
        </w:rPr>
        <w:t>●</w:t>
      </w:r>
      <w:r>
        <w:rPr>
          <w:rFonts w:ascii="Calibri" w:cs="Calibri" w:eastAsia="Calibri" w:hAnsi="Calibri"/>
          <w:sz w:val="17"/>
          <w:szCs w:val="17"/>
          <w:b w:val="1"/>
          <w:bCs w:val="1"/>
          <w:color w:val="auto"/>
        </w:rPr>
        <w:t>]</w:t>
      </w:r>
    </w:p>
    <w:p>
      <w:pPr>
        <w:spacing w:after="0" w:line="10" w:lineRule="exact"/>
        <w:rPr>
          <w:sz w:val="20"/>
          <w:szCs w:val="20"/>
          <w:color w:val="auto"/>
        </w:rPr>
      </w:pPr>
    </w:p>
    <w:p>
      <w:pPr>
        <w:ind w:left="380"/>
        <w:spacing w:after="0"/>
        <w:tabs>
          <w:tab w:leader="none" w:pos="1640" w:val="left"/>
        </w:tabs>
        <w:rPr>
          <w:sz w:val="20"/>
          <w:szCs w:val="20"/>
          <w:color w:val="auto"/>
        </w:rPr>
      </w:pPr>
      <w:r>
        <w:rPr>
          <w:rFonts w:ascii="Calibri" w:cs="Calibri" w:eastAsia="Calibri" w:hAnsi="Calibri"/>
          <w:sz w:val="18"/>
          <w:szCs w:val="18"/>
          <w:b w:val="1"/>
          <w:bCs w:val="1"/>
          <w:color w:val="auto"/>
        </w:rPr>
        <w:t>Date of Grant:</w:t>
      </w:r>
      <w:r>
        <w:rPr>
          <w:sz w:val="20"/>
          <w:szCs w:val="20"/>
          <w:color w:val="auto"/>
        </w:rPr>
        <w:tab/>
      </w:r>
      <w:r>
        <w:rPr>
          <w:rFonts w:ascii="Calibri" w:cs="Calibri" w:eastAsia="Calibri" w:hAnsi="Calibri"/>
          <w:sz w:val="17"/>
          <w:szCs w:val="17"/>
          <w:b w:val="1"/>
          <w:bCs w:val="1"/>
          <w:color w:val="auto"/>
        </w:rPr>
        <w:t>[</w:t>
      </w:r>
      <w:r>
        <w:rPr>
          <w:rFonts w:ascii="Arial" w:cs="Arial" w:eastAsia="Arial" w:hAnsi="Arial"/>
          <w:sz w:val="17"/>
          <w:szCs w:val="17"/>
          <w:b w:val="1"/>
          <w:bCs w:val="1"/>
          <w:color w:val="auto"/>
        </w:rPr>
        <w:t>●</w:t>
      </w:r>
      <w:r>
        <w:rPr>
          <w:rFonts w:ascii="Calibri" w:cs="Calibri" w:eastAsia="Calibri" w:hAnsi="Calibri"/>
          <w:sz w:val="17"/>
          <w:szCs w:val="17"/>
          <w:b w:val="1"/>
          <w:bCs w:val="1"/>
          <w:color w:val="auto"/>
        </w:rPr>
        <w: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ULTRAGENYX PHARMACEUTICAL INC.</w:t>
      </w:r>
    </w:p>
    <w:p>
      <w:pPr>
        <w:jc w:val="center"/>
        <w:spacing w:after="0" w:line="235" w:lineRule="auto"/>
        <w:rPr>
          <w:sz w:val="20"/>
          <w:szCs w:val="20"/>
          <w:color w:val="auto"/>
        </w:rPr>
      </w:pPr>
      <w:r>
        <w:rPr>
          <w:rFonts w:ascii="Calibri" w:cs="Calibri" w:eastAsia="Calibri" w:hAnsi="Calibri"/>
          <w:sz w:val="18"/>
          <w:szCs w:val="18"/>
          <w:b w:val="1"/>
          <w:bCs w:val="1"/>
          <w:color w:val="auto"/>
        </w:rPr>
        <w:t>2023 INCENTIVE PLAN</w:t>
      </w:r>
    </w:p>
    <w:p>
      <w:pPr>
        <w:spacing w:after="0" w:line="213" w:lineRule="exact"/>
        <w:rPr>
          <w:sz w:val="20"/>
          <w:szCs w:val="20"/>
          <w:color w:val="auto"/>
        </w:rPr>
      </w:pPr>
    </w:p>
    <w:p>
      <w:pPr>
        <w:jc w:val="center"/>
        <w:spacing w:after="0"/>
        <w:rPr>
          <w:sz w:val="20"/>
          <w:szCs w:val="20"/>
          <w:color w:val="auto"/>
        </w:rPr>
      </w:pPr>
      <w:r>
        <w:rPr>
          <w:rFonts w:ascii="Calibri" w:cs="Calibri" w:eastAsia="Calibri" w:hAnsi="Calibri"/>
          <w:sz w:val="18"/>
          <w:szCs w:val="18"/>
          <w:u w:val="single" w:color="auto"/>
          <w:color w:val="auto"/>
        </w:rPr>
        <w:t>PERFORMANCE STOCK UNIT AGREEMENT (2024)</w:t>
      </w:r>
    </w:p>
    <w:p>
      <w:pPr>
        <w:spacing w:after="0" w:line="217" w:lineRule="exact"/>
        <w:rPr>
          <w:sz w:val="20"/>
          <w:szCs w:val="20"/>
          <w:color w:val="auto"/>
        </w:rPr>
      </w:pPr>
    </w:p>
    <w:p>
      <w:pPr>
        <w:ind w:right="140" w:firstLine="749"/>
        <w:spacing w:after="0" w:line="235" w:lineRule="auto"/>
        <w:rPr>
          <w:sz w:val="20"/>
          <w:szCs w:val="20"/>
          <w:color w:val="auto"/>
        </w:rPr>
      </w:pPr>
      <w:r>
        <w:rPr>
          <w:rFonts w:ascii="Calibri" w:cs="Calibri" w:eastAsia="Calibri" w:hAnsi="Calibri"/>
          <w:sz w:val="18"/>
          <w:szCs w:val="18"/>
          <w:color w:val="auto"/>
        </w:rPr>
        <w:t>This agreement (this “</w:t>
      </w:r>
      <w:r>
        <w:rPr>
          <w:rFonts w:ascii="Calibri" w:cs="Calibri" w:eastAsia="Calibri" w:hAnsi="Calibri"/>
          <w:sz w:val="18"/>
          <w:szCs w:val="18"/>
          <w:u w:val="single" w:color="auto"/>
          <w:color w:val="auto"/>
        </w:rPr>
        <w:t>Agreement</w:t>
      </w:r>
      <w:r>
        <w:rPr>
          <w:rFonts w:ascii="Calibri" w:cs="Calibri" w:eastAsia="Calibri" w:hAnsi="Calibri"/>
          <w:sz w:val="18"/>
          <w:szCs w:val="18"/>
          <w:color w:val="auto"/>
        </w:rPr>
        <w:t>”) evidences an award (the “</w:t>
      </w:r>
      <w:r>
        <w:rPr>
          <w:rFonts w:ascii="Calibri" w:cs="Calibri" w:eastAsia="Calibri" w:hAnsi="Calibri"/>
          <w:sz w:val="18"/>
          <w:szCs w:val="18"/>
          <w:u w:val="single" w:color="auto"/>
          <w:color w:val="auto"/>
        </w:rPr>
        <w:t>Award</w:t>
      </w:r>
      <w:r>
        <w:rPr>
          <w:rFonts w:ascii="Calibri" w:cs="Calibri" w:eastAsia="Calibri" w:hAnsi="Calibri"/>
          <w:sz w:val="18"/>
          <w:szCs w:val="18"/>
          <w:color w:val="auto"/>
        </w:rPr>
        <w:t>”) of performance stock units (the “</w:t>
      </w:r>
      <w:r>
        <w:rPr>
          <w:rFonts w:ascii="Calibri" w:cs="Calibri" w:eastAsia="Calibri" w:hAnsi="Calibri"/>
          <w:sz w:val="18"/>
          <w:szCs w:val="18"/>
          <w:u w:val="single" w:color="auto"/>
          <w:color w:val="auto"/>
        </w:rPr>
        <w:t>Performance Stock Units</w:t>
      </w:r>
      <w:r>
        <w:rPr>
          <w:rFonts w:ascii="Calibri" w:cs="Calibri" w:eastAsia="Calibri" w:hAnsi="Calibri"/>
          <w:sz w:val="18"/>
          <w:szCs w:val="18"/>
          <w:color w:val="auto"/>
        </w:rPr>
        <w:t>”) granted by Ultragenyx Pharmaceutcal Inc. (the “</w:t>
      </w:r>
      <w:r>
        <w:rPr>
          <w:rFonts w:ascii="Calibri" w:cs="Calibri" w:eastAsia="Calibri" w:hAnsi="Calibri"/>
          <w:sz w:val="18"/>
          <w:szCs w:val="18"/>
          <w:u w:val="single" w:color="auto"/>
          <w:color w:val="auto"/>
        </w:rPr>
        <w:t>Company</w:t>
      </w:r>
      <w:r>
        <w:rPr>
          <w:rFonts w:ascii="Calibri" w:cs="Calibri" w:eastAsia="Calibri" w:hAnsi="Calibri"/>
          <w:sz w:val="18"/>
          <w:szCs w:val="18"/>
          <w:color w:val="auto"/>
        </w:rPr>
        <w:t>”) to the undersigned (the “</w:t>
      </w:r>
      <w:r>
        <w:rPr>
          <w:rFonts w:ascii="Calibri" w:cs="Calibri" w:eastAsia="Calibri" w:hAnsi="Calibri"/>
          <w:sz w:val="18"/>
          <w:szCs w:val="18"/>
          <w:u w:val="single" w:color="auto"/>
          <w:color w:val="auto"/>
        </w:rPr>
        <w:t>Grantee</w:t>
      </w:r>
      <w:r>
        <w:rPr>
          <w:rFonts w:ascii="Calibri" w:cs="Calibri" w:eastAsia="Calibri" w:hAnsi="Calibri"/>
          <w:sz w:val="18"/>
          <w:szCs w:val="18"/>
          <w:color w:val="auto"/>
        </w:rPr>
        <w:t>”) pursuant to and subject to the terms of the Ultragenyx Pharmaceutcal Inc. 2023 Incentve Plan (as amended from tme to tme, the “</w:t>
      </w:r>
      <w:r>
        <w:rPr>
          <w:rFonts w:ascii="Calibri" w:cs="Calibri" w:eastAsia="Calibri" w:hAnsi="Calibri"/>
          <w:sz w:val="18"/>
          <w:szCs w:val="18"/>
          <w:u w:val="single" w:color="auto"/>
          <w:color w:val="auto"/>
        </w:rPr>
        <w:t>Plan</w:t>
      </w:r>
      <w:r>
        <w:rPr>
          <w:rFonts w:ascii="Calibri" w:cs="Calibri" w:eastAsia="Calibri" w:hAnsi="Calibri"/>
          <w:sz w:val="18"/>
          <w:szCs w:val="18"/>
          <w:color w:val="auto"/>
        </w:rPr>
        <w:t>”), which is incorporated herein by reference.</w:t>
      </w:r>
    </w:p>
    <w:p>
      <w:pPr>
        <w:spacing w:after="0" w:line="232" w:lineRule="exact"/>
        <w:rPr>
          <w:sz w:val="20"/>
          <w:szCs w:val="20"/>
          <w:color w:val="auto"/>
        </w:rPr>
      </w:pPr>
    </w:p>
    <w:p>
      <w:pPr>
        <w:ind w:right="160" w:firstLine="757"/>
        <w:spacing w:after="0" w:line="235" w:lineRule="auto"/>
        <w:tabs>
          <w:tab w:leader="none" w:pos="1018" w:val="left"/>
        </w:tabs>
        <w:numPr>
          <w:ilvl w:val="0"/>
          <w:numId w:val="145"/>
        </w:numPr>
        <w:rPr>
          <w:rFonts w:ascii="Times New Roman" w:cs="Times New Roman" w:eastAsia="Times New Roman" w:hAnsi="Times New Roman"/>
          <w:sz w:val="18"/>
          <w:szCs w:val="18"/>
          <w:color w:val="auto"/>
        </w:rPr>
      </w:pPr>
      <w:r>
        <w:rPr>
          <w:rFonts w:ascii="Calibri" w:cs="Calibri" w:eastAsia="Calibri" w:hAnsi="Calibri"/>
          <w:sz w:val="18"/>
          <w:szCs w:val="18"/>
          <w:u w:val="single" w:color="auto"/>
          <w:color w:val="auto"/>
        </w:rPr>
        <w:t>Grant of Performance Stock Units</w:t>
      </w:r>
      <w:r>
        <w:rPr>
          <w:rFonts w:ascii="Calibri" w:cs="Calibri" w:eastAsia="Calibri" w:hAnsi="Calibri"/>
          <w:sz w:val="18"/>
          <w:szCs w:val="18"/>
          <w:color w:val="auto"/>
        </w:rPr>
        <w:t>. The Company grants to the Grantee on the date set forth above (the “</w:t>
      </w:r>
      <w:r>
        <w:rPr>
          <w:rFonts w:ascii="Calibri" w:cs="Calibri" w:eastAsia="Calibri" w:hAnsi="Calibri"/>
          <w:sz w:val="18"/>
          <w:szCs w:val="18"/>
          <w:u w:val="single" w:color="auto"/>
          <w:color w:val="auto"/>
        </w:rPr>
        <w:t>Date of Grant</w:t>
      </w:r>
      <w:r>
        <w:rPr>
          <w:rFonts w:ascii="Calibri" w:cs="Calibri" w:eastAsia="Calibri" w:hAnsi="Calibri"/>
          <w:sz w:val="18"/>
          <w:szCs w:val="18"/>
          <w:color w:val="auto"/>
        </w:rPr>
        <w:t>”) an award consistng of the right to receive on the terms provided herein and in the Plan, one share of Stock with respect to each Performance Stock Unit forming part of the Award, in each case, subject to adjustment pursuant to Secton 7(b) of the Plan in respect of transactons occurring afer the date hereof.</w:t>
      </w:r>
    </w:p>
    <w:p>
      <w:pPr>
        <w:spacing w:after="0" w:line="227"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45"/>
        </w:numPr>
        <w:rPr>
          <w:rFonts w:ascii="Times New Roman" w:cs="Times New Roman" w:eastAsia="Times New Roman" w:hAnsi="Times New Roman"/>
          <w:sz w:val="18"/>
          <w:szCs w:val="18"/>
          <w:color w:val="auto"/>
        </w:rPr>
      </w:pPr>
      <w:r>
        <w:rPr>
          <w:rFonts w:ascii="Calibri" w:cs="Calibri" w:eastAsia="Calibri" w:hAnsi="Calibri"/>
          <w:sz w:val="18"/>
          <w:szCs w:val="18"/>
          <w:u w:val="single" w:color="auto"/>
          <w:color w:val="auto"/>
        </w:rPr>
        <w:t>Meaning of Certain Terms</w:t>
      </w:r>
      <w:r>
        <w:rPr>
          <w:rFonts w:ascii="Calibri" w:cs="Calibri" w:eastAsia="Calibri" w:hAnsi="Calibri"/>
          <w:sz w:val="18"/>
          <w:szCs w:val="18"/>
          <w:color w:val="auto"/>
        </w:rPr>
        <w:t>. Except as otherwise defned herein, all capitalized terms used herein have the same meaning as in the Plan.</w:t>
      </w:r>
    </w:p>
    <w:p>
      <w:pPr>
        <w:spacing w:after="0" w:line="22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45"/>
        </w:numPr>
        <w:rPr>
          <w:rFonts w:ascii="Times New Roman" w:cs="Times New Roman" w:eastAsia="Times New Roman" w:hAnsi="Times New Roman"/>
          <w:sz w:val="18"/>
          <w:szCs w:val="18"/>
          <w:color w:val="auto"/>
        </w:rPr>
      </w:pPr>
      <w:r>
        <w:rPr>
          <w:rFonts w:ascii="Calibri" w:cs="Calibri" w:eastAsia="Calibri" w:hAnsi="Calibri"/>
          <w:sz w:val="18"/>
          <w:szCs w:val="18"/>
          <w:u w:val="single" w:color="auto"/>
          <w:color w:val="auto"/>
        </w:rPr>
        <w:t>Vestng</w:t>
      </w:r>
      <w:r>
        <w:rPr>
          <w:rFonts w:ascii="Calibri" w:cs="Calibri" w:eastAsia="Calibri" w:hAnsi="Calibri"/>
          <w:sz w:val="18"/>
          <w:szCs w:val="18"/>
          <w:color w:val="auto"/>
        </w:rPr>
        <w:t>.</w:t>
      </w:r>
    </w:p>
    <w:p>
      <w:pPr>
        <w:spacing w:after="0" w:line="230" w:lineRule="exact"/>
        <w:rPr>
          <w:rFonts w:ascii="Times New Roman" w:cs="Times New Roman" w:eastAsia="Times New Roman" w:hAnsi="Times New Roman"/>
          <w:sz w:val="18"/>
          <w:szCs w:val="18"/>
          <w:color w:val="auto"/>
        </w:rPr>
      </w:pPr>
    </w:p>
    <w:p>
      <w:pPr>
        <w:ind w:right="40" w:firstLine="1505"/>
        <w:spacing w:after="0" w:line="235" w:lineRule="auto"/>
        <w:tabs>
          <w:tab w:leader="none" w:pos="2036" w:val="left"/>
        </w:tabs>
        <w:numPr>
          <w:ilvl w:val="1"/>
          <w:numId w:val="145"/>
        </w:numPr>
        <w:rPr>
          <w:rFonts w:ascii="Times New Roman" w:cs="Times New Roman" w:eastAsia="Times New Roman" w:hAnsi="Times New Roman"/>
          <w:sz w:val="18"/>
          <w:szCs w:val="18"/>
          <w:color w:val="auto"/>
        </w:rPr>
      </w:pPr>
      <w:r>
        <w:rPr>
          <w:rFonts w:ascii="Calibri" w:cs="Calibri" w:eastAsia="Calibri" w:hAnsi="Calibri"/>
          <w:sz w:val="18"/>
          <w:szCs w:val="18"/>
          <w:color w:val="auto"/>
        </w:rPr>
        <w:t xml:space="preserve">Unless earlier terminated, forfeited, relinquished or expired, and subject to the Grantee’s contnued employment through the applicable vestng dates, (i) 1/3 (or 33.4%) of the Performance Stock Units shall vest in accordance with </w:t>
      </w:r>
      <w:r>
        <w:rPr>
          <w:rFonts w:ascii="Calibri" w:cs="Calibri" w:eastAsia="Calibri" w:hAnsi="Calibri"/>
          <w:sz w:val="18"/>
          <w:szCs w:val="18"/>
          <w:u w:val="single" w:color="auto"/>
          <w:color w:val="auto"/>
        </w:rPr>
        <w:t>Secton 3(b)</w:t>
      </w:r>
      <w:r>
        <w:rPr>
          <w:rFonts w:ascii="Calibri" w:cs="Calibri" w:eastAsia="Calibri" w:hAnsi="Calibri"/>
          <w:sz w:val="18"/>
          <w:szCs w:val="18"/>
          <w:color w:val="auto"/>
        </w:rPr>
        <w:t xml:space="preserve"> (the “</w:t>
      </w:r>
      <w:r>
        <w:rPr>
          <w:rFonts w:ascii="Calibri" w:cs="Calibri" w:eastAsia="Calibri" w:hAnsi="Calibri"/>
          <w:sz w:val="18"/>
          <w:szCs w:val="18"/>
          <w:u w:val="single" w:color="auto"/>
          <w:color w:val="auto"/>
        </w:rPr>
        <w:t>Revenue PSUs</w:t>
      </w:r>
      <w:r>
        <w:rPr>
          <w:rFonts w:ascii="Calibri" w:cs="Calibri" w:eastAsia="Calibri" w:hAnsi="Calibri"/>
          <w:sz w:val="18"/>
          <w:szCs w:val="18"/>
          <w:color w:val="auto"/>
        </w:rPr>
        <w:t xml:space="preserve">”), (ii) 1/3 (or 33.3%) of the Performance Stock Units shall vest in accordance with </w:t>
      </w:r>
      <w:r>
        <w:rPr>
          <w:rFonts w:ascii="Calibri" w:cs="Calibri" w:eastAsia="Calibri" w:hAnsi="Calibri"/>
          <w:sz w:val="18"/>
          <w:szCs w:val="18"/>
          <w:u w:val="single" w:color="auto"/>
          <w:color w:val="auto"/>
        </w:rPr>
        <w:t>Secton 3(c)</w:t>
      </w:r>
      <w:r>
        <w:rPr>
          <w:rFonts w:ascii="Calibri" w:cs="Calibri" w:eastAsia="Calibri" w:hAnsi="Calibri"/>
          <w:sz w:val="18"/>
          <w:szCs w:val="18"/>
          <w:color w:val="auto"/>
        </w:rPr>
        <w:t xml:space="preserve"> (the “</w:t>
      </w:r>
      <w:r>
        <w:rPr>
          <w:rFonts w:ascii="Calibri" w:cs="Calibri" w:eastAsia="Calibri" w:hAnsi="Calibri"/>
          <w:sz w:val="18"/>
          <w:szCs w:val="18"/>
          <w:u w:val="single" w:color="auto"/>
          <w:color w:val="auto"/>
        </w:rPr>
        <w:t>TSR PSUs</w:t>
      </w:r>
      <w:r>
        <w:rPr>
          <w:rFonts w:ascii="Calibri" w:cs="Calibri" w:eastAsia="Calibri" w:hAnsi="Calibri"/>
          <w:sz w:val="18"/>
          <w:szCs w:val="18"/>
          <w:color w:val="auto"/>
        </w:rPr>
        <w:t>”) and (iii) 1/3 (or 33.3%) of the Performance Stock Units shall vest in accordance with Secton 3(d) (the “</w:t>
      </w:r>
      <w:r>
        <w:rPr>
          <w:rFonts w:ascii="Calibri" w:cs="Calibri" w:eastAsia="Calibri" w:hAnsi="Calibri"/>
          <w:sz w:val="18"/>
          <w:szCs w:val="18"/>
          <w:u w:val="single" w:color="auto"/>
          <w:color w:val="auto"/>
        </w:rPr>
        <w:t>Strategic PSUs</w:t>
      </w:r>
      <w:r>
        <w:rPr>
          <w:rFonts w:ascii="Calibri" w:cs="Calibri" w:eastAsia="Calibri" w:hAnsi="Calibri"/>
          <w:sz w:val="18"/>
          <w:szCs w:val="18"/>
          <w:color w:val="auto"/>
        </w:rPr>
        <w:t>”).</w:t>
      </w:r>
    </w:p>
    <w:p>
      <w:pPr>
        <w:spacing w:after="0" w:line="228"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145"/>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Revenue PSUs shall vest as follows:</w:t>
      </w:r>
    </w:p>
    <w:p>
      <w:pPr>
        <w:spacing w:after="0" w:line="217" w:lineRule="exact"/>
        <w:rPr>
          <w:rFonts w:ascii="Times New Roman" w:cs="Times New Roman" w:eastAsia="Times New Roman" w:hAnsi="Times New Roman"/>
          <w:sz w:val="18"/>
          <w:szCs w:val="18"/>
          <w:color w:val="auto"/>
        </w:rPr>
      </w:pPr>
    </w:p>
    <w:p>
      <w:pPr>
        <w:ind w:left="3000" w:right="60" w:hanging="746"/>
        <w:spacing w:after="0" w:line="235" w:lineRule="auto"/>
        <w:tabs>
          <w:tab w:leader="none" w:pos="3000" w:val="left"/>
        </w:tabs>
        <w:numPr>
          <w:ilvl w:val="2"/>
          <w:numId w:val="145"/>
        </w:numPr>
        <w:rPr>
          <w:rFonts w:ascii="Calibri" w:cs="Calibri" w:eastAsia="Calibri" w:hAnsi="Calibri"/>
          <w:sz w:val="18"/>
          <w:szCs w:val="18"/>
          <w:color w:val="auto"/>
        </w:rPr>
      </w:pPr>
      <w:r>
        <w:rPr>
          <w:rFonts w:ascii="Calibri" w:cs="Calibri" w:eastAsia="Calibri" w:hAnsi="Calibri"/>
          <w:sz w:val="18"/>
          <w:szCs w:val="18"/>
          <w:color w:val="auto"/>
        </w:rPr>
        <w:t xml:space="preserve">If the Administrator certfes that the revenue performance metric set forth in </w:t>
      </w:r>
      <w:r>
        <w:rPr>
          <w:rFonts w:ascii="Calibri" w:cs="Calibri" w:eastAsia="Calibri" w:hAnsi="Calibri"/>
          <w:sz w:val="18"/>
          <w:szCs w:val="18"/>
          <w:u w:val="single" w:color="auto"/>
          <w:color w:val="auto"/>
        </w:rPr>
        <w:t>Appendix A</w:t>
      </w:r>
      <w:r>
        <w:rPr>
          <w:rFonts w:ascii="Calibri" w:cs="Calibri" w:eastAsia="Calibri" w:hAnsi="Calibri"/>
          <w:sz w:val="18"/>
          <w:szCs w:val="18"/>
          <w:color w:val="auto"/>
        </w:rPr>
        <w:t xml:space="preserve"> atached hereto (the “</w:t>
      </w:r>
      <w:r>
        <w:rPr>
          <w:rFonts w:ascii="Calibri" w:cs="Calibri" w:eastAsia="Calibri" w:hAnsi="Calibri"/>
          <w:sz w:val="18"/>
          <w:szCs w:val="18"/>
          <w:u w:val="single" w:color="auto"/>
          <w:color w:val="auto"/>
        </w:rPr>
        <w:t>Revenue Vestng Metric</w:t>
      </w:r>
      <w:r>
        <w:rPr>
          <w:rFonts w:ascii="Calibri" w:cs="Calibri" w:eastAsia="Calibri" w:hAnsi="Calibri"/>
          <w:sz w:val="18"/>
          <w:szCs w:val="18"/>
          <w:color w:val="auto"/>
        </w:rPr>
        <w:t>”) has been achieved at at least the threshold level of performance during the period beginning on January 1, 2024 and ending on December 31, 2025 (the “</w:t>
      </w:r>
      <w:r>
        <w:rPr>
          <w:rFonts w:ascii="Calibri" w:cs="Calibri" w:eastAsia="Calibri" w:hAnsi="Calibri"/>
          <w:sz w:val="18"/>
          <w:szCs w:val="18"/>
          <w:u w:val="single" w:color="auto"/>
          <w:color w:val="auto"/>
        </w:rPr>
        <w:t>Revenue Performance Period</w:t>
      </w:r>
      <w:r>
        <w:rPr>
          <w:rFonts w:ascii="Calibri" w:cs="Calibri" w:eastAsia="Calibri" w:hAnsi="Calibri"/>
          <w:sz w:val="18"/>
          <w:szCs w:val="18"/>
          <w:color w:val="auto"/>
        </w:rPr>
        <w:t xml:space="preserve">”), 100% of the Earned Revenue PSUs (as determined pursuant to </w:t>
      </w:r>
      <w:r>
        <w:rPr>
          <w:rFonts w:ascii="Calibri" w:cs="Calibri" w:eastAsia="Calibri" w:hAnsi="Calibri"/>
          <w:sz w:val="18"/>
          <w:szCs w:val="18"/>
          <w:u w:val="single" w:color="auto"/>
          <w:color w:val="auto"/>
        </w:rPr>
        <w:t>Appendix A</w:t>
      </w:r>
      <w:r>
        <w:rPr>
          <w:rFonts w:ascii="Calibri" w:cs="Calibri" w:eastAsia="Calibri" w:hAnsi="Calibri"/>
          <w:sz w:val="18"/>
          <w:szCs w:val="18"/>
          <w:color w:val="auto"/>
        </w:rPr>
        <w:t>) shall vest on the later of (x) the date on which the Administrator certfed such achievement and (y) March 1, 2026.</w:t>
      </w:r>
    </w:p>
    <w:p>
      <w:pPr>
        <w:spacing w:after="0" w:line="220"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color w:val="auto"/>
        </w:rPr>
        <w:t xml:space="preserve">Notwithstanding anything to the contrary in this </w:t>
      </w:r>
      <w:r>
        <w:rPr>
          <w:rFonts w:ascii="Calibri" w:cs="Calibri" w:eastAsia="Calibri" w:hAnsi="Calibri"/>
          <w:sz w:val="18"/>
          <w:szCs w:val="18"/>
          <w:u w:val="single" w:color="auto"/>
          <w:color w:val="auto"/>
        </w:rPr>
        <w:t>Secton 3(b)</w:t>
      </w:r>
      <w:r>
        <w:rPr>
          <w:rFonts w:ascii="Calibri" w:cs="Calibri" w:eastAsia="Calibri" w:hAnsi="Calibri"/>
          <w:sz w:val="18"/>
          <w:szCs w:val="18"/>
          <w:color w:val="auto"/>
        </w:rPr>
        <w:t>, in the event that the Company fails to achieve the threshold level of performance under the Revenue Vestng Metric during the Revenue Performance Period, the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"DOCID" \* MERGEFORMAT 104440673.3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3" w:name="page174"/>
    <w:bookmarkEnd w:id="173"/>
    <w:p>
      <w:pPr>
        <w:ind w:right="880"/>
        <w:spacing w:after="0" w:line="235" w:lineRule="auto"/>
        <w:rPr>
          <w:sz w:val="20"/>
          <w:szCs w:val="20"/>
          <w:color w:val="auto"/>
        </w:rPr>
      </w:pPr>
      <w:r>
        <w:rPr>
          <w:rFonts w:ascii="Calibri" w:cs="Calibri" w:eastAsia="Calibri" w:hAnsi="Calibri"/>
          <w:sz w:val="18"/>
          <w:szCs w:val="18"/>
          <w:color w:val="auto"/>
        </w:rPr>
        <w:t>vestng of the Revenue PSUs shall immediately cease and all of the Revenue PSUs shall be immediately forfeited as of the last day of the Revenue Performance Period.</w:t>
      </w:r>
    </w:p>
    <w:p>
      <w:pPr>
        <w:spacing w:after="0" w:line="231" w:lineRule="exact"/>
        <w:rPr>
          <w:sz w:val="20"/>
          <w:szCs w:val="20"/>
          <w:color w:val="auto"/>
        </w:rPr>
      </w:pPr>
    </w:p>
    <w:p>
      <w:pPr>
        <w:jc w:val="both"/>
        <w:ind w:right="20" w:firstLine="1505"/>
        <w:spacing w:after="0" w:line="235" w:lineRule="auto"/>
        <w:tabs>
          <w:tab w:leader="none" w:pos="2036" w:val="left"/>
        </w:tabs>
        <w:numPr>
          <w:ilvl w:val="0"/>
          <w:numId w:val="146"/>
        </w:numPr>
        <w:rPr>
          <w:rFonts w:ascii="Times New Roman" w:cs="Times New Roman" w:eastAsia="Times New Roman" w:hAnsi="Times New Roman"/>
          <w:sz w:val="18"/>
          <w:szCs w:val="18"/>
          <w:color w:val="auto"/>
        </w:rPr>
      </w:pPr>
      <w:r>
        <w:rPr>
          <w:rFonts w:ascii="Calibri" w:cs="Calibri" w:eastAsia="Calibri" w:hAnsi="Calibri"/>
          <w:sz w:val="18"/>
          <w:szCs w:val="18"/>
          <w:color w:val="auto"/>
        </w:rPr>
        <w:t xml:space="preserve">If the Administrator certfes that the relatve total stockholder return performance metric set forth in </w:t>
      </w:r>
      <w:r>
        <w:rPr>
          <w:rFonts w:ascii="Calibri" w:cs="Calibri" w:eastAsia="Calibri" w:hAnsi="Calibri"/>
          <w:sz w:val="18"/>
          <w:szCs w:val="18"/>
          <w:u w:val="single" w:color="auto"/>
          <w:color w:val="auto"/>
        </w:rPr>
        <w:t>Appendix B</w:t>
      </w:r>
      <w:r>
        <w:rPr>
          <w:rFonts w:ascii="Calibri" w:cs="Calibri" w:eastAsia="Calibri" w:hAnsi="Calibri"/>
          <w:sz w:val="18"/>
          <w:szCs w:val="18"/>
          <w:color w:val="auto"/>
        </w:rPr>
        <w:t xml:space="preserve"> atached hereto (the “</w:t>
      </w:r>
      <w:r>
        <w:rPr>
          <w:rFonts w:ascii="Calibri" w:cs="Calibri" w:eastAsia="Calibri" w:hAnsi="Calibri"/>
          <w:sz w:val="18"/>
          <w:szCs w:val="18"/>
          <w:u w:val="single" w:color="auto"/>
          <w:color w:val="auto"/>
        </w:rPr>
        <w:t>TSR Vestng Metric</w:t>
      </w:r>
      <w:r>
        <w:rPr>
          <w:rFonts w:ascii="Calibri" w:cs="Calibri" w:eastAsia="Calibri" w:hAnsi="Calibri"/>
          <w:sz w:val="18"/>
          <w:szCs w:val="18"/>
          <w:color w:val="auto"/>
        </w:rPr>
        <w:t>”) has been achieved at at least the threshold level of performance during the period beginning on January 1, 2024 and ending on December 31, 2026 (the “</w:t>
      </w:r>
      <w:r>
        <w:rPr>
          <w:rFonts w:ascii="Calibri" w:cs="Calibri" w:eastAsia="Calibri" w:hAnsi="Calibri"/>
          <w:sz w:val="18"/>
          <w:szCs w:val="18"/>
          <w:u w:val="single" w:color="auto"/>
          <w:color w:val="auto"/>
        </w:rPr>
        <w:t>TSR and Strategic Performance Period</w:t>
      </w:r>
      <w:r>
        <w:rPr>
          <w:rFonts w:ascii="Calibri" w:cs="Calibri" w:eastAsia="Calibri" w:hAnsi="Calibri"/>
          <w:sz w:val="18"/>
          <w:szCs w:val="18"/>
          <w:color w:val="auto"/>
        </w:rPr>
        <w:t xml:space="preserve">”), 100% of the Earned TSR PSUs (as determined pursuant to </w:t>
      </w:r>
      <w:r>
        <w:rPr>
          <w:rFonts w:ascii="Calibri" w:cs="Calibri" w:eastAsia="Calibri" w:hAnsi="Calibri"/>
          <w:sz w:val="18"/>
          <w:szCs w:val="18"/>
          <w:u w:val="single" w:color="auto"/>
          <w:color w:val="auto"/>
        </w:rPr>
        <w:t>Appendix B</w:t>
      </w:r>
      <w:r>
        <w:rPr>
          <w:rFonts w:ascii="Calibri" w:cs="Calibri" w:eastAsia="Calibri" w:hAnsi="Calibri"/>
          <w:sz w:val="18"/>
          <w:szCs w:val="18"/>
          <w:color w:val="auto"/>
        </w:rPr>
        <w:t>) shall vest on the later of (x) the date on which the Administrator certfed such achievement and (y) March 1, 2027.</w:t>
      </w:r>
    </w:p>
    <w:p>
      <w:pPr>
        <w:spacing w:after="0" w:line="232" w:lineRule="exact"/>
        <w:rPr>
          <w:rFonts w:ascii="Times New Roman" w:cs="Times New Roman" w:eastAsia="Times New Roman" w:hAnsi="Times New Roman"/>
          <w:sz w:val="18"/>
          <w:szCs w:val="18"/>
          <w:color w:val="auto"/>
        </w:rPr>
      </w:pPr>
    </w:p>
    <w:p>
      <w:pPr>
        <w:ind w:right="180" w:firstLine="1505"/>
        <w:spacing w:after="0" w:line="235" w:lineRule="auto"/>
        <w:tabs>
          <w:tab w:leader="none" w:pos="2036" w:val="left"/>
        </w:tabs>
        <w:numPr>
          <w:ilvl w:val="0"/>
          <w:numId w:val="146"/>
        </w:numPr>
        <w:rPr>
          <w:rFonts w:ascii="Times New Roman" w:cs="Times New Roman" w:eastAsia="Times New Roman" w:hAnsi="Times New Roman"/>
          <w:sz w:val="18"/>
          <w:szCs w:val="18"/>
          <w:color w:val="auto"/>
        </w:rPr>
      </w:pPr>
      <w:r>
        <w:rPr>
          <w:rFonts w:ascii="Calibri" w:cs="Calibri" w:eastAsia="Calibri" w:hAnsi="Calibri"/>
          <w:sz w:val="18"/>
          <w:szCs w:val="18"/>
          <w:color w:val="auto"/>
        </w:rPr>
        <w:t xml:space="preserve">If the Administrator certfes that the strategic performance metric set forth in </w:t>
      </w:r>
      <w:r>
        <w:rPr>
          <w:rFonts w:ascii="Calibri" w:cs="Calibri" w:eastAsia="Calibri" w:hAnsi="Calibri"/>
          <w:sz w:val="18"/>
          <w:szCs w:val="18"/>
          <w:u w:val="single" w:color="auto"/>
          <w:color w:val="auto"/>
        </w:rPr>
        <w:t>Appendix C</w:t>
      </w:r>
      <w:r>
        <w:rPr>
          <w:rFonts w:ascii="Calibri" w:cs="Calibri" w:eastAsia="Calibri" w:hAnsi="Calibri"/>
          <w:sz w:val="18"/>
          <w:szCs w:val="18"/>
          <w:color w:val="auto"/>
        </w:rPr>
        <w:t xml:space="preserve"> atached hereto (the “</w:t>
      </w:r>
      <w:r>
        <w:rPr>
          <w:rFonts w:ascii="Calibri" w:cs="Calibri" w:eastAsia="Calibri" w:hAnsi="Calibri"/>
          <w:sz w:val="18"/>
          <w:szCs w:val="18"/>
          <w:u w:val="single" w:color="auto"/>
          <w:color w:val="auto"/>
        </w:rPr>
        <w:t>Strategic</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auto"/>
        </w:rPr>
        <w:t>Vestng Metric</w:t>
      </w:r>
      <w:r>
        <w:rPr>
          <w:rFonts w:ascii="Calibri" w:cs="Calibri" w:eastAsia="Calibri" w:hAnsi="Calibri"/>
          <w:sz w:val="18"/>
          <w:szCs w:val="18"/>
          <w:color w:val="auto"/>
        </w:rPr>
        <w:t xml:space="preserve">”) has been achieved by at least the threshold level of performance during the TSR and Strategic Performance Period, 100% of the Earned Revenue PSUs (as determined pursuant to </w:t>
      </w:r>
      <w:r>
        <w:rPr>
          <w:rFonts w:ascii="Calibri" w:cs="Calibri" w:eastAsia="Calibri" w:hAnsi="Calibri"/>
          <w:sz w:val="18"/>
          <w:szCs w:val="18"/>
          <w:u w:val="single" w:color="auto"/>
          <w:color w:val="auto"/>
        </w:rPr>
        <w:t>Appendix C</w:t>
      </w:r>
      <w:r>
        <w:rPr>
          <w:rFonts w:ascii="Calibri" w:cs="Calibri" w:eastAsia="Calibri" w:hAnsi="Calibri"/>
          <w:sz w:val="18"/>
          <w:szCs w:val="18"/>
          <w:color w:val="auto"/>
        </w:rPr>
        <w:t>) shall vest on the later of (x) the date on which the Administrator certfed such achievement and (y) March 1, 2027.</w:t>
      </w:r>
    </w:p>
    <w:p>
      <w:pPr>
        <w:spacing w:after="0" w:line="219" w:lineRule="exact"/>
        <w:rPr>
          <w:sz w:val="20"/>
          <w:szCs w:val="20"/>
          <w:color w:val="auto"/>
        </w:rPr>
      </w:pPr>
    </w:p>
    <w:p>
      <w:pPr>
        <w:jc w:val="both"/>
        <w:ind w:right="200"/>
        <w:spacing w:after="0" w:line="235" w:lineRule="auto"/>
        <w:rPr>
          <w:sz w:val="20"/>
          <w:szCs w:val="20"/>
          <w:color w:val="auto"/>
        </w:rPr>
      </w:pPr>
      <w:r>
        <w:rPr>
          <w:rFonts w:ascii="Calibri" w:cs="Calibri" w:eastAsia="Calibri" w:hAnsi="Calibri"/>
          <w:sz w:val="18"/>
          <w:szCs w:val="18"/>
          <w:color w:val="auto"/>
        </w:rPr>
        <w:t xml:space="preserve">Notwithstanding anything to the contrary in this </w:t>
      </w:r>
      <w:r>
        <w:rPr>
          <w:rFonts w:ascii="Calibri" w:cs="Calibri" w:eastAsia="Calibri" w:hAnsi="Calibri"/>
          <w:sz w:val="18"/>
          <w:szCs w:val="18"/>
          <w:u w:val="single" w:color="auto"/>
          <w:color w:val="auto"/>
        </w:rPr>
        <w:t>Secton 3(d)</w:t>
      </w:r>
      <w:r>
        <w:rPr>
          <w:rFonts w:ascii="Calibri" w:cs="Calibri" w:eastAsia="Calibri" w:hAnsi="Calibri"/>
          <w:sz w:val="18"/>
          <w:szCs w:val="18"/>
          <w:color w:val="auto"/>
        </w:rPr>
        <w:t>, in the event that the Company fails to achieve the threshold level of performance under the Strategic Vestng Metric during the TSR and Strategic Performance Period, the vestng of the Strategic PSUs shall immediately cease and all of the Strategic PSUs shall be immediately forfeited as of the last day of the TSR and Strategic Performance Period.</w:t>
      </w:r>
    </w:p>
    <w:p>
      <w:pPr>
        <w:spacing w:after="0" w:line="232" w:lineRule="exact"/>
        <w:rPr>
          <w:sz w:val="20"/>
          <w:szCs w:val="20"/>
          <w:color w:val="auto"/>
        </w:rPr>
      </w:pPr>
    </w:p>
    <w:p>
      <w:pPr>
        <w:ind w:firstLine="1505"/>
        <w:spacing w:after="0" w:line="235" w:lineRule="auto"/>
        <w:tabs>
          <w:tab w:leader="none" w:pos="2036" w:val="left"/>
        </w:tabs>
        <w:numPr>
          <w:ilvl w:val="1"/>
          <w:numId w:val="147"/>
        </w:numPr>
        <w:rPr>
          <w:rFonts w:ascii="Times New Roman" w:cs="Times New Roman" w:eastAsia="Times New Roman" w:hAnsi="Times New Roman"/>
          <w:sz w:val="18"/>
          <w:szCs w:val="18"/>
          <w:color w:val="auto"/>
        </w:rPr>
      </w:pPr>
      <w:r>
        <w:rPr>
          <w:rFonts w:ascii="Calibri" w:cs="Calibri" w:eastAsia="Calibri" w:hAnsi="Calibri"/>
          <w:sz w:val="18"/>
          <w:szCs w:val="18"/>
          <w:color w:val="auto"/>
        </w:rPr>
        <w:t xml:space="preserve">Notwithstanding anything to the contrary in </w:t>
      </w:r>
      <w:r>
        <w:rPr>
          <w:rFonts w:ascii="Calibri" w:cs="Calibri" w:eastAsia="Calibri" w:hAnsi="Calibri"/>
          <w:sz w:val="18"/>
          <w:szCs w:val="18"/>
          <w:u w:val="single" w:color="auto"/>
          <w:color w:val="auto"/>
        </w:rPr>
        <w:t>Secton 3(b), Secton 3(c)</w:t>
      </w:r>
      <w:r>
        <w:rPr>
          <w:rFonts w:ascii="Calibri" w:cs="Calibri" w:eastAsia="Calibri" w:hAnsi="Calibri"/>
          <w:sz w:val="18"/>
          <w:szCs w:val="18"/>
          <w:color w:val="auto"/>
        </w:rPr>
        <w:t xml:space="preserve"> and </w:t>
      </w:r>
      <w:r>
        <w:rPr>
          <w:rFonts w:ascii="Calibri" w:cs="Calibri" w:eastAsia="Calibri" w:hAnsi="Calibri"/>
          <w:sz w:val="18"/>
          <w:szCs w:val="18"/>
          <w:u w:val="single" w:color="auto"/>
          <w:color w:val="auto"/>
        </w:rPr>
        <w:t>Secton 3(d)</w:t>
      </w:r>
      <w:r>
        <w:rPr>
          <w:rFonts w:ascii="Calibri" w:cs="Calibri" w:eastAsia="Calibri" w:hAnsi="Calibri"/>
          <w:sz w:val="18"/>
          <w:szCs w:val="18"/>
          <w:color w:val="auto"/>
        </w:rPr>
        <w:t xml:space="preserve"> above and subject to the conditons set forth below, if the Company consummates a Covered Transacton prior to the end of the Revenue Performance Period and/or TSR and Strategic Performance Period, the Performance Stock Units granted hereby that have not otherwise vested or been terminated, forfeited, relinquished or expired prior to the Covered Transacton shall automatcally become a number of tme-vested restricted stock units (“</w:t>
      </w:r>
      <w:r>
        <w:rPr>
          <w:rFonts w:ascii="Calibri" w:cs="Calibri" w:eastAsia="Calibri" w:hAnsi="Calibri"/>
          <w:sz w:val="18"/>
          <w:szCs w:val="18"/>
          <w:u w:val="single" w:color="auto"/>
          <w:color w:val="auto"/>
        </w:rPr>
        <w:t>Restricted Stock Units</w:t>
      </w:r>
      <w:r>
        <w:rPr>
          <w:rFonts w:ascii="Calibri" w:cs="Calibri" w:eastAsia="Calibri" w:hAnsi="Calibri"/>
          <w:sz w:val="18"/>
          <w:szCs w:val="18"/>
          <w:color w:val="auto"/>
        </w:rPr>
        <w:t>”) assuming the greater of (i) the target level of performance or (ii) (x) with respect to the Revenue Vestng Metric and the Strategic Vestng Metric, the expected (as determined by the Administrator) level of performance and (y) with respect to the TSR Vestng Metric, the actual level of performance through the date of the Covered Transacton, which Restricted Stock Units shall vest on the frst anniversary of the Covered Transacton, subject to Grantee’s contnued employment through that date. If the Administrator certfes that the Revenue Vestng Metric and/or the Strategic Vestng Metric has been achieved during the Revenue Performance Period and TSR and Stratetc Performance Period, as applicable, and prior to the Covered Transacton, the applicable tme-based vestng dates for those Earned Performance Stock Units shall not be afected by any Covered Transacton, and such Earned Performance Stock Units shall contnue to vest based on their applicable tme-based vestng dates.</w:t>
      </w:r>
    </w:p>
    <w:p>
      <w:pPr>
        <w:spacing w:after="0" w:line="238" w:lineRule="exact"/>
        <w:rPr>
          <w:rFonts w:ascii="Times New Roman" w:cs="Times New Roman" w:eastAsia="Times New Roman" w:hAnsi="Times New Roman"/>
          <w:sz w:val="18"/>
          <w:szCs w:val="18"/>
          <w:color w:val="auto"/>
        </w:rPr>
      </w:pPr>
    </w:p>
    <w:p>
      <w:pPr>
        <w:ind w:right="180" w:firstLine="757"/>
        <w:spacing w:after="0" w:line="235" w:lineRule="auto"/>
        <w:tabs>
          <w:tab w:leader="none" w:pos="1018" w:val="left"/>
        </w:tabs>
        <w:numPr>
          <w:ilvl w:val="0"/>
          <w:numId w:val="148"/>
        </w:numPr>
        <w:rPr>
          <w:rFonts w:ascii="Times New Roman" w:cs="Times New Roman" w:eastAsia="Times New Roman" w:hAnsi="Times New Roman"/>
          <w:sz w:val="18"/>
          <w:szCs w:val="18"/>
          <w:color w:val="auto"/>
        </w:rPr>
      </w:pPr>
      <w:r>
        <w:rPr>
          <w:rFonts w:ascii="Calibri" w:cs="Calibri" w:eastAsia="Calibri" w:hAnsi="Calibri"/>
          <w:sz w:val="18"/>
          <w:szCs w:val="18"/>
          <w:u w:val="single" w:color="auto"/>
          <w:color w:val="auto"/>
        </w:rPr>
        <w:t>Delivery of Stock</w:t>
      </w:r>
      <w:r>
        <w:rPr>
          <w:rFonts w:ascii="Calibri" w:cs="Calibri" w:eastAsia="Calibri" w:hAnsi="Calibri"/>
          <w:sz w:val="18"/>
          <w:szCs w:val="18"/>
          <w:color w:val="auto"/>
        </w:rPr>
        <w:t>. The Company shall deliver to the Grantee as soon as practcable upon the vestng of the Performance Stock Units (or, if applicable, Restricted Stock Units) or any porton thereof, but in all events no later than March 15th of the year following the year in which such units vest, one share of Stock with respect to each such vested unit, subject to the terms of the Plan and this Agreement.</w:t>
      </w:r>
    </w:p>
    <w:p>
      <w:pPr>
        <w:spacing w:after="0" w:line="232" w:lineRule="exact"/>
        <w:rPr>
          <w:rFonts w:ascii="Times New Roman" w:cs="Times New Roman" w:eastAsia="Times New Roman" w:hAnsi="Times New Roman"/>
          <w:sz w:val="18"/>
          <w:szCs w:val="18"/>
          <w:color w:val="auto"/>
        </w:rPr>
      </w:pPr>
    </w:p>
    <w:p>
      <w:pPr>
        <w:ind w:right="20" w:firstLine="757"/>
        <w:spacing w:after="0" w:line="235" w:lineRule="auto"/>
        <w:tabs>
          <w:tab w:leader="none" w:pos="1018" w:val="left"/>
        </w:tabs>
        <w:numPr>
          <w:ilvl w:val="0"/>
          <w:numId w:val="148"/>
        </w:numPr>
        <w:rPr>
          <w:rFonts w:ascii="Times New Roman" w:cs="Times New Roman" w:eastAsia="Times New Roman" w:hAnsi="Times New Roman"/>
          <w:sz w:val="18"/>
          <w:szCs w:val="18"/>
          <w:color w:val="auto"/>
        </w:rPr>
      </w:pPr>
      <w:r>
        <w:rPr>
          <w:rFonts w:ascii="Calibri" w:cs="Calibri" w:eastAsia="Calibri" w:hAnsi="Calibri"/>
          <w:sz w:val="18"/>
          <w:szCs w:val="18"/>
          <w:u w:val="single" w:color="auto"/>
          <w:color w:val="auto"/>
        </w:rPr>
        <w:t>Dividends; Other Rights</w:t>
      </w:r>
      <w:r>
        <w:rPr>
          <w:rFonts w:ascii="Calibri" w:cs="Calibri" w:eastAsia="Calibri" w:hAnsi="Calibri"/>
          <w:sz w:val="18"/>
          <w:szCs w:val="18"/>
          <w:color w:val="auto"/>
        </w:rPr>
        <w:t>. The Award shall not be interpreted to bestow upon the Grantee any equity interest or ownership in the Company or any Afliate prior to the date on which the Company delivers shares of Stock to the Grantee (if any). The Grantee is not enttled to vote any shares of Stock by reason of the grantng of this Award or to receive or be credited with any dividends declared and payable on any share of Stock prior to the date on which any such share is delivered to the Grantee hereunder. The Grantee shall have the rights of a shareholder only as to those shares of Stock, if any, that are actually delivered under this Award.</w:t>
      </w:r>
    </w:p>
    <w:p>
      <w:pPr>
        <w:spacing w:after="0" w:line="228"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48"/>
        </w:numPr>
        <w:rPr>
          <w:rFonts w:ascii="Times New Roman" w:cs="Times New Roman" w:eastAsia="Times New Roman" w:hAnsi="Times New Roman"/>
          <w:sz w:val="18"/>
          <w:szCs w:val="18"/>
          <w:color w:val="auto"/>
        </w:rPr>
      </w:pPr>
      <w:r>
        <w:rPr>
          <w:rFonts w:ascii="Calibri" w:cs="Calibri" w:eastAsia="Calibri" w:hAnsi="Calibri"/>
          <w:sz w:val="18"/>
          <w:szCs w:val="18"/>
          <w:u w:val="single" w:color="auto"/>
          <w:color w:val="auto"/>
        </w:rPr>
        <w:t>Forfeiture; Recovery of Compensaton</w:t>
      </w:r>
      <w:r>
        <w:rPr>
          <w:rFonts w:ascii="Calibri" w:cs="Calibri" w:eastAsia="Calibri" w:hAnsi="Calibri"/>
          <w:sz w:val="18"/>
          <w:szCs w:val="18"/>
          <w:color w:val="auto"/>
        </w:rPr>
        <w:t>.</w:t>
      </w:r>
    </w:p>
    <w:p>
      <w:pPr>
        <w:spacing w:after="0" w:line="230" w:lineRule="exact"/>
        <w:rPr>
          <w:rFonts w:ascii="Times New Roman" w:cs="Times New Roman" w:eastAsia="Times New Roman" w:hAnsi="Times New Roman"/>
          <w:sz w:val="18"/>
          <w:szCs w:val="18"/>
          <w:color w:val="auto"/>
        </w:rPr>
      </w:pPr>
    </w:p>
    <w:p>
      <w:pPr>
        <w:ind w:right="420" w:firstLine="1505"/>
        <w:spacing w:after="0" w:line="235" w:lineRule="auto"/>
        <w:tabs>
          <w:tab w:leader="none" w:pos="2036" w:val="left"/>
        </w:tabs>
        <w:numPr>
          <w:ilvl w:val="1"/>
          <w:numId w:val="14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Administrator may cancel, rescind, withhold or otherwise limit or restrict the Award at any tme if the Grantee is not in compliance with all applicable provisions of this Agreement and the Plan.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74" w:name="page175"/>
    <w:bookmarkEnd w:id="174"/>
    <w:p>
      <w:pPr>
        <w:ind w:right="100" w:firstLine="1505"/>
        <w:spacing w:after="0" w:line="235" w:lineRule="auto"/>
        <w:tabs>
          <w:tab w:leader="none" w:pos="2036" w:val="left"/>
        </w:tabs>
        <w:numPr>
          <w:ilvl w:val="1"/>
          <w:numId w:val="149"/>
        </w:numPr>
        <w:rPr>
          <w:rFonts w:ascii="Times New Roman" w:cs="Times New Roman" w:eastAsia="Times New Roman" w:hAnsi="Times New Roman"/>
          <w:sz w:val="18"/>
          <w:szCs w:val="18"/>
          <w:color w:val="auto"/>
        </w:rPr>
      </w:pPr>
      <w:r>
        <w:rPr>
          <w:rFonts w:ascii="Calibri" w:cs="Calibri" w:eastAsia="Calibri" w:hAnsi="Calibri"/>
          <w:sz w:val="18"/>
          <w:szCs w:val="18"/>
          <w:color w:val="auto"/>
        </w:rPr>
        <w:t xml:space="preserve">By acceptng the Award the Grantee expressly acknowledges and agrees that his or her rights, and those of any permited transferee of the Award, under the Award to any Stock acquired under the Award or proceeds from the dispositon thereof, are subject to (i) Secton 6(a)(5) of the Plan (including any successor provision) and (ii) recoupment in accordance with any clawback policy adopted by the Company, as may be modifed from tme to tme by the Company in its discreton. Nothing in the preceding sentence shall be construed as limitng the general applicaton of </w:t>
      </w:r>
      <w:r>
        <w:rPr>
          <w:rFonts w:ascii="Calibri" w:cs="Calibri" w:eastAsia="Calibri" w:hAnsi="Calibri"/>
          <w:sz w:val="18"/>
          <w:szCs w:val="18"/>
          <w:u w:val="single" w:color="auto"/>
          <w:color w:val="auto"/>
        </w:rPr>
        <w:t>Secton 10</w:t>
      </w:r>
      <w:r>
        <w:rPr>
          <w:rFonts w:ascii="Calibri" w:cs="Calibri" w:eastAsia="Calibri" w:hAnsi="Calibri"/>
          <w:sz w:val="18"/>
          <w:szCs w:val="18"/>
          <w:color w:val="auto"/>
        </w:rPr>
        <w:t xml:space="preserve"> hereof. No recovery of compensaton under a clawback policy or under Secton 6(a)(5) of the Plan will be an event giving rise to a right to resign for “good reason” or “constructve terminaton” (or similar term) under any agreement with the Company</w:t>
      </w:r>
    </w:p>
    <w:p>
      <w:pPr>
        <w:spacing w:after="0" w:line="234" w:lineRule="exact"/>
        <w:rPr>
          <w:rFonts w:ascii="Times New Roman" w:cs="Times New Roman" w:eastAsia="Times New Roman" w:hAnsi="Times New Roman"/>
          <w:sz w:val="18"/>
          <w:szCs w:val="18"/>
          <w:color w:val="auto"/>
        </w:rPr>
      </w:pPr>
    </w:p>
    <w:p>
      <w:pPr>
        <w:ind w:right="60" w:firstLine="757"/>
        <w:spacing w:after="0" w:line="235" w:lineRule="auto"/>
        <w:tabs>
          <w:tab w:leader="none" w:pos="1018" w:val="left"/>
        </w:tabs>
        <w:numPr>
          <w:ilvl w:val="0"/>
          <w:numId w:val="150"/>
        </w:numPr>
        <w:rPr>
          <w:rFonts w:ascii="Times New Roman" w:cs="Times New Roman" w:eastAsia="Times New Roman" w:hAnsi="Times New Roman"/>
          <w:sz w:val="18"/>
          <w:szCs w:val="18"/>
          <w:color w:val="auto"/>
        </w:rPr>
      </w:pPr>
      <w:r>
        <w:rPr>
          <w:rFonts w:ascii="Calibri" w:cs="Calibri" w:eastAsia="Calibri" w:hAnsi="Calibri"/>
          <w:sz w:val="18"/>
          <w:szCs w:val="18"/>
          <w:u w:val="single" w:color="auto"/>
          <w:color w:val="auto"/>
        </w:rPr>
        <w:t>Nontransferability</w:t>
      </w:r>
      <w:r>
        <w:rPr>
          <w:rFonts w:ascii="Calibri" w:cs="Calibri" w:eastAsia="Calibri" w:hAnsi="Calibri"/>
          <w:sz w:val="18"/>
          <w:szCs w:val="18"/>
          <w:color w:val="auto"/>
        </w:rPr>
        <w:t>. Neither the Award nor the Performance Stock Units (or, if applicable, Restricted Stock Units) may be transferred except as expressly permited under Secton 6(a)(3) of the Plan.</w:t>
      </w:r>
    </w:p>
    <w:p>
      <w:pPr>
        <w:spacing w:after="0" w:line="226"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50"/>
        </w:numPr>
        <w:rPr>
          <w:rFonts w:ascii="Times New Roman" w:cs="Times New Roman" w:eastAsia="Times New Roman" w:hAnsi="Times New Roman"/>
          <w:sz w:val="18"/>
          <w:szCs w:val="18"/>
          <w:color w:val="auto"/>
        </w:rPr>
      </w:pPr>
      <w:r>
        <w:rPr>
          <w:rFonts w:ascii="Calibri" w:cs="Calibri" w:eastAsia="Calibri" w:hAnsi="Calibri"/>
          <w:sz w:val="18"/>
          <w:szCs w:val="18"/>
          <w:u w:val="single" w:color="auto"/>
          <w:color w:val="auto"/>
        </w:rPr>
        <w:t>Certain Tax Maters</w:t>
      </w:r>
      <w:r>
        <w:rPr>
          <w:rFonts w:ascii="Calibri" w:cs="Calibri" w:eastAsia="Calibri" w:hAnsi="Calibri"/>
          <w:sz w:val="18"/>
          <w:szCs w:val="18"/>
          <w:color w:val="auto"/>
        </w:rPr>
        <w:t>.</w:t>
      </w:r>
    </w:p>
    <w:p>
      <w:pPr>
        <w:spacing w:after="0" w:line="230" w:lineRule="exact"/>
        <w:rPr>
          <w:rFonts w:ascii="Times New Roman" w:cs="Times New Roman" w:eastAsia="Times New Roman" w:hAnsi="Times New Roman"/>
          <w:sz w:val="18"/>
          <w:szCs w:val="18"/>
          <w:color w:val="auto"/>
        </w:rPr>
      </w:pPr>
    </w:p>
    <w:p>
      <w:pPr>
        <w:ind w:firstLine="1505"/>
        <w:spacing w:after="0" w:line="235" w:lineRule="auto"/>
        <w:tabs>
          <w:tab w:leader="none" w:pos="2036" w:val="left"/>
        </w:tabs>
        <w:numPr>
          <w:ilvl w:val="1"/>
          <w:numId w:val="15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Grantee expressly acknowledges and agrees that the Grantee’s rights hereunder, including the right to be issued shares of Stock upon the vestng of the Performance Stock Units (or, if applicable, Restricted Stock Units) (or any porton thereof), are subject to the Grantee’s promptly paying, or in respect of any later requirement of withholding being liable promptly to pay at such tme as such withholdings are due, to the Company in cash (or by such other means as may be acceptable to the Administrator in its discreton) all taxes required to be withheld, if any (the “</w:t>
      </w:r>
      <w:r>
        <w:rPr>
          <w:rFonts w:ascii="Calibri" w:cs="Calibri" w:eastAsia="Calibri" w:hAnsi="Calibri"/>
          <w:sz w:val="18"/>
          <w:szCs w:val="18"/>
          <w:u w:val="single" w:color="auto"/>
          <w:color w:val="auto"/>
        </w:rPr>
        <w:t>Tax</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auto"/>
        </w:rPr>
        <w:t>Withholding Obligaton</w:t>
      </w:r>
      <w:r>
        <w:rPr>
          <w:rFonts w:ascii="Calibri" w:cs="Calibri" w:eastAsia="Calibri" w:hAnsi="Calibri"/>
          <w:sz w:val="18"/>
          <w:szCs w:val="18"/>
          <w:color w:val="auto"/>
        </w:rPr>
        <w:t xml:space="preserve">”). No shares of Stock will be transferred pursuant to the vestng of the Performance Stock Units (or, if applicable, Restricted Stock Units) (or any porton thereof) unless and untl the Grantee or the person then holding the Award has remited to the Company an amount in cash sufcient to satsfy any federal, state, or local withholding tax requirements then due and has commited (and by acceptng this Award the Grantee shall be deemed to have commited) to pay in cash all tax withholdings required at any later tme in respect of the transfer of such shares, or has made other arrangements satsfactory to the Company with respect to such taxes. The Grantee also authorizes the Company and its subsidiaries to withhold such amount from any amounts otherwise owed to the Grantee, but nothing in this sentence shall be construed as relieving the Grantee of any liability for satsfying his or her obligatons under the preceding provisions of this </w:t>
      </w:r>
      <w:r>
        <w:rPr>
          <w:rFonts w:ascii="Calibri" w:cs="Calibri" w:eastAsia="Calibri" w:hAnsi="Calibri"/>
          <w:sz w:val="18"/>
          <w:szCs w:val="18"/>
          <w:u w:val="single" w:color="auto"/>
          <w:color w:val="auto"/>
        </w:rPr>
        <w:t>Secton 8</w:t>
      </w:r>
      <w:r>
        <w:rPr>
          <w:rFonts w:ascii="Calibri" w:cs="Calibri" w:eastAsia="Calibri" w:hAnsi="Calibri"/>
          <w:sz w:val="18"/>
          <w:szCs w:val="18"/>
          <w:color w:val="auto"/>
        </w:rPr>
        <w:t>.</w:t>
      </w:r>
    </w:p>
    <w:p>
      <w:pPr>
        <w:spacing w:after="0" w:line="238" w:lineRule="exact"/>
        <w:rPr>
          <w:rFonts w:ascii="Times New Roman" w:cs="Times New Roman" w:eastAsia="Times New Roman" w:hAnsi="Times New Roman"/>
          <w:sz w:val="18"/>
          <w:szCs w:val="18"/>
          <w:color w:val="auto"/>
        </w:rPr>
      </w:pPr>
    </w:p>
    <w:p>
      <w:pPr>
        <w:ind w:right="40" w:firstLine="1505"/>
        <w:spacing w:after="0" w:line="235" w:lineRule="auto"/>
        <w:tabs>
          <w:tab w:leader="none" w:pos="2036" w:val="left"/>
        </w:tabs>
        <w:numPr>
          <w:ilvl w:val="1"/>
          <w:numId w:val="15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Grantee expressly acknowledges that the Grantee’s acceptance of this Agreement consttutes the Grantee’s instructon and authorizaton to the Company and any brokerage frm determined acceptable to the Company for such purpose to sell on the Grantee’s behalf a whole number of shares from those shares of Stock issuable to the Grantee as the Company determines to be appropriate to generate cash proceeds sufcient to satsfy the applicable Tax Withholding Obligaton, and to transfer the proceeds from the sale of such Stock from the Grantee’s securites account established with the brokerage service provider for the setlement of the Grantee’s vested Performance Stock Units (or, if applicable, Restricted Stock Units) to any account held in the name of the Company. Such shares will be sold on the date of vestng or as soon thereafer as practcable. Grantee will be responsible for all brokers’ fees and other costs of sale, which fees and costs may be deducted from the proceeds of the foregoing sale of Stock, and Grantee agrees to indemnify and hold the Company and any brokerage frm selling such Stock harmless from any losses, costs, damages, or expenses relatng to any such sale. To the extent the proceeds of such sale exceed Grantee’s Tax Withholding Obligaton, such excess cash will be deposited into the securites account established with the brokerage service provider for the setlement of Grantee’s vested Performance Stock Units (or, if applicable, Restricted Stock Units). Grantee acknowledges that the Company or its designee is under no obligaton to arrange for such sale at any partcular price, and that the proceeds of any such sale may not be sufcient to satsfy Grantee’s Tax Withholding Obligaton. Accordingly, Grantee agrees to pay to the Company as soon as practcable, including through additonal payroll withholding, any amount of the Tax Withholding Obligaton that is not satsfed by the sale of shares described above. Unless otherwise authorized by the Administrator in its sole discreton, the sale of Stock will be the primary method used by the Company to satsfy the applicable Tax Withholding Obligaton.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7" w:right="379" w:bottom="1440" w:gutter="0" w:footer="0" w:header="0"/>
        </w:sectPr>
      </w:pPr>
    </w:p>
    <w:bookmarkStart w:id="175" w:name="page176"/>
    <w:bookmarkEnd w:id="175"/>
    <w:p>
      <w:pPr>
        <w:ind w:right="140" w:firstLine="1505"/>
        <w:spacing w:after="0" w:line="235" w:lineRule="auto"/>
        <w:tabs>
          <w:tab w:leader="none" w:pos="2036" w:val="left"/>
        </w:tabs>
        <w:numPr>
          <w:ilvl w:val="2"/>
          <w:numId w:val="15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Grantee expressly acknowledges that because this Award consists of an unfunded and unsecured promise by the Company to deliver Stock in the future, subject to the terms hereof, it is not possible to make a so-called “83(b) electon” with respect to the Award.</w:t>
      </w:r>
    </w:p>
    <w:p>
      <w:pPr>
        <w:spacing w:after="0" w:line="231" w:lineRule="exact"/>
        <w:rPr>
          <w:rFonts w:ascii="Times New Roman" w:cs="Times New Roman" w:eastAsia="Times New Roman" w:hAnsi="Times New Roman"/>
          <w:sz w:val="18"/>
          <w:szCs w:val="18"/>
          <w:color w:val="auto"/>
        </w:rPr>
      </w:pPr>
    </w:p>
    <w:p>
      <w:pPr>
        <w:ind w:firstLine="757"/>
        <w:spacing w:after="0" w:line="235" w:lineRule="auto"/>
        <w:tabs>
          <w:tab w:leader="none" w:pos="1018" w:val="left"/>
        </w:tabs>
        <w:numPr>
          <w:ilvl w:val="1"/>
          <w:numId w:val="152"/>
        </w:numPr>
        <w:rPr>
          <w:rFonts w:ascii="Times New Roman" w:cs="Times New Roman" w:eastAsia="Times New Roman" w:hAnsi="Times New Roman"/>
          <w:sz w:val="18"/>
          <w:szCs w:val="18"/>
          <w:color w:val="auto"/>
        </w:rPr>
      </w:pPr>
      <w:r>
        <w:rPr>
          <w:rFonts w:ascii="Calibri" w:cs="Calibri" w:eastAsia="Calibri" w:hAnsi="Calibri"/>
          <w:sz w:val="18"/>
          <w:szCs w:val="18"/>
          <w:u w:val="single" w:color="auto"/>
          <w:color w:val="auto"/>
        </w:rPr>
        <w:t>Efect on Employment</w:t>
      </w:r>
      <w:r>
        <w:rPr>
          <w:rFonts w:ascii="Calibri" w:cs="Calibri" w:eastAsia="Calibri" w:hAnsi="Calibri"/>
          <w:sz w:val="18"/>
          <w:szCs w:val="18"/>
          <w:color w:val="auto"/>
        </w:rPr>
        <w:t>. Neither the grant of the Award, nor the issuance of Shares upon vestng of the Award, will give the Grantee any right to be retained in the employ or service of the Company or any of its Afliates, afect the right of the Company or any of its Afliates to discharge or discipline such Grantee at any tme, or afect any right of such Grantee to terminate his or her Employment at any tme.</w:t>
      </w:r>
    </w:p>
    <w:p>
      <w:pPr>
        <w:spacing w:after="0" w:line="232" w:lineRule="exact"/>
        <w:rPr>
          <w:rFonts w:ascii="Times New Roman" w:cs="Times New Roman" w:eastAsia="Times New Roman" w:hAnsi="Times New Roman"/>
          <w:sz w:val="18"/>
          <w:szCs w:val="18"/>
          <w:color w:val="auto"/>
        </w:rPr>
      </w:pPr>
    </w:p>
    <w:p>
      <w:pPr>
        <w:ind w:right="140" w:firstLine="757"/>
        <w:spacing w:after="0" w:line="254" w:lineRule="auto"/>
        <w:tabs>
          <w:tab w:leader="none" w:pos="1018" w:val="left"/>
        </w:tabs>
        <w:numPr>
          <w:ilvl w:val="1"/>
          <w:numId w:val="152"/>
        </w:numPr>
        <w:rPr>
          <w:rFonts w:ascii="Times New Roman" w:cs="Times New Roman" w:eastAsia="Times New Roman" w:hAnsi="Times New Roman"/>
          <w:sz w:val="17"/>
          <w:szCs w:val="17"/>
          <w:color w:val="auto"/>
        </w:rPr>
      </w:pPr>
      <w:r>
        <w:rPr>
          <w:rFonts w:ascii="Calibri" w:cs="Calibri" w:eastAsia="Calibri" w:hAnsi="Calibri"/>
          <w:sz w:val="17"/>
          <w:szCs w:val="17"/>
          <w:u w:val="single" w:color="auto"/>
          <w:color w:val="auto"/>
        </w:rPr>
        <w:t>Provisions of the Plan</w:t>
      </w:r>
      <w:r>
        <w:rPr>
          <w:rFonts w:ascii="Calibri" w:cs="Calibri" w:eastAsia="Calibri" w:hAnsi="Calibri"/>
          <w:sz w:val="17"/>
          <w:szCs w:val="17"/>
          <w:color w:val="auto"/>
        </w:rPr>
        <w:t>. This Agreement is subject in its entrety to the provisions of the Plan, which are incorporated herein by reference. A copy of the Plan as in efect on the Date of Grant has been furnished to the Grantee. By acceptng the Award, the Grantee agrees to be bound by the terms of the Plan and this Agreement. In the event of any confict between the terms of this Agreement and the Plan, the terms of the Plan shall control.</w:t>
      </w:r>
    </w:p>
    <w:p>
      <w:pPr>
        <w:spacing w:after="0" w:line="218" w:lineRule="exact"/>
        <w:rPr>
          <w:rFonts w:ascii="Times New Roman" w:cs="Times New Roman" w:eastAsia="Times New Roman" w:hAnsi="Times New Roman"/>
          <w:sz w:val="17"/>
          <w:szCs w:val="17"/>
          <w:color w:val="auto"/>
        </w:rPr>
      </w:pPr>
    </w:p>
    <w:p>
      <w:pPr>
        <w:ind w:right="140" w:firstLine="757"/>
        <w:spacing w:after="0" w:line="249" w:lineRule="auto"/>
        <w:tabs>
          <w:tab w:leader="none" w:pos="1018" w:val="left"/>
        </w:tabs>
        <w:numPr>
          <w:ilvl w:val="1"/>
          <w:numId w:val="152"/>
        </w:numPr>
        <w:rPr>
          <w:rFonts w:ascii="Times New Roman" w:cs="Times New Roman" w:eastAsia="Times New Roman" w:hAnsi="Times New Roman"/>
          <w:sz w:val="17"/>
          <w:szCs w:val="17"/>
          <w:color w:val="auto"/>
        </w:rPr>
      </w:pPr>
      <w:r>
        <w:rPr>
          <w:rFonts w:ascii="Calibri" w:cs="Calibri" w:eastAsia="Calibri" w:hAnsi="Calibri"/>
          <w:sz w:val="17"/>
          <w:szCs w:val="17"/>
          <w:u w:val="single" w:color="auto"/>
          <w:color w:val="auto"/>
        </w:rPr>
        <w:t>Acknowledgments</w:t>
      </w:r>
      <w:r>
        <w:rPr>
          <w:rFonts w:ascii="Calibri" w:cs="Calibri" w:eastAsia="Calibri" w:hAnsi="Calibri"/>
          <w:sz w:val="17"/>
          <w:szCs w:val="17"/>
          <w:color w:val="auto"/>
        </w:rPr>
        <w:t>. The Grantee acknowledges and agrees that (a) this Agreement may be executed in two or more counterparts, each of which shall be an original and all of which together shall consttute one and the same instrument, (b) this agreement may be executed and exchanged using facsimile, portable document format (PDF) or electronic signature, which, in each case, shall consttute an original signature for all purposes hereunder and</w:t>
      </w:r>
    </w:p>
    <w:p>
      <w:pPr>
        <w:spacing w:after="0" w:line="2" w:lineRule="exact"/>
        <w:rPr>
          <w:rFonts w:ascii="Times New Roman" w:cs="Times New Roman" w:eastAsia="Times New Roman" w:hAnsi="Times New Roman"/>
          <w:sz w:val="17"/>
          <w:szCs w:val="17"/>
          <w:color w:val="auto"/>
        </w:rPr>
      </w:pPr>
    </w:p>
    <w:p>
      <w:pPr>
        <w:ind w:right="60" w:firstLine="8"/>
        <w:spacing w:after="0" w:line="235" w:lineRule="auto"/>
        <w:tabs>
          <w:tab w:leader="none" w:pos="220" w:val="left"/>
        </w:tabs>
        <w:numPr>
          <w:ilvl w:val="0"/>
          <w:numId w:val="153"/>
        </w:numPr>
        <w:rPr>
          <w:rFonts w:ascii="Calibri" w:cs="Calibri" w:eastAsia="Calibri" w:hAnsi="Calibri"/>
          <w:sz w:val="18"/>
          <w:szCs w:val="18"/>
          <w:color w:val="auto"/>
        </w:rPr>
      </w:pPr>
      <w:r>
        <w:rPr>
          <w:rFonts w:ascii="Calibri" w:cs="Calibri" w:eastAsia="Calibri" w:hAnsi="Calibri"/>
          <w:sz w:val="18"/>
          <w:szCs w:val="18"/>
          <w:color w:val="auto"/>
        </w:rPr>
        <w:t>such signature by the Company will be binding against the Company and will create a legally binding agreement when this Agreement is countersigned by the Grantee.</w:t>
      </w:r>
    </w:p>
    <w:p>
      <w:pPr>
        <w:spacing w:after="0" w:line="21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[The remainder of this page is intentonally lef blank.]</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176" w:name="page177"/>
    <w:bookmarkEnd w:id="176"/>
    <w:p>
      <w:pPr>
        <w:ind w:left="760"/>
        <w:spacing w:after="0"/>
        <w:rPr>
          <w:sz w:val="20"/>
          <w:szCs w:val="20"/>
          <w:color w:val="auto"/>
        </w:rPr>
      </w:pPr>
      <w:r>
        <w:rPr>
          <w:rFonts w:ascii="Calibri" w:cs="Calibri" w:eastAsia="Calibri" w:hAnsi="Calibri"/>
          <w:sz w:val="17"/>
          <w:szCs w:val="17"/>
          <w:color w:val="auto"/>
        </w:rPr>
        <w:t>IN WITNESS WHEREOF, the Company has caused this Agreement to be executed by its duly authorized ofcer.</w:t>
      </w:r>
    </w:p>
    <w:p>
      <w:pPr>
        <w:spacing w:after="0" w:line="220" w:lineRule="exact"/>
        <w:rPr>
          <w:sz w:val="20"/>
          <w:szCs w:val="20"/>
          <w:color w:val="auto"/>
        </w:rPr>
      </w:pPr>
    </w:p>
    <w:p>
      <w:pPr>
        <w:ind w:left="5240"/>
        <w:spacing w:after="0"/>
        <w:rPr>
          <w:sz w:val="20"/>
          <w:szCs w:val="20"/>
          <w:color w:val="auto"/>
        </w:rPr>
      </w:pPr>
      <w:r>
        <w:rPr>
          <w:rFonts w:ascii="Calibri" w:cs="Calibri" w:eastAsia="Calibri" w:hAnsi="Calibri"/>
          <w:sz w:val="18"/>
          <w:szCs w:val="18"/>
          <w:color w:val="auto"/>
        </w:rPr>
        <w:t>ULTRAGENYX PHARMACEUTICAL INC.</w:t>
      </w:r>
    </w:p>
    <w:p>
      <w:pPr>
        <w:spacing w:after="0" w:line="200" w:lineRule="exact"/>
        <w:rPr>
          <w:sz w:val="20"/>
          <w:szCs w:val="20"/>
          <w:color w:val="auto"/>
        </w:rPr>
      </w:pPr>
    </w:p>
    <w:p>
      <w:pPr>
        <w:spacing w:after="0" w:line="228" w:lineRule="exact"/>
        <w:rPr>
          <w:sz w:val="20"/>
          <w:szCs w:val="20"/>
          <w:color w:val="auto"/>
        </w:rPr>
      </w:pPr>
    </w:p>
    <w:p>
      <w:pPr>
        <w:ind w:left="5240"/>
        <w:spacing w:after="0"/>
        <w:rPr>
          <w:sz w:val="20"/>
          <w:szCs w:val="20"/>
          <w:color w:val="auto"/>
        </w:rPr>
      </w:pPr>
      <w:r>
        <w:rPr>
          <w:rFonts w:ascii="Calibri" w:cs="Calibri" w:eastAsia="Calibri" w:hAnsi="Calibri"/>
          <w:sz w:val="18"/>
          <w:szCs w:val="18"/>
          <w:color w:val="auto"/>
        </w:rPr>
        <w:t>By:</w:t>
      </w:r>
    </w:p>
    <w:p>
      <w:pPr>
        <w:ind w:left="5240"/>
        <w:spacing w:after="0" w:line="235" w:lineRule="auto"/>
        <w:rPr>
          <w:sz w:val="20"/>
          <w:szCs w:val="20"/>
          <w:color w:val="auto"/>
        </w:rPr>
      </w:pPr>
      <w:r>
        <w:rPr>
          <w:rFonts w:ascii="Calibri" w:cs="Calibri" w:eastAsia="Calibri" w:hAnsi="Calibri"/>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-18415</wp:posOffset>
            </wp:positionV>
            <wp:extent cx="7810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89">
                      <a:extLst>
                        <a:ext uri="{28A0092B-C50C-407E-A947-70E740481C1C}"/>
                      </a:extLst>
                    </a:blip>
                    <a:srcRect/>
                    <a:stretch>
                      <a:fillRect/>
                    </a:stretch>
                  </pic:blipFill>
                  <pic:spPr bwMode="auto">
                    <a:xfrm>
                      <a:off x="0" y="0"/>
                      <a:ext cx="78105" cy="8255"/>
                    </a:xfrm>
                    <a:prstGeom prst="rect">
                      <a:avLst/>
                    </a:prstGeom>
                    <a:noFill/>
                  </pic:spPr>
                </pic:pic>
              </a:graphicData>
            </a:graphic>
          </wp:anchor>
        </w:drawing>
      </w:r>
    </w:p>
    <w:p>
      <w:pPr>
        <w:ind w:left="5240"/>
        <w:spacing w:after="0" w:line="236" w:lineRule="auto"/>
        <w:rPr>
          <w:sz w:val="20"/>
          <w:szCs w:val="20"/>
          <w:color w:val="auto"/>
        </w:rPr>
      </w:pPr>
      <w:r>
        <w:rPr>
          <w:rFonts w:ascii="Calibri" w:cs="Calibri" w:eastAsia="Calibri" w:hAnsi="Calibri"/>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3586480</wp:posOffset>
            </wp:positionH>
            <wp:positionV relativeFrom="paragraph">
              <wp:posOffset>-18415</wp:posOffset>
            </wp:positionV>
            <wp:extent cx="14986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90">
                      <a:extLst>
                        <a:ext uri="{28A0092B-C50C-407E-A947-70E740481C1C}"/>
                      </a:extLst>
                    </a:blip>
                    <a:srcRect/>
                    <a:stretch>
                      <a:fillRect/>
                    </a:stretch>
                  </pic:blipFill>
                  <pic:spPr bwMode="auto">
                    <a:xfrm>
                      <a:off x="0" y="0"/>
                      <a:ext cx="14986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alibri" w:cs="Calibri" w:eastAsia="Calibri" w:hAnsi="Calibri"/>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-19050</wp:posOffset>
            </wp:positionV>
            <wp:extent cx="7493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91">
                      <a:extLst>
                        <a:ext uri="{28A0092B-C50C-407E-A947-70E740481C1C}"/>
                      </a:extLst>
                    </a:blip>
                    <a:srcRect/>
                    <a:stretch>
                      <a:fillRect/>
                    </a:stretch>
                  </pic:blipFill>
                  <pic:spPr bwMode="auto">
                    <a:xfrm>
                      <a:off x="0" y="0"/>
                      <a:ext cx="74930"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Calibri" w:cs="Calibri" w:eastAsia="Calibri" w:hAnsi="Calibri"/>
          <w:sz w:val="18"/>
          <w:szCs w:val="18"/>
          <w:color w:val="auto"/>
        </w:rPr>
        <w:t>Acknowledged and Agreed: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alibri" w:cs="Calibri" w:eastAsia="Calibri" w:hAnsi="Calibri"/>
          <w:sz w:val="18"/>
          <w:szCs w:val="18"/>
          <w:color w:val="auto"/>
        </w:rPr>
        <w:t>By:</w:t>
      </w:r>
    </w:p>
    <w:p>
      <w:pPr>
        <w:ind w:left="320"/>
        <w:spacing w:after="0" w:line="235" w:lineRule="auto"/>
        <w:rPr>
          <w:sz w:val="20"/>
          <w:szCs w:val="20"/>
          <w:color w:val="auto"/>
        </w:rPr>
      </w:pPr>
      <w:r>
        <w:rPr>
          <w:rFonts w:ascii="Calibri" w:cs="Calibri" w:eastAsia="Calibri" w:hAnsi="Calibri"/>
          <w:sz w:val="18"/>
          <w:szCs w:val="18"/>
          <w:color w:val="auto"/>
        </w:rPr>
        <w:t>[Grantee’s Name]</w:t>
      </w:r>
    </w:p>
    <w:p>
      <w:pPr>
        <w:spacing w:after="0" w:line="29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[Signature Page to Performance Stock Unit Agreement]</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DOCPROPERTY "DOCID" \* MERGEFORMAT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177" w:name="page178"/>
    <w:bookmarkEnd w:id="177"/>
    <w:p>
      <w:pPr>
        <w:jc w:val="center"/>
        <w:ind w:right="-99"/>
        <w:spacing w:after="0"/>
        <w:rPr>
          <w:sz w:val="20"/>
          <w:szCs w:val="20"/>
          <w:color w:val="auto"/>
        </w:rPr>
      </w:pPr>
      <w:r>
        <w:rPr>
          <w:rFonts w:ascii="Calibri" w:cs="Calibri" w:eastAsia="Calibri" w:hAnsi="Calibri"/>
          <w:sz w:val="18"/>
          <w:szCs w:val="18"/>
          <w:b w:val="1"/>
          <w:bCs w:val="1"/>
          <w:u w:val="single" w:color="auto"/>
          <w:color w:val="auto"/>
        </w:rPr>
        <w:t>APPENDIX A</w:t>
      </w:r>
    </w:p>
    <w:p>
      <w:pPr>
        <w:spacing w:after="0" w:line="217" w:lineRule="exact"/>
        <w:rPr>
          <w:sz w:val="20"/>
          <w:szCs w:val="20"/>
          <w:color w:val="auto"/>
        </w:rPr>
      </w:pPr>
    </w:p>
    <w:p>
      <w:pPr>
        <w:spacing w:after="0"/>
        <w:rPr>
          <w:sz w:val="20"/>
          <w:szCs w:val="20"/>
          <w:color w:val="auto"/>
        </w:rPr>
      </w:pPr>
      <w:r>
        <w:rPr>
          <w:rFonts w:ascii="Calibri" w:cs="Calibri" w:eastAsia="Calibri" w:hAnsi="Calibri"/>
          <w:sz w:val="17"/>
          <w:szCs w:val="17"/>
          <w:color w:val="auto"/>
        </w:rPr>
        <w:t>The performance metric applicable to the Revenue PSUs shall be GAAP revenue for the Company over the Revenue Performance Period, with the number of</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Earned Revenue PSUs equal to the number of Revenue PSUs subject to the Award multpled by the applicable percentage set forth in the following table:</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2280" w:type="dxa"/>
            <w:vAlign w:val="bottom"/>
            <w:tcBorders>
              <w:top w:val="single" w:sz="8" w:color="C9CAC8"/>
              <w:left w:val="single" w:sz="8" w:color="C9CAC8"/>
              <w:right w:val="single" w:sz="8" w:color="C9CAC8"/>
            </w:tcBorders>
            <w:shd w:val="clear" w:color="auto" w:fill="255985"/>
          </w:tcPr>
          <w:p>
            <w:pPr>
              <w:spacing w:after="0"/>
              <w:rPr>
                <w:sz w:val="22"/>
                <w:szCs w:val="22"/>
                <w:color w:val="auto"/>
              </w:rPr>
            </w:pPr>
          </w:p>
        </w:tc>
        <w:tc>
          <w:tcPr>
            <w:tcW w:w="2680" w:type="dxa"/>
            <w:vAlign w:val="bottom"/>
            <w:tcBorders>
              <w:top w:val="single" w:sz="8" w:color="255985"/>
              <w:right w:val="single" w:sz="8" w:color="C9CAC8"/>
            </w:tcBorders>
            <w:shd w:val="clear" w:color="auto" w:fill="255985"/>
          </w:tcPr>
          <w:p>
            <w:pPr>
              <w:jc w:val="center"/>
              <w:spacing w:after="0" w:line="264" w:lineRule="exact"/>
              <w:rPr>
                <w:sz w:val="20"/>
                <w:szCs w:val="20"/>
                <w:color w:val="auto"/>
              </w:rPr>
            </w:pPr>
            <w:r>
              <w:rPr>
                <w:rFonts w:ascii="Calibri" w:cs="Calibri" w:eastAsia="Calibri" w:hAnsi="Calibri"/>
                <w:sz w:val="18"/>
                <w:szCs w:val="18"/>
                <w:b w:val="1"/>
                <w:bCs w:val="1"/>
                <w:color w:val="FFFFFF"/>
                <w:w w:val="95"/>
              </w:rPr>
              <w:t>Aggregate GAAP Revenue</w:t>
            </w:r>
            <w:r>
              <w:rPr>
                <w:rFonts w:ascii="Calibri" w:cs="Calibri" w:eastAsia="Calibri" w:hAnsi="Calibri"/>
                <w:sz w:val="24"/>
                <w:szCs w:val="24"/>
                <w:b w:val="1"/>
                <w:bCs w:val="1"/>
                <w:color w:val="FFFFFF"/>
                <w:w w:val="95"/>
                <w:vertAlign w:val="superscript"/>
              </w:rPr>
              <w:t>(1)</w:t>
            </w:r>
            <w:r>
              <w:rPr>
                <w:rFonts w:ascii="Calibri" w:cs="Calibri" w:eastAsia="Calibri" w:hAnsi="Calibri"/>
                <w:sz w:val="18"/>
                <w:szCs w:val="18"/>
                <w:b w:val="1"/>
                <w:bCs w:val="1"/>
                <w:color w:val="FFFFFF"/>
                <w:w w:val="95"/>
              </w:rPr>
              <w:t xml:space="preserve"> for</w:t>
            </w:r>
          </w:p>
        </w:tc>
        <w:tc>
          <w:tcPr>
            <w:tcW w:w="2460" w:type="dxa"/>
            <w:vAlign w:val="bottom"/>
            <w:tcBorders>
              <w:top w:val="single" w:sz="8" w:color="255985"/>
              <w:right w:val="single" w:sz="8" w:color="C9CAC8"/>
            </w:tcBorders>
            <w:vMerge w:val="restart"/>
            <w:shd w:val="clear" w:color="auto" w:fill="255985"/>
          </w:tcPr>
          <w:p>
            <w:pPr>
              <w:ind w:left="360"/>
              <w:spacing w:after="0"/>
              <w:rPr>
                <w:sz w:val="20"/>
                <w:szCs w:val="20"/>
                <w:color w:val="auto"/>
              </w:rPr>
            </w:pPr>
            <w:r>
              <w:rPr>
                <w:rFonts w:ascii="Calibri" w:cs="Calibri" w:eastAsia="Calibri" w:hAnsi="Calibri"/>
                <w:sz w:val="18"/>
                <w:szCs w:val="18"/>
                <w:b w:val="1"/>
                <w:bCs w:val="1"/>
                <w:color w:val="FFFFFF"/>
              </w:rPr>
              <w:t>Earned Revenue PSUs</w:t>
            </w:r>
            <w:r>
              <w:rPr>
                <w:rFonts w:ascii="Calibri" w:cs="Calibri" w:eastAsia="Calibri" w:hAnsi="Calibri"/>
                <w:sz w:val="24"/>
                <w:szCs w:val="24"/>
                <w:b w:val="1"/>
                <w:bCs w:val="1"/>
                <w:color w:val="FFFFFF"/>
                <w:vertAlign w:val="superscript"/>
              </w:rPr>
              <w:t>(2)</w:t>
            </w:r>
          </w:p>
        </w:tc>
        <w:tc>
          <w:tcPr>
            <w:tcW w:w="0" w:type="dxa"/>
            <w:vAlign w:val="bottom"/>
          </w:tcPr>
          <w:p>
            <w:pPr>
              <w:spacing w:after="0"/>
              <w:rPr>
                <w:sz w:val="1"/>
                <w:szCs w:val="1"/>
                <w:color w:val="auto"/>
              </w:rPr>
            </w:pPr>
          </w:p>
        </w:tc>
      </w:tr>
      <w:tr>
        <w:trPr>
          <w:trHeight w:val="326"/>
        </w:trPr>
        <w:tc>
          <w:tcPr>
            <w:tcW w:w="2280" w:type="dxa"/>
            <w:vAlign w:val="bottom"/>
            <w:tcBorders>
              <w:left w:val="single" w:sz="8" w:color="C9CAC8"/>
              <w:bottom w:val="single" w:sz="8" w:color="255985"/>
              <w:right w:val="single" w:sz="8" w:color="C9CAC8"/>
            </w:tcBorders>
            <w:shd w:val="clear" w:color="auto" w:fill="255985"/>
          </w:tcPr>
          <w:p>
            <w:pPr>
              <w:ind w:left="160"/>
              <w:spacing w:after="0" w:line="215" w:lineRule="exact"/>
              <w:rPr>
                <w:sz w:val="20"/>
                <w:szCs w:val="20"/>
                <w:color w:val="auto"/>
              </w:rPr>
            </w:pPr>
            <w:r>
              <w:rPr>
                <w:rFonts w:ascii="Calibri" w:cs="Calibri" w:eastAsia="Calibri" w:hAnsi="Calibri"/>
                <w:sz w:val="18"/>
                <w:szCs w:val="18"/>
                <w:b w:val="1"/>
                <w:bCs w:val="1"/>
                <w:color w:val="FFFFFF"/>
              </w:rPr>
              <w:t>Level of Performance</w:t>
            </w:r>
          </w:p>
        </w:tc>
        <w:tc>
          <w:tcPr>
            <w:tcW w:w="2680" w:type="dxa"/>
            <w:vAlign w:val="bottom"/>
            <w:tcBorders>
              <w:bottom w:val="single" w:sz="8" w:color="255985"/>
              <w:right w:val="single" w:sz="8" w:color="C9CAC8"/>
            </w:tcBorders>
            <w:shd w:val="clear" w:color="auto" w:fill="255985"/>
          </w:tcPr>
          <w:p>
            <w:pPr>
              <w:jc w:val="center"/>
              <w:spacing w:after="0" w:line="215" w:lineRule="exact"/>
              <w:rPr>
                <w:sz w:val="20"/>
                <w:szCs w:val="20"/>
                <w:color w:val="auto"/>
              </w:rPr>
            </w:pPr>
            <w:r>
              <w:rPr>
                <w:rFonts w:ascii="Calibri" w:cs="Calibri" w:eastAsia="Calibri" w:hAnsi="Calibri"/>
                <w:sz w:val="18"/>
                <w:szCs w:val="18"/>
                <w:b w:val="1"/>
                <w:bCs w:val="1"/>
                <w:color w:val="FFFFFF"/>
                <w:w w:val="98"/>
              </w:rPr>
              <w:t>FY 2024 and FY 2025</w:t>
            </w:r>
          </w:p>
        </w:tc>
        <w:tc>
          <w:tcPr>
            <w:tcW w:w="2460" w:type="dxa"/>
            <w:vAlign w:val="bottom"/>
            <w:tcBorders>
              <w:bottom w:val="single" w:sz="8" w:color="255985"/>
              <w:right w:val="single" w:sz="8" w:color="C9CAC8"/>
            </w:tcBorders>
            <w:vMerge w:val="continue"/>
            <w:shd w:val="clear" w:color="auto" w:fill="255985"/>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280" w:type="dxa"/>
            <w:vAlign w:val="bottom"/>
            <w:tcBorders>
              <w:top w:val="single" w:sz="8" w:color="C9CAC8"/>
              <w:left w:val="single" w:sz="8" w:color="C9CAC8"/>
              <w:right w:val="single" w:sz="8" w:color="C9CAC8"/>
            </w:tcBorders>
          </w:tcPr>
          <w:p>
            <w:pPr>
              <w:ind w:left="160"/>
              <w:spacing w:after="0"/>
              <w:rPr>
                <w:sz w:val="20"/>
                <w:szCs w:val="20"/>
                <w:color w:val="auto"/>
              </w:rPr>
            </w:pPr>
            <w:r>
              <w:rPr>
                <w:rFonts w:ascii="Calibri" w:cs="Calibri" w:eastAsia="Calibri" w:hAnsi="Calibri"/>
                <w:sz w:val="18"/>
                <w:szCs w:val="18"/>
                <w:color w:val="auto"/>
              </w:rPr>
              <w:t>Threshold</w:t>
            </w:r>
          </w:p>
        </w:tc>
        <w:tc>
          <w:tcPr>
            <w:tcW w:w="2680" w:type="dxa"/>
            <w:vAlign w:val="bottom"/>
            <w:tcBorders>
              <w:top w:val="single" w:sz="8" w:color="C9CAC8"/>
              <w:right w:val="single" w:sz="8" w:color="C9CAC8"/>
            </w:tcBorders>
          </w:tcPr>
          <w:p>
            <w:pPr>
              <w:jc w:val="center"/>
              <w:spacing w:after="0"/>
              <w:rPr>
                <w:sz w:val="20"/>
                <w:szCs w:val="20"/>
                <w:color w:val="auto"/>
              </w:rPr>
            </w:pPr>
            <w:r>
              <w:rPr>
                <w:rFonts w:ascii="Calibri" w:cs="Calibri" w:eastAsia="Calibri" w:hAnsi="Calibri"/>
                <w:sz w:val="18"/>
                <w:szCs w:val="18"/>
                <w:color w:val="auto"/>
                <w:w w:val="97"/>
              </w:rPr>
              <w:t>$[***]</w:t>
            </w:r>
          </w:p>
        </w:tc>
        <w:tc>
          <w:tcPr>
            <w:tcW w:w="2460" w:type="dxa"/>
            <w:vAlign w:val="bottom"/>
            <w:tcBorders>
              <w:top w:val="single" w:sz="8" w:color="C9CAC8"/>
              <w:right w:val="single" w:sz="8" w:color="C9CAC8"/>
            </w:tcBorders>
          </w:tcPr>
          <w:p>
            <w:pPr>
              <w:jc w:val="center"/>
              <w:spacing w:after="0"/>
              <w:rPr>
                <w:sz w:val="20"/>
                <w:szCs w:val="20"/>
                <w:color w:val="auto"/>
              </w:rPr>
            </w:pPr>
            <w:r>
              <w:rPr>
                <w:rFonts w:ascii="Calibri" w:cs="Calibri" w:eastAsia="Calibri" w:hAnsi="Calibri"/>
                <w:sz w:val="18"/>
                <w:szCs w:val="18"/>
                <w:color w:val="auto"/>
              </w:rPr>
              <w:t>50%</w:t>
            </w:r>
          </w:p>
        </w:tc>
        <w:tc>
          <w:tcPr>
            <w:tcW w:w="0" w:type="dxa"/>
            <w:vAlign w:val="bottom"/>
          </w:tcPr>
          <w:p>
            <w:pPr>
              <w:spacing w:after="0"/>
              <w:rPr>
                <w:sz w:val="1"/>
                <w:szCs w:val="1"/>
                <w:color w:val="auto"/>
              </w:rPr>
            </w:pPr>
          </w:p>
        </w:tc>
      </w:tr>
      <w:tr>
        <w:trPr>
          <w:trHeight w:val="78"/>
        </w:trPr>
        <w:tc>
          <w:tcPr>
            <w:tcW w:w="2280" w:type="dxa"/>
            <w:vAlign w:val="bottom"/>
            <w:tcBorders>
              <w:left w:val="single" w:sz="8" w:color="C9CAC8"/>
              <w:bottom w:val="single" w:sz="8" w:color="C9CAC8"/>
              <w:right w:val="single" w:sz="8" w:color="C9CAC8"/>
            </w:tcBorders>
          </w:tcPr>
          <w:p>
            <w:pPr>
              <w:spacing w:after="0"/>
              <w:rPr>
                <w:sz w:val="6"/>
                <w:szCs w:val="6"/>
                <w:color w:val="auto"/>
              </w:rPr>
            </w:pPr>
          </w:p>
        </w:tc>
        <w:tc>
          <w:tcPr>
            <w:tcW w:w="2680" w:type="dxa"/>
            <w:vAlign w:val="bottom"/>
            <w:tcBorders>
              <w:bottom w:val="single" w:sz="8" w:color="C9CAC8"/>
              <w:right w:val="single" w:sz="8" w:color="C9CAC8"/>
            </w:tcBorders>
          </w:tcPr>
          <w:p>
            <w:pPr>
              <w:spacing w:after="0"/>
              <w:rPr>
                <w:sz w:val="6"/>
                <w:szCs w:val="6"/>
                <w:color w:val="auto"/>
              </w:rPr>
            </w:pPr>
          </w:p>
        </w:tc>
        <w:tc>
          <w:tcPr>
            <w:tcW w:w="2460" w:type="dxa"/>
            <w:vAlign w:val="bottom"/>
            <w:tcBorders>
              <w:bottom w:val="single" w:sz="8" w:color="C9CAC8"/>
              <w:right w:val="single" w:sz="8" w:color="C9CAC8"/>
            </w:tcBorders>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2280" w:type="dxa"/>
            <w:vAlign w:val="bottom"/>
            <w:tcBorders>
              <w:left w:val="single" w:sz="8" w:color="C9CAC8"/>
              <w:right w:val="single" w:sz="8" w:color="C9CAC8"/>
            </w:tcBorders>
          </w:tcPr>
          <w:p>
            <w:pPr>
              <w:ind w:left="160"/>
              <w:spacing w:after="0"/>
              <w:rPr>
                <w:sz w:val="20"/>
                <w:szCs w:val="20"/>
                <w:color w:val="auto"/>
              </w:rPr>
            </w:pPr>
            <w:r>
              <w:rPr>
                <w:rFonts w:ascii="Calibri" w:cs="Calibri" w:eastAsia="Calibri" w:hAnsi="Calibri"/>
                <w:sz w:val="18"/>
                <w:szCs w:val="18"/>
                <w:color w:val="auto"/>
              </w:rPr>
              <w:t>Target</w:t>
            </w:r>
          </w:p>
        </w:tc>
        <w:tc>
          <w:tcPr>
            <w:tcW w:w="2680" w:type="dxa"/>
            <w:vAlign w:val="bottom"/>
            <w:tcBorders>
              <w:right w:val="single" w:sz="8" w:color="C9CAC8"/>
            </w:tcBorders>
          </w:tcPr>
          <w:p>
            <w:pPr>
              <w:jc w:val="center"/>
              <w:spacing w:after="0"/>
              <w:rPr>
                <w:sz w:val="20"/>
                <w:szCs w:val="20"/>
                <w:color w:val="auto"/>
              </w:rPr>
            </w:pPr>
            <w:r>
              <w:rPr>
                <w:rFonts w:ascii="Calibri" w:cs="Calibri" w:eastAsia="Calibri" w:hAnsi="Calibri"/>
                <w:sz w:val="18"/>
                <w:szCs w:val="18"/>
                <w:color w:val="auto"/>
                <w:w w:val="97"/>
              </w:rPr>
              <w:t>$[***]</w:t>
            </w:r>
          </w:p>
        </w:tc>
        <w:tc>
          <w:tcPr>
            <w:tcW w:w="2460" w:type="dxa"/>
            <w:vAlign w:val="bottom"/>
            <w:tcBorders>
              <w:right w:val="single" w:sz="8" w:color="C9CAC8"/>
            </w:tcBorders>
          </w:tcPr>
          <w:p>
            <w:pPr>
              <w:jc w:val="center"/>
              <w:spacing w:after="0"/>
              <w:rPr>
                <w:sz w:val="20"/>
                <w:szCs w:val="20"/>
                <w:color w:val="auto"/>
              </w:rPr>
            </w:pPr>
            <w:r>
              <w:rPr>
                <w:rFonts w:ascii="Calibri" w:cs="Calibri" w:eastAsia="Calibri" w:hAnsi="Calibri"/>
                <w:sz w:val="18"/>
                <w:szCs w:val="18"/>
                <w:color w:val="auto"/>
                <w:w w:val="99"/>
              </w:rPr>
              <w:t>100%</w:t>
            </w:r>
          </w:p>
        </w:tc>
        <w:tc>
          <w:tcPr>
            <w:tcW w:w="0" w:type="dxa"/>
            <w:vAlign w:val="bottom"/>
          </w:tcPr>
          <w:p>
            <w:pPr>
              <w:spacing w:after="0"/>
              <w:rPr>
                <w:sz w:val="1"/>
                <w:szCs w:val="1"/>
                <w:color w:val="auto"/>
              </w:rPr>
            </w:pPr>
          </w:p>
        </w:tc>
      </w:tr>
      <w:tr>
        <w:trPr>
          <w:trHeight w:val="78"/>
        </w:trPr>
        <w:tc>
          <w:tcPr>
            <w:tcW w:w="2280" w:type="dxa"/>
            <w:vAlign w:val="bottom"/>
            <w:tcBorders>
              <w:left w:val="single" w:sz="8" w:color="C9CAC8"/>
              <w:bottom w:val="single" w:sz="8" w:color="C9CAC8"/>
              <w:right w:val="single" w:sz="8" w:color="C9CAC8"/>
            </w:tcBorders>
          </w:tcPr>
          <w:p>
            <w:pPr>
              <w:spacing w:after="0"/>
              <w:rPr>
                <w:sz w:val="6"/>
                <w:szCs w:val="6"/>
                <w:color w:val="auto"/>
              </w:rPr>
            </w:pPr>
          </w:p>
        </w:tc>
        <w:tc>
          <w:tcPr>
            <w:tcW w:w="2680" w:type="dxa"/>
            <w:vAlign w:val="bottom"/>
            <w:tcBorders>
              <w:bottom w:val="single" w:sz="8" w:color="C9CAC8"/>
              <w:right w:val="single" w:sz="8" w:color="C9CAC8"/>
            </w:tcBorders>
          </w:tcPr>
          <w:p>
            <w:pPr>
              <w:spacing w:after="0"/>
              <w:rPr>
                <w:sz w:val="6"/>
                <w:szCs w:val="6"/>
                <w:color w:val="auto"/>
              </w:rPr>
            </w:pPr>
          </w:p>
        </w:tc>
        <w:tc>
          <w:tcPr>
            <w:tcW w:w="2460" w:type="dxa"/>
            <w:vAlign w:val="bottom"/>
            <w:tcBorders>
              <w:bottom w:val="single" w:sz="8" w:color="C9CAC8"/>
              <w:right w:val="single" w:sz="8" w:color="C9CAC8"/>
            </w:tcBorders>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2280" w:type="dxa"/>
            <w:vAlign w:val="bottom"/>
            <w:tcBorders>
              <w:left w:val="single" w:sz="8" w:color="C9CAC8"/>
              <w:right w:val="single" w:sz="8" w:color="C9CAC8"/>
            </w:tcBorders>
          </w:tcPr>
          <w:p>
            <w:pPr>
              <w:ind w:left="160"/>
              <w:spacing w:after="0"/>
              <w:rPr>
                <w:sz w:val="20"/>
                <w:szCs w:val="20"/>
                <w:color w:val="auto"/>
              </w:rPr>
            </w:pPr>
            <w:r>
              <w:rPr>
                <w:rFonts w:ascii="Calibri" w:cs="Calibri" w:eastAsia="Calibri" w:hAnsi="Calibri"/>
                <w:sz w:val="18"/>
                <w:szCs w:val="18"/>
                <w:color w:val="auto"/>
              </w:rPr>
              <w:t>Maximum</w:t>
            </w:r>
          </w:p>
        </w:tc>
        <w:tc>
          <w:tcPr>
            <w:tcW w:w="2680" w:type="dxa"/>
            <w:vAlign w:val="bottom"/>
            <w:tcBorders>
              <w:right w:val="single" w:sz="8" w:color="C9CAC8"/>
            </w:tcBorders>
          </w:tcPr>
          <w:p>
            <w:pPr>
              <w:jc w:val="center"/>
              <w:spacing w:after="0"/>
              <w:rPr>
                <w:sz w:val="20"/>
                <w:szCs w:val="20"/>
                <w:color w:val="auto"/>
              </w:rPr>
            </w:pPr>
            <w:r>
              <w:rPr>
                <w:rFonts w:ascii="Calibri" w:cs="Calibri" w:eastAsia="Calibri" w:hAnsi="Calibri"/>
                <w:sz w:val="18"/>
                <w:szCs w:val="18"/>
                <w:color w:val="auto"/>
                <w:w w:val="97"/>
              </w:rPr>
              <w:t>$[***]</w:t>
            </w:r>
          </w:p>
        </w:tc>
        <w:tc>
          <w:tcPr>
            <w:tcW w:w="2460" w:type="dxa"/>
            <w:vAlign w:val="bottom"/>
            <w:tcBorders>
              <w:right w:val="single" w:sz="8" w:color="C9CAC8"/>
            </w:tcBorders>
          </w:tcPr>
          <w:p>
            <w:pPr>
              <w:jc w:val="center"/>
              <w:spacing w:after="0"/>
              <w:rPr>
                <w:sz w:val="20"/>
                <w:szCs w:val="20"/>
                <w:color w:val="auto"/>
              </w:rPr>
            </w:pPr>
            <w:r>
              <w:rPr>
                <w:rFonts w:ascii="Calibri" w:cs="Calibri" w:eastAsia="Calibri" w:hAnsi="Calibri"/>
                <w:sz w:val="18"/>
                <w:szCs w:val="18"/>
                <w:color w:val="auto"/>
                <w:w w:val="99"/>
              </w:rPr>
              <w:t>200%</w:t>
            </w:r>
          </w:p>
        </w:tc>
        <w:tc>
          <w:tcPr>
            <w:tcW w:w="0" w:type="dxa"/>
            <w:vAlign w:val="bottom"/>
          </w:tcPr>
          <w:p>
            <w:pPr>
              <w:spacing w:after="0"/>
              <w:rPr>
                <w:sz w:val="1"/>
                <w:szCs w:val="1"/>
                <w:color w:val="auto"/>
              </w:rPr>
            </w:pPr>
          </w:p>
        </w:tc>
      </w:tr>
      <w:tr>
        <w:trPr>
          <w:trHeight w:val="78"/>
        </w:trPr>
        <w:tc>
          <w:tcPr>
            <w:tcW w:w="2280" w:type="dxa"/>
            <w:vAlign w:val="bottom"/>
            <w:tcBorders>
              <w:left w:val="single" w:sz="8" w:color="C9CAC8"/>
              <w:bottom w:val="single" w:sz="8" w:color="C9CAC8"/>
              <w:right w:val="single" w:sz="8" w:color="C9CAC8"/>
            </w:tcBorders>
          </w:tcPr>
          <w:p>
            <w:pPr>
              <w:spacing w:after="0"/>
              <w:rPr>
                <w:sz w:val="6"/>
                <w:szCs w:val="6"/>
                <w:color w:val="auto"/>
              </w:rPr>
            </w:pPr>
          </w:p>
        </w:tc>
        <w:tc>
          <w:tcPr>
            <w:tcW w:w="2680" w:type="dxa"/>
            <w:vAlign w:val="bottom"/>
            <w:tcBorders>
              <w:bottom w:val="single" w:sz="8" w:color="C9CAC8"/>
              <w:right w:val="single" w:sz="8" w:color="C9CAC8"/>
            </w:tcBorders>
          </w:tcPr>
          <w:p>
            <w:pPr>
              <w:spacing w:after="0"/>
              <w:rPr>
                <w:sz w:val="6"/>
                <w:szCs w:val="6"/>
                <w:color w:val="auto"/>
              </w:rPr>
            </w:pPr>
          </w:p>
        </w:tc>
        <w:tc>
          <w:tcPr>
            <w:tcW w:w="2460" w:type="dxa"/>
            <w:vAlign w:val="bottom"/>
            <w:tcBorders>
              <w:bottom w:val="single" w:sz="8" w:color="C9CAC8"/>
              <w:right w:val="single" w:sz="8" w:color="C9CAC8"/>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20" w:hanging="312"/>
        <w:spacing w:after="0"/>
        <w:tabs>
          <w:tab w:leader="none" w:pos="320" w:val="left"/>
        </w:tabs>
        <w:numPr>
          <w:ilvl w:val="0"/>
          <w:numId w:val="154"/>
        </w:numPr>
        <w:rPr>
          <w:rFonts w:ascii="Calibri" w:cs="Calibri" w:eastAsia="Calibri" w:hAnsi="Calibri"/>
          <w:sz w:val="18"/>
          <w:szCs w:val="18"/>
          <w:color w:val="auto"/>
        </w:rPr>
      </w:pPr>
      <w:r>
        <w:rPr>
          <w:rFonts w:ascii="Calibri" w:cs="Calibri" w:eastAsia="Calibri" w:hAnsi="Calibri"/>
          <w:sz w:val="18"/>
          <w:szCs w:val="18"/>
          <w:color w:val="auto"/>
        </w:rPr>
        <w:t>Company required to achieve the threshold target [***].</w:t>
      </w:r>
    </w:p>
    <w:p>
      <w:pPr>
        <w:spacing w:after="0" w:line="109" w:lineRule="exact"/>
        <w:rPr>
          <w:rFonts w:ascii="Calibri" w:cs="Calibri" w:eastAsia="Calibri" w:hAnsi="Calibri"/>
          <w:sz w:val="18"/>
          <w:szCs w:val="18"/>
          <w:color w:val="auto"/>
        </w:rPr>
      </w:pPr>
    </w:p>
    <w:p>
      <w:pPr>
        <w:ind w:left="380" w:right="100" w:hanging="372"/>
        <w:spacing w:after="0" w:line="235" w:lineRule="auto"/>
        <w:tabs>
          <w:tab w:leader="none" w:pos="323" w:val="left"/>
        </w:tabs>
        <w:numPr>
          <w:ilvl w:val="0"/>
          <w:numId w:val="154"/>
        </w:numPr>
        <w:rPr>
          <w:rFonts w:ascii="Calibri" w:cs="Calibri" w:eastAsia="Calibri" w:hAnsi="Calibri"/>
          <w:sz w:val="18"/>
          <w:szCs w:val="18"/>
          <w:color w:val="auto"/>
        </w:rPr>
      </w:pPr>
      <w:r>
        <w:rPr>
          <w:rFonts w:ascii="Calibri" w:cs="Calibri" w:eastAsia="Calibri" w:hAnsi="Calibri"/>
          <w:sz w:val="18"/>
          <w:szCs w:val="18"/>
          <w:color w:val="auto"/>
        </w:rPr>
        <w:t>For performance between threshold and target and between target and maximum, the percentage of the Revenue PSUs that become Earned Revenue PSUs will be determined on a straight-line interpolated basis.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Appendix A to Performance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8" w:right="419" w:bottom="1440" w:gutter="0" w:footer="0" w:header="0"/>
        </w:sectPr>
      </w:pPr>
    </w:p>
    <w:bookmarkStart w:id="178" w:name="page179"/>
    <w:bookmarkEnd w:id="178"/>
    <w:p>
      <w:pPr>
        <w:jc w:val="center"/>
        <w:ind w:right="-159"/>
        <w:spacing w:after="0"/>
        <w:rPr>
          <w:sz w:val="20"/>
          <w:szCs w:val="20"/>
          <w:color w:val="auto"/>
        </w:rPr>
      </w:pPr>
      <w:r>
        <w:rPr>
          <w:rFonts w:ascii="Calibri" w:cs="Calibri" w:eastAsia="Calibri" w:hAnsi="Calibri"/>
          <w:sz w:val="18"/>
          <w:szCs w:val="18"/>
          <w:b w:val="1"/>
          <w:bCs w:val="1"/>
          <w:u w:val="single" w:color="auto"/>
          <w:color w:val="auto"/>
        </w:rPr>
        <w:t>APPENDIX B</w:t>
      </w:r>
    </w:p>
    <w:p>
      <w:pPr>
        <w:spacing w:after="0" w:line="217" w:lineRule="exact"/>
        <w:rPr>
          <w:sz w:val="20"/>
          <w:szCs w:val="20"/>
          <w:color w:val="auto"/>
        </w:rPr>
      </w:pPr>
    </w:p>
    <w:p>
      <w:pPr>
        <w:jc w:val="both"/>
        <w:ind w:right="200"/>
        <w:spacing w:after="0" w:line="235" w:lineRule="auto"/>
        <w:rPr>
          <w:sz w:val="20"/>
          <w:szCs w:val="20"/>
          <w:color w:val="auto"/>
        </w:rPr>
      </w:pPr>
      <w:r>
        <w:rPr>
          <w:rFonts w:ascii="Calibri" w:cs="Calibri" w:eastAsia="Calibri" w:hAnsi="Calibri"/>
          <w:sz w:val="18"/>
          <w:szCs w:val="18"/>
          <w:color w:val="auto"/>
        </w:rPr>
        <w:t>The performance metric applicable to the TSR PSUs shall be the Company’s Total Stockholder Return (as defned below) relatve to the Total Stockholder Return of the companies in the NASDAQ Biotechnology Index (NBI) (the “</w:t>
      </w:r>
      <w:r>
        <w:rPr>
          <w:rFonts w:ascii="Calibri" w:cs="Calibri" w:eastAsia="Calibri" w:hAnsi="Calibri"/>
          <w:sz w:val="18"/>
          <w:szCs w:val="18"/>
          <w:u w:val="single" w:color="auto"/>
          <w:color w:val="auto"/>
        </w:rPr>
        <w:t>Peer Group</w:t>
      </w:r>
      <w:r>
        <w:rPr>
          <w:rFonts w:ascii="Calibri" w:cs="Calibri" w:eastAsia="Calibri" w:hAnsi="Calibri"/>
          <w:sz w:val="18"/>
          <w:szCs w:val="18"/>
          <w:color w:val="auto"/>
        </w:rPr>
        <w:t>”), with the number of Earned TSR PSUs equal to the number of TSR PSUs subject to the Award multplied by the applicable percentage set forth in the following table:</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379"/>
        </w:trPr>
        <w:tc>
          <w:tcPr>
            <w:tcW w:w="2280" w:type="dxa"/>
            <w:vAlign w:val="bottom"/>
            <w:tcBorders>
              <w:top w:val="single" w:sz="8" w:color="C9CAC8"/>
              <w:left w:val="single" w:sz="8" w:color="C9CAC8"/>
              <w:bottom w:val="single" w:sz="8" w:color="255985"/>
              <w:right w:val="single" w:sz="8" w:color="C9CAC8"/>
            </w:tcBorders>
            <w:shd w:val="clear" w:color="auto" w:fill="255985"/>
          </w:tcPr>
          <w:p>
            <w:pPr>
              <w:ind w:left="160"/>
              <w:spacing w:after="0"/>
              <w:rPr>
                <w:sz w:val="20"/>
                <w:szCs w:val="20"/>
                <w:color w:val="auto"/>
              </w:rPr>
            </w:pPr>
            <w:r>
              <w:rPr>
                <w:rFonts w:ascii="Calibri" w:cs="Calibri" w:eastAsia="Calibri" w:hAnsi="Calibri"/>
                <w:sz w:val="18"/>
                <w:szCs w:val="18"/>
                <w:b w:val="1"/>
                <w:bCs w:val="1"/>
                <w:color w:val="FFFFFF"/>
              </w:rPr>
              <w:t>Level of Performance</w:t>
            </w:r>
          </w:p>
        </w:tc>
        <w:tc>
          <w:tcPr>
            <w:tcW w:w="2680" w:type="dxa"/>
            <w:vAlign w:val="bottom"/>
            <w:tcBorders>
              <w:top w:val="single" w:sz="8" w:color="255985"/>
              <w:bottom w:val="single" w:sz="8" w:color="255985"/>
              <w:right w:val="single" w:sz="8" w:color="C9CAC8"/>
            </w:tcBorders>
            <w:shd w:val="clear" w:color="auto" w:fill="255985"/>
          </w:tcPr>
          <w:p>
            <w:pPr>
              <w:jc w:val="center"/>
              <w:spacing w:after="0"/>
              <w:rPr>
                <w:sz w:val="20"/>
                <w:szCs w:val="20"/>
                <w:color w:val="auto"/>
              </w:rPr>
            </w:pPr>
            <w:r>
              <w:rPr>
                <w:rFonts w:ascii="Calibri" w:cs="Calibri" w:eastAsia="Calibri" w:hAnsi="Calibri"/>
                <w:sz w:val="18"/>
                <w:szCs w:val="18"/>
                <w:b w:val="1"/>
                <w:bCs w:val="1"/>
                <w:color w:val="FFFFFF"/>
                <w:w w:val="97"/>
              </w:rPr>
              <w:t>TSR Percentle</w:t>
            </w:r>
            <w:r>
              <w:rPr>
                <w:rFonts w:ascii="Calibri" w:cs="Calibri" w:eastAsia="Calibri" w:hAnsi="Calibri"/>
                <w:sz w:val="24"/>
                <w:szCs w:val="24"/>
                <w:b w:val="1"/>
                <w:bCs w:val="1"/>
                <w:color w:val="FFFFFF"/>
                <w:w w:val="97"/>
                <w:vertAlign w:val="superscript"/>
              </w:rPr>
              <w:t>(1)</w:t>
            </w:r>
          </w:p>
        </w:tc>
        <w:tc>
          <w:tcPr>
            <w:tcW w:w="2460" w:type="dxa"/>
            <w:vAlign w:val="bottom"/>
            <w:tcBorders>
              <w:top w:val="single" w:sz="8" w:color="255985"/>
              <w:bottom w:val="single" w:sz="8" w:color="255985"/>
              <w:right w:val="single" w:sz="8" w:color="C9CAC8"/>
            </w:tcBorders>
            <w:shd w:val="clear" w:color="auto" w:fill="255985"/>
          </w:tcPr>
          <w:p>
            <w:pPr>
              <w:ind w:left="540"/>
              <w:spacing w:after="0"/>
              <w:rPr>
                <w:sz w:val="20"/>
                <w:szCs w:val="20"/>
                <w:color w:val="auto"/>
              </w:rPr>
            </w:pPr>
            <w:r>
              <w:rPr>
                <w:rFonts w:ascii="Calibri" w:cs="Calibri" w:eastAsia="Calibri" w:hAnsi="Calibri"/>
                <w:sz w:val="18"/>
                <w:szCs w:val="18"/>
                <w:b w:val="1"/>
                <w:bCs w:val="1"/>
                <w:color w:val="FFFFFF"/>
              </w:rPr>
              <w:t>Earned TSR PSUs</w:t>
            </w:r>
            <w:r>
              <w:rPr>
                <w:rFonts w:ascii="Calibri" w:cs="Calibri" w:eastAsia="Calibri" w:hAnsi="Calibri"/>
                <w:sz w:val="24"/>
                <w:szCs w:val="24"/>
                <w:b w:val="1"/>
                <w:bCs w:val="1"/>
                <w:color w:val="FFFFFF"/>
                <w:vertAlign w:val="superscript"/>
              </w:rPr>
              <w:t>(2)</w:t>
            </w:r>
          </w:p>
        </w:tc>
      </w:tr>
      <w:tr>
        <w:trPr>
          <w:trHeight w:val="261"/>
        </w:trPr>
        <w:tc>
          <w:tcPr>
            <w:tcW w:w="2280" w:type="dxa"/>
            <w:vAlign w:val="bottom"/>
            <w:tcBorders>
              <w:top w:val="single" w:sz="8" w:color="C9CAC8"/>
              <w:left w:val="single" w:sz="8" w:color="C9CAC8"/>
              <w:right w:val="single" w:sz="8" w:color="C9CAC8"/>
            </w:tcBorders>
          </w:tcPr>
          <w:p>
            <w:pPr>
              <w:ind w:left="160"/>
              <w:spacing w:after="0"/>
              <w:rPr>
                <w:sz w:val="20"/>
                <w:szCs w:val="20"/>
                <w:color w:val="auto"/>
              </w:rPr>
            </w:pPr>
            <w:r>
              <w:rPr>
                <w:rFonts w:ascii="Calibri" w:cs="Calibri" w:eastAsia="Calibri" w:hAnsi="Calibri"/>
                <w:sz w:val="18"/>
                <w:szCs w:val="18"/>
                <w:color w:val="auto"/>
              </w:rPr>
              <w:t>Threshold</w:t>
            </w:r>
          </w:p>
        </w:tc>
        <w:tc>
          <w:tcPr>
            <w:tcW w:w="2680" w:type="dxa"/>
            <w:vAlign w:val="bottom"/>
            <w:tcBorders>
              <w:top w:val="single" w:sz="8" w:color="C9CAC8"/>
              <w:right w:val="single" w:sz="8" w:color="C9CAC8"/>
            </w:tcBorders>
          </w:tcPr>
          <w:p>
            <w:pPr>
              <w:jc w:val="center"/>
              <w:spacing w:after="0" w:line="261" w:lineRule="exact"/>
              <w:rPr>
                <w:sz w:val="20"/>
                <w:szCs w:val="20"/>
                <w:color w:val="auto"/>
              </w:rPr>
            </w:pPr>
            <w:r>
              <w:rPr>
                <w:rFonts w:ascii="Calibri" w:cs="Calibri" w:eastAsia="Calibri" w:hAnsi="Calibri"/>
                <w:sz w:val="18"/>
                <w:szCs w:val="18"/>
                <w:color w:val="auto"/>
                <w:w w:val="87"/>
              </w:rPr>
              <w:t>25</w:t>
            </w:r>
            <w:r>
              <w:rPr>
                <w:rFonts w:ascii="Calibri" w:cs="Calibri" w:eastAsia="Calibri" w:hAnsi="Calibri"/>
                <w:sz w:val="24"/>
                <w:szCs w:val="24"/>
                <w:color w:val="auto"/>
                <w:w w:val="87"/>
                <w:vertAlign w:val="superscript"/>
              </w:rPr>
              <w:t>th</w:t>
            </w:r>
          </w:p>
        </w:tc>
        <w:tc>
          <w:tcPr>
            <w:tcW w:w="2460" w:type="dxa"/>
            <w:vAlign w:val="bottom"/>
            <w:tcBorders>
              <w:top w:val="single" w:sz="8" w:color="C9CAC8"/>
              <w:right w:val="single" w:sz="8" w:color="C9CAC8"/>
            </w:tcBorders>
          </w:tcPr>
          <w:p>
            <w:pPr>
              <w:jc w:val="center"/>
              <w:spacing w:after="0"/>
              <w:rPr>
                <w:sz w:val="20"/>
                <w:szCs w:val="20"/>
                <w:color w:val="auto"/>
              </w:rPr>
            </w:pPr>
            <w:r>
              <w:rPr>
                <w:rFonts w:ascii="Calibri" w:cs="Calibri" w:eastAsia="Calibri" w:hAnsi="Calibri"/>
                <w:sz w:val="18"/>
                <w:szCs w:val="18"/>
                <w:color w:val="auto"/>
              </w:rPr>
              <w:t>25%</w:t>
            </w:r>
          </w:p>
        </w:tc>
      </w:tr>
      <w:tr>
        <w:trPr>
          <w:trHeight w:val="37"/>
        </w:trPr>
        <w:tc>
          <w:tcPr>
            <w:tcW w:w="2280" w:type="dxa"/>
            <w:vAlign w:val="bottom"/>
            <w:tcBorders>
              <w:left w:val="single" w:sz="8" w:color="C9CAC8"/>
              <w:bottom w:val="single" w:sz="8" w:color="C9CAC8"/>
              <w:right w:val="single" w:sz="8" w:color="C9CAC8"/>
            </w:tcBorders>
          </w:tcPr>
          <w:p>
            <w:pPr>
              <w:spacing w:after="0"/>
              <w:rPr>
                <w:sz w:val="3"/>
                <w:szCs w:val="3"/>
                <w:color w:val="auto"/>
              </w:rPr>
            </w:pPr>
          </w:p>
        </w:tc>
        <w:tc>
          <w:tcPr>
            <w:tcW w:w="2680" w:type="dxa"/>
            <w:vAlign w:val="bottom"/>
            <w:tcBorders>
              <w:bottom w:val="single" w:sz="8" w:color="C9CAC8"/>
              <w:right w:val="single" w:sz="8" w:color="C9CAC8"/>
            </w:tcBorders>
          </w:tcPr>
          <w:p>
            <w:pPr>
              <w:spacing w:after="0"/>
              <w:rPr>
                <w:sz w:val="3"/>
                <w:szCs w:val="3"/>
                <w:color w:val="auto"/>
              </w:rPr>
            </w:pPr>
          </w:p>
        </w:tc>
        <w:tc>
          <w:tcPr>
            <w:tcW w:w="2460" w:type="dxa"/>
            <w:vAlign w:val="bottom"/>
            <w:tcBorders>
              <w:bottom w:val="single" w:sz="8" w:color="C9CAC8"/>
              <w:right w:val="single" w:sz="8" w:color="C9CAC8"/>
            </w:tcBorders>
          </w:tcPr>
          <w:p>
            <w:pPr>
              <w:spacing w:after="0"/>
              <w:rPr>
                <w:sz w:val="3"/>
                <w:szCs w:val="3"/>
                <w:color w:val="auto"/>
              </w:rPr>
            </w:pPr>
          </w:p>
        </w:tc>
      </w:tr>
      <w:tr>
        <w:trPr>
          <w:trHeight w:val="281"/>
        </w:trPr>
        <w:tc>
          <w:tcPr>
            <w:tcW w:w="2280" w:type="dxa"/>
            <w:vAlign w:val="bottom"/>
            <w:tcBorders>
              <w:left w:val="single" w:sz="8" w:color="C9CAC8"/>
              <w:right w:val="single" w:sz="8" w:color="C9CAC8"/>
            </w:tcBorders>
          </w:tcPr>
          <w:p>
            <w:pPr>
              <w:ind w:left="160"/>
              <w:spacing w:after="0"/>
              <w:rPr>
                <w:sz w:val="20"/>
                <w:szCs w:val="20"/>
                <w:color w:val="auto"/>
              </w:rPr>
            </w:pPr>
            <w:r>
              <w:rPr>
                <w:rFonts w:ascii="Calibri" w:cs="Calibri" w:eastAsia="Calibri" w:hAnsi="Calibri"/>
                <w:sz w:val="18"/>
                <w:szCs w:val="18"/>
                <w:color w:val="auto"/>
              </w:rPr>
              <w:t>Target</w:t>
            </w:r>
          </w:p>
        </w:tc>
        <w:tc>
          <w:tcPr>
            <w:tcW w:w="2680" w:type="dxa"/>
            <w:vAlign w:val="bottom"/>
            <w:tcBorders>
              <w:right w:val="single" w:sz="8" w:color="C9CAC8"/>
            </w:tcBorders>
          </w:tcPr>
          <w:p>
            <w:pPr>
              <w:jc w:val="center"/>
              <w:spacing w:after="0" w:line="280" w:lineRule="exact"/>
              <w:rPr>
                <w:sz w:val="20"/>
                <w:szCs w:val="20"/>
                <w:color w:val="auto"/>
              </w:rPr>
            </w:pPr>
            <w:r>
              <w:rPr>
                <w:rFonts w:ascii="Calibri" w:cs="Calibri" w:eastAsia="Calibri" w:hAnsi="Calibri"/>
                <w:sz w:val="18"/>
                <w:szCs w:val="18"/>
                <w:color w:val="auto"/>
                <w:w w:val="87"/>
              </w:rPr>
              <w:t>50</w:t>
            </w:r>
            <w:r>
              <w:rPr>
                <w:rFonts w:ascii="Calibri" w:cs="Calibri" w:eastAsia="Calibri" w:hAnsi="Calibri"/>
                <w:sz w:val="24"/>
                <w:szCs w:val="24"/>
                <w:color w:val="auto"/>
                <w:w w:val="87"/>
                <w:vertAlign w:val="superscript"/>
              </w:rPr>
              <w:t>th</w:t>
            </w:r>
          </w:p>
        </w:tc>
        <w:tc>
          <w:tcPr>
            <w:tcW w:w="2460" w:type="dxa"/>
            <w:vAlign w:val="bottom"/>
            <w:tcBorders>
              <w:right w:val="single" w:sz="8" w:color="C9CAC8"/>
            </w:tcBorders>
          </w:tcPr>
          <w:p>
            <w:pPr>
              <w:jc w:val="center"/>
              <w:spacing w:after="0"/>
              <w:rPr>
                <w:sz w:val="20"/>
                <w:szCs w:val="20"/>
                <w:color w:val="auto"/>
              </w:rPr>
            </w:pPr>
            <w:r>
              <w:rPr>
                <w:rFonts w:ascii="Calibri" w:cs="Calibri" w:eastAsia="Calibri" w:hAnsi="Calibri"/>
                <w:sz w:val="18"/>
                <w:szCs w:val="18"/>
                <w:color w:val="auto"/>
                <w:w w:val="99"/>
              </w:rPr>
              <w:t>100%</w:t>
            </w:r>
          </w:p>
        </w:tc>
      </w:tr>
      <w:tr>
        <w:trPr>
          <w:trHeight w:val="37"/>
        </w:trPr>
        <w:tc>
          <w:tcPr>
            <w:tcW w:w="2280" w:type="dxa"/>
            <w:vAlign w:val="bottom"/>
            <w:tcBorders>
              <w:left w:val="single" w:sz="8" w:color="C9CAC8"/>
              <w:bottom w:val="single" w:sz="8" w:color="C9CAC8"/>
              <w:right w:val="single" w:sz="8" w:color="C9CAC8"/>
            </w:tcBorders>
          </w:tcPr>
          <w:p>
            <w:pPr>
              <w:spacing w:after="0"/>
              <w:rPr>
                <w:sz w:val="3"/>
                <w:szCs w:val="3"/>
                <w:color w:val="auto"/>
              </w:rPr>
            </w:pPr>
          </w:p>
        </w:tc>
        <w:tc>
          <w:tcPr>
            <w:tcW w:w="2680" w:type="dxa"/>
            <w:vAlign w:val="bottom"/>
            <w:tcBorders>
              <w:bottom w:val="single" w:sz="8" w:color="C9CAC8"/>
              <w:right w:val="single" w:sz="8" w:color="C9CAC8"/>
            </w:tcBorders>
          </w:tcPr>
          <w:p>
            <w:pPr>
              <w:spacing w:after="0"/>
              <w:rPr>
                <w:sz w:val="3"/>
                <w:szCs w:val="3"/>
                <w:color w:val="auto"/>
              </w:rPr>
            </w:pPr>
          </w:p>
        </w:tc>
        <w:tc>
          <w:tcPr>
            <w:tcW w:w="2460" w:type="dxa"/>
            <w:vAlign w:val="bottom"/>
            <w:tcBorders>
              <w:bottom w:val="single" w:sz="8" w:color="C9CAC8"/>
              <w:right w:val="single" w:sz="8" w:color="C9CAC8"/>
            </w:tcBorders>
          </w:tcPr>
          <w:p>
            <w:pPr>
              <w:spacing w:after="0"/>
              <w:rPr>
                <w:sz w:val="3"/>
                <w:szCs w:val="3"/>
                <w:color w:val="auto"/>
              </w:rPr>
            </w:pPr>
          </w:p>
        </w:tc>
      </w:tr>
      <w:tr>
        <w:trPr>
          <w:trHeight w:val="281"/>
        </w:trPr>
        <w:tc>
          <w:tcPr>
            <w:tcW w:w="2280" w:type="dxa"/>
            <w:vAlign w:val="bottom"/>
            <w:tcBorders>
              <w:left w:val="single" w:sz="8" w:color="C9CAC8"/>
              <w:right w:val="single" w:sz="8" w:color="C9CAC8"/>
            </w:tcBorders>
          </w:tcPr>
          <w:p>
            <w:pPr>
              <w:ind w:left="160"/>
              <w:spacing w:after="0"/>
              <w:rPr>
                <w:sz w:val="20"/>
                <w:szCs w:val="20"/>
                <w:color w:val="auto"/>
              </w:rPr>
            </w:pPr>
            <w:r>
              <w:rPr>
                <w:rFonts w:ascii="Calibri" w:cs="Calibri" w:eastAsia="Calibri" w:hAnsi="Calibri"/>
                <w:sz w:val="18"/>
                <w:szCs w:val="18"/>
                <w:color w:val="auto"/>
              </w:rPr>
              <w:t>Stretch</w:t>
            </w:r>
          </w:p>
        </w:tc>
        <w:tc>
          <w:tcPr>
            <w:tcW w:w="2680" w:type="dxa"/>
            <w:vAlign w:val="bottom"/>
            <w:tcBorders>
              <w:right w:val="single" w:sz="8" w:color="C9CAC8"/>
            </w:tcBorders>
          </w:tcPr>
          <w:p>
            <w:pPr>
              <w:jc w:val="center"/>
              <w:spacing w:after="0" w:line="280" w:lineRule="exact"/>
              <w:rPr>
                <w:sz w:val="20"/>
                <w:szCs w:val="20"/>
                <w:color w:val="auto"/>
              </w:rPr>
            </w:pPr>
            <w:r>
              <w:rPr>
                <w:rFonts w:ascii="Calibri" w:cs="Calibri" w:eastAsia="Calibri" w:hAnsi="Calibri"/>
                <w:sz w:val="18"/>
                <w:szCs w:val="18"/>
                <w:color w:val="auto"/>
                <w:w w:val="87"/>
              </w:rPr>
              <w:t>75</w:t>
            </w:r>
            <w:r>
              <w:rPr>
                <w:rFonts w:ascii="Calibri" w:cs="Calibri" w:eastAsia="Calibri" w:hAnsi="Calibri"/>
                <w:sz w:val="24"/>
                <w:szCs w:val="24"/>
                <w:color w:val="auto"/>
                <w:w w:val="87"/>
                <w:vertAlign w:val="superscript"/>
              </w:rPr>
              <w:t>th</w:t>
            </w:r>
          </w:p>
        </w:tc>
        <w:tc>
          <w:tcPr>
            <w:tcW w:w="2460" w:type="dxa"/>
            <w:vAlign w:val="bottom"/>
            <w:tcBorders>
              <w:right w:val="single" w:sz="8" w:color="C9CAC8"/>
            </w:tcBorders>
          </w:tcPr>
          <w:p>
            <w:pPr>
              <w:jc w:val="center"/>
              <w:spacing w:after="0"/>
              <w:rPr>
                <w:sz w:val="20"/>
                <w:szCs w:val="20"/>
                <w:color w:val="auto"/>
              </w:rPr>
            </w:pPr>
            <w:r>
              <w:rPr>
                <w:rFonts w:ascii="Calibri" w:cs="Calibri" w:eastAsia="Calibri" w:hAnsi="Calibri"/>
                <w:sz w:val="18"/>
                <w:szCs w:val="18"/>
                <w:color w:val="auto"/>
                <w:w w:val="99"/>
              </w:rPr>
              <w:t>150%</w:t>
            </w:r>
          </w:p>
        </w:tc>
      </w:tr>
      <w:tr>
        <w:trPr>
          <w:trHeight w:val="37"/>
        </w:trPr>
        <w:tc>
          <w:tcPr>
            <w:tcW w:w="2280" w:type="dxa"/>
            <w:vAlign w:val="bottom"/>
            <w:tcBorders>
              <w:left w:val="single" w:sz="8" w:color="C9CAC8"/>
              <w:bottom w:val="single" w:sz="8" w:color="C9CAC8"/>
              <w:right w:val="single" w:sz="8" w:color="C9CAC8"/>
            </w:tcBorders>
          </w:tcPr>
          <w:p>
            <w:pPr>
              <w:spacing w:after="0"/>
              <w:rPr>
                <w:sz w:val="3"/>
                <w:szCs w:val="3"/>
                <w:color w:val="auto"/>
              </w:rPr>
            </w:pPr>
          </w:p>
        </w:tc>
        <w:tc>
          <w:tcPr>
            <w:tcW w:w="2680" w:type="dxa"/>
            <w:vAlign w:val="bottom"/>
            <w:tcBorders>
              <w:bottom w:val="single" w:sz="8" w:color="C9CAC8"/>
              <w:right w:val="single" w:sz="8" w:color="C9CAC8"/>
            </w:tcBorders>
          </w:tcPr>
          <w:p>
            <w:pPr>
              <w:spacing w:after="0"/>
              <w:rPr>
                <w:sz w:val="3"/>
                <w:szCs w:val="3"/>
                <w:color w:val="auto"/>
              </w:rPr>
            </w:pPr>
          </w:p>
        </w:tc>
        <w:tc>
          <w:tcPr>
            <w:tcW w:w="2460" w:type="dxa"/>
            <w:vAlign w:val="bottom"/>
            <w:tcBorders>
              <w:bottom w:val="single" w:sz="8" w:color="C9CAC8"/>
              <w:right w:val="single" w:sz="8" w:color="C9CAC8"/>
            </w:tcBorders>
          </w:tcPr>
          <w:p>
            <w:pPr>
              <w:spacing w:after="0"/>
              <w:rPr>
                <w:sz w:val="3"/>
                <w:szCs w:val="3"/>
                <w:color w:val="auto"/>
              </w:rPr>
            </w:pPr>
          </w:p>
        </w:tc>
      </w:tr>
      <w:tr>
        <w:trPr>
          <w:trHeight w:val="281"/>
        </w:trPr>
        <w:tc>
          <w:tcPr>
            <w:tcW w:w="2280" w:type="dxa"/>
            <w:vAlign w:val="bottom"/>
            <w:tcBorders>
              <w:left w:val="single" w:sz="8" w:color="C9CAC8"/>
              <w:right w:val="single" w:sz="8" w:color="C9CAC8"/>
            </w:tcBorders>
          </w:tcPr>
          <w:p>
            <w:pPr>
              <w:ind w:left="160"/>
              <w:spacing w:after="0"/>
              <w:rPr>
                <w:sz w:val="20"/>
                <w:szCs w:val="20"/>
                <w:color w:val="auto"/>
              </w:rPr>
            </w:pPr>
            <w:r>
              <w:rPr>
                <w:rFonts w:ascii="Calibri" w:cs="Calibri" w:eastAsia="Calibri" w:hAnsi="Calibri"/>
                <w:sz w:val="18"/>
                <w:szCs w:val="18"/>
                <w:color w:val="auto"/>
              </w:rPr>
              <w:t>Maximum</w:t>
            </w:r>
          </w:p>
        </w:tc>
        <w:tc>
          <w:tcPr>
            <w:tcW w:w="2680" w:type="dxa"/>
            <w:vAlign w:val="bottom"/>
            <w:tcBorders>
              <w:right w:val="single" w:sz="8" w:color="C9CAC8"/>
            </w:tcBorders>
          </w:tcPr>
          <w:p>
            <w:pPr>
              <w:jc w:val="center"/>
              <w:spacing w:after="0" w:line="280" w:lineRule="exact"/>
              <w:rPr>
                <w:sz w:val="20"/>
                <w:szCs w:val="20"/>
                <w:color w:val="auto"/>
              </w:rPr>
            </w:pPr>
            <w:r>
              <w:rPr>
                <w:rFonts w:ascii="Calibri" w:cs="Calibri" w:eastAsia="Calibri" w:hAnsi="Calibri"/>
                <w:sz w:val="18"/>
                <w:szCs w:val="18"/>
                <w:color w:val="auto"/>
                <w:w w:val="87"/>
              </w:rPr>
              <w:t>90</w:t>
            </w:r>
            <w:r>
              <w:rPr>
                <w:rFonts w:ascii="Calibri" w:cs="Calibri" w:eastAsia="Calibri" w:hAnsi="Calibri"/>
                <w:sz w:val="24"/>
                <w:szCs w:val="24"/>
                <w:color w:val="auto"/>
                <w:w w:val="87"/>
                <w:vertAlign w:val="superscript"/>
              </w:rPr>
              <w:t>th</w:t>
            </w:r>
          </w:p>
        </w:tc>
        <w:tc>
          <w:tcPr>
            <w:tcW w:w="2460" w:type="dxa"/>
            <w:vAlign w:val="bottom"/>
            <w:tcBorders>
              <w:right w:val="single" w:sz="8" w:color="C9CAC8"/>
            </w:tcBorders>
          </w:tcPr>
          <w:p>
            <w:pPr>
              <w:jc w:val="center"/>
              <w:spacing w:after="0"/>
              <w:rPr>
                <w:sz w:val="20"/>
                <w:szCs w:val="20"/>
                <w:color w:val="auto"/>
              </w:rPr>
            </w:pPr>
            <w:r>
              <w:rPr>
                <w:rFonts w:ascii="Calibri" w:cs="Calibri" w:eastAsia="Calibri" w:hAnsi="Calibri"/>
                <w:sz w:val="18"/>
                <w:szCs w:val="18"/>
                <w:color w:val="auto"/>
                <w:w w:val="99"/>
              </w:rPr>
              <w:t>200%</w:t>
            </w:r>
          </w:p>
        </w:tc>
      </w:tr>
      <w:tr>
        <w:trPr>
          <w:trHeight w:val="37"/>
        </w:trPr>
        <w:tc>
          <w:tcPr>
            <w:tcW w:w="2280" w:type="dxa"/>
            <w:vAlign w:val="bottom"/>
            <w:tcBorders>
              <w:left w:val="single" w:sz="8" w:color="C9CAC8"/>
              <w:bottom w:val="single" w:sz="8" w:color="C9CAC8"/>
              <w:right w:val="single" w:sz="8" w:color="C9CAC8"/>
            </w:tcBorders>
          </w:tcPr>
          <w:p>
            <w:pPr>
              <w:spacing w:after="0"/>
              <w:rPr>
                <w:sz w:val="3"/>
                <w:szCs w:val="3"/>
                <w:color w:val="auto"/>
              </w:rPr>
            </w:pPr>
          </w:p>
        </w:tc>
        <w:tc>
          <w:tcPr>
            <w:tcW w:w="2680" w:type="dxa"/>
            <w:vAlign w:val="bottom"/>
            <w:tcBorders>
              <w:bottom w:val="single" w:sz="8" w:color="C9CAC8"/>
              <w:right w:val="single" w:sz="8" w:color="C9CAC8"/>
            </w:tcBorders>
          </w:tcPr>
          <w:p>
            <w:pPr>
              <w:spacing w:after="0"/>
              <w:rPr>
                <w:sz w:val="3"/>
                <w:szCs w:val="3"/>
                <w:color w:val="auto"/>
              </w:rPr>
            </w:pPr>
          </w:p>
        </w:tc>
        <w:tc>
          <w:tcPr>
            <w:tcW w:w="2460" w:type="dxa"/>
            <w:vAlign w:val="bottom"/>
            <w:tcBorders>
              <w:bottom w:val="single" w:sz="8" w:color="C9CAC8"/>
              <w:right w:val="single" w:sz="8" w:color="C9CAC8"/>
            </w:tcBorders>
          </w:tcPr>
          <w:p>
            <w:pPr>
              <w:spacing w:after="0"/>
              <w:rPr>
                <w:sz w:val="3"/>
                <w:szCs w:val="3"/>
                <w:color w:val="auto"/>
              </w:rPr>
            </w:pPr>
          </w:p>
        </w:tc>
      </w:tr>
    </w:tbl>
    <w:p>
      <w:pPr>
        <w:spacing w:after="0" w:line="86" w:lineRule="exact"/>
        <w:rPr>
          <w:sz w:val="20"/>
          <w:szCs w:val="20"/>
          <w:color w:val="auto"/>
        </w:rPr>
      </w:pPr>
    </w:p>
    <w:p>
      <w:pPr>
        <w:ind w:left="380" w:right="300" w:hanging="372"/>
        <w:spacing w:after="0" w:line="235" w:lineRule="auto"/>
        <w:tabs>
          <w:tab w:leader="none" w:pos="323" w:val="left"/>
        </w:tabs>
        <w:numPr>
          <w:ilvl w:val="0"/>
          <w:numId w:val="155"/>
        </w:numPr>
        <w:rPr>
          <w:rFonts w:ascii="Calibri" w:cs="Calibri" w:eastAsia="Calibri" w:hAnsi="Calibri"/>
          <w:sz w:val="18"/>
          <w:szCs w:val="18"/>
          <w:color w:val="auto"/>
        </w:rPr>
      </w:pPr>
      <w:r>
        <w:rPr>
          <w:rFonts w:ascii="Calibri" w:cs="Calibri" w:eastAsia="Calibri" w:hAnsi="Calibri"/>
          <w:sz w:val="18"/>
          <w:szCs w:val="18"/>
          <w:color w:val="auto"/>
        </w:rPr>
        <w:t>TSR Percentle is calculated based on the Company’s ranking within the Peer Group based on its Total Stockholder Return as compared to the Total Stockholder Return of each member of the Peer Group.</w:t>
      </w:r>
    </w:p>
    <w:p>
      <w:pPr>
        <w:spacing w:after="0" w:line="109" w:lineRule="exact"/>
        <w:rPr>
          <w:rFonts w:ascii="Calibri" w:cs="Calibri" w:eastAsia="Calibri" w:hAnsi="Calibri"/>
          <w:sz w:val="18"/>
          <w:szCs w:val="18"/>
          <w:color w:val="auto"/>
        </w:rPr>
      </w:pPr>
    </w:p>
    <w:p>
      <w:pPr>
        <w:ind w:left="380" w:right="100" w:hanging="372"/>
        <w:spacing w:after="0" w:line="235" w:lineRule="auto"/>
        <w:tabs>
          <w:tab w:leader="none" w:pos="323" w:val="left"/>
        </w:tabs>
        <w:numPr>
          <w:ilvl w:val="0"/>
          <w:numId w:val="155"/>
        </w:numPr>
        <w:rPr>
          <w:rFonts w:ascii="Calibri" w:cs="Calibri" w:eastAsia="Calibri" w:hAnsi="Calibri"/>
          <w:sz w:val="18"/>
          <w:szCs w:val="18"/>
          <w:color w:val="auto"/>
        </w:rPr>
      </w:pPr>
      <w:r>
        <w:rPr>
          <w:rFonts w:ascii="Calibri" w:cs="Calibri" w:eastAsia="Calibri" w:hAnsi="Calibri"/>
          <w:sz w:val="18"/>
          <w:szCs w:val="18"/>
          <w:color w:val="auto"/>
        </w:rPr>
        <w:t>For performance between threshold and target, between target and stretch and between stretch and maximum, the percentage of the TSR PSUs that become Earned TSR PSUs will be determined on a straight-line interpolated basis.</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Total Stockholder Return</w:t>
      </w:r>
      <w:r>
        <w:rPr>
          <w:rFonts w:ascii="Calibri" w:cs="Calibri" w:eastAsia="Calibri" w:hAnsi="Calibri"/>
          <w:sz w:val="18"/>
          <w:szCs w:val="18"/>
          <w:color w:val="auto"/>
        </w:rPr>
        <w:t>” of the Company and of each member of the Peer Group shall be determined pursuant to the following formula:</w:t>
      </w:r>
    </w:p>
    <w:p>
      <w:pPr>
        <w:spacing w:after="0" w:line="212" w:lineRule="exact"/>
        <w:rPr>
          <w:sz w:val="20"/>
          <w:szCs w:val="20"/>
          <w:color w:val="auto"/>
        </w:rPr>
      </w:pPr>
    </w:p>
    <w:p>
      <w:pPr>
        <w:ind w:left="2500"/>
        <w:spacing w:after="0"/>
        <w:rPr>
          <w:sz w:val="20"/>
          <w:szCs w:val="20"/>
          <w:color w:val="auto"/>
        </w:rPr>
      </w:pPr>
      <w:r>
        <w:rPr>
          <w:rFonts w:ascii="Calibri" w:cs="Calibri" w:eastAsia="Calibri" w:hAnsi="Calibri"/>
          <w:sz w:val="18"/>
          <w:szCs w:val="18"/>
          <w:color w:val="auto"/>
        </w:rPr>
        <w:t xml:space="preserve">Total Stockholder Return = </w:t>
      </w:r>
      <w:r>
        <w:rPr>
          <w:rFonts w:ascii="Calibri" w:cs="Calibri" w:eastAsia="Calibri" w:hAnsi="Calibri"/>
          <w:sz w:val="18"/>
          <w:szCs w:val="18"/>
          <w:u w:val="single" w:color="auto"/>
          <w:color w:val="auto"/>
        </w:rPr>
        <w:t>(Final Stock Price - Inital Stock Price) + Reinvested Dividends</w:t>
      </w:r>
    </w:p>
    <w:p>
      <w:pPr>
        <w:ind w:left="6180"/>
        <w:spacing w:after="0" w:line="235" w:lineRule="auto"/>
        <w:rPr>
          <w:sz w:val="20"/>
          <w:szCs w:val="20"/>
          <w:color w:val="auto"/>
        </w:rPr>
      </w:pPr>
      <w:r>
        <w:rPr>
          <w:rFonts w:ascii="Calibri" w:cs="Calibri" w:eastAsia="Calibri" w:hAnsi="Calibri"/>
          <w:sz w:val="18"/>
          <w:szCs w:val="18"/>
          <w:color w:val="auto"/>
        </w:rPr>
        <w:t>Inital Stock Price</w:t>
      </w:r>
    </w:p>
    <w:p>
      <w:pPr>
        <w:spacing w:after="0" w:line="218"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For purposes of this formula, (a) “</w:t>
      </w:r>
      <w:r>
        <w:rPr>
          <w:rFonts w:ascii="Calibri" w:cs="Calibri" w:eastAsia="Calibri" w:hAnsi="Calibri"/>
          <w:sz w:val="18"/>
          <w:szCs w:val="18"/>
          <w:u w:val="single" w:color="auto"/>
          <w:color w:val="auto"/>
        </w:rPr>
        <w:t>Final Stock Price</w:t>
      </w:r>
      <w:r>
        <w:rPr>
          <w:rFonts w:ascii="Calibri" w:cs="Calibri" w:eastAsia="Calibri" w:hAnsi="Calibri"/>
          <w:sz w:val="18"/>
          <w:szCs w:val="18"/>
          <w:color w:val="auto"/>
        </w:rPr>
        <w:t>” shall be the relevant company’s average closing stock price for the two-month period preceding the last trading day of the TSR Performance Period, (b) “</w:t>
      </w:r>
      <w:r>
        <w:rPr>
          <w:rFonts w:ascii="Calibri" w:cs="Calibri" w:eastAsia="Calibri" w:hAnsi="Calibri"/>
          <w:sz w:val="18"/>
          <w:szCs w:val="18"/>
          <w:u w:val="single" w:color="auto"/>
          <w:color w:val="auto"/>
        </w:rPr>
        <w:t>Inital Stock Price</w:t>
      </w:r>
      <w:r>
        <w:rPr>
          <w:rFonts w:ascii="Calibri" w:cs="Calibri" w:eastAsia="Calibri" w:hAnsi="Calibri"/>
          <w:sz w:val="18"/>
          <w:szCs w:val="18"/>
          <w:color w:val="auto"/>
        </w:rPr>
        <w:t>” shall be the relevant company’s average closing stock price for the two-month period preceding the frst trading day of the Performance Period, and (c) “</w:t>
      </w:r>
      <w:r>
        <w:rPr>
          <w:rFonts w:ascii="Calibri" w:cs="Calibri" w:eastAsia="Calibri" w:hAnsi="Calibri"/>
          <w:sz w:val="18"/>
          <w:szCs w:val="18"/>
          <w:u w:val="single" w:color="auto"/>
          <w:color w:val="auto"/>
        </w:rPr>
        <w:t>Reinvested Dividends</w:t>
      </w:r>
      <w:r>
        <w:rPr>
          <w:rFonts w:ascii="Calibri" w:cs="Calibri" w:eastAsia="Calibri" w:hAnsi="Calibri"/>
          <w:sz w:val="18"/>
          <w:szCs w:val="18"/>
          <w:color w:val="auto"/>
        </w:rPr>
        <w:t>” shall be the aggregate number of shares (including fractonal shares) that could have been purchased during the TSR Performance Period had each cash dividend paid on a single share during that period been immediately reinvested in additonal shares (or fractonal shares) at the closing stock price on the applicable dividend payment date. Each of the foregoing amounts shall be equitably adjusted for stock splits, stock dividends, recapitalizatons and other similar events afectng the shares in queston without the issuer’s receipt of consideraton.</w:t>
      </w:r>
    </w:p>
    <w:p>
      <w:pPr>
        <w:spacing w:after="0" w:line="200" w:lineRule="exact"/>
        <w:rPr>
          <w:sz w:val="20"/>
          <w:szCs w:val="20"/>
          <w:color w:val="auto"/>
        </w:rPr>
      </w:pPr>
    </w:p>
    <w:p>
      <w:pPr>
        <w:spacing w:after="0" w:line="2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Appendix B to Performance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08" w:right="499" w:bottom="1440" w:gutter="0" w:footer="0" w:header="0"/>
        </w:sectPr>
      </w:pPr>
    </w:p>
    <w:bookmarkStart w:id="179" w:name="page180"/>
    <w:bookmarkEnd w:id="179"/>
    <w:p>
      <w:pPr>
        <w:jc w:val="center"/>
        <w:ind w:right="-19"/>
        <w:spacing w:after="0"/>
        <w:rPr>
          <w:sz w:val="20"/>
          <w:szCs w:val="20"/>
          <w:color w:val="auto"/>
        </w:rPr>
      </w:pPr>
      <w:r>
        <w:rPr>
          <w:rFonts w:ascii="Calibri" w:cs="Calibri" w:eastAsia="Calibri" w:hAnsi="Calibri"/>
          <w:sz w:val="18"/>
          <w:szCs w:val="18"/>
          <w:b w:val="1"/>
          <w:bCs w:val="1"/>
          <w:u w:val="single" w:color="auto"/>
          <w:color w:val="auto"/>
        </w:rPr>
        <w:t>APPENDIX C</w:t>
      </w:r>
    </w:p>
    <w:p>
      <w:pPr>
        <w:spacing w:after="0" w:line="217"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performance metric applicable to the Strategic PSUs shall be based on the number of strategic goals (as listed below) achieved over the TSR and Strategic Performance Period, with the number of Earned Strategic PSUs equal to the number of Strategic PSUs subject to the Award multpled by the applicable percentage set forth in the following table:</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1080" w:type="dxa"/>
            <w:vAlign w:val="bottom"/>
            <w:tcBorders>
              <w:bottom w:val="single" w:sz="8" w:color="auto"/>
            </w:tcBorders>
            <w:gridSpan w:val="2"/>
          </w:tcPr>
          <w:p>
            <w:pPr>
              <w:spacing w:after="0"/>
              <w:rPr>
                <w:sz w:val="20"/>
                <w:szCs w:val="20"/>
                <w:color w:val="auto"/>
              </w:rPr>
            </w:pPr>
            <w:r>
              <w:rPr>
                <w:rFonts w:ascii="Calibri" w:cs="Calibri" w:eastAsia="Calibri" w:hAnsi="Calibri"/>
                <w:sz w:val="18"/>
                <w:szCs w:val="18"/>
                <w:color w:val="auto"/>
                <w:w w:val="97"/>
              </w:rPr>
              <w:t>Strategic Goals</w:t>
            </w:r>
          </w:p>
        </w:tc>
        <w:tc>
          <w:tcPr>
            <w:tcW w:w="12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43"/>
        </w:trPr>
        <w:tc>
          <w:tcPr>
            <w:tcW w:w="720" w:type="dxa"/>
            <w:vAlign w:val="bottom"/>
          </w:tcPr>
          <w:p>
            <w:pPr>
              <w:jc w:val="right"/>
              <w:ind w:right="110"/>
              <w:spacing w:after="0"/>
              <w:rPr>
                <w:sz w:val="20"/>
                <w:szCs w:val="20"/>
                <w:color w:val="auto"/>
              </w:rPr>
            </w:pPr>
            <w:r>
              <w:rPr>
                <w:rFonts w:ascii="Calibri" w:cs="Calibri" w:eastAsia="Calibri" w:hAnsi="Calibri"/>
                <w:sz w:val="18"/>
                <w:szCs w:val="18"/>
                <w:color w:val="auto"/>
              </w:rPr>
              <w:t>1.</w:t>
            </w:r>
          </w:p>
        </w:tc>
        <w:tc>
          <w:tcPr>
            <w:tcW w:w="1560" w:type="dxa"/>
            <w:vAlign w:val="bottom"/>
            <w:gridSpan w:val="2"/>
          </w:tcPr>
          <w:p>
            <w:pPr>
              <w:jc w:val="right"/>
              <w:ind w:right="1160"/>
              <w:spacing w:after="0"/>
              <w:rPr>
                <w:sz w:val="20"/>
                <w:szCs w:val="20"/>
                <w:color w:val="auto"/>
              </w:rPr>
            </w:pPr>
            <w:r>
              <w:rPr>
                <w:rFonts w:ascii="Calibri" w:cs="Calibri" w:eastAsia="Calibri" w:hAnsi="Calibri"/>
                <w:sz w:val="18"/>
                <w:szCs w:val="18"/>
                <w:color w:val="auto"/>
              </w:rPr>
              <w:t>[***]</w:t>
            </w:r>
          </w:p>
        </w:tc>
        <w:tc>
          <w:tcPr>
            <w:tcW w:w="26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432"/>
        </w:trPr>
        <w:tc>
          <w:tcPr>
            <w:tcW w:w="720" w:type="dxa"/>
            <w:vAlign w:val="bottom"/>
          </w:tcPr>
          <w:p>
            <w:pPr>
              <w:jc w:val="right"/>
              <w:ind w:right="110"/>
              <w:spacing w:after="0"/>
              <w:rPr>
                <w:sz w:val="20"/>
                <w:szCs w:val="20"/>
                <w:color w:val="auto"/>
              </w:rPr>
            </w:pPr>
            <w:r>
              <w:rPr>
                <w:rFonts w:ascii="Calibri" w:cs="Calibri" w:eastAsia="Calibri" w:hAnsi="Calibri"/>
                <w:sz w:val="18"/>
                <w:szCs w:val="18"/>
                <w:color w:val="auto"/>
              </w:rPr>
              <w:t>2.</w:t>
            </w:r>
          </w:p>
        </w:tc>
        <w:tc>
          <w:tcPr>
            <w:tcW w:w="1560" w:type="dxa"/>
            <w:vAlign w:val="bottom"/>
            <w:gridSpan w:val="2"/>
          </w:tcPr>
          <w:p>
            <w:pPr>
              <w:jc w:val="right"/>
              <w:ind w:right="1160"/>
              <w:spacing w:after="0"/>
              <w:rPr>
                <w:sz w:val="20"/>
                <w:szCs w:val="20"/>
                <w:color w:val="auto"/>
              </w:rPr>
            </w:pPr>
            <w:r>
              <w:rPr>
                <w:rFonts w:ascii="Calibri" w:cs="Calibri" w:eastAsia="Calibri" w:hAnsi="Calibri"/>
                <w:sz w:val="18"/>
                <w:szCs w:val="18"/>
                <w:color w:val="auto"/>
              </w:rPr>
              <w:t>[***]</w:t>
            </w:r>
          </w:p>
        </w:tc>
        <w:tc>
          <w:tcPr>
            <w:tcW w:w="26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432"/>
        </w:trPr>
        <w:tc>
          <w:tcPr>
            <w:tcW w:w="720" w:type="dxa"/>
            <w:vAlign w:val="bottom"/>
          </w:tcPr>
          <w:p>
            <w:pPr>
              <w:jc w:val="right"/>
              <w:ind w:right="110"/>
              <w:spacing w:after="0"/>
              <w:rPr>
                <w:sz w:val="20"/>
                <w:szCs w:val="20"/>
                <w:color w:val="auto"/>
              </w:rPr>
            </w:pPr>
            <w:r>
              <w:rPr>
                <w:rFonts w:ascii="Calibri" w:cs="Calibri" w:eastAsia="Calibri" w:hAnsi="Calibri"/>
                <w:sz w:val="18"/>
                <w:szCs w:val="18"/>
                <w:color w:val="auto"/>
              </w:rPr>
              <w:t>3.</w:t>
            </w:r>
          </w:p>
        </w:tc>
        <w:tc>
          <w:tcPr>
            <w:tcW w:w="1560" w:type="dxa"/>
            <w:vAlign w:val="bottom"/>
            <w:gridSpan w:val="2"/>
          </w:tcPr>
          <w:p>
            <w:pPr>
              <w:jc w:val="right"/>
              <w:ind w:right="1160"/>
              <w:spacing w:after="0"/>
              <w:rPr>
                <w:sz w:val="20"/>
                <w:szCs w:val="20"/>
                <w:color w:val="auto"/>
              </w:rPr>
            </w:pPr>
            <w:r>
              <w:rPr>
                <w:rFonts w:ascii="Calibri" w:cs="Calibri" w:eastAsia="Calibri" w:hAnsi="Calibri"/>
                <w:sz w:val="18"/>
                <w:szCs w:val="18"/>
                <w:color w:val="auto"/>
              </w:rPr>
              <w:t>[***]</w:t>
            </w:r>
          </w:p>
        </w:tc>
        <w:tc>
          <w:tcPr>
            <w:tcW w:w="26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432"/>
        </w:trPr>
        <w:tc>
          <w:tcPr>
            <w:tcW w:w="720" w:type="dxa"/>
            <w:vAlign w:val="bottom"/>
          </w:tcPr>
          <w:p>
            <w:pPr>
              <w:jc w:val="right"/>
              <w:ind w:right="110"/>
              <w:spacing w:after="0"/>
              <w:rPr>
                <w:sz w:val="20"/>
                <w:szCs w:val="20"/>
                <w:color w:val="auto"/>
              </w:rPr>
            </w:pPr>
            <w:r>
              <w:rPr>
                <w:rFonts w:ascii="Calibri" w:cs="Calibri" w:eastAsia="Calibri" w:hAnsi="Calibri"/>
                <w:sz w:val="18"/>
                <w:szCs w:val="18"/>
                <w:color w:val="auto"/>
              </w:rPr>
              <w:t>4.</w:t>
            </w:r>
          </w:p>
        </w:tc>
        <w:tc>
          <w:tcPr>
            <w:tcW w:w="1560" w:type="dxa"/>
            <w:vAlign w:val="bottom"/>
            <w:gridSpan w:val="2"/>
          </w:tcPr>
          <w:p>
            <w:pPr>
              <w:jc w:val="right"/>
              <w:ind w:right="1160"/>
              <w:spacing w:after="0"/>
              <w:rPr>
                <w:sz w:val="20"/>
                <w:szCs w:val="20"/>
                <w:color w:val="auto"/>
              </w:rPr>
            </w:pPr>
            <w:r>
              <w:rPr>
                <w:rFonts w:ascii="Calibri" w:cs="Calibri" w:eastAsia="Calibri" w:hAnsi="Calibri"/>
                <w:sz w:val="18"/>
                <w:szCs w:val="18"/>
                <w:color w:val="auto"/>
              </w:rPr>
              <w:t>[***]</w:t>
            </w:r>
          </w:p>
        </w:tc>
        <w:tc>
          <w:tcPr>
            <w:tcW w:w="26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432"/>
        </w:trPr>
        <w:tc>
          <w:tcPr>
            <w:tcW w:w="720" w:type="dxa"/>
            <w:vAlign w:val="bottom"/>
          </w:tcPr>
          <w:p>
            <w:pPr>
              <w:jc w:val="right"/>
              <w:ind w:right="110"/>
              <w:spacing w:after="0"/>
              <w:rPr>
                <w:sz w:val="20"/>
                <w:szCs w:val="20"/>
                <w:color w:val="auto"/>
              </w:rPr>
            </w:pPr>
            <w:r>
              <w:rPr>
                <w:rFonts w:ascii="Calibri" w:cs="Calibri" w:eastAsia="Calibri" w:hAnsi="Calibri"/>
                <w:sz w:val="18"/>
                <w:szCs w:val="18"/>
                <w:color w:val="auto"/>
              </w:rPr>
              <w:t>5.</w:t>
            </w:r>
          </w:p>
        </w:tc>
        <w:tc>
          <w:tcPr>
            <w:tcW w:w="1560" w:type="dxa"/>
            <w:vAlign w:val="bottom"/>
            <w:gridSpan w:val="2"/>
          </w:tcPr>
          <w:p>
            <w:pPr>
              <w:jc w:val="right"/>
              <w:ind w:right="1160"/>
              <w:spacing w:after="0"/>
              <w:rPr>
                <w:sz w:val="20"/>
                <w:szCs w:val="20"/>
                <w:color w:val="auto"/>
              </w:rPr>
            </w:pPr>
            <w:r>
              <w:rPr>
                <w:rFonts w:ascii="Calibri" w:cs="Calibri" w:eastAsia="Calibri" w:hAnsi="Calibri"/>
                <w:sz w:val="18"/>
                <w:szCs w:val="18"/>
                <w:color w:val="auto"/>
              </w:rPr>
              <w:t>[***]</w:t>
            </w:r>
          </w:p>
        </w:tc>
        <w:tc>
          <w:tcPr>
            <w:tcW w:w="26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452"/>
        </w:trPr>
        <w:tc>
          <w:tcPr>
            <w:tcW w:w="720" w:type="dxa"/>
            <w:vAlign w:val="bottom"/>
            <w:tcBorders>
              <w:bottom w:val="single" w:sz="8" w:color="C9CAC8"/>
            </w:tcBorders>
          </w:tcPr>
          <w:p>
            <w:pPr>
              <w:spacing w:after="0"/>
              <w:rPr>
                <w:sz w:val="24"/>
                <w:szCs w:val="24"/>
                <w:color w:val="auto"/>
              </w:rPr>
            </w:pPr>
          </w:p>
        </w:tc>
        <w:tc>
          <w:tcPr>
            <w:tcW w:w="360" w:type="dxa"/>
            <w:vAlign w:val="bottom"/>
            <w:tcBorders>
              <w:bottom w:val="single" w:sz="8" w:color="C9CAC8"/>
            </w:tcBorders>
          </w:tcPr>
          <w:p>
            <w:pPr>
              <w:spacing w:after="0"/>
              <w:rPr>
                <w:sz w:val="24"/>
                <w:szCs w:val="24"/>
                <w:color w:val="auto"/>
              </w:rPr>
            </w:pPr>
          </w:p>
        </w:tc>
        <w:tc>
          <w:tcPr>
            <w:tcW w:w="1200" w:type="dxa"/>
            <w:vAlign w:val="bottom"/>
            <w:tcBorders>
              <w:bottom w:val="single" w:sz="8" w:color="C9CAC8"/>
            </w:tcBorders>
          </w:tcPr>
          <w:p>
            <w:pPr>
              <w:spacing w:after="0"/>
              <w:rPr>
                <w:sz w:val="24"/>
                <w:szCs w:val="24"/>
                <w:color w:val="auto"/>
              </w:rPr>
            </w:pPr>
          </w:p>
        </w:tc>
        <w:tc>
          <w:tcPr>
            <w:tcW w:w="2680" w:type="dxa"/>
            <w:vAlign w:val="bottom"/>
            <w:tcBorders>
              <w:bottom w:val="single" w:sz="8" w:color="255985"/>
            </w:tcBorders>
          </w:tcPr>
          <w:p>
            <w:pPr>
              <w:spacing w:after="0"/>
              <w:rPr>
                <w:sz w:val="24"/>
                <w:szCs w:val="24"/>
                <w:color w:val="auto"/>
              </w:rPr>
            </w:pPr>
          </w:p>
        </w:tc>
        <w:tc>
          <w:tcPr>
            <w:tcW w:w="2460" w:type="dxa"/>
            <w:vAlign w:val="bottom"/>
            <w:tcBorders>
              <w:bottom w:val="single" w:sz="8" w:color="255985"/>
            </w:tcBorders>
          </w:tcPr>
          <w:p>
            <w:pPr>
              <w:spacing w:after="0"/>
              <w:rPr>
                <w:sz w:val="24"/>
                <w:szCs w:val="24"/>
                <w:color w:val="auto"/>
              </w:rPr>
            </w:pPr>
          </w:p>
        </w:tc>
      </w:tr>
      <w:tr>
        <w:trPr>
          <w:trHeight w:val="243"/>
        </w:trPr>
        <w:tc>
          <w:tcPr>
            <w:tcW w:w="720" w:type="dxa"/>
            <w:vAlign w:val="bottom"/>
            <w:tcBorders>
              <w:left w:val="single" w:sz="8" w:color="C9CAC8"/>
            </w:tcBorders>
            <w:shd w:val="clear" w:color="auto" w:fill="255985"/>
          </w:tcPr>
          <w:p>
            <w:pPr>
              <w:spacing w:after="0"/>
              <w:rPr>
                <w:sz w:val="21"/>
                <w:szCs w:val="21"/>
                <w:color w:val="auto"/>
              </w:rPr>
            </w:pPr>
          </w:p>
        </w:tc>
        <w:tc>
          <w:tcPr>
            <w:tcW w:w="360" w:type="dxa"/>
            <w:vAlign w:val="bottom"/>
            <w:shd w:val="clear" w:color="auto" w:fill="255985"/>
          </w:tcPr>
          <w:p>
            <w:pPr>
              <w:spacing w:after="0"/>
              <w:rPr>
                <w:sz w:val="21"/>
                <w:szCs w:val="21"/>
                <w:color w:val="auto"/>
              </w:rPr>
            </w:pPr>
          </w:p>
        </w:tc>
        <w:tc>
          <w:tcPr>
            <w:tcW w:w="1200" w:type="dxa"/>
            <w:vAlign w:val="bottom"/>
            <w:tcBorders>
              <w:right w:val="single" w:sz="8" w:color="C9CAC8"/>
            </w:tcBorders>
            <w:shd w:val="clear" w:color="auto" w:fill="255985"/>
          </w:tcPr>
          <w:p>
            <w:pPr>
              <w:spacing w:after="0"/>
              <w:rPr>
                <w:sz w:val="21"/>
                <w:szCs w:val="21"/>
                <w:color w:val="auto"/>
              </w:rPr>
            </w:pPr>
          </w:p>
        </w:tc>
        <w:tc>
          <w:tcPr>
            <w:tcW w:w="2680" w:type="dxa"/>
            <w:vAlign w:val="bottom"/>
            <w:tcBorders>
              <w:right w:val="single" w:sz="8" w:color="C9CAC8"/>
            </w:tcBorders>
            <w:shd w:val="clear" w:color="auto" w:fill="255985"/>
          </w:tcPr>
          <w:p>
            <w:pPr>
              <w:jc w:val="center"/>
              <w:spacing w:after="0"/>
              <w:rPr>
                <w:sz w:val="20"/>
                <w:szCs w:val="20"/>
                <w:color w:val="auto"/>
              </w:rPr>
            </w:pPr>
            <w:r>
              <w:rPr>
                <w:rFonts w:ascii="Calibri" w:cs="Calibri" w:eastAsia="Calibri" w:hAnsi="Calibri"/>
                <w:sz w:val="18"/>
                <w:szCs w:val="18"/>
                <w:b w:val="1"/>
                <w:bCs w:val="1"/>
                <w:color w:val="FFFFFF"/>
                <w:w w:val="97"/>
              </w:rPr>
              <w:t>Number of Strategic Goals</w:t>
            </w:r>
          </w:p>
        </w:tc>
        <w:tc>
          <w:tcPr>
            <w:tcW w:w="2460" w:type="dxa"/>
            <w:vAlign w:val="bottom"/>
            <w:tcBorders>
              <w:right w:val="single" w:sz="8" w:color="C9CAC8"/>
            </w:tcBorders>
            <w:shd w:val="clear" w:color="auto" w:fill="255985"/>
          </w:tcPr>
          <w:p>
            <w:pPr>
              <w:spacing w:after="0"/>
              <w:rPr>
                <w:sz w:val="21"/>
                <w:szCs w:val="21"/>
                <w:color w:val="auto"/>
              </w:rPr>
            </w:pPr>
          </w:p>
        </w:tc>
      </w:tr>
      <w:tr>
        <w:trPr>
          <w:trHeight w:val="216"/>
        </w:trPr>
        <w:tc>
          <w:tcPr>
            <w:tcW w:w="2280" w:type="dxa"/>
            <w:vAlign w:val="bottom"/>
            <w:tcBorders>
              <w:left w:val="single" w:sz="8" w:color="C9CAC8"/>
              <w:right w:val="single" w:sz="8" w:color="C9CAC8"/>
            </w:tcBorders>
            <w:gridSpan w:val="3"/>
            <w:shd w:val="clear" w:color="auto" w:fill="255985"/>
          </w:tcPr>
          <w:p>
            <w:pPr>
              <w:ind w:left="160"/>
              <w:spacing w:after="0" w:line="216" w:lineRule="exact"/>
              <w:rPr>
                <w:sz w:val="20"/>
                <w:szCs w:val="20"/>
                <w:color w:val="auto"/>
              </w:rPr>
            </w:pPr>
            <w:r>
              <w:rPr>
                <w:rFonts w:ascii="Calibri" w:cs="Calibri" w:eastAsia="Calibri" w:hAnsi="Calibri"/>
                <w:sz w:val="18"/>
                <w:szCs w:val="18"/>
                <w:b w:val="1"/>
                <w:bCs w:val="1"/>
                <w:color w:val="FFFFFF"/>
              </w:rPr>
              <w:t>Level of Performance</w:t>
            </w:r>
          </w:p>
        </w:tc>
        <w:tc>
          <w:tcPr>
            <w:tcW w:w="2680" w:type="dxa"/>
            <w:vAlign w:val="bottom"/>
            <w:tcBorders>
              <w:right w:val="single" w:sz="8" w:color="C9CAC8"/>
            </w:tcBorders>
            <w:shd w:val="clear" w:color="auto" w:fill="255985"/>
          </w:tcPr>
          <w:p>
            <w:pPr>
              <w:jc w:val="center"/>
              <w:spacing w:after="0" w:line="216" w:lineRule="exact"/>
              <w:rPr>
                <w:sz w:val="20"/>
                <w:szCs w:val="20"/>
                <w:color w:val="auto"/>
              </w:rPr>
            </w:pPr>
            <w:r>
              <w:rPr>
                <w:rFonts w:ascii="Calibri" w:cs="Calibri" w:eastAsia="Calibri" w:hAnsi="Calibri"/>
                <w:sz w:val="18"/>
                <w:szCs w:val="18"/>
                <w:b w:val="1"/>
                <w:bCs w:val="1"/>
                <w:color w:val="FFFFFF"/>
                <w:w w:val="98"/>
              </w:rPr>
              <w:t>Achieved</w:t>
            </w:r>
          </w:p>
        </w:tc>
        <w:tc>
          <w:tcPr>
            <w:tcW w:w="2460" w:type="dxa"/>
            <w:vAlign w:val="bottom"/>
            <w:tcBorders>
              <w:right w:val="single" w:sz="8" w:color="C9CAC8"/>
            </w:tcBorders>
            <w:shd w:val="clear" w:color="auto" w:fill="255985"/>
          </w:tcPr>
          <w:p>
            <w:pPr>
              <w:ind w:left="420"/>
              <w:spacing w:after="0" w:line="216" w:lineRule="exact"/>
              <w:rPr>
                <w:sz w:val="20"/>
                <w:szCs w:val="20"/>
                <w:color w:val="auto"/>
              </w:rPr>
            </w:pPr>
            <w:r>
              <w:rPr>
                <w:rFonts w:ascii="Calibri" w:cs="Calibri" w:eastAsia="Calibri" w:hAnsi="Calibri"/>
                <w:sz w:val="18"/>
                <w:szCs w:val="18"/>
                <w:b w:val="1"/>
                <w:bCs w:val="1"/>
                <w:color w:val="FFFFFF"/>
              </w:rPr>
              <w:t>Earned Revenue PSUs</w:t>
            </w:r>
          </w:p>
        </w:tc>
      </w:tr>
      <w:tr>
        <w:trPr>
          <w:trHeight w:val="111"/>
        </w:trPr>
        <w:tc>
          <w:tcPr>
            <w:tcW w:w="1080" w:type="dxa"/>
            <w:vAlign w:val="bottom"/>
            <w:tcBorders>
              <w:left w:val="single" w:sz="8" w:color="C9CAC8"/>
              <w:bottom w:val="single" w:sz="8" w:color="C9CAC8"/>
            </w:tcBorders>
            <w:gridSpan w:val="2"/>
            <w:shd w:val="clear" w:color="auto" w:fill="255985"/>
          </w:tcPr>
          <w:p>
            <w:pPr>
              <w:spacing w:after="0"/>
              <w:rPr>
                <w:sz w:val="9"/>
                <w:szCs w:val="9"/>
                <w:color w:val="auto"/>
              </w:rPr>
            </w:pPr>
          </w:p>
        </w:tc>
        <w:tc>
          <w:tcPr>
            <w:tcW w:w="1200" w:type="dxa"/>
            <w:vAlign w:val="bottom"/>
            <w:tcBorders>
              <w:bottom w:val="single" w:sz="8" w:color="C9CAC8"/>
              <w:right w:val="single" w:sz="8" w:color="C9CAC8"/>
            </w:tcBorders>
            <w:shd w:val="clear" w:color="auto" w:fill="255985"/>
          </w:tcPr>
          <w:p>
            <w:pPr>
              <w:spacing w:after="0"/>
              <w:rPr>
                <w:sz w:val="9"/>
                <w:szCs w:val="9"/>
                <w:color w:val="auto"/>
              </w:rPr>
            </w:pPr>
          </w:p>
        </w:tc>
        <w:tc>
          <w:tcPr>
            <w:tcW w:w="2680" w:type="dxa"/>
            <w:vAlign w:val="bottom"/>
            <w:tcBorders>
              <w:bottom w:val="single" w:sz="8" w:color="C9CAC8"/>
              <w:right w:val="single" w:sz="8" w:color="C9CAC8"/>
            </w:tcBorders>
            <w:shd w:val="clear" w:color="auto" w:fill="255985"/>
          </w:tcPr>
          <w:p>
            <w:pPr>
              <w:spacing w:after="0"/>
              <w:rPr>
                <w:sz w:val="9"/>
                <w:szCs w:val="9"/>
                <w:color w:val="auto"/>
              </w:rPr>
            </w:pPr>
          </w:p>
        </w:tc>
        <w:tc>
          <w:tcPr>
            <w:tcW w:w="2460" w:type="dxa"/>
            <w:vAlign w:val="bottom"/>
            <w:tcBorders>
              <w:bottom w:val="single" w:sz="8" w:color="C9CAC8"/>
              <w:right w:val="single" w:sz="8" w:color="C9CAC8"/>
            </w:tcBorders>
            <w:shd w:val="clear" w:color="auto" w:fill="255985"/>
          </w:tcPr>
          <w:p>
            <w:pPr>
              <w:spacing w:after="0"/>
              <w:rPr>
                <w:sz w:val="9"/>
                <w:szCs w:val="9"/>
                <w:color w:val="auto"/>
              </w:rPr>
            </w:pPr>
          </w:p>
        </w:tc>
      </w:tr>
      <w:tr>
        <w:trPr>
          <w:trHeight w:val="220"/>
        </w:trPr>
        <w:tc>
          <w:tcPr>
            <w:tcW w:w="2280" w:type="dxa"/>
            <w:vAlign w:val="bottom"/>
            <w:tcBorders>
              <w:left w:val="single" w:sz="8" w:color="C9CAC8"/>
              <w:right w:val="single" w:sz="8" w:color="C9CAC8"/>
            </w:tcBorders>
            <w:gridSpan w:val="3"/>
          </w:tcPr>
          <w:p>
            <w:pPr>
              <w:ind w:left="160"/>
              <w:spacing w:after="0"/>
              <w:rPr>
                <w:sz w:val="20"/>
                <w:szCs w:val="20"/>
                <w:color w:val="auto"/>
              </w:rPr>
            </w:pPr>
            <w:r>
              <w:rPr>
                <w:rFonts w:ascii="Calibri" w:cs="Calibri" w:eastAsia="Calibri" w:hAnsi="Calibri"/>
                <w:sz w:val="18"/>
                <w:szCs w:val="18"/>
                <w:color w:val="auto"/>
              </w:rPr>
              <w:t>Threshold</w:t>
            </w:r>
          </w:p>
        </w:tc>
        <w:tc>
          <w:tcPr>
            <w:tcW w:w="2680" w:type="dxa"/>
            <w:vAlign w:val="bottom"/>
            <w:tcBorders>
              <w:right w:val="single" w:sz="8" w:color="C9CAC8"/>
            </w:tcBorders>
          </w:tcPr>
          <w:p>
            <w:pPr>
              <w:jc w:val="center"/>
              <w:spacing w:after="0"/>
              <w:rPr>
                <w:sz w:val="20"/>
                <w:szCs w:val="20"/>
                <w:color w:val="auto"/>
              </w:rPr>
            </w:pPr>
            <w:r>
              <w:rPr>
                <w:rFonts w:ascii="Calibri" w:cs="Calibri" w:eastAsia="Calibri" w:hAnsi="Calibri"/>
                <w:sz w:val="18"/>
                <w:szCs w:val="18"/>
                <w:color w:val="auto"/>
                <w:w w:val="96"/>
              </w:rPr>
              <w:t>2 out of 5</w:t>
            </w:r>
          </w:p>
        </w:tc>
        <w:tc>
          <w:tcPr>
            <w:tcW w:w="2460" w:type="dxa"/>
            <w:vAlign w:val="bottom"/>
            <w:tcBorders>
              <w:right w:val="single" w:sz="8" w:color="C9CAC8"/>
            </w:tcBorders>
          </w:tcPr>
          <w:p>
            <w:pPr>
              <w:jc w:val="center"/>
              <w:spacing w:after="0"/>
              <w:rPr>
                <w:sz w:val="20"/>
                <w:szCs w:val="20"/>
                <w:color w:val="auto"/>
              </w:rPr>
            </w:pPr>
            <w:r>
              <w:rPr>
                <w:rFonts w:ascii="Calibri" w:cs="Calibri" w:eastAsia="Calibri" w:hAnsi="Calibri"/>
                <w:sz w:val="18"/>
                <w:szCs w:val="18"/>
                <w:color w:val="auto"/>
              </w:rPr>
              <w:t>50%</w:t>
            </w:r>
          </w:p>
        </w:tc>
      </w:tr>
      <w:tr>
        <w:trPr>
          <w:trHeight w:val="78"/>
        </w:trPr>
        <w:tc>
          <w:tcPr>
            <w:tcW w:w="720" w:type="dxa"/>
            <w:vAlign w:val="bottom"/>
            <w:tcBorders>
              <w:left w:val="single" w:sz="8" w:color="C9CAC8"/>
              <w:bottom w:val="single" w:sz="8" w:color="C9CAC8"/>
            </w:tcBorders>
          </w:tcPr>
          <w:p>
            <w:pPr>
              <w:spacing w:after="0"/>
              <w:rPr>
                <w:sz w:val="6"/>
                <w:szCs w:val="6"/>
                <w:color w:val="auto"/>
              </w:rPr>
            </w:pPr>
          </w:p>
        </w:tc>
        <w:tc>
          <w:tcPr>
            <w:tcW w:w="360" w:type="dxa"/>
            <w:vAlign w:val="bottom"/>
            <w:tcBorders>
              <w:bottom w:val="single" w:sz="8" w:color="C9CAC8"/>
            </w:tcBorders>
          </w:tcPr>
          <w:p>
            <w:pPr>
              <w:spacing w:after="0"/>
              <w:rPr>
                <w:sz w:val="6"/>
                <w:szCs w:val="6"/>
                <w:color w:val="auto"/>
              </w:rPr>
            </w:pPr>
          </w:p>
        </w:tc>
        <w:tc>
          <w:tcPr>
            <w:tcW w:w="1200" w:type="dxa"/>
            <w:vAlign w:val="bottom"/>
            <w:tcBorders>
              <w:bottom w:val="single" w:sz="8" w:color="C9CAC8"/>
              <w:right w:val="single" w:sz="8" w:color="C9CAC8"/>
            </w:tcBorders>
          </w:tcPr>
          <w:p>
            <w:pPr>
              <w:spacing w:after="0"/>
              <w:rPr>
                <w:sz w:val="6"/>
                <w:szCs w:val="6"/>
                <w:color w:val="auto"/>
              </w:rPr>
            </w:pPr>
          </w:p>
        </w:tc>
        <w:tc>
          <w:tcPr>
            <w:tcW w:w="2680" w:type="dxa"/>
            <w:vAlign w:val="bottom"/>
            <w:tcBorders>
              <w:bottom w:val="single" w:sz="8" w:color="C9CAC8"/>
              <w:right w:val="single" w:sz="8" w:color="C9CAC8"/>
            </w:tcBorders>
          </w:tcPr>
          <w:p>
            <w:pPr>
              <w:spacing w:after="0"/>
              <w:rPr>
                <w:sz w:val="6"/>
                <w:szCs w:val="6"/>
                <w:color w:val="auto"/>
              </w:rPr>
            </w:pPr>
          </w:p>
        </w:tc>
        <w:tc>
          <w:tcPr>
            <w:tcW w:w="2460" w:type="dxa"/>
            <w:vAlign w:val="bottom"/>
            <w:tcBorders>
              <w:bottom w:val="single" w:sz="8" w:color="C9CAC8"/>
              <w:right w:val="single" w:sz="8" w:color="C9CAC8"/>
            </w:tcBorders>
          </w:tcPr>
          <w:p>
            <w:pPr>
              <w:spacing w:after="0"/>
              <w:rPr>
                <w:sz w:val="6"/>
                <w:szCs w:val="6"/>
                <w:color w:val="auto"/>
              </w:rPr>
            </w:pPr>
          </w:p>
        </w:tc>
      </w:tr>
      <w:tr>
        <w:trPr>
          <w:trHeight w:val="240"/>
        </w:trPr>
        <w:tc>
          <w:tcPr>
            <w:tcW w:w="720" w:type="dxa"/>
            <w:vAlign w:val="bottom"/>
            <w:tcBorders>
              <w:left w:val="single" w:sz="8" w:color="C9CAC8"/>
            </w:tcBorders>
          </w:tcPr>
          <w:p>
            <w:pPr>
              <w:ind w:left="160"/>
              <w:spacing w:after="0"/>
              <w:rPr>
                <w:sz w:val="20"/>
                <w:szCs w:val="20"/>
                <w:color w:val="auto"/>
              </w:rPr>
            </w:pPr>
            <w:r>
              <w:rPr>
                <w:rFonts w:ascii="Calibri" w:cs="Calibri" w:eastAsia="Calibri" w:hAnsi="Calibri"/>
                <w:sz w:val="18"/>
                <w:szCs w:val="18"/>
                <w:color w:val="auto"/>
              </w:rPr>
              <w:t>Target</w:t>
            </w:r>
          </w:p>
        </w:tc>
        <w:tc>
          <w:tcPr>
            <w:tcW w:w="360" w:type="dxa"/>
            <w:vAlign w:val="bottom"/>
          </w:tcPr>
          <w:p>
            <w:pPr>
              <w:spacing w:after="0"/>
              <w:rPr>
                <w:sz w:val="20"/>
                <w:szCs w:val="20"/>
                <w:color w:val="auto"/>
              </w:rPr>
            </w:pPr>
          </w:p>
        </w:tc>
        <w:tc>
          <w:tcPr>
            <w:tcW w:w="1200" w:type="dxa"/>
            <w:vAlign w:val="bottom"/>
            <w:tcBorders>
              <w:right w:val="single" w:sz="8" w:color="C9CAC8"/>
            </w:tcBorders>
          </w:tcPr>
          <w:p>
            <w:pPr>
              <w:spacing w:after="0"/>
              <w:rPr>
                <w:sz w:val="20"/>
                <w:szCs w:val="20"/>
                <w:color w:val="auto"/>
              </w:rPr>
            </w:pPr>
          </w:p>
        </w:tc>
        <w:tc>
          <w:tcPr>
            <w:tcW w:w="2680" w:type="dxa"/>
            <w:vAlign w:val="bottom"/>
            <w:tcBorders>
              <w:right w:val="single" w:sz="8" w:color="C9CAC8"/>
            </w:tcBorders>
          </w:tcPr>
          <w:p>
            <w:pPr>
              <w:jc w:val="center"/>
              <w:spacing w:after="0"/>
              <w:rPr>
                <w:sz w:val="20"/>
                <w:szCs w:val="20"/>
                <w:color w:val="auto"/>
              </w:rPr>
            </w:pPr>
            <w:r>
              <w:rPr>
                <w:rFonts w:ascii="Calibri" w:cs="Calibri" w:eastAsia="Calibri" w:hAnsi="Calibri"/>
                <w:sz w:val="18"/>
                <w:szCs w:val="18"/>
                <w:color w:val="auto"/>
                <w:w w:val="96"/>
              </w:rPr>
              <w:t>3 out of 5</w:t>
            </w:r>
          </w:p>
        </w:tc>
        <w:tc>
          <w:tcPr>
            <w:tcW w:w="2460" w:type="dxa"/>
            <w:vAlign w:val="bottom"/>
            <w:tcBorders>
              <w:right w:val="single" w:sz="8" w:color="C9CAC8"/>
            </w:tcBorders>
          </w:tcPr>
          <w:p>
            <w:pPr>
              <w:jc w:val="center"/>
              <w:spacing w:after="0"/>
              <w:rPr>
                <w:sz w:val="20"/>
                <w:szCs w:val="20"/>
                <w:color w:val="auto"/>
              </w:rPr>
            </w:pPr>
            <w:r>
              <w:rPr>
                <w:rFonts w:ascii="Calibri" w:cs="Calibri" w:eastAsia="Calibri" w:hAnsi="Calibri"/>
                <w:sz w:val="18"/>
                <w:szCs w:val="18"/>
                <w:color w:val="auto"/>
                <w:w w:val="99"/>
              </w:rPr>
              <w:t>100%</w:t>
            </w:r>
          </w:p>
        </w:tc>
      </w:tr>
      <w:tr>
        <w:trPr>
          <w:trHeight w:val="77"/>
        </w:trPr>
        <w:tc>
          <w:tcPr>
            <w:tcW w:w="720" w:type="dxa"/>
            <w:vAlign w:val="bottom"/>
            <w:tcBorders>
              <w:left w:val="single" w:sz="8" w:color="C9CAC8"/>
              <w:bottom w:val="single" w:sz="8" w:color="C9CAC8"/>
            </w:tcBorders>
          </w:tcPr>
          <w:p>
            <w:pPr>
              <w:spacing w:after="0"/>
              <w:rPr>
                <w:sz w:val="6"/>
                <w:szCs w:val="6"/>
                <w:color w:val="auto"/>
              </w:rPr>
            </w:pPr>
          </w:p>
        </w:tc>
        <w:tc>
          <w:tcPr>
            <w:tcW w:w="360" w:type="dxa"/>
            <w:vAlign w:val="bottom"/>
            <w:tcBorders>
              <w:bottom w:val="single" w:sz="8" w:color="C9CAC8"/>
            </w:tcBorders>
          </w:tcPr>
          <w:p>
            <w:pPr>
              <w:spacing w:after="0"/>
              <w:rPr>
                <w:sz w:val="6"/>
                <w:szCs w:val="6"/>
                <w:color w:val="auto"/>
              </w:rPr>
            </w:pPr>
          </w:p>
        </w:tc>
        <w:tc>
          <w:tcPr>
            <w:tcW w:w="1200" w:type="dxa"/>
            <w:vAlign w:val="bottom"/>
            <w:tcBorders>
              <w:bottom w:val="single" w:sz="8" w:color="C9CAC8"/>
              <w:right w:val="single" w:sz="8" w:color="C9CAC8"/>
            </w:tcBorders>
          </w:tcPr>
          <w:p>
            <w:pPr>
              <w:spacing w:after="0"/>
              <w:rPr>
                <w:sz w:val="6"/>
                <w:szCs w:val="6"/>
                <w:color w:val="auto"/>
              </w:rPr>
            </w:pPr>
          </w:p>
        </w:tc>
        <w:tc>
          <w:tcPr>
            <w:tcW w:w="2680" w:type="dxa"/>
            <w:vAlign w:val="bottom"/>
            <w:tcBorders>
              <w:bottom w:val="single" w:sz="8" w:color="C9CAC8"/>
              <w:right w:val="single" w:sz="8" w:color="C9CAC8"/>
            </w:tcBorders>
          </w:tcPr>
          <w:p>
            <w:pPr>
              <w:spacing w:after="0"/>
              <w:rPr>
                <w:sz w:val="6"/>
                <w:szCs w:val="6"/>
                <w:color w:val="auto"/>
              </w:rPr>
            </w:pPr>
          </w:p>
        </w:tc>
        <w:tc>
          <w:tcPr>
            <w:tcW w:w="2460" w:type="dxa"/>
            <w:vAlign w:val="bottom"/>
            <w:tcBorders>
              <w:bottom w:val="single" w:sz="8" w:color="C9CAC8"/>
              <w:right w:val="single" w:sz="8" w:color="C9CAC8"/>
            </w:tcBorders>
          </w:tcPr>
          <w:p>
            <w:pPr>
              <w:spacing w:after="0"/>
              <w:rPr>
                <w:sz w:val="6"/>
                <w:szCs w:val="6"/>
                <w:color w:val="auto"/>
              </w:rPr>
            </w:pPr>
          </w:p>
        </w:tc>
      </w:tr>
      <w:tr>
        <w:trPr>
          <w:trHeight w:val="240"/>
        </w:trPr>
        <w:tc>
          <w:tcPr>
            <w:tcW w:w="720" w:type="dxa"/>
            <w:vAlign w:val="bottom"/>
            <w:tcBorders>
              <w:left w:val="single" w:sz="8" w:color="C9CAC8"/>
            </w:tcBorders>
          </w:tcPr>
          <w:p>
            <w:pPr>
              <w:ind w:left="160"/>
              <w:spacing w:after="0"/>
              <w:rPr>
                <w:sz w:val="20"/>
                <w:szCs w:val="20"/>
                <w:color w:val="auto"/>
              </w:rPr>
            </w:pPr>
            <w:r>
              <w:rPr>
                <w:rFonts w:ascii="Calibri" w:cs="Calibri" w:eastAsia="Calibri" w:hAnsi="Calibri"/>
                <w:sz w:val="18"/>
                <w:szCs w:val="18"/>
                <w:color w:val="auto"/>
              </w:rPr>
              <w:t>Stretch</w:t>
            </w:r>
          </w:p>
        </w:tc>
        <w:tc>
          <w:tcPr>
            <w:tcW w:w="360" w:type="dxa"/>
            <w:vAlign w:val="bottom"/>
          </w:tcPr>
          <w:p>
            <w:pPr>
              <w:spacing w:after="0"/>
              <w:rPr>
                <w:sz w:val="20"/>
                <w:szCs w:val="20"/>
                <w:color w:val="auto"/>
              </w:rPr>
            </w:pPr>
          </w:p>
        </w:tc>
        <w:tc>
          <w:tcPr>
            <w:tcW w:w="1200" w:type="dxa"/>
            <w:vAlign w:val="bottom"/>
            <w:tcBorders>
              <w:right w:val="single" w:sz="8" w:color="C9CAC8"/>
            </w:tcBorders>
          </w:tcPr>
          <w:p>
            <w:pPr>
              <w:spacing w:after="0"/>
              <w:rPr>
                <w:sz w:val="20"/>
                <w:szCs w:val="20"/>
                <w:color w:val="auto"/>
              </w:rPr>
            </w:pPr>
          </w:p>
        </w:tc>
        <w:tc>
          <w:tcPr>
            <w:tcW w:w="2680" w:type="dxa"/>
            <w:vAlign w:val="bottom"/>
            <w:tcBorders>
              <w:right w:val="single" w:sz="8" w:color="C9CAC8"/>
            </w:tcBorders>
          </w:tcPr>
          <w:p>
            <w:pPr>
              <w:jc w:val="center"/>
              <w:spacing w:after="0"/>
              <w:rPr>
                <w:sz w:val="20"/>
                <w:szCs w:val="20"/>
                <w:color w:val="auto"/>
              </w:rPr>
            </w:pPr>
            <w:r>
              <w:rPr>
                <w:rFonts w:ascii="Calibri" w:cs="Calibri" w:eastAsia="Calibri" w:hAnsi="Calibri"/>
                <w:sz w:val="18"/>
                <w:szCs w:val="18"/>
                <w:color w:val="auto"/>
                <w:w w:val="96"/>
              </w:rPr>
              <w:t>4 out of 5</w:t>
            </w:r>
          </w:p>
        </w:tc>
        <w:tc>
          <w:tcPr>
            <w:tcW w:w="2460" w:type="dxa"/>
            <w:vAlign w:val="bottom"/>
            <w:tcBorders>
              <w:right w:val="single" w:sz="8" w:color="C9CAC8"/>
            </w:tcBorders>
          </w:tcPr>
          <w:p>
            <w:pPr>
              <w:jc w:val="center"/>
              <w:spacing w:after="0"/>
              <w:rPr>
                <w:sz w:val="20"/>
                <w:szCs w:val="20"/>
                <w:color w:val="auto"/>
              </w:rPr>
            </w:pPr>
            <w:r>
              <w:rPr>
                <w:rFonts w:ascii="Calibri" w:cs="Calibri" w:eastAsia="Calibri" w:hAnsi="Calibri"/>
                <w:sz w:val="18"/>
                <w:szCs w:val="18"/>
                <w:color w:val="auto"/>
                <w:w w:val="99"/>
              </w:rPr>
              <w:t>150%</w:t>
            </w:r>
          </w:p>
        </w:tc>
      </w:tr>
      <w:tr>
        <w:trPr>
          <w:trHeight w:val="77"/>
        </w:trPr>
        <w:tc>
          <w:tcPr>
            <w:tcW w:w="1080" w:type="dxa"/>
            <w:vAlign w:val="bottom"/>
            <w:tcBorders>
              <w:left w:val="single" w:sz="8" w:color="C9CAC8"/>
              <w:bottom w:val="single" w:sz="8" w:color="C9CAC8"/>
            </w:tcBorders>
            <w:gridSpan w:val="2"/>
          </w:tcPr>
          <w:p>
            <w:pPr>
              <w:spacing w:after="0"/>
              <w:rPr>
                <w:sz w:val="6"/>
                <w:szCs w:val="6"/>
                <w:color w:val="auto"/>
              </w:rPr>
            </w:pPr>
          </w:p>
        </w:tc>
        <w:tc>
          <w:tcPr>
            <w:tcW w:w="1200" w:type="dxa"/>
            <w:vAlign w:val="bottom"/>
            <w:tcBorders>
              <w:bottom w:val="single" w:sz="8" w:color="C9CAC8"/>
              <w:right w:val="single" w:sz="8" w:color="C9CAC8"/>
            </w:tcBorders>
          </w:tcPr>
          <w:p>
            <w:pPr>
              <w:spacing w:after="0"/>
              <w:rPr>
                <w:sz w:val="6"/>
                <w:szCs w:val="6"/>
                <w:color w:val="auto"/>
              </w:rPr>
            </w:pPr>
          </w:p>
        </w:tc>
        <w:tc>
          <w:tcPr>
            <w:tcW w:w="2680" w:type="dxa"/>
            <w:vAlign w:val="bottom"/>
            <w:tcBorders>
              <w:bottom w:val="single" w:sz="8" w:color="C9CAC8"/>
              <w:right w:val="single" w:sz="8" w:color="C9CAC8"/>
            </w:tcBorders>
          </w:tcPr>
          <w:p>
            <w:pPr>
              <w:spacing w:after="0"/>
              <w:rPr>
                <w:sz w:val="6"/>
                <w:szCs w:val="6"/>
                <w:color w:val="auto"/>
              </w:rPr>
            </w:pPr>
          </w:p>
        </w:tc>
        <w:tc>
          <w:tcPr>
            <w:tcW w:w="2460" w:type="dxa"/>
            <w:vAlign w:val="bottom"/>
            <w:tcBorders>
              <w:bottom w:val="single" w:sz="8" w:color="C9CAC8"/>
              <w:right w:val="single" w:sz="8" w:color="C9CAC8"/>
            </w:tcBorders>
          </w:tcPr>
          <w:p>
            <w:pPr>
              <w:spacing w:after="0"/>
              <w:rPr>
                <w:sz w:val="6"/>
                <w:szCs w:val="6"/>
                <w:color w:val="auto"/>
              </w:rPr>
            </w:pPr>
          </w:p>
        </w:tc>
      </w:tr>
      <w:tr>
        <w:trPr>
          <w:trHeight w:val="240"/>
        </w:trPr>
        <w:tc>
          <w:tcPr>
            <w:tcW w:w="2280" w:type="dxa"/>
            <w:vAlign w:val="bottom"/>
            <w:tcBorders>
              <w:left w:val="single" w:sz="8" w:color="C9CAC8"/>
              <w:right w:val="single" w:sz="8" w:color="C9CAC8"/>
            </w:tcBorders>
            <w:gridSpan w:val="3"/>
          </w:tcPr>
          <w:p>
            <w:pPr>
              <w:ind w:left="160"/>
              <w:spacing w:after="0"/>
              <w:rPr>
                <w:sz w:val="20"/>
                <w:szCs w:val="20"/>
                <w:color w:val="auto"/>
              </w:rPr>
            </w:pPr>
            <w:r>
              <w:rPr>
                <w:rFonts w:ascii="Calibri" w:cs="Calibri" w:eastAsia="Calibri" w:hAnsi="Calibri"/>
                <w:sz w:val="18"/>
                <w:szCs w:val="18"/>
                <w:color w:val="auto"/>
              </w:rPr>
              <w:t>Maximum</w:t>
            </w:r>
          </w:p>
        </w:tc>
        <w:tc>
          <w:tcPr>
            <w:tcW w:w="2680" w:type="dxa"/>
            <w:vAlign w:val="bottom"/>
            <w:tcBorders>
              <w:right w:val="single" w:sz="8" w:color="C9CAC8"/>
            </w:tcBorders>
          </w:tcPr>
          <w:p>
            <w:pPr>
              <w:jc w:val="center"/>
              <w:spacing w:after="0"/>
              <w:rPr>
                <w:sz w:val="20"/>
                <w:szCs w:val="20"/>
                <w:color w:val="auto"/>
              </w:rPr>
            </w:pPr>
            <w:r>
              <w:rPr>
                <w:rFonts w:ascii="Calibri" w:cs="Calibri" w:eastAsia="Calibri" w:hAnsi="Calibri"/>
                <w:sz w:val="18"/>
                <w:szCs w:val="18"/>
                <w:color w:val="auto"/>
                <w:w w:val="96"/>
              </w:rPr>
              <w:t>5 out of 5</w:t>
            </w:r>
          </w:p>
        </w:tc>
        <w:tc>
          <w:tcPr>
            <w:tcW w:w="2460" w:type="dxa"/>
            <w:vAlign w:val="bottom"/>
            <w:tcBorders>
              <w:right w:val="single" w:sz="8" w:color="C9CAC8"/>
            </w:tcBorders>
          </w:tcPr>
          <w:p>
            <w:pPr>
              <w:jc w:val="center"/>
              <w:spacing w:after="0"/>
              <w:rPr>
                <w:sz w:val="20"/>
                <w:szCs w:val="20"/>
                <w:color w:val="auto"/>
              </w:rPr>
            </w:pPr>
            <w:r>
              <w:rPr>
                <w:rFonts w:ascii="Calibri" w:cs="Calibri" w:eastAsia="Calibri" w:hAnsi="Calibri"/>
                <w:sz w:val="18"/>
                <w:szCs w:val="18"/>
                <w:color w:val="auto"/>
                <w:w w:val="99"/>
              </w:rPr>
              <w:t>200%</w:t>
            </w:r>
          </w:p>
        </w:tc>
      </w:tr>
      <w:tr>
        <w:trPr>
          <w:trHeight w:val="77"/>
        </w:trPr>
        <w:tc>
          <w:tcPr>
            <w:tcW w:w="720" w:type="dxa"/>
            <w:vAlign w:val="bottom"/>
            <w:tcBorders>
              <w:left w:val="single" w:sz="8" w:color="C9CAC8"/>
              <w:bottom w:val="single" w:sz="8" w:color="C9CAC8"/>
            </w:tcBorders>
          </w:tcPr>
          <w:p>
            <w:pPr>
              <w:spacing w:after="0"/>
              <w:rPr>
                <w:sz w:val="6"/>
                <w:szCs w:val="6"/>
                <w:color w:val="auto"/>
              </w:rPr>
            </w:pPr>
          </w:p>
        </w:tc>
        <w:tc>
          <w:tcPr>
            <w:tcW w:w="360" w:type="dxa"/>
            <w:vAlign w:val="bottom"/>
            <w:tcBorders>
              <w:bottom w:val="single" w:sz="8" w:color="C9CAC8"/>
            </w:tcBorders>
          </w:tcPr>
          <w:p>
            <w:pPr>
              <w:spacing w:after="0"/>
              <w:rPr>
                <w:sz w:val="6"/>
                <w:szCs w:val="6"/>
                <w:color w:val="auto"/>
              </w:rPr>
            </w:pPr>
          </w:p>
        </w:tc>
        <w:tc>
          <w:tcPr>
            <w:tcW w:w="1200" w:type="dxa"/>
            <w:vAlign w:val="bottom"/>
            <w:tcBorders>
              <w:bottom w:val="single" w:sz="8" w:color="C9CAC8"/>
              <w:right w:val="single" w:sz="8" w:color="C9CAC8"/>
            </w:tcBorders>
          </w:tcPr>
          <w:p>
            <w:pPr>
              <w:spacing w:after="0"/>
              <w:rPr>
                <w:sz w:val="6"/>
                <w:szCs w:val="6"/>
                <w:color w:val="auto"/>
              </w:rPr>
            </w:pPr>
          </w:p>
        </w:tc>
        <w:tc>
          <w:tcPr>
            <w:tcW w:w="2680" w:type="dxa"/>
            <w:vAlign w:val="bottom"/>
            <w:tcBorders>
              <w:bottom w:val="single" w:sz="8" w:color="C9CAC8"/>
              <w:right w:val="single" w:sz="8" w:color="C9CAC8"/>
            </w:tcBorders>
          </w:tcPr>
          <w:p>
            <w:pPr>
              <w:spacing w:after="0"/>
              <w:rPr>
                <w:sz w:val="6"/>
                <w:szCs w:val="6"/>
                <w:color w:val="auto"/>
              </w:rPr>
            </w:pPr>
          </w:p>
        </w:tc>
        <w:tc>
          <w:tcPr>
            <w:tcW w:w="2460" w:type="dxa"/>
            <w:vAlign w:val="bottom"/>
            <w:tcBorders>
              <w:bottom w:val="single" w:sz="8" w:color="C9CAC8"/>
              <w:right w:val="single" w:sz="8" w:color="C9CAC8"/>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Appendix C to Performance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0" w:name="page181"/>
    <w:bookmarkEnd w:id="180"/>
    <w:p>
      <w:pPr>
        <w:ind w:left="7940"/>
        <w:spacing w:after="0"/>
        <w:rPr>
          <w:sz w:val="20"/>
          <w:szCs w:val="20"/>
          <w:color w:val="auto"/>
        </w:rPr>
      </w:pPr>
      <w:r>
        <w:rPr>
          <w:rFonts w:ascii="Calibri" w:cs="Calibri" w:eastAsia="Calibri" w:hAnsi="Calibri"/>
          <w:sz w:val="16"/>
          <w:szCs w:val="16"/>
          <w:b w:val="1"/>
          <w:bCs w:val="1"/>
          <w:u w:val="single" w:color="auto"/>
          <w:color w:val="auto"/>
        </w:rPr>
        <w:t>Exhibit 10.77</w:t>
      </w:r>
    </w:p>
    <w:p>
      <w:pPr>
        <w:spacing w:after="0" w:line="61" w:lineRule="exact"/>
        <w:rPr>
          <w:sz w:val="20"/>
          <w:szCs w:val="20"/>
          <w:color w:val="auto"/>
        </w:rPr>
      </w:pPr>
    </w:p>
    <w:p>
      <w:pPr>
        <w:jc w:val="center"/>
        <w:ind w:right="-259"/>
        <w:spacing w:after="0"/>
        <w:rPr>
          <w:sz w:val="20"/>
          <w:szCs w:val="20"/>
          <w:color w:val="auto"/>
        </w:rPr>
      </w:pPr>
      <w:r>
        <w:rPr>
          <w:rFonts w:ascii="Calibri" w:cs="Calibri" w:eastAsia="Calibri" w:hAnsi="Calibri"/>
          <w:sz w:val="20"/>
          <w:szCs w:val="20"/>
          <w:b w:val="1"/>
          <w:bCs w:val="1"/>
          <w:color w:val="auto"/>
        </w:rPr>
        <w:t>Addendum #7 To The Lease Dated on or about July 1, 2011 By and Between</w:t>
      </w:r>
    </w:p>
    <w:p>
      <w:pPr>
        <w:jc w:val="center"/>
        <w:ind w:right="-259"/>
        <w:spacing w:after="0" w:line="238" w:lineRule="auto"/>
        <w:rPr>
          <w:sz w:val="20"/>
          <w:szCs w:val="20"/>
          <w:color w:val="auto"/>
        </w:rPr>
      </w:pPr>
      <w:r>
        <w:rPr>
          <w:rFonts w:ascii="Calibri" w:cs="Calibri" w:eastAsia="Calibri" w:hAnsi="Calibri"/>
          <w:sz w:val="20"/>
          <w:szCs w:val="20"/>
          <w:b w:val="1"/>
          <w:bCs w:val="1"/>
          <w:color w:val="auto"/>
        </w:rPr>
        <w:t>Condiot Enterprises, Inc. ("Lessor") And Ultragenyx Pharmaceutcal Inc.</w:t>
      </w:r>
    </w:p>
    <w:p>
      <w:pPr>
        <w:jc w:val="center"/>
        <w:ind w:right="-299"/>
        <w:spacing w:after="0"/>
        <w:rPr>
          <w:sz w:val="20"/>
          <w:szCs w:val="20"/>
          <w:color w:val="auto"/>
        </w:rPr>
      </w:pPr>
      <w:r>
        <w:rPr>
          <w:rFonts w:ascii="Calibri" w:cs="Calibri" w:eastAsia="Calibri" w:hAnsi="Calibri"/>
          <w:sz w:val="20"/>
          <w:szCs w:val="20"/>
          <w:b w:val="1"/>
          <w:bCs w:val="1"/>
          <w:color w:val="auto"/>
        </w:rPr>
        <w:t>("Lessee")</w:t>
      </w:r>
    </w:p>
    <w:p>
      <w:pPr>
        <w:spacing w:after="0" w:line="200" w:lineRule="exact"/>
        <w:rPr>
          <w:sz w:val="20"/>
          <w:szCs w:val="20"/>
          <w:color w:val="auto"/>
        </w:rPr>
      </w:pPr>
    </w:p>
    <w:p>
      <w:pPr>
        <w:spacing w:after="0" w:line="213" w:lineRule="exact"/>
        <w:rPr>
          <w:sz w:val="20"/>
          <w:szCs w:val="20"/>
          <w:color w:val="auto"/>
        </w:rPr>
      </w:pPr>
    </w:p>
    <w:p>
      <w:pPr>
        <w:ind w:left="120"/>
        <w:spacing w:after="0" w:line="237" w:lineRule="auto"/>
        <w:rPr>
          <w:sz w:val="20"/>
          <w:szCs w:val="20"/>
          <w:color w:val="auto"/>
        </w:rPr>
      </w:pPr>
      <w:r>
        <w:rPr>
          <w:rFonts w:ascii="Calibri" w:cs="Calibri" w:eastAsia="Calibri" w:hAnsi="Calibri"/>
          <w:sz w:val="20"/>
          <w:szCs w:val="20"/>
          <w:color w:val="auto"/>
        </w:rPr>
        <w:t>On or about July 1, 2011 Lessor and Lessee entered into a lease and Addendum 1 for approximately 19,916 square feet, comprising the entre second foor of the Premises located at 60 Leveroni Court, Novato, California. Subsequent to the executon of that Lease, the partes have executed Addenda two through six (together, the "Lease"), which, in additon to such other terms and conditons agreed to facilitate operaton of the Lease and the subject changes, have extended the term of the Lease to December 31, 2024 and expanded the space to include all of the Premises at 60 Leveroni Court (approximately 43,517 sf) and all of the Premises at 52 Leveroni Court (approximately 20,343 sf) and the frst foor of the Premises located at 68 Leveroni Court (approximately 10,408 sf), bringing the total square footage subject to the Lease and Addenda to approximately 74,268 square feet.</w:t>
      </w:r>
    </w:p>
    <w:p>
      <w:pPr>
        <w:spacing w:after="0" w:line="152" w:lineRule="exact"/>
        <w:rPr>
          <w:sz w:val="20"/>
          <w:szCs w:val="20"/>
          <w:color w:val="auto"/>
        </w:rPr>
      </w:pPr>
    </w:p>
    <w:p>
      <w:pPr>
        <w:ind w:left="120"/>
        <w:spacing w:after="0"/>
        <w:rPr>
          <w:sz w:val="20"/>
          <w:szCs w:val="20"/>
          <w:color w:val="auto"/>
        </w:rPr>
      </w:pPr>
      <w:r>
        <w:rPr>
          <w:rFonts w:ascii="Calibri" w:cs="Calibri" w:eastAsia="Calibri" w:hAnsi="Calibri"/>
          <w:sz w:val="20"/>
          <w:szCs w:val="20"/>
          <w:color w:val="auto"/>
        </w:rPr>
        <w:t>Now, therefore, the partes do wish to amend the Lease further as follows:</w:t>
      </w:r>
    </w:p>
    <w:p>
      <w:pPr>
        <w:spacing w:after="0" w:line="174" w:lineRule="exact"/>
        <w:rPr>
          <w:sz w:val="20"/>
          <w:szCs w:val="20"/>
          <w:color w:val="auto"/>
        </w:rPr>
      </w:pPr>
    </w:p>
    <w:p>
      <w:pPr>
        <w:ind w:left="600" w:hanging="478"/>
        <w:spacing w:after="0"/>
        <w:tabs>
          <w:tab w:leader="none" w:pos="600" w:val="left"/>
        </w:tabs>
        <w:numPr>
          <w:ilvl w:val="0"/>
          <w:numId w:val="156"/>
        </w:numPr>
        <w:rPr>
          <w:rFonts w:ascii="Arial" w:cs="Arial" w:eastAsia="Arial" w:hAnsi="Arial"/>
          <w:sz w:val="20"/>
          <w:szCs w:val="20"/>
          <w:color w:val="auto"/>
        </w:rPr>
      </w:pPr>
      <w:r>
        <w:rPr>
          <w:rFonts w:ascii="Calibri" w:cs="Calibri" w:eastAsia="Calibri" w:hAnsi="Calibri"/>
          <w:sz w:val="20"/>
          <w:szCs w:val="20"/>
          <w:color w:val="auto"/>
        </w:rPr>
        <w:t>The partes agree to extend the Term of the Lease to expire on December 31, 2026.</w:t>
      </w:r>
    </w:p>
    <w:p>
      <w:pPr>
        <w:spacing w:after="0" w:line="173" w:lineRule="exact"/>
        <w:rPr>
          <w:sz w:val="20"/>
          <w:szCs w:val="20"/>
          <w:color w:val="auto"/>
        </w:rPr>
      </w:pPr>
    </w:p>
    <w:p>
      <w:pPr>
        <w:ind w:left="100" w:right="300"/>
        <w:spacing w:after="0" w:line="239" w:lineRule="auto"/>
        <w:rPr>
          <w:sz w:val="20"/>
          <w:szCs w:val="20"/>
          <w:color w:val="auto"/>
        </w:rPr>
      </w:pPr>
      <w:r>
        <w:rPr>
          <w:rFonts w:ascii="Arial" w:cs="Arial" w:eastAsia="Arial" w:hAnsi="Arial"/>
          <w:sz w:val="20"/>
          <w:szCs w:val="20"/>
          <w:color w:val="auto"/>
        </w:rPr>
        <w:t>113.</w:t>
      </w:r>
      <w:r>
        <w:rPr>
          <w:rFonts w:ascii="Calibri" w:cs="Calibri" w:eastAsia="Calibri" w:hAnsi="Calibri"/>
          <w:sz w:val="20"/>
          <w:szCs w:val="20"/>
          <w:color w:val="auto"/>
        </w:rPr>
        <w:t>Upon executon of this Addendum #7, Tenant will vacate and surrender the Premises at 68 Leveroni Court and terminate its</w:t>
      </w:r>
      <w:r>
        <w:rPr>
          <w:rFonts w:ascii="Arial" w:cs="Arial" w:eastAsia="Arial" w:hAnsi="Arial"/>
          <w:sz w:val="20"/>
          <w:szCs w:val="20"/>
          <w:color w:val="auto"/>
        </w:rPr>
        <w:t xml:space="preserve"> </w:t>
      </w:r>
      <w:r>
        <w:rPr>
          <w:rFonts w:ascii="Calibri" w:cs="Calibri" w:eastAsia="Calibri" w:hAnsi="Calibri"/>
          <w:sz w:val="20"/>
          <w:szCs w:val="20"/>
          <w:color w:val="auto"/>
        </w:rPr>
        <w:t>obligatons under the Lease with respect to 68 Leveroni Court. Tenant shall ensure that upon executon of this Addendum, it will surrender of the Premises at 68 Leveroni Court to Landlord as required; specifcally broom clean conditon, removal of cabling, removal of telephone and internet wiring, removal of security equipment and wiring and removal of all personal property.</w:t>
      </w:r>
    </w:p>
    <w:p>
      <w:pPr>
        <w:spacing w:after="0" w:line="162" w:lineRule="exact"/>
        <w:rPr>
          <w:sz w:val="20"/>
          <w:szCs w:val="20"/>
          <w:color w:val="auto"/>
        </w:rPr>
      </w:pPr>
    </w:p>
    <w:p>
      <w:pPr>
        <w:ind w:left="100" w:right="80"/>
        <w:spacing w:after="0" w:line="239" w:lineRule="auto"/>
        <w:rPr>
          <w:sz w:val="20"/>
          <w:szCs w:val="20"/>
          <w:color w:val="auto"/>
        </w:rPr>
      </w:pPr>
      <w:r>
        <w:rPr>
          <w:rFonts w:ascii="Arial" w:cs="Arial" w:eastAsia="Arial" w:hAnsi="Arial"/>
          <w:sz w:val="20"/>
          <w:szCs w:val="20"/>
          <w:color w:val="auto"/>
        </w:rPr>
        <w:t>114.</w:t>
      </w:r>
      <w:r>
        <w:rPr>
          <w:rFonts w:ascii="Calibri" w:cs="Calibri" w:eastAsia="Calibri" w:hAnsi="Calibri"/>
          <w:sz w:val="20"/>
          <w:szCs w:val="20"/>
          <w:color w:val="auto"/>
        </w:rPr>
        <w:t>Tenant acknowledges and agrees that it accepts the retained Premises at 52 Leveroni Court and 60 Leveroni Court “AS-IS,”</w:t>
      </w:r>
      <w:r>
        <w:rPr>
          <w:rFonts w:ascii="Arial" w:cs="Arial" w:eastAsia="Arial" w:hAnsi="Arial"/>
          <w:sz w:val="20"/>
          <w:szCs w:val="20"/>
          <w:color w:val="auto"/>
        </w:rPr>
        <w:t xml:space="preserve"> </w:t>
      </w:r>
      <w:r>
        <w:rPr>
          <w:rFonts w:ascii="Calibri" w:cs="Calibri" w:eastAsia="Calibri" w:hAnsi="Calibri"/>
          <w:sz w:val="20"/>
          <w:szCs w:val="20"/>
          <w:color w:val="auto"/>
        </w:rPr>
        <w:t>subject to the water leaks and HVAC units as notfed by Tenant to Landlord in emails dated January 26, 2024, July 3, 2024, and July 31, 2024.</w:t>
      </w:r>
    </w:p>
    <w:p>
      <w:pPr>
        <w:spacing w:after="0" w:line="148" w:lineRule="exact"/>
        <w:rPr>
          <w:sz w:val="20"/>
          <w:szCs w:val="20"/>
          <w:color w:val="auto"/>
        </w:rPr>
      </w:pPr>
    </w:p>
    <w:p>
      <w:pPr>
        <w:jc w:val="both"/>
        <w:ind w:left="100" w:right="200"/>
        <w:spacing w:after="0" w:line="239" w:lineRule="auto"/>
        <w:rPr>
          <w:sz w:val="20"/>
          <w:szCs w:val="20"/>
          <w:color w:val="auto"/>
        </w:rPr>
      </w:pPr>
      <w:r>
        <w:rPr>
          <w:rFonts w:ascii="Arial" w:cs="Arial" w:eastAsia="Arial" w:hAnsi="Arial"/>
          <w:sz w:val="20"/>
          <w:szCs w:val="20"/>
          <w:color w:val="auto"/>
        </w:rPr>
        <w:t>115.</w:t>
      </w:r>
      <w:r>
        <w:rPr>
          <w:rFonts w:ascii="Calibri" w:cs="Calibri" w:eastAsia="Calibri" w:hAnsi="Calibri"/>
          <w:sz w:val="20"/>
          <w:szCs w:val="20"/>
          <w:color w:val="auto"/>
        </w:rPr>
        <w:t>Base Monthly Rent for the remaining Premises at 52 and 60 Leveroni Court (approx. 63,860 sf) for the period January 1, 2025</w:t>
      </w:r>
      <w:r>
        <w:rPr>
          <w:rFonts w:ascii="Arial" w:cs="Arial" w:eastAsia="Arial" w:hAnsi="Arial"/>
          <w:sz w:val="20"/>
          <w:szCs w:val="20"/>
          <w:color w:val="auto"/>
        </w:rPr>
        <w:t xml:space="preserve"> </w:t>
      </w:r>
      <w:r>
        <w:rPr>
          <w:rFonts w:ascii="Calibri" w:cs="Calibri" w:eastAsia="Calibri" w:hAnsi="Calibri"/>
          <w:sz w:val="20"/>
          <w:szCs w:val="20"/>
          <w:color w:val="auto"/>
        </w:rPr>
        <w:t>through December 31, 2025 shall be at $102,176.00, and for the period of January 1, 2026 through December 31, 2026 shall be at $105,369.00.</w:t>
      </w:r>
    </w:p>
    <w:p>
      <w:pPr>
        <w:spacing w:after="0" w:line="163" w:lineRule="exact"/>
        <w:rPr>
          <w:sz w:val="20"/>
          <w:szCs w:val="20"/>
          <w:color w:val="auto"/>
        </w:rPr>
      </w:pPr>
    </w:p>
    <w:p>
      <w:pPr>
        <w:ind w:left="600" w:hanging="492"/>
        <w:spacing w:after="0"/>
        <w:tabs>
          <w:tab w:leader="none" w:pos="600" w:val="left"/>
        </w:tabs>
        <w:numPr>
          <w:ilvl w:val="0"/>
          <w:numId w:val="157"/>
        </w:numPr>
        <w:rPr>
          <w:rFonts w:ascii="Arial" w:cs="Arial" w:eastAsia="Arial" w:hAnsi="Arial"/>
          <w:sz w:val="20"/>
          <w:szCs w:val="20"/>
          <w:color w:val="auto"/>
        </w:rPr>
      </w:pPr>
      <w:r>
        <w:rPr>
          <w:rFonts w:ascii="Calibri" w:cs="Calibri" w:eastAsia="Calibri" w:hAnsi="Calibri"/>
          <w:sz w:val="20"/>
          <w:szCs w:val="20"/>
          <w:color w:val="auto"/>
        </w:rPr>
        <w:t>Secton 110 of Addendum 6 is hereby deleted.</w:t>
      </w:r>
    </w:p>
    <w:p>
      <w:pPr>
        <w:spacing w:after="0" w:line="173" w:lineRule="exact"/>
        <w:rPr>
          <w:sz w:val="20"/>
          <w:szCs w:val="20"/>
          <w:color w:val="auto"/>
        </w:rPr>
      </w:pPr>
    </w:p>
    <w:p>
      <w:pPr>
        <w:ind w:left="100" w:right="580"/>
        <w:spacing w:after="0" w:line="239" w:lineRule="auto"/>
        <w:rPr>
          <w:sz w:val="20"/>
          <w:szCs w:val="20"/>
          <w:color w:val="auto"/>
        </w:rPr>
      </w:pPr>
      <w:r>
        <w:rPr>
          <w:rFonts w:ascii="Arial" w:cs="Arial" w:eastAsia="Arial" w:hAnsi="Arial"/>
          <w:sz w:val="20"/>
          <w:szCs w:val="20"/>
          <w:color w:val="auto"/>
        </w:rPr>
        <w:t>117.</w:t>
      </w:r>
      <w:r>
        <w:rPr>
          <w:rFonts w:ascii="Calibri" w:cs="Calibri" w:eastAsia="Calibri" w:hAnsi="Calibri"/>
          <w:sz w:val="20"/>
          <w:szCs w:val="20"/>
          <w:color w:val="auto"/>
        </w:rPr>
        <w:t>Upon the expiraton or early terminaton of the Lease, Tenant shall return the 52 and 60 Leveroni Court spaces in broom</w:t>
      </w:r>
      <w:r>
        <w:rPr>
          <w:rFonts w:ascii="Arial" w:cs="Arial" w:eastAsia="Arial" w:hAnsi="Arial"/>
          <w:sz w:val="20"/>
          <w:szCs w:val="20"/>
          <w:color w:val="auto"/>
        </w:rPr>
        <w:t xml:space="preserve"> </w:t>
      </w:r>
      <w:r>
        <w:rPr>
          <w:rFonts w:ascii="Calibri" w:cs="Calibri" w:eastAsia="Calibri" w:hAnsi="Calibri"/>
          <w:sz w:val="20"/>
          <w:szCs w:val="20"/>
          <w:color w:val="auto"/>
        </w:rPr>
        <w:t>clean conditon, with the removal of cabling, removal of telephone and internet wiring, removal of security equipment and wiring, and removal of personal property.</w:t>
      </w:r>
    </w:p>
    <w:p>
      <w:pPr>
        <w:spacing w:after="0" w:line="148" w:lineRule="exact"/>
        <w:rPr>
          <w:sz w:val="20"/>
          <w:szCs w:val="20"/>
          <w:color w:val="auto"/>
        </w:rPr>
      </w:pPr>
    </w:p>
    <w:p>
      <w:pPr>
        <w:jc w:val="both"/>
        <w:ind w:left="100" w:right="40"/>
        <w:spacing w:after="0" w:line="239" w:lineRule="auto"/>
        <w:rPr>
          <w:sz w:val="20"/>
          <w:szCs w:val="20"/>
          <w:color w:val="auto"/>
        </w:rPr>
      </w:pPr>
      <w:r>
        <w:rPr>
          <w:rFonts w:ascii="Arial" w:cs="Arial" w:eastAsia="Arial" w:hAnsi="Arial"/>
          <w:sz w:val="20"/>
          <w:szCs w:val="20"/>
          <w:color w:val="auto"/>
        </w:rPr>
        <w:t>118.</w:t>
      </w:r>
      <w:r>
        <w:rPr>
          <w:rFonts w:ascii="Calibri" w:cs="Calibri" w:eastAsia="Calibri" w:hAnsi="Calibri"/>
          <w:sz w:val="20"/>
          <w:szCs w:val="20"/>
          <w:color w:val="auto"/>
        </w:rPr>
        <w:t>Once the space at 68 Leveroni Court has been vacated by the Tenant, Secton 45 of Addendum 1 shall be amended to include a</w:t>
      </w:r>
      <w:r>
        <w:rPr>
          <w:rFonts w:ascii="Arial" w:cs="Arial" w:eastAsia="Arial" w:hAnsi="Arial"/>
          <w:sz w:val="20"/>
          <w:szCs w:val="20"/>
          <w:color w:val="auto"/>
        </w:rPr>
        <w:t xml:space="preserve"> </w:t>
      </w:r>
      <w:r>
        <w:rPr>
          <w:rFonts w:ascii="Calibri" w:cs="Calibri" w:eastAsia="Calibri" w:hAnsi="Calibri"/>
          <w:sz w:val="20"/>
          <w:szCs w:val="20"/>
          <w:color w:val="auto"/>
        </w:rPr>
        <w:t>Leter of Credit in the amount of $105,369.00 which shall remain in efect untl both spaces at 52 and 60 Leveroni Court have been vacated by the Tenant. All other provisions of Secton 45 of Addendum 1 shall remain in full force and efect.</w:t>
      </w:r>
    </w:p>
    <w:p>
      <w:pPr>
        <w:spacing w:after="0" w:line="162" w:lineRule="exact"/>
        <w:rPr>
          <w:sz w:val="20"/>
          <w:szCs w:val="20"/>
          <w:color w:val="auto"/>
        </w:rPr>
      </w:pPr>
    </w:p>
    <w:p>
      <w:pPr>
        <w:ind w:left="100" w:right="460"/>
        <w:spacing w:after="0" w:line="239" w:lineRule="auto"/>
        <w:rPr>
          <w:sz w:val="20"/>
          <w:szCs w:val="20"/>
          <w:color w:val="auto"/>
        </w:rPr>
      </w:pPr>
      <w:r>
        <w:rPr>
          <w:rFonts w:ascii="Arial" w:cs="Arial" w:eastAsia="Arial" w:hAnsi="Arial"/>
          <w:sz w:val="20"/>
          <w:szCs w:val="20"/>
          <w:color w:val="auto"/>
        </w:rPr>
        <w:t>119.</w:t>
      </w:r>
      <w:r>
        <w:rPr>
          <w:rFonts w:ascii="Calibri" w:cs="Calibri" w:eastAsia="Calibri" w:hAnsi="Calibri"/>
          <w:sz w:val="20"/>
          <w:szCs w:val="20"/>
          <w:color w:val="auto"/>
        </w:rPr>
        <w:t>Each party to this Addendum #7 represents and agrees that commissions or fees of any kind incurred in relaton to or as a</w:t>
      </w:r>
      <w:r>
        <w:rPr>
          <w:rFonts w:ascii="Arial" w:cs="Arial" w:eastAsia="Arial" w:hAnsi="Arial"/>
          <w:sz w:val="20"/>
          <w:szCs w:val="20"/>
          <w:color w:val="auto"/>
        </w:rPr>
        <w:t xml:space="preserve"> </w:t>
      </w:r>
      <w:r>
        <w:rPr>
          <w:rFonts w:ascii="Calibri" w:cs="Calibri" w:eastAsia="Calibri" w:hAnsi="Calibri"/>
          <w:sz w:val="20"/>
          <w:szCs w:val="20"/>
          <w:color w:val="auto"/>
        </w:rPr>
        <w:t>result of this Addendum #7 shall be borne by the party incurring it.</w:t>
      </w:r>
    </w:p>
    <w:p>
      <w:pPr>
        <w:spacing w:after="0" w:line="163" w:lineRule="exact"/>
        <w:rPr>
          <w:sz w:val="20"/>
          <w:szCs w:val="20"/>
          <w:color w:val="auto"/>
        </w:rPr>
      </w:pPr>
    </w:p>
    <w:p>
      <w:pPr>
        <w:ind w:left="620" w:hanging="512"/>
        <w:spacing w:after="0"/>
        <w:tabs>
          <w:tab w:leader="none" w:pos="620" w:val="left"/>
        </w:tabs>
        <w:numPr>
          <w:ilvl w:val="0"/>
          <w:numId w:val="158"/>
        </w:numPr>
        <w:rPr>
          <w:rFonts w:ascii="Arial" w:cs="Arial" w:eastAsia="Arial" w:hAnsi="Arial"/>
          <w:sz w:val="20"/>
          <w:szCs w:val="20"/>
          <w:color w:val="auto"/>
        </w:rPr>
      </w:pPr>
      <w:r>
        <w:rPr>
          <w:rFonts w:ascii="Calibri" w:cs="Calibri" w:eastAsia="Calibri" w:hAnsi="Calibri"/>
          <w:sz w:val="20"/>
          <w:szCs w:val="20"/>
          <w:color w:val="auto"/>
        </w:rPr>
        <w:t>Except as expressly modifed by this Addendum #7 the Lease shall remain in full force and efect.</w:t>
      </w: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422275</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40" w:top="808" w:right="599" w:bottom="1440" w:gutter="0" w:footer="0" w:header="0"/>
        </w:sectPr>
      </w:pPr>
    </w:p>
    <w:bookmarkStart w:id="181" w:name="page182"/>
    <w:bookmarkEnd w:id="181"/>
    <w:p>
      <w:pPr>
        <w:ind w:left="140"/>
        <w:spacing w:after="0"/>
        <w:rPr>
          <w:sz w:val="20"/>
          <w:szCs w:val="20"/>
          <w:color w:val="auto"/>
        </w:rPr>
      </w:pPr>
      <w:r>
        <w:rPr>
          <w:rFonts w:ascii="Calibri" w:cs="Calibri" w:eastAsia="Calibri" w:hAnsi="Calibri"/>
          <w:sz w:val="20"/>
          <w:szCs w:val="20"/>
          <w:color w:val="auto"/>
        </w:rPr>
        <w:t>Agreed to this 22nd day of November, 2024.</w:t>
      </w:r>
    </w:p>
    <w:p>
      <w:pPr>
        <w:spacing w:after="0" w:line="66" w:lineRule="exact"/>
        <w:rPr>
          <w:sz w:val="20"/>
          <w:szCs w:val="20"/>
          <w:color w:val="auto"/>
        </w:rPr>
      </w:pPr>
    </w:p>
    <w:p>
      <w:pPr>
        <w:ind w:left="140"/>
        <w:spacing w:after="0"/>
        <w:rPr>
          <w:sz w:val="20"/>
          <w:szCs w:val="20"/>
          <w:color w:val="auto"/>
        </w:rPr>
      </w:pPr>
      <w:r>
        <w:rPr>
          <w:rFonts w:ascii="Calibri" w:cs="Calibri" w:eastAsia="Calibri" w:hAnsi="Calibri"/>
          <w:sz w:val="20"/>
          <w:szCs w:val="20"/>
          <w:color w:val="auto"/>
        </w:rPr>
        <w:t>Lessee</w:t>
      </w:r>
    </w:p>
    <w:p>
      <w:pPr>
        <w:spacing w:after="0" w:line="255" w:lineRule="exact"/>
        <w:rPr>
          <w:sz w:val="20"/>
          <w:szCs w:val="20"/>
          <w:color w:val="auto"/>
        </w:rPr>
      </w:pPr>
    </w:p>
    <w:p>
      <w:pPr>
        <w:spacing w:after="0"/>
        <w:rPr>
          <w:sz w:val="20"/>
          <w:szCs w:val="20"/>
          <w:color w:val="auto"/>
        </w:rPr>
      </w:pPr>
      <w:r>
        <w:rPr>
          <w:rFonts w:ascii="Calibri" w:cs="Calibri" w:eastAsia="Calibri" w:hAnsi="Calibri"/>
          <w:sz w:val="20"/>
          <w:szCs w:val="20"/>
          <w:color w:val="auto"/>
        </w:rPr>
        <w:t>Approved and Executed By:</w:t>
      </w:r>
    </w:p>
    <w:p>
      <w:pPr>
        <w:spacing w:after="0" w:line="330" w:lineRule="exact"/>
        <w:rPr>
          <w:sz w:val="20"/>
          <w:szCs w:val="20"/>
          <w:color w:val="auto"/>
        </w:rPr>
      </w:pPr>
    </w:p>
    <w:p>
      <w:pPr>
        <w:spacing w:after="0"/>
        <w:rPr>
          <w:sz w:val="20"/>
          <w:szCs w:val="20"/>
          <w:color w:val="auto"/>
        </w:rPr>
      </w:pPr>
      <w:r>
        <w:rPr>
          <w:rFonts w:ascii="Calibri" w:cs="Calibri" w:eastAsia="Calibri" w:hAnsi="Calibri"/>
          <w:sz w:val="18"/>
          <w:szCs w:val="18"/>
          <w:color w:val="auto"/>
        </w:rPr>
        <w:t>/s/ Emil Kakkis</w:t>
      </w:r>
    </w:p>
    <w:p>
      <w:pPr>
        <w:spacing w:after="0" w:line="394" w:lineRule="exact"/>
        <w:rPr>
          <w:sz w:val="20"/>
          <w:szCs w:val="20"/>
          <w:color w:val="auto"/>
        </w:rPr>
      </w:pPr>
    </w:p>
    <w:p>
      <w:pPr>
        <w:ind w:left="140"/>
        <w:spacing w:after="0"/>
        <w:rPr>
          <w:sz w:val="20"/>
          <w:szCs w:val="20"/>
          <w:color w:val="auto"/>
        </w:rPr>
      </w:pPr>
      <w:r>
        <w:rPr>
          <w:rFonts w:ascii="Calibri" w:cs="Calibri" w:eastAsia="Calibri" w:hAnsi="Calibri"/>
          <w:sz w:val="20"/>
          <w:szCs w:val="20"/>
          <w:color w:val="auto"/>
        </w:rPr>
        <w:t>Name: Title:</w:t>
      </w:r>
    </w:p>
    <w:p>
      <w:pPr>
        <w:spacing w:after="0" w:line="53" w:lineRule="exact"/>
        <w:rPr>
          <w:sz w:val="20"/>
          <w:szCs w:val="20"/>
          <w:color w:val="auto"/>
        </w:rPr>
      </w:pPr>
    </w:p>
    <w:p>
      <w:pPr>
        <w:ind w:left="160"/>
        <w:spacing w:after="0"/>
        <w:rPr>
          <w:sz w:val="20"/>
          <w:szCs w:val="20"/>
          <w:color w:val="auto"/>
        </w:rPr>
      </w:pPr>
      <w:r>
        <w:rPr>
          <w:rFonts w:ascii="Calibri" w:cs="Calibri" w:eastAsia="Calibri" w:hAnsi="Calibri"/>
          <w:sz w:val="16"/>
          <w:szCs w:val="16"/>
          <w:color w:val="auto"/>
        </w:rPr>
        <w:t>Emil Kakkis</w:t>
      </w:r>
    </w:p>
    <w:p>
      <w:pPr>
        <w:spacing w:after="0" w:line="358" w:lineRule="exact"/>
        <w:rPr>
          <w:sz w:val="20"/>
          <w:szCs w:val="20"/>
          <w:color w:val="auto"/>
        </w:rPr>
      </w:pPr>
    </w:p>
    <w:p>
      <w:pPr>
        <w:spacing w:after="0"/>
        <w:rPr>
          <w:sz w:val="20"/>
          <w:szCs w:val="20"/>
          <w:color w:val="auto"/>
        </w:rPr>
      </w:pPr>
      <w:r>
        <w:rPr>
          <w:rFonts w:ascii="Calibri" w:cs="Calibri" w:eastAsia="Calibri" w:hAnsi="Calibri"/>
          <w:sz w:val="16"/>
          <w:szCs w:val="16"/>
          <w:color w:val="auto"/>
        </w:rPr>
        <w:t>Chief Executve Ofcer</w:t>
      </w:r>
    </w:p>
    <w:p>
      <w:pPr>
        <w:spacing w:after="0" w:line="250" w:lineRule="exact"/>
        <w:rPr>
          <w:sz w:val="20"/>
          <w:szCs w:val="20"/>
          <w:color w:val="auto"/>
        </w:rPr>
      </w:pPr>
    </w:p>
    <w:p>
      <w:pPr>
        <w:spacing w:after="0"/>
        <w:rPr>
          <w:sz w:val="20"/>
          <w:szCs w:val="20"/>
          <w:color w:val="auto"/>
        </w:rPr>
      </w:pPr>
      <w:r>
        <w:rPr>
          <w:rFonts w:ascii="Calibri" w:cs="Calibri" w:eastAsia="Calibri" w:hAnsi="Calibri"/>
          <w:sz w:val="20"/>
          <w:szCs w:val="20"/>
          <w:color w:val="auto"/>
        </w:rPr>
        <w:t>Ultragenyx Pharmaceutcal Inc.</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Lessor</w:t>
      </w:r>
    </w:p>
    <w:p>
      <w:pPr>
        <w:spacing w:after="0" w:line="200" w:lineRule="exact"/>
        <w:rPr>
          <w:sz w:val="20"/>
          <w:szCs w:val="20"/>
          <w:color w:val="auto"/>
        </w:rPr>
      </w:pPr>
    </w:p>
    <w:p>
      <w:pPr>
        <w:spacing w:after="0" w:line="285" w:lineRule="exact"/>
        <w:rPr>
          <w:sz w:val="20"/>
          <w:szCs w:val="20"/>
          <w:color w:val="auto"/>
        </w:rPr>
      </w:pPr>
    </w:p>
    <w:p>
      <w:pPr>
        <w:ind w:left="100"/>
        <w:spacing w:after="0"/>
        <w:rPr>
          <w:sz w:val="20"/>
          <w:szCs w:val="20"/>
          <w:color w:val="auto"/>
        </w:rPr>
      </w:pPr>
      <w:r>
        <w:rPr>
          <w:rFonts w:ascii="Calibri" w:cs="Calibri" w:eastAsia="Calibri" w:hAnsi="Calibri"/>
          <w:sz w:val="20"/>
          <w:szCs w:val="20"/>
          <w:color w:val="auto"/>
        </w:rPr>
        <w:t>/s/ Jan Warz</w:t>
      </w:r>
    </w:p>
    <w:p>
      <w:pPr>
        <w:spacing w:after="0" w:line="309" w:lineRule="exact"/>
        <w:rPr>
          <w:sz w:val="20"/>
          <w:szCs w:val="20"/>
          <w:color w:val="auto"/>
        </w:rPr>
      </w:pPr>
    </w:p>
    <w:p>
      <w:pPr>
        <w:ind w:left="140"/>
        <w:spacing w:after="0"/>
        <w:rPr>
          <w:sz w:val="20"/>
          <w:szCs w:val="20"/>
          <w:color w:val="auto"/>
        </w:rPr>
      </w:pPr>
      <w:r>
        <w:rPr>
          <w:rFonts w:ascii="Calibri" w:cs="Calibri" w:eastAsia="Calibri" w:hAnsi="Calibri"/>
          <w:sz w:val="20"/>
          <w:szCs w:val="20"/>
          <w:color w:val="auto"/>
        </w:rPr>
        <w:t>Jan Warz, COO</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Condiot Enterprises,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422275</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94" w:right="1440" w:bottom="1440" w:gutter="0" w:footer="0" w:header="0"/>
        </w:sectPr>
      </w:pPr>
    </w:p>
    <w:bookmarkStart w:id="182" w:name="page183"/>
    <w:bookmarkEnd w:id="182"/>
    <w:p>
      <w:pPr>
        <w:jc w:val="right"/>
        <w:spacing w:after="0"/>
        <w:rPr>
          <w:sz w:val="20"/>
          <w:szCs w:val="20"/>
          <w:color w:val="auto"/>
        </w:rPr>
      </w:pPr>
      <w:r>
        <w:rPr>
          <w:rFonts w:ascii="Calibri" w:cs="Calibri" w:eastAsia="Calibri" w:hAnsi="Calibri"/>
          <w:sz w:val="16"/>
          <w:szCs w:val="16"/>
          <w:b w:val="1"/>
          <w:bCs w:val="1"/>
          <w:u w:val="single" w:color="auto"/>
          <w:color w:val="auto"/>
        </w:rPr>
        <w:t>Exhibit 10.84</w:t>
      </w:r>
    </w:p>
    <w:p>
      <w:pPr>
        <w:spacing w:after="0" w:line="338" w:lineRule="exact"/>
        <w:rPr>
          <w:sz w:val="20"/>
          <w:szCs w:val="20"/>
          <w:color w:val="auto"/>
        </w:rPr>
      </w:pPr>
    </w:p>
    <w:p>
      <w:pPr>
        <w:jc w:val="center"/>
        <w:ind w:right="240"/>
        <w:spacing w:after="0"/>
        <w:rPr>
          <w:sz w:val="20"/>
          <w:szCs w:val="20"/>
          <w:color w:val="auto"/>
        </w:rPr>
      </w:pPr>
      <w:r>
        <w:rPr>
          <w:rFonts w:ascii="Calibri" w:cs="Calibri" w:eastAsia="Calibri" w:hAnsi="Calibri"/>
          <w:sz w:val="18"/>
          <w:szCs w:val="18"/>
          <w:b w:val="1"/>
          <w:bCs w:val="1"/>
          <w:color w:val="auto"/>
        </w:rPr>
        <w:t>FIFTH AMENDMENT TO LEASE AGREEMENT</w:t>
      </w:r>
    </w:p>
    <w:p>
      <w:pPr>
        <w:spacing w:after="0" w:line="217" w:lineRule="exact"/>
        <w:rPr>
          <w:sz w:val="20"/>
          <w:szCs w:val="20"/>
          <w:color w:val="auto"/>
        </w:rPr>
      </w:pPr>
    </w:p>
    <w:p>
      <w:pPr>
        <w:ind w:left="20" w:right="120" w:firstLine="749"/>
        <w:spacing w:after="0" w:line="258" w:lineRule="auto"/>
        <w:rPr>
          <w:sz w:val="20"/>
          <w:szCs w:val="20"/>
          <w:color w:val="auto"/>
        </w:rPr>
      </w:pPr>
      <w:r>
        <w:rPr>
          <w:rFonts w:ascii="Calibri" w:cs="Calibri" w:eastAsia="Calibri" w:hAnsi="Calibri"/>
          <w:sz w:val="17"/>
          <w:szCs w:val="17"/>
          <w:color w:val="auto"/>
        </w:rPr>
        <w:t>THIS FIFTH AMENDMENT TO LEASE AGREEMENT (this “</w:t>
      </w:r>
      <w:r>
        <w:rPr>
          <w:rFonts w:ascii="Calibri" w:cs="Calibri" w:eastAsia="Calibri" w:hAnsi="Calibri"/>
          <w:sz w:val="17"/>
          <w:szCs w:val="17"/>
          <w:b w:val="1"/>
          <w:bCs w:val="1"/>
          <w:color w:val="auto"/>
        </w:rPr>
        <w:t>Fifh Amendment</w:t>
      </w:r>
      <w:r>
        <w:rPr>
          <w:rFonts w:ascii="Calibri" w:cs="Calibri" w:eastAsia="Calibri" w:hAnsi="Calibri"/>
          <w:sz w:val="17"/>
          <w:szCs w:val="17"/>
          <w:color w:val="auto"/>
        </w:rPr>
        <w:t>”) is made as of this 25</w:t>
      </w:r>
      <w:r>
        <w:rPr>
          <w:rFonts w:ascii="Calibri" w:cs="Calibri" w:eastAsia="Calibri" w:hAnsi="Calibri"/>
          <w:sz w:val="10"/>
          <w:szCs w:val="10"/>
          <w:color w:val="auto"/>
        </w:rPr>
        <w:t>th</w:t>
      </w:r>
      <w:r>
        <w:rPr>
          <w:rFonts w:ascii="Calibri" w:cs="Calibri" w:eastAsia="Calibri" w:hAnsi="Calibri"/>
          <w:sz w:val="17"/>
          <w:szCs w:val="17"/>
          <w:color w:val="auto"/>
        </w:rPr>
        <w:t xml:space="preserve"> day of November, 2024, between </w:t>
      </w:r>
      <w:r>
        <w:rPr>
          <w:rFonts w:ascii="Calibri" w:cs="Calibri" w:eastAsia="Calibri" w:hAnsi="Calibri"/>
          <w:sz w:val="17"/>
          <w:szCs w:val="17"/>
          <w:b w:val="1"/>
          <w:bCs w:val="1"/>
          <w:color w:val="auto"/>
        </w:rPr>
        <w:t>ARE-MA</w:t>
      </w:r>
      <w:r>
        <w:rPr>
          <w:rFonts w:ascii="Calibri" w:cs="Calibri" w:eastAsia="Calibri" w:hAnsi="Calibri"/>
          <w:sz w:val="17"/>
          <w:szCs w:val="17"/>
          <w:color w:val="auto"/>
        </w:rPr>
        <w:t xml:space="preserve"> </w:t>
      </w:r>
      <w:r>
        <w:rPr>
          <w:rFonts w:ascii="Calibri" w:cs="Calibri" w:eastAsia="Calibri" w:hAnsi="Calibri"/>
          <w:sz w:val="17"/>
          <w:szCs w:val="17"/>
          <w:b w:val="1"/>
          <w:bCs w:val="1"/>
          <w:color w:val="auto"/>
        </w:rPr>
        <w:t>REGION NO. 20, LLC</w:t>
      </w:r>
      <w:r>
        <w:rPr>
          <w:rFonts w:ascii="Calibri" w:cs="Calibri" w:eastAsia="Calibri" w:hAnsi="Calibri"/>
          <w:sz w:val="17"/>
          <w:szCs w:val="17"/>
          <w:color w:val="auto"/>
        </w:rPr>
        <w:t>, a Delaware limited liability company (“</w:t>
      </w:r>
      <w:r>
        <w:rPr>
          <w:rFonts w:ascii="Calibri" w:cs="Calibri" w:eastAsia="Calibri" w:hAnsi="Calibri"/>
          <w:sz w:val="17"/>
          <w:szCs w:val="17"/>
          <w:b w:val="1"/>
          <w:bCs w:val="1"/>
          <w:color w:val="auto"/>
        </w:rPr>
        <w:t>Landlord</w:t>
      </w:r>
      <w:r>
        <w:rPr>
          <w:rFonts w:ascii="Calibri" w:cs="Calibri" w:eastAsia="Calibri" w:hAnsi="Calibri"/>
          <w:sz w:val="17"/>
          <w:szCs w:val="17"/>
          <w:color w:val="auto"/>
        </w:rPr>
        <w:t>”), and</w:t>
      </w:r>
      <w:r>
        <w:rPr>
          <w:rFonts w:ascii="Calibri" w:cs="Calibri" w:eastAsia="Calibri" w:hAnsi="Calibri"/>
          <w:sz w:val="17"/>
          <w:szCs w:val="17"/>
          <w:b w:val="1"/>
          <w:bCs w:val="1"/>
          <w:color w:val="auto"/>
        </w:rPr>
        <w:t xml:space="preserve"> ULTRAGENYX PHARMACEUTICAL INC.</w:t>
      </w:r>
      <w:r>
        <w:rPr>
          <w:rFonts w:ascii="Calibri" w:cs="Calibri" w:eastAsia="Calibri" w:hAnsi="Calibri"/>
          <w:sz w:val="17"/>
          <w:szCs w:val="17"/>
          <w:color w:val="auto"/>
        </w:rPr>
        <w:t>, a Delaware corporaton (“</w:t>
      </w:r>
      <w:r>
        <w:rPr>
          <w:rFonts w:ascii="Calibri" w:cs="Calibri" w:eastAsia="Calibri" w:hAnsi="Calibri"/>
          <w:sz w:val="17"/>
          <w:szCs w:val="17"/>
          <w:b w:val="1"/>
          <w:bCs w:val="1"/>
          <w:color w:val="auto"/>
        </w:rPr>
        <w:t>Tenant</w:t>
      </w:r>
      <w:r>
        <w:rPr>
          <w:rFonts w:ascii="Calibri" w:cs="Calibri" w:eastAsia="Calibri" w:hAnsi="Calibri"/>
          <w:sz w:val="17"/>
          <w:szCs w:val="17"/>
          <w:color w:val="auto"/>
        </w:rPr>
        <w:t>”).</w:t>
      </w:r>
    </w:p>
    <w:p>
      <w:pPr>
        <w:spacing w:after="0" w:line="211" w:lineRule="exact"/>
        <w:rPr>
          <w:sz w:val="20"/>
          <w:szCs w:val="20"/>
          <w:color w:val="auto"/>
        </w:rPr>
      </w:pPr>
    </w:p>
    <w:p>
      <w:pPr>
        <w:jc w:val="center"/>
        <w:ind w:right="240"/>
        <w:spacing w:after="0"/>
        <w:rPr>
          <w:sz w:val="20"/>
          <w:szCs w:val="20"/>
          <w:color w:val="auto"/>
        </w:rPr>
      </w:pPr>
      <w:r>
        <w:rPr>
          <w:rFonts w:ascii="Calibri" w:cs="Calibri" w:eastAsia="Calibri" w:hAnsi="Calibri"/>
          <w:sz w:val="18"/>
          <w:szCs w:val="18"/>
          <w:b w:val="1"/>
          <w:bCs w:val="1"/>
          <w:u w:val="single" w:color="auto"/>
          <w:color w:val="auto"/>
        </w:rPr>
        <w:t>RECITALS</w:t>
      </w:r>
      <w:r>
        <w:rPr>
          <w:rFonts w:ascii="Calibri" w:cs="Calibri" w:eastAsia="Calibri" w:hAnsi="Calibri"/>
          <w:sz w:val="18"/>
          <w:szCs w:val="18"/>
          <w:b w:val="1"/>
          <w:bCs w:val="1"/>
          <w:color w:val="auto"/>
        </w:rPr>
        <w:t>:</w:t>
      </w:r>
    </w:p>
    <w:p>
      <w:pPr>
        <w:spacing w:after="0" w:line="221" w:lineRule="exact"/>
        <w:rPr>
          <w:sz w:val="20"/>
          <w:szCs w:val="20"/>
          <w:color w:val="auto"/>
        </w:rPr>
      </w:pPr>
    </w:p>
    <w:p>
      <w:pPr>
        <w:jc w:val="both"/>
        <w:ind w:right="240" w:firstLine="749"/>
        <w:spacing w:after="0" w:line="236" w:lineRule="auto"/>
        <w:rPr>
          <w:sz w:val="20"/>
          <w:szCs w:val="20"/>
          <w:color w:val="auto"/>
        </w:rPr>
      </w:pPr>
      <w:r>
        <w:rPr>
          <w:rFonts w:ascii="Arial" w:cs="Arial" w:eastAsia="Arial" w:hAnsi="Arial"/>
          <w:sz w:val="18"/>
          <w:szCs w:val="18"/>
          <w:color w:val="auto"/>
        </w:rPr>
        <w:t>A.</w:t>
      </w:r>
      <w:r>
        <w:rPr>
          <w:rFonts w:ascii="Calibri" w:cs="Calibri" w:eastAsia="Calibri" w:hAnsi="Calibri"/>
          <w:sz w:val="18"/>
          <w:szCs w:val="18"/>
          <w:color w:val="auto"/>
        </w:rPr>
        <w:t>Tenant and Landlord are partes to that certain Lease Agreement dated as of October 30, 2015, as amended by that certain First</w:t>
      </w:r>
      <w:r>
        <w:rPr>
          <w:rFonts w:ascii="Arial" w:cs="Arial" w:eastAsia="Arial" w:hAnsi="Arial"/>
          <w:sz w:val="18"/>
          <w:szCs w:val="18"/>
          <w:color w:val="auto"/>
        </w:rPr>
        <w:t xml:space="preserve"> </w:t>
      </w:r>
      <w:r>
        <w:rPr>
          <w:rFonts w:ascii="Calibri" w:cs="Calibri" w:eastAsia="Calibri" w:hAnsi="Calibri"/>
          <w:sz w:val="18"/>
          <w:szCs w:val="18"/>
          <w:color w:val="auto"/>
        </w:rPr>
        <w:t>Amendment to Lease Agreement dated as of March 20, 2018, as further amended by that certain Second Amendment to Lease Agreement dated as of July 1, 2018, as further amended by that certain Third Amendment to Lease Agreement dated as of July 29, 2019 (the “</w:t>
      </w:r>
      <w:r>
        <w:rPr>
          <w:rFonts w:ascii="Calibri" w:cs="Calibri" w:eastAsia="Calibri" w:hAnsi="Calibri"/>
          <w:sz w:val="18"/>
          <w:szCs w:val="18"/>
          <w:b w:val="1"/>
          <w:bCs w:val="1"/>
          <w:color w:val="auto"/>
        </w:rPr>
        <w:t>Third Amendment</w:t>
      </w:r>
      <w:r>
        <w:rPr>
          <w:rFonts w:ascii="Calibri" w:cs="Calibri" w:eastAsia="Calibri" w:hAnsi="Calibri"/>
          <w:sz w:val="18"/>
          <w:szCs w:val="18"/>
          <w:color w:val="auto"/>
        </w:rPr>
        <w:t>”), and as further amended by that certain Amended and Restated Fourth Amendment to Lease Agreement dated as of August 4, 2020 (the “</w:t>
      </w:r>
      <w:r>
        <w:rPr>
          <w:rFonts w:ascii="Calibri" w:cs="Calibri" w:eastAsia="Calibri" w:hAnsi="Calibri"/>
          <w:sz w:val="18"/>
          <w:szCs w:val="18"/>
          <w:b w:val="1"/>
          <w:bCs w:val="1"/>
          <w:color w:val="auto"/>
        </w:rPr>
        <w:t>Amended and</w:t>
      </w:r>
      <w:r>
        <w:rPr>
          <w:rFonts w:ascii="Calibri" w:cs="Calibri" w:eastAsia="Calibri" w:hAnsi="Calibri"/>
          <w:sz w:val="18"/>
          <w:szCs w:val="18"/>
          <w:color w:val="auto"/>
        </w:rPr>
        <w:t xml:space="preserve"> </w:t>
      </w:r>
      <w:r>
        <w:rPr>
          <w:rFonts w:ascii="Calibri" w:cs="Calibri" w:eastAsia="Calibri" w:hAnsi="Calibri"/>
          <w:sz w:val="18"/>
          <w:szCs w:val="18"/>
          <w:b w:val="1"/>
          <w:bCs w:val="1"/>
          <w:color w:val="auto"/>
        </w:rPr>
        <w:t>Restated Fourth Amendment</w:t>
      </w:r>
      <w:r>
        <w:rPr>
          <w:rFonts w:ascii="Calibri" w:cs="Calibri" w:eastAsia="Calibri" w:hAnsi="Calibri"/>
          <w:sz w:val="18"/>
          <w:szCs w:val="18"/>
          <w:color w:val="auto"/>
        </w:rPr>
        <w:t>”) (as amended, the “</w:t>
      </w:r>
      <w:r>
        <w:rPr>
          <w:rFonts w:ascii="Calibri" w:cs="Calibri" w:eastAsia="Calibri" w:hAnsi="Calibri"/>
          <w:sz w:val="18"/>
          <w:szCs w:val="18"/>
          <w:b w:val="1"/>
          <w:bCs w:val="1"/>
          <w:color w:val="auto"/>
        </w:rPr>
        <w:t>Lease</w:t>
      </w:r>
      <w:r>
        <w:rPr>
          <w:rFonts w:ascii="Calibri" w:cs="Calibri" w:eastAsia="Calibri" w:hAnsi="Calibri"/>
          <w:sz w:val="18"/>
          <w:szCs w:val="18"/>
          <w:color w:val="auto"/>
        </w:rPr>
        <w:t>”). Pursuant to the Lease, Tenant leases from Landlord a total of approximately 40,060 rentable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square feet of space consistng of (i) approximately 17,475 rentable square feet of laboratory/ofce space on the second foor of the Building, (ii) approximately 108 rentable square feet of storage space on the frst foor of the Building, (iii) approximately 6,455 rentable square feet of laboratory/ofce space on the third foor of the Building, (iv) approximately 7,957 rentable square feet of laboratory/ofce space on the third foor of the Building commonly known as Suite 302, (v) approximately 130 rentable square feet of storage space on the frst foor of the Building commonly known as Suite 100I,</w:t>
      </w:r>
    </w:p>
    <w:p>
      <w:pPr>
        <w:spacing w:after="0" w:line="23" w:lineRule="exact"/>
        <w:rPr>
          <w:sz w:val="20"/>
          <w:szCs w:val="20"/>
          <w:color w:val="auto"/>
        </w:rPr>
      </w:pPr>
    </w:p>
    <w:p>
      <w:pPr>
        <w:jc w:val="both"/>
        <w:ind w:left="20" w:right="240" w:hanging="8"/>
        <w:spacing w:after="0" w:line="235" w:lineRule="auto"/>
        <w:tabs>
          <w:tab w:leader="none" w:pos="303" w:val="left"/>
        </w:tabs>
        <w:numPr>
          <w:ilvl w:val="0"/>
          <w:numId w:val="159"/>
        </w:numPr>
        <w:rPr>
          <w:rFonts w:ascii="Calibri" w:cs="Calibri" w:eastAsia="Calibri" w:hAnsi="Calibri"/>
          <w:sz w:val="18"/>
          <w:szCs w:val="18"/>
          <w:color w:val="auto"/>
        </w:rPr>
      </w:pPr>
      <w:r>
        <w:rPr>
          <w:rFonts w:ascii="Calibri" w:cs="Calibri" w:eastAsia="Calibri" w:hAnsi="Calibri"/>
          <w:sz w:val="18"/>
          <w:szCs w:val="18"/>
          <w:color w:val="auto"/>
        </w:rPr>
        <w:t>approximately 7,805 rentable square feet of space on the third foor of the Building commonly known as Suite 306, and (vii) approximately 130 rentable square feet of storage space on the frst foor of the Building commonly known as Suite 100H, (collectvely, the “</w:t>
      </w:r>
      <w:r>
        <w:rPr>
          <w:rFonts w:ascii="Calibri" w:cs="Calibri" w:eastAsia="Calibri" w:hAnsi="Calibri"/>
          <w:sz w:val="18"/>
          <w:szCs w:val="18"/>
          <w:b w:val="1"/>
          <w:bCs w:val="1"/>
          <w:color w:val="auto"/>
        </w:rPr>
        <w:t>Premises</w:t>
      </w:r>
      <w:r>
        <w:rPr>
          <w:rFonts w:ascii="Calibri" w:cs="Calibri" w:eastAsia="Calibri" w:hAnsi="Calibri"/>
          <w:sz w:val="18"/>
          <w:szCs w:val="18"/>
          <w:color w:val="auto"/>
        </w:rPr>
        <w:t>”) in that certain building located at 19 Presidental Way, Woburn, Massachusets (the “</w:t>
      </w:r>
      <w:r>
        <w:rPr>
          <w:rFonts w:ascii="Calibri" w:cs="Calibri" w:eastAsia="Calibri" w:hAnsi="Calibri"/>
          <w:sz w:val="18"/>
          <w:szCs w:val="18"/>
          <w:b w:val="1"/>
          <w:bCs w:val="1"/>
          <w:color w:val="auto"/>
        </w:rPr>
        <w:t>Building</w:t>
      </w:r>
      <w:r>
        <w:rPr>
          <w:rFonts w:ascii="Calibri" w:cs="Calibri" w:eastAsia="Calibri" w:hAnsi="Calibri"/>
          <w:sz w:val="18"/>
          <w:szCs w:val="18"/>
          <w:color w:val="auto"/>
        </w:rPr>
        <w:t>”), as more partcularly described in the Lease. Capitalized terms used herein without defniton shall have the meanings defned for such terms in the Lease.</w:t>
      </w:r>
    </w:p>
    <w:p>
      <w:pPr>
        <w:spacing w:after="0" w:line="228" w:lineRule="exact"/>
        <w:rPr>
          <w:rFonts w:ascii="Calibri" w:cs="Calibri" w:eastAsia="Calibri" w:hAnsi="Calibri"/>
          <w:sz w:val="18"/>
          <w:szCs w:val="18"/>
          <w:color w:val="auto"/>
        </w:rPr>
      </w:pPr>
    </w:p>
    <w:p>
      <w:pPr>
        <w:ind w:left="1500" w:hanging="744"/>
        <w:spacing w:after="0"/>
        <w:tabs>
          <w:tab w:leader="none" w:pos="1500" w:val="left"/>
        </w:tabs>
        <w:numPr>
          <w:ilvl w:val="1"/>
          <w:numId w:val="159"/>
        </w:numPr>
        <w:rPr>
          <w:rFonts w:ascii="Arial" w:cs="Arial" w:eastAsia="Arial" w:hAnsi="Arial"/>
          <w:sz w:val="18"/>
          <w:szCs w:val="18"/>
          <w:color w:val="auto"/>
        </w:rPr>
      </w:pPr>
      <w:r>
        <w:rPr>
          <w:rFonts w:ascii="Calibri" w:cs="Calibri" w:eastAsia="Calibri" w:hAnsi="Calibri"/>
          <w:sz w:val="18"/>
          <w:szCs w:val="18"/>
          <w:color w:val="auto"/>
        </w:rPr>
        <w:t>The term of the Lease is scheduled to expire on April 30, 2025.</w:t>
      </w:r>
    </w:p>
    <w:p>
      <w:pPr>
        <w:spacing w:after="0" w:line="234" w:lineRule="exact"/>
        <w:rPr>
          <w:sz w:val="20"/>
          <w:szCs w:val="20"/>
          <w:color w:val="auto"/>
        </w:rPr>
      </w:pPr>
    </w:p>
    <w:p>
      <w:pPr>
        <w:ind w:right="260" w:firstLine="749"/>
        <w:spacing w:after="0" w:line="241" w:lineRule="auto"/>
        <w:rPr>
          <w:sz w:val="20"/>
          <w:szCs w:val="20"/>
          <w:color w:val="auto"/>
        </w:rPr>
      </w:pPr>
      <w:r>
        <w:rPr>
          <w:rFonts w:ascii="Arial" w:cs="Arial" w:eastAsia="Arial" w:hAnsi="Arial"/>
          <w:sz w:val="18"/>
          <w:szCs w:val="18"/>
          <w:color w:val="auto"/>
        </w:rPr>
        <w:t>C.</w:t>
      </w:r>
      <w:r>
        <w:rPr>
          <w:rFonts w:ascii="Calibri" w:cs="Calibri" w:eastAsia="Calibri" w:hAnsi="Calibri"/>
          <w:sz w:val="18"/>
          <w:szCs w:val="18"/>
          <w:color w:val="auto"/>
        </w:rPr>
        <w:t>Landlord and Tenant desire, subject to the terms and conditons set forth herein below, to amend the Lease to, among other things,</w:t>
      </w:r>
      <w:r>
        <w:rPr>
          <w:rFonts w:ascii="Arial" w:cs="Arial" w:eastAsia="Arial" w:hAnsi="Arial"/>
          <w:sz w:val="18"/>
          <w:szCs w:val="18"/>
          <w:color w:val="auto"/>
        </w:rPr>
        <w:t xml:space="preserve"> </w:t>
      </w:r>
      <w:r>
        <w:rPr>
          <w:rFonts w:ascii="Calibri" w:cs="Calibri" w:eastAsia="Calibri" w:hAnsi="Calibri"/>
          <w:sz w:val="18"/>
          <w:szCs w:val="18"/>
          <w:color w:val="auto"/>
        </w:rPr>
        <w:t>extend the term of the Lease through April 30, 2028 (the “</w:t>
      </w:r>
      <w:r>
        <w:rPr>
          <w:rFonts w:ascii="Calibri" w:cs="Calibri" w:eastAsia="Calibri" w:hAnsi="Calibri"/>
          <w:sz w:val="18"/>
          <w:szCs w:val="18"/>
          <w:b w:val="1"/>
          <w:bCs w:val="1"/>
          <w:color w:val="auto"/>
        </w:rPr>
        <w:t>Fifh Amendment Expiraton Date</w:t>
      </w:r>
      <w:r>
        <w:rPr>
          <w:rFonts w:ascii="Calibri" w:cs="Calibri" w:eastAsia="Calibri" w:hAnsi="Calibri"/>
          <w:sz w:val="18"/>
          <w:szCs w:val="18"/>
          <w:color w:val="auto"/>
        </w:rPr>
        <w:t>”).</w:t>
      </w:r>
    </w:p>
    <w:p>
      <w:pPr>
        <w:spacing w:after="0" w:line="230" w:lineRule="exact"/>
        <w:rPr>
          <w:sz w:val="20"/>
          <w:szCs w:val="20"/>
          <w:color w:val="auto"/>
        </w:rPr>
      </w:pPr>
    </w:p>
    <w:p>
      <w:pPr>
        <w:ind w:left="20" w:right="240" w:firstLine="747"/>
        <w:spacing w:after="0" w:line="235" w:lineRule="auto"/>
        <w:rPr>
          <w:sz w:val="20"/>
          <w:szCs w:val="20"/>
          <w:color w:val="auto"/>
        </w:rPr>
      </w:pPr>
      <w:r>
        <w:rPr>
          <w:rFonts w:ascii="Calibri" w:cs="Calibri" w:eastAsia="Calibri" w:hAnsi="Calibri"/>
          <w:sz w:val="18"/>
          <w:szCs w:val="18"/>
          <w:color w:val="auto"/>
        </w:rPr>
        <w:t>NOW, THEREFORE, in consideraton of the mutual covenants herein expressed and for other good and valuable consideraton, the receipt and sufciency of which are hereby acknowledged, Tenant and Landlord agree as follows:</w:t>
      </w:r>
    </w:p>
    <w:p>
      <w:pPr>
        <w:spacing w:after="0" w:line="231" w:lineRule="exact"/>
        <w:rPr>
          <w:sz w:val="20"/>
          <w:szCs w:val="20"/>
          <w:color w:val="auto"/>
        </w:rPr>
      </w:pPr>
    </w:p>
    <w:p>
      <w:pPr>
        <w:jc w:val="both"/>
        <w:ind w:right="260" w:firstLine="8"/>
        <w:spacing w:after="0" w:line="235" w:lineRule="auto"/>
        <w:tabs>
          <w:tab w:leader="none" w:pos="381" w:val="left"/>
        </w:tabs>
        <w:numPr>
          <w:ilvl w:val="0"/>
          <w:numId w:val="160"/>
        </w:numPr>
        <w:rPr>
          <w:rFonts w:ascii="Arial" w:cs="Arial" w:eastAsia="Arial" w:hAnsi="Arial"/>
          <w:sz w:val="18"/>
          <w:szCs w:val="18"/>
          <w:color w:val="auto"/>
        </w:rPr>
      </w:pPr>
      <w:r>
        <w:rPr>
          <w:rFonts w:ascii="Calibri" w:cs="Calibri" w:eastAsia="Calibri" w:hAnsi="Calibri"/>
          <w:sz w:val="18"/>
          <w:szCs w:val="18"/>
          <w:b w:val="1"/>
          <w:bCs w:val="1"/>
          <w:u w:val="single" w:color="auto"/>
          <w:color w:val="auto"/>
        </w:rPr>
        <w:t>Extension of Term</w:t>
      </w:r>
      <w:r>
        <w:rPr>
          <w:rFonts w:ascii="Calibri" w:cs="Calibri" w:eastAsia="Calibri" w:hAnsi="Calibri"/>
          <w:sz w:val="18"/>
          <w:szCs w:val="18"/>
          <w:color w:val="auto"/>
        </w:rPr>
        <w:t>. The Term of the Lease is hereby extended through the Fifh Amendment Expiraton Date. Tenant’s occupancy of the Premises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 xml:space="preserve">through the Fifh Amendment Expiraton Date shall be on an “as-is” basis, and Landlord shall have no obligaton to provide any tenant improvement allowance or to make any alteratons to the Premises, except as set forth in </w:t>
      </w:r>
      <w:r>
        <w:rPr>
          <w:rFonts w:ascii="Calibri" w:cs="Calibri" w:eastAsia="Calibri" w:hAnsi="Calibri"/>
          <w:sz w:val="18"/>
          <w:szCs w:val="18"/>
          <w:u w:val="single" w:color="auto"/>
          <w:color w:val="auto"/>
        </w:rPr>
        <w:t>Secton 3</w:t>
      </w:r>
      <w:r>
        <w:rPr>
          <w:rFonts w:ascii="Calibri" w:cs="Calibri" w:eastAsia="Calibri" w:hAnsi="Calibri"/>
          <w:sz w:val="18"/>
          <w:szCs w:val="18"/>
          <w:color w:val="auto"/>
        </w:rPr>
        <w:t>.</w:t>
      </w:r>
    </w:p>
    <w:p>
      <w:pPr>
        <w:spacing w:after="0" w:line="245" w:lineRule="exact"/>
        <w:rPr>
          <w:rFonts w:ascii="Arial" w:cs="Arial" w:eastAsia="Arial" w:hAnsi="Arial"/>
          <w:sz w:val="18"/>
          <w:szCs w:val="18"/>
          <w:color w:val="auto"/>
        </w:rPr>
      </w:pPr>
    </w:p>
    <w:p>
      <w:pPr>
        <w:jc w:val="both"/>
        <w:ind w:right="260" w:firstLine="8"/>
        <w:spacing w:after="0" w:line="235" w:lineRule="auto"/>
        <w:tabs>
          <w:tab w:leader="none" w:pos="381" w:val="left"/>
        </w:tabs>
        <w:numPr>
          <w:ilvl w:val="0"/>
          <w:numId w:val="160"/>
        </w:numPr>
        <w:rPr>
          <w:rFonts w:ascii="Arial" w:cs="Arial" w:eastAsia="Arial" w:hAnsi="Arial"/>
          <w:sz w:val="18"/>
          <w:szCs w:val="18"/>
          <w:color w:val="auto"/>
        </w:rPr>
      </w:pPr>
      <w:r>
        <w:rPr>
          <w:rFonts w:ascii="Calibri" w:cs="Calibri" w:eastAsia="Calibri" w:hAnsi="Calibri"/>
          <w:sz w:val="18"/>
          <w:szCs w:val="18"/>
          <w:b w:val="1"/>
          <w:bCs w:val="1"/>
          <w:u w:val="single" w:color="auto"/>
          <w:color w:val="auto"/>
        </w:rPr>
        <w:t>Base Rent</w:t>
      </w:r>
      <w:r>
        <w:rPr>
          <w:rFonts w:ascii="Calibri" w:cs="Calibri" w:eastAsia="Calibri" w:hAnsi="Calibri"/>
          <w:sz w:val="18"/>
          <w:szCs w:val="18"/>
          <w:color w:val="auto"/>
        </w:rPr>
        <w:t>. Tenant shall contnue to pay Base Rent as set forth in the Lease through April 30, 2025. Commencing on May 1, 2025, Tenant shall pay</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Base Rent in the amount of $55.00 per rentable square foot of the Premises per year. On May 1, 2026, and on each May 1</w:t>
      </w:r>
      <w:r>
        <w:rPr>
          <w:rFonts w:ascii="Calibri" w:cs="Calibri" w:eastAsia="Calibri" w:hAnsi="Calibri"/>
          <w:sz w:val="11"/>
          <w:szCs w:val="11"/>
          <w:color w:val="auto"/>
        </w:rPr>
        <w:t>st</w:t>
      </w:r>
      <w:r>
        <w:rPr>
          <w:rFonts w:ascii="Calibri" w:cs="Calibri" w:eastAsia="Calibri" w:hAnsi="Calibri"/>
          <w:sz w:val="18"/>
          <w:szCs w:val="18"/>
          <w:color w:val="auto"/>
        </w:rPr>
        <w:t xml:space="preserve"> thereafer (each, an "</w:t>
      </w:r>
      <w:r>
        <w:rPr>
          <w:rFonts w:ascii="Calibri" w:cs="Calibri" w:eastAsia="Calibri" w:hAnsi="Calibri"/>
          <w:sz w:val="18"/>
          <w:szCs w:val="18"/>
          <w:b w:val="1"/>
          <w:bCs w:val="1"/>
          <w:color w:val="auto"/>
        </w:rPr>
        <w:t>Adjustment Date</w:t>
      </w:r>
      <w:r>
        <w:rPr>
          <w:rFonts w:ascii="Calibri" w:cs="Calibri" w:eastAsia="Calibri" w:hAnsi="Calibri"/>
          <w:sz w:val="18"/>
          <w:szCs w:val="18"/>
          <w:color w:val="auto"/>
        </w:rPr>
        <w:t>"), the Base Rent shall be increased by multplying the Base Rent immediately before such Adjustment Date by 3% and adding the resultng amount to the Base Rent payable immediately before such Adjustment Date.</w:t>
      </w:r>
    </w:p>
    <w:p>
      <w:pPr>
        <w:spacing w:after="0" w:line="219" w:lineRule="exact"/>
        <w:rPr>
          <w:sz w:val="20"/>
          <w:szCs w:val="20"/>
          <w:color w:val="auto"/>
        </w:rPr>
      </w:pPr>
    </w:p>
    <w:p>
      <w:pPr>
        <w:jc w:val="both"/>
        <w:ind w:left="20" w:right="260" w:firstLine="747"/>
        <w:spacing w:after="0" w:line="235" w:lineRule="auto"/>
        <w:rPr>
          <w:sz w:val="20"/>
          <w:szCs w:val="20"/>
          <w:color w:val="auto"/>
        </w:rPr>
      </w:pPr>
      <w:r>
        <w:rPr>
          <w:rFonts w:ascii="Calibri" w:cs="Calibri" w:eastAsia="Calibri" w:hAnsi="Calibri"/>
          <w:sz w:val="18"/>
          <w:szCs w:val="18"/>
          <w:color w:val="auto"/>
        </w:rPr>
        <w:t xml:space="preserve">Notwithstanding anything to the contrary contained in this </w:t>
      </w:r>
      <w:r>
        <w:rPr>
          <w:rFonts w:ascii="Calibri" w:cs="Calibri" w:eastAsia="Calibri" w:hAnsi="Calibri"/>
          <w:sz w:val="18"/>
          <w:szCs w:val="18"/>
          <w:u w:val="single" w:color="auto"/>
          <w:color w:val="auto"/>
        </w:rPr>
        <w:t>Secton 2</w:t>
      </w:r>
      <w:r>
        <w:rPr>
          <w:rFonts w:ascii="Calibri" w:cs="Calibri" w:eastAsia="Calibri" w:hAnsi="Calibri"/>
          <w:sz w:val="18"/>
          <w:szCs w:val="18"/>
          <w:color w:val="auto"/>
        </w:rPr>
        <w:t>, so long as Tenant is not in default under the Lease (beyond all applicable notce and cure periods), Base Rent shall be abated during the period commencing on May 1, 2025, through August 31, 2025 (the "</w:t>
      </w:r>
      <w:r>
        <w:rPr>
          <w:rFonts w:ascii="Calibri" w:cs="Calibri" w:eastAsia="Calibri" w:hAnsi="Calibri"/>
          <w:sz w:val="18"/>
          <w:szCs w:val="18"/>
          <w:b w:val="1"/>
          <w:bCs w:val="1"/>
          <w:color w:val="auto"/>
        </w:rPr>
        <w:t>Fifh</w:t>
      </w:r>
      <w:r>
        <w:rPr>
          <w:rFonts w:ascii="Calibri" w:cs="Calibri" w:eastAsia="Calibri" w:hAnsi="Calibri"/>
          <w:sz w:val="18"/>
          <w:szCs w:val="18"/>
          <w:color w:val="auto"/>
        </w:rPr>
        <w:t xml:space="preserve"> </w:t>
      </w:r>
      <w:r>
        <w:rPr>
          <w:rFonts w:ascii="Calibri" w:cs="Calibri" w:eastAsia="Calibri" w:hAnsi="Calibri"/>
          <w:sz w:val="18"/>
          <w:szCs w:val="18"/>
          <w:b w:val="1"/>
          <w:bCs w:val="1"/>
          <w:color w:val="auto"/>
        </w:rPr>
        <w:t>Amendment Abatement Period</w:t>
      </w:r>
      <w:r>
        <w:rPr>
          <w:rFonts w:ascii="Calibri" w:cs="Calibri" w:eastAsia="Calibri" w:hAnsi="Calibri"/>
          <w:sz w:val="18"/>
          <w:szCs w:val="18"/>
          <w:color w:val="auto"/>
        </w:rPr>
        <w:t>"). Tenant shall resume paying full Base Rent on the frst day following the expiraton of the Fifh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903605</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875" w:right="339" w:bottom="1440" w:gutter="0" w:footer="0" w:header="0"/>
        </w:sectPr>
      </w:pPr>
    </w:p>
    <w:bookmarkStart w:id="183" w:name="page184"/>
    <w:bookmarkEnd w:id="183"/>
    <w:p>
      <w:pPr>
        <w:ind w:left="60" w:right="80"/>
        <w:spacing w:after="0" w:line="235" w:lineRule="auto"/>
        <w:rPr>
          <w:sz w:val="20"/>
          <w:szCs w:val="20"/>
          <w:color w:val="auto"/>
        </w:rPr>
      </w:pPr>
      <w:r>
        <w:rPr>
          <w:rFonts w:ascii="Calibri" w:cs="Calibri" w:eastAsia="Calibri" w:hAnsi="Calibri"/>
          <w:sz w:val="18"/>
          <w:szCs w:val="18"/>
          <w:color w:val="auto"/>
        </w:rPr>
        <w:t>Amendment Abatement Period. For the avoidance of doubt, Tenant shall contnue paying Operatng Expenses and all other amounts payable under the Lease during the Fifh Amendment Abatement Period.</w:t>
      </w:r>
    </w:p>
    <w:p>
      <w:pPr>
        <w:spacing w:after="0" w:line="231" w:lineRule="exact"/>
        <w:rPr>
          <w:sz w:val="20"/>
          <w:szCs w:val="20"/>
          <w:color w:val="auto"/>
        </w:rPr>
      </w:pPr>
    </w:p>
    <w:p>
      <w:pPr>
        <w:jc w:val="both"/>
        <w:ind w:left="40" w:firstLine="8"/>
        <w:spacing w:after="0" w:line="250" w:lineRule="auto"/>
        <w:tabs>
          <w:tab w:leader="none" w:pos="421" w:val="left"/>
        </w:tabs>
        <w:numPr>
          <w:ilvl w:val="0"/>
          <w:numId w:val="161"/>
        </w:numPr>
        <w:rPr>
          <w:rFonts w:ascii="Arial" w:cs="Arial" w:eastAsia="Arial" w:hAnsi="Arial"/>
          <w:sz w:val="17"/>
          <w:szCs w:val="17"/>
          <w:color w:val="auto"/>
        </w:rPr>
      </w:pPr>
      <w:r>
        <w:rPr>
          <w:rFonts w:ascii="Calibri" w:cs="Calibri" w:eastAsia="Calibri" w:hAnsi="Calibri"/>
          <w:sz w:val="17"/>
          <w:szCs w:val="17"/>
          <w:b w:val="1"/>
          <w:bCs w:val="1"/>
          <w:u w:val="single" w:color="auto"/>
          <w:color w:val="auto"/>
        </w:rPr>
        <w:t>Premises Improvements</w:t>
      </w:r>
      <w:r>
        <w:rPr>
          <w:rFonts w:ascii="Calibri" w:cs="Calibri" w:eastAsia="Calibri" w:hAnsi="Calibri"/>
          <w:sz w:val="17"/>
          <w:szCs w:val="17"/>
          <w:color w:val="auto"/>
        </w:rPr>
        <w:t>. Landlord shall make available to Tenant a tenant improvement allowance in the amount of $5.00 per rentable square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foot of the Premises (the “</w:t>
      </w:r>
      <w:r>
        <w:rPr>
          <w:rFonts w:ascii="Calibri" w:cs="Calibri" w:eastAsia="Calibri" w:hAnsi="Calibri"/>
          <w:sz w:val="17"/>
          <w:szCs w:val="17"/>
          <w:b w:val="1"/>
          <w:bCs w:val="1"/>
          <w:color w:val="auto"/>
        </w:rPr>
        <w:t>Fifh Amendment Improvement Allowance</w:t>
      </w:r>
      <w:r>
        <w:rPr>
          <w:rFonts w:ascii="Calibri" w:cs="Calibri" w:eastAsia="Calibri" w:hAnsi="Calibri"/>
          <w:sz w:val="17"/>
          <w:szCs w:val="17"/>
          <w:color w:val="auto"/>
        </w:rPr>
        <w:t>”) for the design and constructon of fxed and permanent improvements desired by and performed by Tenant and reasonably acceptable to Landlord in the Premises (the “</w:t>
      </w:r>
      <w:r>
        <w:rPr>
          <w:rFonts w:ascii="Calibri" w:cs="Calibri" w:eastAsia="Calibri" w:hAnsi="Calibri"/>
          <w:sz w:val="17"/>
          <w:szCs w:val="17"/>
          <w:b w:val="1"/>
          <w:bCs w:val="1"/>
          <w:color w:val="auto"/>
        </w:rPr>
        <w:t>Premises Improvements</w:t>
      </w:r>
      <w:r>
        <w:rPr>
          <w:rFonts w:ascii="Calibri" w:cs="Calibri" w:eastAsia="Calibri" w:hAnsi="Calibri"/>
          <w:sz w:val="17"/>
          <w:szCs w:val="17"/>
          <w:color w:val="auto"/>
        </w:rPr>
        <w:t xml:space="preserve">”), which Premises Improvements shall be constructed pursuant to a scope of work reasonably acceptable to Landlord and Tenant. The Fifh Amendment Improvement Allowance shall be available only for the design and constructon of the Premises Improvements. The Fifh Amendment Improvement Allowance may not be used to purchase any furniture, personal property, data/cabling or other non-Building System materials or equipment. Tenant acknowledges that upon the expiraton or earlier terminaton of the Term of the Lease, the Premises Improvements shall become the property of Landlord and may not be removed by Tenant. Tenant shall pay to Landlord administratve rent in the amount of 1% of the total costs of the Premises Improvements, which amount shall be payable out of the Fifh Amendment Improvement Allowance. Except for the Fifh Amendment Improvement Allowance, Tenant shall be solely responsible for all of the costs of the Premises Improvements. The Premises Improvements shall be treated as Alteratons and shall be undertaken pursuant to </w:t>
      </w:r>
      <w:r>
        <w:rPr>
          <w:rFonts w:ascii="Calibri" w:cs="Calibri" w:eastAsia="Calibri" w:hAnsi="Calibri"/>
          <w:sz w:val="17"/>
          <w:szCs w:val="17"/>
          <w:u w:val="single" w:color="auto"/>
          <w:color w:val="auto"/>
        </w:rPr>
        <w:t>Secton 12</w:t>
      </w:r>
      <w:r>
        <w:rPr>
          <w:rFonts w:ascii="Calibri" w:cs="Calibri" w:eastAsia="Calibri" w:hAnsi="Calibri"/>
          <w:sz w:val="17"/>
          <w:szCs w:val="17"/>
          <w:color w:val="auto"/>
        </w:rPr>
        <w:t xml:space="preserve"> of the Lease. The contractor for the Premises Improvements shall be selected and engaged by Tenant, subject to Landlord’s approval, which approval shall not be unreasonably withheld, conditoned or delayed. Prior to the commencement of the Premises Improvements, Tenant shall deliver to Landlord a copy of any contract with Tenant’s contractors, and certfcates of insurance from any contractor performing any part of the Premises Improvements evidencing industry standard commercial general liability, automotve liability, “builder’s risk”, and workers’ compensaton insurance. Tenant shall cause the general contractor to provide a certfcate of insurance naming Landlord, Alexandria Real Estate Equites, Inc., and Landlord’s lender (if any) as additonal insureds for the general contractor’s liability coverages required above.</w:t>
      </w:r>
    </w:p>
    <w:p>
      <w:pPr>
        <w:spacing w:after="0" w:line="227" w:lineRule="exact"/>
        <w:rPr>
          <w:sz w:val="20"/>
          <w:szCs w:val="20"/>
          <w:color w:val="auto"/>
        </w:rPr>
      </w:pPr>
    </w:p>
    <w:p>
      <w:pPr>
        <w:jc w:val="both"/>
        <w:ind w:left="60" w:firstLine="749"/>
        <w:spacing w:after="0" w:line="235" w:lineRule="auto"/>
        <w:rPr>
          <w:sz w:val="20"/>
          <w:szCs w:val="20"/>
          <w:color w:val="auto"/>
        </w:rPr>
      </w:pPr>
      <w:r>
        <w:rPr>
          <w:rFonts w:ascii="Calibri" w:cs="Calibri" w:eastAsia="Calibri" w:hAnsi="Calibri"/>
          <w:sz w:val="18"/>
          <w:szCs w:val="18"/>
          <w:color w:val="auto"/>
        </w:rPr>
        <w:t>During the course of design and constructon of the Premises Improvements, Landlord shall reimburse Tenant for the cost of the Premises Improvements once a month against a draw request in Landlord’s standard form, containing evidence of payment of the applicable costs and such certfcatons, lien waivers (including a conditonal lien release for each progress payment and unconditonal lien releases for the prior month’s progress payments), inspecton reports and other maters as Landlord customarily and reasonably obtains, to the extent of Landlord’s approval thereof for payment, no later than 30 days following receipt of such draw request. Upon completon of the Premises Improvements (and prior to any fnal disbursement of the Fifh Amendment Improvement Allowance) Tenant shall deliver to Landlord the following items: (i) sworn statements setng forth the names of all contractors and subcontractors who did work on the Premises Improvements and fnal lien waivers from all such contractors and subcontractors; and (ii) “as built” plans, if available, for Premises Improvements. Notwithstanding the foregoing, if the cost of the Premises Improvements exceeds the Fifh Amendment Improvement Allowance, Tenant shall be required to pay such excess in full prior to Landlord having any obligaton to fund any remaining porton of the Fifh Amendment Improvement Allowance. The Fifh Amendment Improvement Allowance shall only be available for use by Tenant for the constructon of the Premises Improvements from the date of this Fifh Amendment through the date that is 12 months afer the date of this Fifh Amendment (the “</w:t>
      </w:r>
      <w:r>
        <w:rPr>
          <w:rFonts w:ascii="Calibri" w:cs="Calibri" w:eastAsia="Calibri" w:hAnsi="Calibri"/>
          <w:sz w:val="18"/>
          <w:szCs w:val="18"/>
          <w:b w:val="1"/>
          <w:bCs w:val="1"/>
          <w:color w:val="auto"/>
        </w:rPr>
        <w:t>Outside Fifh Amendment Improvement Allowance Date</w:t>
      </w:r>
      <w:r>
        <w:rPr>
          <w:rFonts w:ascii="Calibri" w:cs="Calibri" w:eastAsia="Calibri" w:hAnsi="Calibri"/>
          <w:sz w:val="18"/>
          <w:szCs w:val="18"/>
          <w:color w:val="auto"/>
        </w:rPr>
        <w:t>”). Any porton of the Fifh Amendment Improvement Allowance which has not been properly requested by Tenant from Landlord on or before the Outside Fifh Amendment Improvement Allowance Date shall be forfeited and shall not be available for use by Tenant.</w:t>
      </w:r>
    </w:p>
    <w:p>
      <w:pPr>
        <w:spacing w:after="0" w:line="237" w:lineRule="exact"/>
        <w:rPr>
          <w:sz w:val="20"/>
          <w:szCs w:val="20"/>
          <w:color w:val="auto"/>
        </w:rPr>
      </w:pPr>
    </w:p>
    <w:p>
      <w:pPr>
        <w:ind w:left="420" w:hanging="372"/>
        <w:spacing w:after="0"/>
        <w:tabs>
          <w:tab w:leader="none" w:pos="420" w:val="left"/>
        </w:tabs>
        <w:numPr>
          <w:ilvl w:val="0"/>
          <w:numId w:val="162"/>
        </w:numPr>
        <w:rPr>
          <w:rFonts w:ascii="Arial" w:cs="Arial" w:eastAsia="Arial" w:hAnsi="Arial"/>
          <w:sz w:val="18"/>
          <w:szCs w:val="18"/>
          <w:color w:val="auto"/>
        </w:rPr>
      </w:pPr>
      <w:r>
        <w:rPr>
          <w:rFonts w:ascii="Calibri" w:cs="Calibri" w:eastAsia="Calibri" w:hAnsi="Calibri"/>
          <w:sz w:val="18"/>
          <w:szCs w:val="18"/>
          <w:b w:val="1"/>
          <w:bCs w:val="1"/>
          <w:u w:val="single" w:color="auto"/>
          <w:color w:val="auto"/>
        </w:rPr>
        <w:t>Right to Extend Term</w:t>
      </w:r>
      <w:r>
        <w:rPr>
          <w:rFonts w:ascii="Calibri" w:cs="Calibri" w:eastAsia="Calibri" w:hAnsi="Calibri"/>
          <w:sz w:val="18"/>
          <w:szCs w:val="18"/>
          <w:color w:val="auto"/>
        </w:rPr>
        <w:t>.</w:t>
      </w:r>
      <w:r>
        <w:rPr>
          <w:rFonts w:ascii="Calibri" w:cs="Calibri" w:eastAsia="Calibri" w:hAnsi="Calibri"/>
          <w:sz w:val="18"/>
          <w:szCs w:val="18"/>
          <w:b w:val="1"/>
          <w:bCs w:val="1"/>
          <w:color w:val="auto"/>
        </w:rPr>
        <w:t xml:space="preserve"> </w:t>
      </w:r>
      <w:r>
        <w:rPr>
          <w:rFonts w:ascii="Calibri" w:cs="Calibri" w:eastAsia="Calibri" w:hAnsi="Calibri"/>
          <w:sz w:val="18"/>
          <w:szCs w:val="18"/>
          <w:u w:val="single" w:color="auto"/>
          <w:color w:val="auto"/>
        </w:rPr>
        <w:t>Secton 39(a)</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of the Lease is hereby deleted in its entrety and replaced with the following:</w:t>
      </w:r>
    </w:p>
    <w:p>
      <w:pPr>
        <w:spacing w:after="0" w:line="244" w:lineRule="exact"/>
        <w:rPr>
          <w:rFonts w:ascii="Arial" w:cs="Arial" w:eastAsia="Arial" w:hAnsi="Arial"/>
          <w:sz w:val="18"/>
          <w:szCs w:val="18"/>
          <w:color w:val="auto"/>
        </w:rPr>
      </w:pPr>
    </w:p>
    <w:p>
      <w:pPr>
        <w:jc w:val="both"/>
        <w:ind w:left="1520" w:right="20" w:hanging="724"/>
        <w:spacing w:after="0" w:line="235" w:lineRule="auto"/>
        <w:tabs>
          <w:tab w:leader="none" w:pos="1520" w:val="left"/>
        </w:tabs>
        <w:numPr>
          <w:ilvl w:val="1"/>
          <w:numId w:val="162"/>
        </w:numPr>
        <w:rPr>
          <w:rFonts w:ascii="Arial" w:cs="Arial" w:eastAsia="Arial" w:hAnsi="Arial"/>
          <w:sz w:val="18"/>
          <w:szCs w:val="18"/>
          <w:color w:val="auto"/>
        </w:rPr>
      </w:pPr>
      <w:r>
        <w:rPr>
          <w:rFonts w:ascii="Calibri" w:cs="Calibri" w:eastAsia="Calibri" w:hAnsi="Calibri"/>
          <w:sz w:val="18"/>
          <w:szCs w:val="18"/>
          <w:b w:val="1"/>
          <w:bCs w:val="1"/>
          <w:color w:val="auto"/>
        </w:rPr>
        <w:t>Extension Rights</w:t>
      </w:r>
      <w:r>
        <w:rPr>
          <w:rFonts w:ascii="Calibri" w:cs="Calibri" w:eastAsia="Calibri" w:hAnsi="Calibri"/>
          <w:sz w:val="18"/>
          <w:szCs w:val="18"/>
          <w:color w:val="auto"/>
        </w:rPr>
        <w:t>. Tenant shall have 1 right (“</w:t>
      </w:r>
      <w:r>
        <w:rPr>
          <w:rFonts w:ascii="Calibri" w:cs="Calibri" w:eastAsia="Calibri" w:hAnsi="Calibri"/>
          <w:sz w:val="18"/>
          <w:szCs w:val="18"/>
          <w:b w:val="1"/>
          <w:bCs w:val="1"/>
          <w:color w:val="auto"/>
        </w:rPr>
        <w:t>Extension Right</w:t>
      </w:r>
      <w:r>
        <w:rPr>
          <w:rFonts w:ascii="Calibri" w:cs="Calibri" w:eastAsia="Calibri" w:hAnsi="Calibri"/>
          <w:sz w:val="18"/>
          <w:szCs w:val="18"/>
          <w:color w:val="auto"/>
        </w:rPr>
        <w:t>”) to extend the term of the Lease for 3 years (the “</w:t>
      </w:r>
      <w:r>
        <w:rPr>
          <w:rFonts w:ascii="Calibri" w:cs="Calibri" w:eastAsia="Calibri" w:hAnsi="Calibri"/>
          <w:sz w:val="18"/>
          <w:szCs w:val="18"/>
          <w:b w:val="1"/>
          <w:bCs w:val="1"/>
          <w:color w:val="auto"/>
        </w:rPr>
        <w:t>Extension Term</w:t>
      </w:r>
      <w:r>
        <w:rPr>
          <w:rFonts w:ascii="Calibri" w:cs="Calibri" w:eastAsia="Calibri" w:hAnsi="Calibri"/>
          <w:sz w:val="18"/>
          <w:szCs w:val="18"/>
          <w:color w:val="auto"/>
        </w:rPr>
        <w:t>”)</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on the same terms and conditons as the Lease, as amended (other than with respect to Base Rent, the Work Leter and any TI Allowance) by giving Landlord writen notce of its electon to exercise the Extension Right at least 9 months prior, and no earlier than 12 months prior, to the expiraton of the Fifh Amendment Expiraton Date. Upon the commencement of the Extension Term, Base Rent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739775</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00" w:top="1413" w:right="579" w:bottom="1440" w:gutter="0" w:footer="0" w:header="0"/>
        </w:sectPr>
      </w:pPr>
    </w:p>
    <w:bookmarkStart w:id="184" w:name="page185"/>
    <w:bookmarkEnd w:id="184"/>
    <w:p>
      <w:pPr>
        <w:jc w:val="both"/>
        <w:ind w:left="1540"/>
        <w:spacing w:after="0" w:line="235" w:lineRule="auto"/>
        <w:rPr>
          <w:sz w:val="20"/>
          <w:szCs w:val="20"/>
          <w:color w:val="auto"/>
        </w:rPr>
      </w:pPr>
      <w:r>
        <w:rPr>
          <w:rFonts w:ascii="Calibri" w:cs="Calibri" w:eastAsia="Calibri" w:hAnsi="Calibri"/>
          <w:sz w:val="18"/>
          <w:szCs w:val="18"/>
          <w:color w:val="auto"/>
        </w:rPr>
        <w:t>shall be payable at the Market Rate (as defned below). Base Rent shall thereafer be adjusted on each annual anniversary of the commencement of such Extension Term by a percentage as determined by Landlord and agreed to by Tenant at the tme the Market Rate is determined. As used herein, “</w:t>
      </w:r>
      <w:r>
        <w:rPr>
          <w:rFonts w:ascii="Calibri" w:cs="Calibri" w:eastAsia="Calibri" w:hAnsi="Calibri"/>
          <w:sz w:val="18"/>
          <w:szCs w:val="18"/>
          <w:b w:val="1"/>
          <w:bCs w:val="1"/>
          <w:color w:val="auto"/>
        </w:rPr>
        <w:t>Market Rate</w:t>
      </w:r>
      <w:r>
        <w:rPr>
          <w:rFonts w:ascii="Calibri" w:cs="Calibri" w:eastAsia="Calibri" w:hAnsi="Calibri"/>
          <w:sz w:val="18"/>
          <w:szCs w:val="18"/>
          <w:color w:val="auto"/>
        </w:rPr>
        <w:t>” shall mean the rate that comparable landlords of comparable buildings have accepted in current transactons from non-equity (i.e., not being ofered equity in the buildings) and nonafliated tenants of similar fnancial strength for space of comparable size, quality (including all Tenant Improvements, Alteratons and other improvements) in laboratory/ofce buildings in the Route 128 N Marketplace submarket area for a comparable term, with the determinaton of the Market Rate to take into account all relevant factors, including tenant inducements, parking costs, leasing commissions, allowances or concessions, if any. Notwithstanding the foregoing, the Market Rate shall in no event be less than the Base Rent payable as of the date immediately preceding the commencement of such Extension Term.</w:t>
      </w:r>
    </w:p>
    <w:p>
      <w:pPr>
        <w:spacing w:after="0" w:line="224" w:lineRule="exact"/>
        <w:rPr>
          <w:sz w:val="20"/>
          <w:szCs w:val="20"/>
          <w:color w:val="auto"/>
        </w:rPr>
      </w:pPr>
    </w:p>
    <w:p>
      <w:pPr>
        <w:jc w:val="both"/>
        <w:ind w:left="1540"/>
        <w:spacing w:after="0" w:line="235" w:lineRule="auto"/>
        <w:rPr>
          <w:sz w:val="20"/>
          <w:szCs w:val="20"/>
          <w:color w:val="auto"/>
        </w:rPr>
      </w:pPr>
      <w:r>
        <w:rPr>
          <w:rFonts w:ascii="Calibri" w:cs="Calibri" w:eastAsia="Calibri" w:hAnsi="Calibri"/>
          <w:sz w:val="18"/>
          <w:szCs w:val="18"/>
          <w:color w:val="auto"/>
        </w:rPr>
        <w:t xml:space="preserve">If, on or before the date which is 180 days prior to the Fifh Amendment Expiraton Date, Tenant has not agreed with Landlord’s determinaton of the Market Rate and the rent escalatons during the Extension Term afer negotatng in good faith, Tenant shall be deemed to have elected arbitraton as described in </w:t>
      </w:r>
      <w:r>
        <w:rPr>
          <w:rFonts w:ascii="Calibri" w:cs="Calibri" w:eastAsia="Calibri" w:hAnsi="Calibri"/>
          <w:sz w:val="18"/>
          <w:szCs w:val="18"/>
          <w:u w:val="single" w:color="auto"/>
          <w:color w:val="auto"/>
        </w:rPr>
        <w:t>Secton 4(b)</w:t>
      </w:r>
      <w:r>
        <w:rPr>
          <w:rFonts w:ascii="Calibri" w:cs="Calibri" w:eastAsia="Calibri" w:hAnsi="Calibri"/>
          <w:sz w:val="18"/>
          <w:szCs w:val="18"/>
          <w:color w:val="auto"/>
        </w:rPr>
        <w:t xml:space="preserve">. Tenant acknowledges and agrees that, if Tenant has elected to exercise the Extension Right by delivering notce to Landlord as required in this </w:t>
      </w:r>
      <w:r>
        <w:rPr>
          <w:rFonts w:ascii="Calibri" w:cs="Calibri" w:eastAsia="Calibri" w:hAnsi="Calibri"/>
          <w:sz w:val="18"/>
          <w:szCs w:val="18"/>
          <w:u w:val="single" w:color="auto"/>
          <w:color w:val="auto"/>
        </w:rPr>
        <w:t>Secton 4(a)</w:t>
      </w:r>
      <w:r>
        <w:rPr>
          <w:rFonts w:ascii="Calibri" w:cs="Calibri" w:eastAsia="Calibri" w:hAnsi="Calibri"/>
          <w:sz w:val="18"/>
          <w:szCs w:val="18"/>
          <w:color w:val="auto"/>
        </w:rPr>
        <w:t>, Tenant shall have no right thereafer to rescind or elect not to extend the term of the Lease for the Extension Term.</w:t>
      </w:r>
    </w:p>
    <w:p>
      <w:pPr>
        <w:spacing w:after="0" w:line="247" w:lineRule="exact"/>
        <w:rPr>
          <w:sz w:val="20"/>
          <w:szCs w:val="20"/>
          <w:color w:val="auto"/>
        </w:rPr>
      </w:pPr>
    </w:p>
    <w:p>
      <w:pPr>
        <w:ind w:left="40" w:right="240" w:firstLine="8"/>
        <w:spacing w:after="0" w:line="235" w:lineRule="auto"/>
        <w:tabs>
          <w:tab w:leader="none" w:pos="421" w:val="left"/>
        </w:tabs>
        <w:numPr>
          <w:ilvl w:val="0"/>
          <w:numId w:val="163"/>
        </w:numPr>
        <w:rPr>
          <w:rFonts w:ascii="Arial" w:cs="Arial" w:eastAsia="Arial" w:hAnsi="Arial"/>
          <w:sz w:val="18"/>
          <w:szCs w:val="18"/>
          <w:color w:val="auto"/>
        </w:rPr>
      </w:pPr>
      <w:r>
        <w:rPr>
          <w:rFonts w:ascii="Calibri" w:cs="Calibri" w:eastAsia="Calibri" w:hAnsi="Calibri"/>
          <w:sz w:val="18"/>
          <w:szCs w:val="18"/>
          <w:b w:val="1"/>
          <w:bCs w:val="1"/>
          <w:u w:val="single" w:color="auto"/>
          <w:color w:val="auto"/>
        </w:rPr>
        <w:t>Right to Expand</w:t>
      </w:r>
      <w:r>
        <w:rPr>
          <w:rFonts w:ascii="Calibri" w:cs="Calibri" w:eastAsia="Calibri" w:hAnsi="Calibri"/>
          <w:sz w:val="18"/>
          <w:szCs w:val="18"/>
          <w:color w:val="auto"/>
        </w:rPr>
        <w:t>. For the avoidance of doubt, Tenant shall contnue to have a right to expand the Premises pursuant to the terms of</w:t>
      </w:r>
      <w:r>
        <w:rPr>
          <w:rFonts w:ascii="Calibri" w:cs="Calibri" w:eastAsia="Calibri" w:hAnsi="Calibri"/>
          <w:sz w:val="18"/>
          <w:szCs w:val="18"/>
          <w:b w:val="1"/>
          <w:bCs w:val="1"/>
          <w:color w:val="auto"/>
        </w:rPr>
        <w:t xml:space="preserve"> </w:t>
      </w:r>
      <w:r>
        <w:rPr>
          <w:rFonts w:ascii="Calibri" w:cs="Calibri" w:eastAsia="Calibri" w:hAnsi="Calibri"/>
          <w:sz w:val="18"/>
          <w:szCs w:val="18"/>
          <w:u w:val="single" w:color="auto"/>
          <w:color w:val="auto"/>
        </w:rPr>
        <w:t>Secton 8</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of</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the Amended &amp; Restated Fourth Amendment.</w:t>
      </w:r>
    </w:p>
    <w:p>
      <w:pPr>
        <w:spacing w:after="0" w:line="226" w:lineRule="exact"/>
        <w:rPr>
          <w:rFonts w:ascii="Arial" w:cs="Arial" w:eastAsia="Arial" w:hAnsi="Arial"/>
          <w:sz w:val="18"/>
          <w:szCs w:val="18"/>
          <w:color w:val="auto"/>
        </w:rPr>
      </w:pPr>
    </w:p>
    <w:p>
      <w:pPr>
        <w:ind w:left="420" w:hanging="372"/>
        <w:spacing w:after="0"/>
        <w:tabs>
          <w:tab w:leader="none" w:pos="420" w:val="left"/>
        </w:tabs>
        <w:numPr>
          <w:ilvl w:val="0"/>
          <w:numId w:val="163"/>
        </w:numPr>
        <w:rPr>
          <w:rFonts w:ascii="Arial" w:cs="Arial" w:eastAsia="Arial" w:hAnsi="Arial"/>
          <w:sz w:val="18"/>
          <w:szCs w:val="18"/>
          <w:color w:val="auto"/>
        </w:rPr>
      </w:pPr>
      <w:r>
        <w:rPr>
          <w:rFonts w:ascii="Calibri" w:cs="Calibri" w:eastAsia="Calibri" w:hAnsi="Calibri"/>
          <w:sz w:val="18"/>
          <w:szCs w:val="18"/>
          <w:b w:val="1"/>
          <w:bCs w:val="1"/>
          <w:u w:val="single" w:color="auto"/>
          <w:color w:val="auto"/>
        </w:rPr>
        <w:t>Shared Space Arrangement</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The following new subsecton (g) is added to Secton 22 of the Lease:</w:t>
      </w:r>
    </w:p>
    <w:p>
      <w:pPr>
        <w:spacing w:after="0" w:line="231" w:lineRule="exact"/>
        <w:rPr>
          <w:sz w:val="20"/>
          <w:szCs w:val="20"/>
          <w:color w:val="auto"/>
        </w:rPr>
      </w:pPr>
    </w:p>
    <w:p>
      <w:pPr>
        <w:jc w:val="both"/>
        <w:ind w:left="800"/>
        <w:spacing w:after="0" w:line="235" w:lineRule="auto"/>
        <w:rPr>
          <w:sz w:val="20"/>
          <w:szCs w:val="20"/>
          <w:color w:val="auto"/>
        </w:rPr>
      </w:pPr>
      <w:r>
        <w:rPr>
          <w:rFonts w:ascii="Calibri" w:cs="Calibri" w:eastAsia="Calibri" w:hAnsi="Calibri"/>
          <w:sz w:val="18"/>
          <w:szCs w:val="18"/>
          <w:color w:val="auto"/>
        </w:rPr>
        <w:t xml:space="preserve">“(g) </w:t>
      </w:r>
      <w:r>
        <w:rPr>
          <w:rFonts w:ascii="Calibri" w:cs="Calibri" w:eastAsia="Calibri" w:hAnsi="Calibri"/>
          <w:sz w:val="18"/>
          <w:szCs w:val="18"/>
          <w:b w:val="1"/>
          <w:bCs w:val="1"/>
          <w:color w:val="auto"/>
        </w:rPr>
        <w:t>Shared Space Arrangement.</w:t>
      </w:r>
      <w:r>
        <w:rPr>
          <w:rFonts w:ascii="Calibri" w:cs="Calibri" w:eastAsia="Calibri" w:hAnsi="Calibri"/>
          <w:sz w:val="18"/>
          <w:szCs w:val="18"/>
          <w:color w:val="auto"/>
        </w:rPr>
        <w:t xml:space="preserve"> Notwithstanding anything to the contrary contained in the Lease, Tenant may from tme to tme enter into agreements (each, a “</w:t>
      </w:r>
      <w:r>
        <w:rPr>
          <w:rFonts w:ascii="Calibri" w:cs="Calibri" w:eastAsia="Calibri" w:hAnsi="Calibri"/>
          <w:sz w:val="18"/>
          <w:szCs w:val="18"/>
          <w:b w:val="1"/>
          <w:bCs w:val="1"/>
          <w:color w:val="auto"/>
        </w:rPr>
        <w:t>Shared Space Arrangement</w:t>
      </w:r>
      <w:r>
        <w:rPr>
          <w:rFonts w:ascii="Calibri" w:cs="Calibri" w:eastAsia="Calibri" w:hAnsi="Calibri"/>
          <w:sz w:val="18"/>
          <w:szCs w:val="18"/>
          <w:color w:val="auto"/>
        </w:rPr>
        <w:t>”) with afliates of Tenant (each, a “</w:t>
      </w:r>
      <w:r>
        <w:rPr>
          <w:rFonts w:ascii="Calibri" w:cs="Calibri" w:eastAsia="Calibri" w:hAnsi="Calibri"/>
          <w:sz w:val="18"/>
          <w:szCs w:val="18"/>
          <w:b w:val="1"/>
          <w:bCs w:val="1"/>
          <w:color w:val="auto"/>
        </w:rPr>
        <w:t>Shared Space Occupant</w:t>
      </w:r>
      <w:r>
        <w:rPr>
          <w:rFonts w:ascii="Calibri" w:cs="Calibri" w:eastAsia="Calibri" w:hAnsi="Calibri"/>
          <w:sz w:val="18"/>
          <w:szCs w:val="18"/>
          <w:color w:val="auto"/>
        </w:rPr>
        <w:t>”), pursuant to which such Shared Space Occupants may collectvely occupy up to 15% of the Premises as “</w:t>
      </w:r>
      <w:r>
        <w:rPr>
          <w:rFonts w:ascii="Calibri" w:cs="Calibri" w:eastAsia="Calibri" w:hAnsi="Calibri"/>
          <w:sz w:val="18"/>
          <w:szCs w:val="18"/>
          <w:b w:val="1"/>
          <w:bCs w:val="1"/>
          <w:color w:val="auto"/>
        </w:rPr>
        <w:t>Shared Space Area</w:t>
      </w:r>
      <w:r>
        <w:rPr>
          <w:rFonts w:ascii="Calibri" w:cs="Calibri" w:eastAsia="Calibri" w:hAnsi="Calibri"/>
          <w:sz w:val="18"/>
          <w:szCs w:val="18"/>
          <w:color w:val="auto"/>
        </w:rPr>
        <w:t xml:space="preserve">” in the aggregate for a period not to exceed 12 months in the aggregate, and such Shared Space Arrangements shall not require Landlord’s consent under </w:t>
      </w:r>
      <w:r>
        <w:rPr>
          <w:rFonts w:ascii="Calibri" w:cs="Calibri" w:eastAsia="Calibri" w:hAnsi="Calibri"/>
          <w:sz w:val="18"/>
          <w:szCs w:val="18"/>
          <w:u w:val="single" w:color="auto"/>
          <w:color w:val="auto"/>
        </w:rPr>
        <w:t>Secton 22</w:t>
      </w:r>
      <w:r>
        <w:rPr>
          <w:rFonts w:ascii="Calibri" w:cs="Calibri" w:eastAsia="Calibri" w:hAnsi="Calibri"/>
          <w:sz w:val="18"/>
          <w:szCs w:val="18"/>
          <w:color w:val="auto"/>
        </w:rPr>
        <w:t xml:space="preserve">; provided, however, that Tenant shall be required to provide Landlord with a copy of each such Shared Space Arrangement and, prior to the efectve date of each such Shared Space Arrangement, Tenant and each Shared Space Occupant shall be required to execute an acknowledgment in the form of </w:t>
      </w:r>
      <w:r>
        <w:rPr>
          <w:rFonts w:ascii="Calibri" w:cs="Calibri" w:eastAsia="Calibri" w:hAnsi="Calibri"/>
          <w:sz w:val="18"/>
          <w:szCs w:val="18"/>
          <w:b w:val="1"/>
          <w:bCs w:val="1"/>
          <w:color w:val="auto"/>
        </w:rPr>
        <w:t>Exhibit A</w:t>
      </w:r>
      <w:r>
        <w:rPr>
          <w:rFonts w:ascii="Calibri" w:cs="Calibri" w:eastAsia="Calibri" w:hAnsi="Calibri"/>
          <w:sz w:val="18"/>
          <w:szCs w:val="18"/>
          <w:color w:val="auto"/>
        </w:rPr>
        <w:t xml:space="preserve"> atached hereto. Tenant shall be fully responsible for the conduct of any Shared Space Occupant within the Shared Space Area and the Project, and Tenant’s indemnifcaton obligatons set forth in the Lease shall apply with respect to the conduct of such partes within the Shared Space Area and Project. Tenant shall not be required to pay any Excess Rents with respect to any Shared Space Arrangements to Landlord. The rights with respect to a Shared Space Arrangement as provided for in this </w:t>
      </w:r>
      <w:r>
        <w:rPr>
          <w:rFonts w:ascii="Calibri" w:cs="Calibri" w:eastAsia="Calibri" w:hAnsi="Calibri"/>
          <w:sz w:val="18"/>
          <w:szCs w:val="18"/>
          <w:u w:val="single" w:color="auto"/>
          <w:color w:val="auto"/>
        </w:rPr>
        <w:t>Secton 6</w:t>
      </w:r>
      <w:r>
        <w:rPr>
          <w:rFonts w:ascii="Calibri" w:cs="Calibri" w:eastAsia="Calibri" w:hAnsi="Calibri"/>
          <w:sz w:val="18"/>
          <w:szCs w:val="18"/>
          <w:color w:val="auto"/>
        </w:rPr>
        <w:t xml:space="preserve"> is personal solely to Ultragenyx Pharmaceutcal Inc. and may not be assigned or transferred to any other person or entty. Except as modifed by this </w:t>
      </w:r>
      <w:r>
        <w:rPr>
          <w:rFonts w:ascii="Calibri" w:cs="Calibri" w:eastAsia="Calibri" w:hAnsi="Calibri"/>
          <w:sz w:val="18"/>
          <w:szCs w:val="18"/>
          <w:u w:val="single" w:color="auto"/>
          <w:color w:val="auto"/>
        </w:rPr>
        <w:t>Secton</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auto"/>
        </w:rPr>
        <w:t>22(g)</w:t>
      </w:r>
      <w:r>
        <w:rPr>
          <w:rFonts w:ascii="Calibri" w:cs="Calibri" w:eastAsia="Calibri" w:hAnsi="Calibri"/>
          <w:sz w:val="18"/>
          <w:szCs w:val="18"/>
          <w:color w:val="auto"/>
        </w:rPr>
        <w:t xml:space="preserve">, all other terms of </w:t>
      </w:r>
      <w:r>
        <w:rPr>
          <w:rFonts w:ascii="Calibri" w:cs="Calibri" w:eastAsia="Calibri" w:hAnsi="Calibri"/>
          <w:sz w:val="18"/>
          <w:szCs w:val="18"/>
          <w:u w:val="single" w:color="auto"/>
          <w:color w:val="auto"/>
        </w:rPr>
        <w:t>Secton 22</w:t>
      </w:r>
      <w:r>
        <w:rPr>
          <w:rFonts w:ascii="Calibri" w:cs="Calibri" w:eastAsia="Calibri" w:hAnsi="Calibri"/>
          <w:sz w:val="18"/>
          <w:szCs w:val="18"/>
          <w:color w:val="auto"/>
        </w:rPr>
        <w:t xml:space="preserve"> shall remain in full force and efect.”</w:t>
      </w:r>
    </w:p>
    <w:p>
      <w:pPr>
        <w:spacing w:after="0" w:line="253" w:lineRule="exact"/>
        <w:rPr>
          <w:sz w:val="20"/>
          <w:szCs w:val="20"/>
          <w:color w:val="auto"/>
        </w:rPr>
      </w:pPr>
    </w:p>
    <w:p>
      <w:pPr>
        <w:ind w:left="40" w:firstLine="8"/>
        <w:spacing w:after="0" w:line="235" w:lineRule="auto"/>
        <w:tabs>
          <w:tab w:leader="none" w:pos="421" w:val="left"/>
        </w:tabs>
        <w:numPr>
          <w:ilvl w:val="0"/>
          <w:numId w:val="164"/>
        </w:numPr>
        <w:rPr>
          <w:rFonts w:ascii="Arial" w:cs="Arial" w:eastAsia="Arial" w:hAnsi="Arial"/>
          <w:sz w:val="18"/>
          <w:szCs w:val="18"/>
          <w:color w:val="auto"/>
        </w:rPr>
      </w:pPr>
      <w:r>
        <w:rPr>
          <w:rFonts w:ascii="Calibri" w:cs="Calibri" w:eastAsia="Calibri" w:hAnsi="Calibri"/>
          <w:sz w:val="18"/>
          <w:szCs w:val="18"/>
          <w:b w:val="1"/>
          <w:bCs w:val="1"/>
          <w:u w:val="single" w:color="auto"/>
          <w:color w:val="auto"/>
        </w:rPr>
        <w:t>Lower Level Premises</w:t>
      </w:r>
      <w:r>
        <w:rPr>
          <w:rFonts w:ascii="Calibri" w:cs="Calibri" w:eastAsia="Calibri" w:hAnsi="Calibri"/>
          <w:sz w:val="18"/>
          <w:szCs w:val="18"/>
          <w:color w:val="auto"/>
        </w:rPr>
        <w:t>. For the avoidance of doubt, the terms of the Third Amendment shall contnue to apply with respect to the Lower Level</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Premises.</w:t>
      </w:r>
    </w:p>
    <w:p>
      <w:pPr>
        <w:spacing w:after="0" w:line="231" w:lineRule="exact"/>
        <w:rPr>
          <w:rFonts w:ascii="Arial" w:cs="Arial" w:eastAsia="Arial" w:hAnsi="Arial"/>
          <w:sz w:val="18"/>
          <w:szCs w:val="18"/>
          <w:color w:val="auto"/>
        </w:rPr>
      </w:pPr>
    </w:p>
    <w:p>
      <w:pPr>
        <w:jc w:val="both"/>
        <w:ind w:left="40" w:firstLine="8"/>
        <w:spacing w:after="0" w:line="235" w:lineRule="auto"/>
        <w:tabs>
          <w:tab w:leader="none" w:pos="421" w:val="left"/>
        </w:tabs>
        <w:numPr>
          <w:ilvl w:val="0"/>
          <w:numId w:val="164"/>
        </w:numPr>
        <w:rPr>
          <w:rFonts w:ascii="Arial" w:cs="Arial" w:eastAsia="Arial" w:hAnsi="Arial"/>
          <w:sz w:val="18"/>
          <w:szCs w:val="18"/>
          <w:color w:val="auto"/>
        </w:rPr>
      </w:pPr>
      <w:r>
        <w:rPr>
          <w:rFonts w:ascii="Calibri" w:cs="Calibri" w:eastAsia="Calibri" w:hAnsi="Calibri"/>
          <w:sz w:val="18"/>
          <w:szCs w:val="18"/>
          <w:b w:val="1"/>
          <w:bCs w:val="1"/>
          <w:u w:val="single" w:color="auto"/>
          <w:color w:val="auto"/>
        </w:rPr>
        <w:t>OFAC</w:t>
      </w:r>
      <w:r>
        <w:rPr>
          <w:rFonts w:ascii="Calibri" w:cs="Calibri" w:eastAsia="Calibri" w:hAnsi="Calibri"/>
          <w:sz w:val="18"/>
          <w:szCs w:val="18"/>
          <w:color w:val="auto"/>
        </w:rPr>
        <w:t>. Tenant and Landlord are currently (a) in compliance with and shall at all tmes during the Term of the Lease remain in compliance with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regulatons of the Ofce of Foreign Assets Control (“</w:t>
      </w:r>
      <w:r>
        <w:rPr>
          <w:rFonts w:ascii="Calibri" w:cs="Calibri" w:eastAsia="Calibri" w:hAnsi="Calibri"/>
          <w:sz w:val="18"/>
          <w:szCs w:val="18"/>
          <w:b w:val="1"/>
          <w:bCs w:val="1"/>
          <w:color w:val="auto"/>
        </w:rPr>
        <w:t>OFAC</w:t>
      </w:r>
      <w:r>
        <w:rPr>
          <w:rFonts w:ascii="Calibri" w:cs="Calibri" w:eastAsia="Calibri" w:hAnsi="Calibri"/>
          <w:sz w:val="18"/>
          <w:szCs w:val="18"/>
          <w:color w:val="auto"/>
        </w:rPr>
        <w:t>”) of the U.S. Department of Treasury and any statute, executve order, or regulaton relatng thereto (collectvely, the “</w:t>
      </w:r>
      <w:r>
        <w:rPr>
          <w:rFonts w:ascii="Calibri" w:cs="Calibri" w:eastAsia="Calibri" w:hAnsi="Calibri"/>
          <w:sz w:val="18"/>
          <w:szCs w:val="18"/>
          <w:b w:val="1"/>
          <w:bCs w:val="1"/>
          <w:color w:val="auto"/>
        </w:rPr>
        <w:t>OFAC Rules</w:t>
      </w:r>
      <w:r>
        <w:rPr>
          <w:rFonts w:ascii="Calibri" w:cs="Calibri" w:eastAsia="Calibri" w:hAnsi="Calibri"/>
          <w:sz w:val="18"/>
          <w:szCs w:val="18"/>
          <w:color w:val="auto"/>
        </w:rPr>
        <w:t>”), (b) not listed on, and shall not during Term of the Lease be listed on, the Specially Designated Natonals and Blocked Persons List, Foreign Sanctons Evaders List, or the Sectoral Sanctons Identfcaton List, which are all maintained by OFAC and/or on any other similar list maintained by OFAC or other governmental authority pursuant to any authorizing statute, executve order, or regulaton,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739775</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00" w:top="1413" w:right="579" w:bottom="1440" w:gutter="0" w:footer="0" w:header="0"/>
        </w:sectPr>
      </w:pPr>
    </w:p>
    <w:bookmarkStart w:id="185" w:name="page186"/>
    <w:bookmarkEnd w:id="185"/>
    <w:p>
      <w:pPr>
        <w:ind w:left="60"/>
        <w:spacing w:after="0"/>
        <w:rPr>
          <w:sz w:val="20"/>
          <w:szCs w:val="20"/>
          <w:color w:val="auto"/>
        </w:rPr>
      </w:pPr>
      <w:r>
        <w:rPr>
          <w:rFonts w:ascii="Calibri" w:cs="Calibri" w:eastAsia="Calibri" w:hAnsi="Calibri"/>
          <w:sz w:val="18"/>
          <w:szCs w:val="18"/>
          <w:color w:val="auto"/>
        </w:rPr>
        <w:t>and (c) not a person or entty with whom a U.S. person is prohibited from conductng business under the OFAC Rules.</w:t>
      </w:r>
    </w:p>
    <w:p>
      <w:pPr>
        <w:spacing w:after="0" w:line="231" w:lineRule="exact"/>
        <w:rPr>
          <w:sz w:val="20"/>
          <w:szCs w:val="20"/>
          <w:color w:val="auto"/>
        </w:rPr>
      </w:pPr>
    </w:p>
    <w:p>
      <w:pPr>
        <w:jc w:val="both"/>
        <w:ind w:left="40" w:right="20" w:firstLine="8"/>
        <w:spacing w:after="0" w:line="235" w:lineRule="auto"/>
        <w:tabs>
          <w:tab w:leader="none" w:pos="421" w:val="left"/>
        </w:tabs>
        <w:numPr>
          <w:ilvl w:val="0"/>
          <w:numId w:val="165"/>
        </w:numPr>
        <w:rPr>
          <w:rFonts w:ascii="Arial" w:cs="Arial" w:eastAsia="Arial" w:hAnsi="Arial"/>
          <w:sz w:val="18"/>
          <w:szCs w:val="18"/>
          <w:color w:val="auto"/>
        </w:rPr>
      </w:pPr>
      <w:r>
        <w:rPr>
          <w:rFonts w:ascii="Calibri" w:cs="Calibri" w:eastAsia="Calibri" w:hAnsi="Calibri"/>
          <w:sz w:val="18"/>
          <w:szCs w:val="18"/>
          <w:b w:val="1"/>
          <w:bCs w:val="1"/>
          <w:u w:val="single" w:color="auto"/>
          <w:color w:val="auto"/>
        </w:rPr>
        <w:t>Brokers</w:t>
      </w:r>
      <w:r>
        <w:rPr>
          <w:rFonts w:ascii="Calibri" w:cs="Calibri" w:eastAsia="Calibri" w:hAnsi="Calibri"/>
          <w:sz w:val="18"/>
          <w:szCs w:val="18"/>
          <w:color w:val="auto"/>
        </w:rPr>
        <w:t>. Landlord and Tenant each represents and warrants that it has not dealt with any broker, agent or other person (collectvely, “</w:t>
      </w:r>
      <w:r>
        <w:rPr>
          <w:rFonts w:ascii="Calibri" w:cs="Calibri" w:eastAsia="Calibri" w:hAnsi="Calibri"/>
          <w:sz w:val="18"/>
          <w:szCs w:val="18"/>
          <w:b w:val="1"/>
          <w:bCs w:val="1"/>
          <w:color w:val="auto"/>
        </w:rPr>
        <w:t>Broker</w:t>
      </w:r>
      <w:r>
        <w:rPr>
          <w:rFonts w:ascii="Calibri" w:cs="Calibri" w:eastAsia="Calibri" w:hAnsi="Calibri"/>
          <w:sz w:val="18"/>
          <w:szCs w:val="18"/>
          <w:color w:val="auto"/>
        </w:rPr>
        <w:t>”) in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connecton with the transacton refected in this Fifh Amendment and that no Broker brought about this transacton, other than Newmark and CBRE. Landlord and Tenant each hereby agree to indemnify and hold the other harmless from and against any claims by any Broker, other than Newmark and CBRE, claiming a commission or other form of compensaton by virtue of having dealt with Landlord or Tenant, as applicable, with regard to this Fifh Amendment.</w:t>
      </w:r>
    </w:p>
    <w:p>
      <w:pPr>
        <w:spacing w:after="0" w:line="242" w:lineRule="exact"/>
        <w:rPr>
          <w:rFonts w:ascii="Arial" w:cs="Arial" w:eastAsia="Arial" w:hAnsi="Arial"/>
          <w:sz w:val="18"/>
          <w:szCs w:val="18"/>
          <w:color w:val="auto"/>
        </w:rPr>
      </w:pPr>
    </w:p>
    <w:p>
      <w:pPr>
        <w:ind w:left="800" w:hanging="752"/>
        <w:spacing w:after="0"/>
        <w:tabs>
          <w:tab w:leader="none" w:pos="800" w:val="left"/>
        </w:tabs>
        <w:numPr>
          <w:ilvl w:val="0"/>
          <w:numId w:val="165"/>
        </w:numPr>
        <w:rPr>
          <w:rFonts w:ascii="Arial" w:cs="Arial" w:eastAsia="Arial" w:hAnsi="Arial"/>
          <w:sz w:val="18"/>
          <w:szCs w:val="18"/>
          <w:color w:val="auto"/>
        </w:rPr>
      </w:pPr>
      <w:r>
        <w:rPr>
          <w:rFonts w:ascii="Calibri" w:cs="Calibri" w:eastAsia="Calibri" w:hAnsi="Calibri"/>
          <w:sz w:val="18"/>
          <w:szCs w:val="18"/>
          <w:b w:val="1"/>
          <w:bCs w:val="1"/>
          <w:u w:val="single" w:color="auto"/>
          <w:color w:val="auto"/>
        </w:rPr>
        <w:t>Miscellaneous</w:t>
      </w:r>
      <w:r>
        <w:rPr>
          <w:rFonts w:ascii="Calibri" w:cs="Calibri" w:eastAsia="Calibri" w:hAnsi="Calibri"/>
          <w:sz w:val="18"/>
          <w:szCs w:val="18"/>
          <w:color w:val="auto"/>
        </w:rPr>
        <w:t>.</w:t>
      </w:r>
    </w:p>
    <w:p>
      <w:pPr>
        <w:spacing w:after="0" w:line="220" w:lineRule="exact"/>
        <w:rPr>
          <w:rFonts w:ascii="Arial" w:cs="Arial" w:eastAsia="Arial" w:hAnsi="Arial"/>
          <w:sz w:val="18"/>
          <w:szCs w:val="18"/>
          <w:color w:val="auto"/>
        </w:rPr>
      </w:pPr>
    </w:p>
    <w:p>
      <w:pPr>
        <w:jc w:val="both"/>
        <w:ind w:left="800" w:right="20"/>
        <w:spacing w:after="0" w:line="239" w:lineRule="auto"/>
        <w:rPr>
          <w:rFonts w:ascii="Arial" w:cs="Arial" w:eastAsia="Arial" w:hAnsi="Arial"/>
          <w:sz w:val="18"/>
          <w:szCs w:val="18"/>
          <w:color w:val="auto"/>
        </w:rPr>
      </w:pPr>
      <w:r>
        <w:rPr>
          <w:rFonts w:ascii="Arial" w:cs="Arial" w:eastAsia="Arial" w:hAnsi="Arial"/>
          <w:sz w:val="18"/>
          <w:szCs w:val="18"/>
          <w:color w:val="auto"/>
        </w:rPr>
        <w:t>(a)</w:t>
      </w:r>
      <w:r>
        <w:rPr>
          <w:rFonts w:ascii="Calibri" w:cs="Calibri" w:eastAsia="Calibri" w:hAnsi="Calibri"/>
          <w:sz w:val="18"/>
          <w:szCs w:val="18"/>
          <w:color w:val="auto"/>
        </w:rPr>
        <w:t>This Fifh Amendment is the entre agreement between the partes with respect to the subject mater hereof and supersedes all prior and</w:t>
      </w:r>
      <w:r>
        <w:rPr>
          <w:rFonts w:ascii="Arial" w:cs="Arial" w:eastAsia="Arial" w:hAnsi="Arial"/>
          <w:sz w:val="18"/>
          <w:szCs w:val="18"/>
          <w:color w:val="auto"/>
        </w:rPr>
        <w:t xml:space="preserve"> </w:t>
      </w:r>
      <w:r>
        <w:rPr>
          <w:rFonts w:ascii="Calibri" w:cs="Calibri" w:eastAsia="Calibri" w:hAnsi="Calibri"/>
          <w:sz w:val="18"/>
          <w:szCs w:val="18"/>
          <w:color w:val="auto"/>
        </w:rPr>
        <w:t>contemporaneous oral and writen agreements and discussions. This Fifh Amendment may be amended only by an agreement in writng, signed by the partes hereto.</w:t>
      </w:r>
    </w:p>
    <w:p>
      <w:pPr>
        <w:spacing w:after="0" w:line="234"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(b)</w:t>
      </w:r>
      <w:r>
        <w:rPr>
          <w:rFonts w:ascii="Calibri" w:cs="Calibri" w:eastAsia="Calibri" w:hAnsi="Calibri"/>
          <w:sz w:val="18"/>
          <w:szCs w:val="18"/>
          <w:color w:val="auto"/>
        </w:rPr>
        <w:t>This Fifh Amendment is binding upon and shall inure to the beneft of the partes hereto, and their respectve successors and assigns.</w:t>
      </w:r>
    </w:p>
    <w:p>
      <w:pPr>
        <w:spacing w:after="0" w:line="239" w:lineRule="exact"/>
        <w:rPr>
          <w:rFonts w:ascii="Arial" w:cs="Arial" w:eastAsia="Arial" w:hAnsi="Arial"/>
          <w:sz w:val="18"/>
          <w:szCs w:val="18"/>
          <w:color w:val="auto"/>
        </w:rPr>
      </w:pPr>
    </w:p>
    <w:p>
      <w:pPr>
        <w:jc w:val="both"/>
        <w:ind w:left="800"/>
        <w:spacing w:after="0" w:line="237" w:lineRule="auto"/>
        <w:rPr>
          <w:rFonts w:ascii="Arial" w:cs="Arial" w:eastAsia="Arial" w:hAnsi="Arial"/>
          <w:sz w:val="18"/>
          <w:szCs w:val="18"/>
          <w:color w:val="auto"/>
        </w:rPr>
      </w:pPr>
      <w:r>
        <w:rPr>
          <w:rFonts w:ascii="Arial" w:cs="Arial" w:eastAsia="Arial" w:hAnsi="Arial"/>
          <w:sz w:val="18"/>
          <w:szCs w:val="18"/>
          <w:color w:val="auto"/>
        </w:rPr>
        <w:t>(c)</w:t>
      </w:r>
      <w:r>
        <w:rPr>
          <w:rFonts w:ascii="Calibri" w:cs="Calibri" w:eastAsia="Calibri" w:hAnsi="Calibri"/>
          <w:sz w:val="18"/>
          <w:szCs w:val="18"/>
          <w:color w:val="auto"/>
        </w:rPr>
        <w:t>This Fifh Amendment may be executed in 2 or more counterparts, each of which shall be deemed an original, but all of which together</w:t>
      </w:r>
      <w:r>
        <w:rPr>
          <w:rFonts w:ascii="Arial" w:cs="Arial" w:eastAsia="Arial" w:hAnsi="Arial"/>
          <w:sz w:val="18"/>
          <w:szCs w:val="18"/>
          <w:color w:val="auto"/>
        </w:rPr>
        <w:t xml:space="preserve"> </w:t>
      </w:r>
      <w:r>
        <w:rPr>
          <w:rFonts w:ascii="Calibri" w:cs="Calibri" w:eastAsia="Calibri" w:hAnsi="Calibri"/>
          <w:sz w:val="18"/>
          <w:szCs w:val="18"/>
          <w:color w:val="auto"/>
        </w:rPr>
        <w:t>shall consttute one and the same instrument. Counterparts may be delivered via facsimile, electronic mail (including pdf or any electronic signature process complying with the U.S. federal ESIGN Act of 2000) or other transmission method and any counterpart so delivered shall be deemed to have been duly and validly delivered and be valid and efectve for all purposes. Electronic signatures shall be deemed original signatures for purposes of this Fifh Amendment and all maters related thereto, with such electronic signatures having the same legal efect as original signatures.</w:t>
      </w:r>
    </w:p>
    <w:p>
      <w:pPr>
        <w:spacing w:after="0" w:line="237" w:lineRule="exact"/>
        <w:rPr>
          <w:rFonts w:ascii="Arial" w:cs="Arial" w:eastAsia="Arial" w:hAnsi="Arial"/>
          <w:sz w:val="18"/>
          <w:szCs w:val="18"/>
          <w:color w:val="auto"/>
        </w:rPr>
      </w:pPr>
    </w:p>
    <w:p>
      <w:pPr>
        <w:jc w:val="both"/>
        <w:ind w:left="800" w:right="20"/>
        <w:spacing w:after="0" w:line="237" w:lineRule="auto"/>
        <w:rPr>
          <w:rFonts w:ascii="Arial" w:cs="Arial" w:eastAsia="Arial" w:hAnsi="Arial"/>
          <w:sz w:val="18"/>
          <w:szCs w:val="18"/>
          <w:color w:val="auto"/>
        </w:rPr>
      </w:pPr>
      <w:r>
        <w:rPr>
          <w:rFonts w:ascii="Arial" w:cs="Arial" w:eastAsia="Arial" w:hAnsi="Arial"/>
          <w:sz w:val="18"/>
          <w:szCs w:val="18"/>
          <w:color w:val="auto"/>
        </w:rPr>
        <w:t>(d)</w:t>
      </w:r>
      <w:r>
        <w:rPr>
          <w:rFonts w:ascii="Calibri" w:cs="Calibri" w:eastAsia="Calibri" w:hAnsi="Calibri"/>
          <w:sz w:val="18"/>
          <w:szCs w:val="18"/>
          <w:color w:val="auto"/>
        </w:rPr>
        <w:t>Except as amended and/or modifed by this Fifh Amendment, the Lease is hereby ratfed and confrmed and all other terms of the Lease</w:t>
      </w:r>
      <w:r>
        <w:rPr>
          <w:rFonts w:ascii="Arial" w:cs="Arial" w:eastAsia="Arial" w:hAnsi="Arial"/>
          <w:sz w:val="18"/>
          <w:szCs w:val="18"/>
          <w:color w:val="auto"/>
        </w:rPr>
        <w:t xml:space="preserve"> </w:t>
      </w:r>
      <w:r>
        <w:rPr>
          <w:rFonts w:ascii="Calibri" w:cs="Calibri" w:eastAsia="Calibri" w:hAnsi="Calibri"/>
          <w:sz w:val="18"/>
          <w:szCs w:val="18"/>
          <w:color w:val="auto"/>
        </w:rPr>
        <w:t>shall remain in full force and efect, unaltered and unchanged by this Fifh Amendment. In the event of any confict between the provisions of this Fifh Amendment and the provisions of the Lease, the provisions of this Fifh Amendment shall prevail. Whether or not specifcally amended by this Fifh Amendment, all of the terms and provisions of the Lease are hereby amended to the extent necessary to give efect to the purpose and intent of this Fifh Amendment.</w:t>
      </w:r>
    </w:p>
    <w:p>
      <w:pPr>
        <w:spacing w:after="0" w:line="224" w:lineRule="exact"/>
        <w:rPr>
          <w:rFonts w:ascii="Arial" w:cs="Arial" w:eastAsia="Arial" w:hAnsi="Arial"/>
          <w:sz w:val="18"/>
          <w:szCs w:val="18"/>
          <w:color w:val="auto"/>
        </w:rPr>
      </w:pPr>
    </w:p>
    <w:p>
      <w:pPr>
        <w:jc w:val="both"/>
        <w:ind w:left="800"/>
        <w:spacing w:after="0" w:line="237" w:lineRule="auto"/>
        <w:rPr>
          <w:rFonts w:ascii="Arial" w:cs="Arial" w:eastAsia="Arial" w:hAnsi="Arial"/>
          <w:sz w:val="18"/>
          <w:szCs w:val="18"/>
          <w:color w:val="auto"/>
        </w:rPr>
      </w:pPr>
      <w:r>
        <w:rPr>
          <w:rFonts w:ascii="Arial" w:cs="Arial" w:eastAsia="Arial" w:hAnsi="Arial"/>
          <w:sz w:val="18"/>
          <w:szCs w:val="18"/>
          <w:color w:val="auto"/>
        </w:rPr>
        <w:t>(e)</w:t>
      </w:r>
      <w:r>
        <w:rPr>
          <w:rFonts w:ascii="Calibri" w:cs="Calibri" w:eastAsia="Calibri" w:hAnsi="Calibri"/>
          <w:sz w:val="18"/>
          <w:szCs w:val="18"/>
          <w:color w:val="auto"/>
        </w:rPr>
        <w:t>Tenant acknowledges that Landlord’s business operatons are proprietary to Landlord. Absent prior writen consent from Landlord, Tenant</w:t>
      </w:r>
      <w:r>
        <w:rPr>
          <w:rFonts w:ascii="Arial" w:cs="Arial" w:eastAsia="Arial" w:hAnsi="Arial"/>
          <w:sz w:val="18"/>
          <w:szCs w:val="18"/>
          <w:color w:val="auto"/>
        </w:rPr>
        <w:t xml:space="preserve"> </w:t>
      </w:r>
      <w:r>
        <w:rPr>
          <w:rFonts w:ascii="Calibri" w:cs="Calibri" w:eastAsia="Calibri" w:hAnsi="Calibri"/>
          <w:sz w:val="18"/>
          <w:szCs w:val="18"/>
          <w:color w:val="auto"/>
        </w:rPr>
        <w:t>shall hold confdental and will not disclose to third partes, and shall require Tenant’s assignees, sublessees, licensees, agents, servants, employees, invitees and contractors (or any of Tenant’s assignees, sublessees and/or licensees respectve agents, servants, employees, invitees and contractors) to hold confdental and not disclose to third partes, informaton regarding the systems, controls, equipment, programming, vendors, tenants, and specialized amenites of Landlord.</w:t>
      </w:r>
    </w:p>
    <w:p>
      <w:pPr>
        <w:spacing w:after="0" w:line="230"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b w:val="1"/>
          <w:bCs w:val="1"/>
          <w:color w:val="auto"/>
        </w:rPr>
        <w:t>[Signatures are on the next page]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730885</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7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00" w:top="1408" w:right="579" w:bottom="1440" w:gutter="0" w:footer="0" w:header="0"/>
        </w:sectPr>
      </w:pPr>
    </w:p>
    <w:bookmarkStart w:id="186" w:name="page187"/>
    <w:bookmarkEnd w:id="186"/>
    <w:p>
      <w:pPr>
        <w:ind w:left="360" w:firstLine="713"/>
        <w:spacing w:after="0" w:line="235" w:lineRule="auto"/>
        <w:rPr>
          <w:sz w:val="20"/>
          <w:szCs w:val="20"/>
          <w:color w:val="auto"/>
        </w:rPr>
      </w:pPr>
      <w:r>
        <w:rPr>
          <w:rFonts w:ascii="Calibri" w:cs="Calibri" w:eastAsia="Calibri" w:hAnsi="Calibri"/>
          <w:sz w:val="17"/>
          <w:szCs w:val="17"/>
          <w:color w:val="2F2F2F"/>
        </w:rPr>
        <w:t xml:space="preserve">IN WITNESS WHEREOF, the partes have caused their duly authorized representatves to execute this </w:t>
      </w:r>
      <w:r>
        <w:rPr>
          <w:rFonts w:ascii="Calibri" w:cs="Calibri" w:eastAsia="Calibri" w:hAnsi="Calibri"/>
          <w:sz w:val="17"/>
          <w:szCs w:val="17"/>
          <w:color w:val="3F3F3F"/>
        </w:rPr>
        <w:t>Fifh</w:t>
      </w:r>
      <w:r>
        <w:rPr>
          <w:rFonts w:ascii="Calibri" w:cs="Calibri" w:eastAsia="Calibri" w:hAnsi="Calibri"/>
          <w:sz w:val="17"/>
          <w:szCs w:val="17"/>
          <w:color w:val="2F2F2F"/>
        </w:rPr>
        <w:t xml:space="preserve"> Amendment as of the date </w:t>
      </w:r>
      <w:r>
        <w:rPr>
          <w:rFonts w:ascii="Calibri" w:cs="Calibri" w:eastAsia="Calibri" w:hAnsi="Calibri"/>
          <w:sz w:val="17"/>
          <w:szCs w:val="17"/>
          <w:color w:val="3F3F3F"/>
        </w:rPr>
        <w:t>frst</w:t>
      </w:r>
      <w:r>
        <w:rPr>
          <w:rFonts w:ascii="Calibri" w:cs="Calibri" w:eastAsia="Calibri" w:hAnsi="Calibri"/>
          <w:sz w:val="17"/>
          <w:szCs w:val="17"/>
          <w:color w:val="2F2F2F"/>
        </w:rPr>
        <w:t xml:space="preserve"> writen above.</w:t>
      </w:r>
    </w:p>
    <w:p>
      <w:pPr>
        <w:spacing w:after="0" w:line="235" w:lineRule="exact"/>
        <w:rPr>
          <w:sz w:val="20"/>
          <w:szCs w:val="20"/>
          <w:color w:val="auto"/>
        </w:rPr>
      </w:pPr>
    </w:p>
    <w:p>
      <w:pPr>
        <w:ind w:left="3920"/>
        <w:spacing w:after="0"/>
        <w:rPr>
          <w:sz w:val="20"/>
          <w:szCs w:val="20"/>
          <w:color w:val="auto"/>
        </w:rPr>
      </w:pPr>
      <w:r>
        <w:rPr>
          <w:rFonts w:ascii="Calibri" w:cs="Calibri" w:eastAsia="Calibri" w:hAnsi="Calibri"/>
          <w:sz w:val="16"/>
          <w:szCs w:val="16"/>
          <w:b w:val="1"/>
          <w:bCs w:val="1"/>
          <w:color w:val="3F3F3F"/>
        </w:rPr>
        <w:t>TENANT:</w:t>
      </w:r>
    </w:p>
    <w:p>
      <w:pPr>
        <w:spacing w:after="0" w:line="221" w:lineRule="exact"/>
        <w:rPr>
          <w:sz w:val="20"/>
          <w:szCs w:val="20"/>
          <w:color w:val="auto"/>
        </w:rPr>
      </w:pPr>
    </w:p>
    <w:p>
      <w:pPr>
        <w:ind w:left="3920"/>
        <w:spacing w:after="0"/>
        <w:rPr>
          <w:sz w:val="20"/>
          <w:szCs w:val="20"/>
          <w:color w:val="auto"/>
        </w:rPr>
      </w:pPr>
      <w:r>
        <w:rPr>
          <w:rFonts w:ascii="Calibri" w:cs="Calibri" w:eastAsia="Calibri" w:hAnsi="Calibri"/>
          <w:sz w:val="17"/>
          <w:szCs w:val="17"/>
          <w:b w:val="1"/>
          <w:bCs w:val="1"/>
          <w:color w:val="3F3F3F"/>
        </w:rPr>
        <w:t xml:space="preserve">ULTRAGENYX </w:t>
      </w:r>
      <w:r>
        <w:rPr>
          <w:rFonts w:ascii="Calibri" w:cs="Calibri" w:eastAsia="Calibri" w:hAnsi="Calibri"/>
          <w:sz w:val="17"/>
          <w:szCs w:val="17"/>
          <w:b w:val="1"/>
          <w:bCs w:val="1"/>
          <w:color w:val="2F2F2F"/>
        </w:rPr>
        <w:t>PHARMACEUTICAL INC.</w:t>
      </w:r>
    </w:p>
    <w:p>
      <w:pPr>
        <w:ind w:left="3920"/>
        <w:spacing w:after="0"/>
        <w:rPr>
          <w:sz w:val="20"/>
          <w:szCs w:val="20"/>
          <w:color w:val="auto"/>
        </w:rPr>
      </w:pPr>
      <w:r>
        <w:rPr>
          <w:rFonts w:ascii="Calibri" w:cs="Calibri" w:eastAsia="Calibri" w:hAnsi="Calibri"/>
          <w:sz w:val="17"/>
          <w:szCs w:val="17"/>
          <w:color w:val="3F3F3F"/>
        </w:rPr>
        <w:t xml:space="preserve">a </w:t>
      </w:r>
      <w:r>
        <w:rPr>
          <w:rFonts w:ascii="Calibri" w:cs="Calibri" w:eastAsia="Calibri" w:hAnsi="Calibri"/>
          <w:sz w:val="17"/>
          <w:szCs w:val="17"/>
          <w:color w:val="2F2F2F"/>
        </w:rPr>
        <w:t>Delaware corporaton</w:t>
      </w:r>
    </w:p>
    <w:p>
      <w:pPr>
        <w:spacing w:after="0" w:line="197" w:lineRule="exact"/>
        <w:rPr>
          <w:sz w:val="20"/>
          <w:szCs w:val="20"/>
          <w:color w:val="auto"/>
        </w:rPr>
      </w:pPr>
    </w:p>
    <w:p>
      <w:pPr>
        <w:ind w:left="3920"/>
        <w:spacing w:after="0"/>
        <w:rPr>
          <w:sz w:val="20"/>
          <w:szCs w:val="20"/>
          <w:color w:val="auto"/>
        </w:rPr>
      </w:pPr>
      <w:r>
        <w:rPr>
          <w:rFonts w:ascii="Calibri" w:cs="Calibri" w:eastAsia="Calibri" w:hAnsi="Calibri"/>
          <w:sz w:val="17"/>
          <w:szCs w:val="17"/>
          <w:color w:val="auto"/>
        </w:rPr>
        <w:t xml:space="preserve">Approved and Executed by: </w:t>
      </w:r>
      <w:r>
        <w:rPr>
          <w:rFonts w:ascii="Calibri" w:cs="Calibri" w:eastAsia="Calibri" w:hAnsi="Calibri"/>
          <w:sz w:val="17"/>
          <w:szCs w:val="17"/>
          <w:b w:val="1"/>
          <w:bCs w:val="1"/>
          <w:u w:val="single" w:color="auto"/>
          <w:color w:val="auto"/>
        </w:rPr>
        <w:t>/s/ Emil Kakkis</w:t>
      </w:r>
    </w:p>
    <w:p>
      <w:pPr>
        <w:ind w:left="3920"/>
        <w:spacing w:after="0" w:line="234" w:lineRule="auto"/>
        <w:rPr>
          <w:sz w:val="20"/>
          <w:szCs w:val="20"/>
          <w:color w:val="auto"/>
        </w:rPr>
      </w:pPr>
      <w:r>
        <w:rPr>
          <w:rFonts w:ascii="Calibri" w:cs="Calibri" w:eastAsia="Calibri" w:hAnsi="Calibri"/>
          <w:sz w:val="17"/>
          <w:szCs w:val="17"/>
          <w:color w:val="auto"/>
        </w:rPr>
        <w:t>Name: Emil Kakkis</w:t>
      </w:r>
    </w:p>
    <w:p>
      <w:pPr>
        <w:ind w:left="3920"/>
        <w:spacing w:after="0" w:line="234" w:lineRule="auto"/>
        <w:rPr>
          <w:sz w:val="20"/>
          <w:szCs w:val="20"/>
          <w:color w:val="auto"/>
        </w:rPr>
      </w:pPr>
      <w:r>
        <w:rPr>
          <w:rFonts w:ascii="Calibri" w:cs="Calibri" w:eastAsia="Calibri" w:hAnsi="Calibri"/>
          <w:sz w:val="17"/>
          <w:szCs w:val="17"/>
          <w:color w:val="auto"/>
        </w:rPr>
        <w:t>Its: CEO</w:t>
      </w:r>
    </w:p>
    <w:p>
      <w:pPr>
        <w:ind w:left="3920"/>
        <w:spacing w:after="0" w:line="234" w:lineRule="auto"/>
        <w:rPr>
          <w:sz w:val="20"/>
          <w:szCs w:val="20"/>
          <w:color w:val="auto"/>
        </w:rPr>
      </w:pPr>
      <w:r>
        <w:rPr>
          <w:rFonts w:ascii="Calibri" w:cs="Calibri" w:eastAsia="Calibri" w:hAnsi="Calibri"/>
          <w:sz w:val="17"/>
          <w:szCs w:val="17"/>
          <w:color w:val="auto"/>
        </w:rPr>
        <w:t>Date: November 20, 2024</w:t>
      </w:r>
    </w:p>
    <w:p>
      <w:pPr>
        <w:ind w:left="3920"/>
        <w:spacing w:after="0" w:line="234" w:lineRule="auto"/>
        <w:rPr>
          <w:sz w:val="20"/>
          <w:szCs w:val="20"/>
          <w:color w:val="auto"/>
        </w:rPr>
      </w:pPr>
      <w:r>
        <w:rPr>
          <w:rFonts w:ascii="Calibri" w:cs="Calibri" w:eastAsia="Calibri" w:hAnsi="Calibri"/>
          <w:sz w:val="17"/>
          <w:szCs w:val="17"/>
          <w:color w:val="auto"/>
        </w:rPr>
        <w:t>I hereby certfy that the signature, name and ttle above are my signature, name and ttle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920"/>
        <w:spacing w:after="0"/>
        <w:rPr>
          <w:sz w:val="20"/>
          <w:szCs w:val="20"/>
          <w:color w:val="auto"/>
        </w:rPr>
      </w:pPr>
      <w:r>
        <w:rPr>
          <w:rFonts w:ascii="Calibri" w:cs="Calibri" w:eastAsia="Calibri" w:hAnsi="Calibri"/>
          <w:sz w:val="16"/>
          <w:szCs w:val="16"/>
          <w:b w:val="1"/>
          <w:bCs w:val="1"/>
          <w:color w:val="auto"/>
        </w:rPr>
        <w:t>LANDLORD:</w:t>
      </w:r>
    </w:p>
    <w:p>
      <w:pPr>
        <w:spacing w:after="0" w:line="226" w:lineRule="exact"/>
        <w:rPr>
          <w:sz w:val="20"/>
          <w:szCs w:val="20"/>
          <w:color w:val="auto"/>
        </w:rPr>
      </w:pPr>
    </w:p>
    <w:p>
      <w:pPr>
        <w:ind w:left="3920"/>
        <w:spacing w:after="0"/>
        <w:rPr>
          <w:sz w:val="20"/>
          <w:szCs w:val="20"/>
          <w:color w:val="auto"/>
        </w:rPr>
      </w:pPr>
      <w:r>
        <w:rPr>
          <w:rFonts w:ascii="Calibri" w:cs="Calibri" w:eastAsia="Calibri" w:hAnsi="Calibri"/>
          <w:sz w:val="17"/>
          <w:szCs w:val="17"/>
          <w:b w:val="1"/>
          <w:bCs w:val="1"/>
          <w:color w:val="auto"/>
        </w:rPr>
        <w:t>ARE-MA REGION NO. 20, LLC</w:t>
      </w:r>
    </w:p>
    <w:p>
      <w:pPr>
        <w:ind w:left="3920"/>
        <w:spacing w:after="0" w:line="234" w:lineRule="auto"/>
        <w:rPr>
          <w:sz w:val="20"/>
          <w:szCs w:val="20"/>
          <w:color w:val="auto"/>
        </w:rPr>
      </w:pPr>
      <w:r>
        <w:rPr>
          <w:rFonts w:ascii="Calibri" w:cs="Calibri" w:eastAsia="Calibri" w:hAnsi="Calibri"/>
          <w:sz w:val="17"/>
          <w:szCs w:val="17"/>
          <w:color w:val="auto"/>
        </w:rPr>
        <w:t>A Delaware limited liability company</w:t>
      </w:r>
    </w:p>
    <w:p>
      <w:pPr>
        <w:spacing w:after="0" w:line="198" w:lineRule="exact"/>
        <w:rPr>
          <w:sz w:val="20"/>
          <w:szCs w:val="20"/>
          <w:color w:val="auto"/>
        </w:rPr>
      </w:pPr>
    </w:p>
    <w:p>
      <w:pPr>
        <w:ind w:left="3920"/>
        <w:spacing w:after="0"/>
        <w:rPr>
          <w:sz w:val="20"/>
          <w:szCs w:val="20"/>
          <w:color w:val="auto"/>
        </w:rPr>
      </w:pPr>
      <w:r>
        <w:rPr>
          <w:rFonts w:ascii="Calibri" w:cs="Calibri" w:eastAsia="Calibri" w:hAnsi="Calibri"/>
          <w:sz w:val="17"/>
          <w:szCs w:val="17"/>
          <w:color w:val="auto"/>
        </w:rPr>
        <w:t>By: ALEXANDRIA REAL ESTATE EQUITIES, L.P.,</w:t>
      </w:r>
    </w:p>
    <w:p>
      <w:pPr>
        <w:ind w:left="3920"/>
        <w:spacing w:after="0" w:line="234" w:lineRule="auto"/>
        <w:rPr>
          <w:sz w:val="20"/>
          <w:szCs w:val="20"/>
          <w:color w:val="auto"/>
        </w:rPr>
      </w:pPr>
      <w:r>
        <w:rPr>
          <w:rFonts w:ascii="Calibri" w:cs="Calibri" w:eastAsia="Calibri" w:hAnsi="Calibri"/>
          <w:sz w:val="17"/>
          <w:szCs w:val="17"/>
          <w:color w:val="auto"/>
        </w:rPr>
        <w:t>a Delaware limited partnership,</w:t>
      </w:r>
    </w:p>
    <w:p>
      <w:pPr>
        <w:ind w:left="3920"/>
        <w:spacing w:after="0" w:line="234" w:lineRule="auto"/>
        <w:rPr>
          <w:sz w:val="20"/>
          <w:szCs w:val="20"/>
          <w:color w:val="auto"/>
        </w:rPr>
      </w:pPr>
      <w:r>
        <w:rPr>
          <w:rFonts w:ascii="Calibri" w:cs="Calibri" w:eastAsia="Calibri" w:hAnsi="Calibri"/>
          <w:sz w:val="17"/>
          <w:szCs w:val="17"/>
          <w:color w:val="auto"/>
        </w:rPr>
        <w:t>managing member</w:t>
      </w:r>
    </w:p>
    <w:p>
      <w:pPr>
        <w:spacing w:after="0" w:line="198" w:lineRule="exact"/>
        <w:rPr>
          <w:sz w:val="20"/>
          <w:szCs w:val="20"/>
          <w:color w:val="auto"/>
        </w:rPr>
      </w:pPr>
    </w:p>
    <w:p>
      <w:pPr>
        <w:ind w:left="3920"/>
        <w:spacing w:after="0"/>
        <w:rPr>
          <w:sz w:val="20"/>
          <w:szCs w:val="20"/>
          <w:color w:val="auto"/>
        </w:rPr>
      </w:pPr>
      <w:r>
        <w:rPr>
          <w:rFonts w:ascii="Calibri" w:cs="Calibri" w:eastAsia="Calibri" w:hAnsi="Calibri"/>
          <w:sz w:val="17"/>
          <w:szCs w:val="17"/>
          <w:color w:val="auto"/>
        </w:rPr>
        <w:t>By: ARE-QRS CORP,</w:t>
      </w:r>
    </w:p>
    <w:p>
      <w:pPr>
        <w:ind w:left="3920"/>
        <w:spacing w:after="0" w:line="234" w:lineRule="auto"/>
        <w:rPr>
          <w:sz w:val="20"/>
          <w:szCs w:val="20"/>
          <w:color w:val="auto"/>
        </w:rPr>
      </w:pPr>
      <w:r>
        <w:rPr>
          <w:rFonts w:ascii="Calibri" w:cs="Calibri" w:eastAsia="Calibri" w:hAnsi="Calibri"/>
          <w:sz w:val="17"/>
          <w:szCs w:val="17"/>
          <w:color w:val="auto"/>
        </w:rPr>
        <w:t>a Maryland corporaton, general partner</w:t>
      </w:r>
    </w:p>
    <w:p>
      <w:pPr>
        <w:spacing w:after="0" w:line="198" w:lineRule="exact"/>
        <w:rPr>
          <w:sz w:val="20"/>
          <w:szCs w:val="20"/>
          <w:color w:val="auto"/>
        </w:rPr>
      </w:pPr>
    </w:p>
    <w:p>
      <w:pPr>
        <w:ind w:left="3920"/>
        <w:spacing w:after="0"/>
        <w:rPr>
          <w:sz w:val="20"/>
          <w:szCs w:val="20"/>
          <w:color w:val="auto"/>
        </w:rPr>
      </w:pPr>
      <w:r>
        <w:rPr>
          <w:rFonts w:ascii="Calibri" w:cs="Calibri" w:eastAsia="Calibri" w:hAnsi="Calibri"/>
          <w:sz w:val="17"/>
          <w:szCs w:val="17"/>
          <w:color w:val="auto"/>
        </w:rPr>
        <w:t>By: /s/ Scot A. Sherwood</w:t>
      </w:r>
    </w:p>
    <w:p>
      <w:pPr>
        <w:ind w:left="3920"/>
        <w:spacing w:after="0" w:line="234" w:lineRule="auto"/>
        <w:rPr>
          <w:sz w:val="20"/>
          <w:szCs w:val="20"/>
          <w:color w:val="auto"/>
        </w:rPr>
      </w:pPr>
      <w:r>
        <w:rPr>
          <w:rFonts w:ascii="Calibri" w:cs="Calibri" w:eastAsia="Calibri" w:hAnsi="Calibri"/>
          <w:sz w:val="17"/>
          <w:szCs w:val="17"/>
          <w:color w:val="auto"/>
        </w:rPr>
        <w:t>Name: Scot A. Sherwood</w:t>
      </w:r>
    </w:p>
    <w:p>
      <w:pPr>
        <w:ind w:left="3920"/>
        <w:spacing w:after="0" w:line="234" w:lineRule="auto"/>
        <w:rPr>
          <w:sz w:val="20"/>
          <w:szCs w:val="20"/>
          <w:color w:val="auto"/>
        </w:rPr>
      </w:pPr>
      <w:r>
        <w:rPr>
          <w:rFonts w:ascii="Calibri" w:cs="Calibri" w:eastAsia="Calibri" w:hAnsi="Calibri"/>
          <w:sz w:val="17"/>
          <w:szCs w:val="17"/>
          <w:color w:val="auto"/>
        </w:rPr>
        <w:t>Its: Real Estate Legal Afairs</w:t>
      </w:r>
    </w:p>
    <w:p>
      <w:pPr>
        <w:ind w:left="3920"/>
        <w:spacing w:after="0" w:line="234" w:lineRule="auto"/>
        <w:rPr>
          <w:sz w:val="20"/>
          <w:szCs w:val="20"/>
          <w:color w:val="auto"/>
        </w:rPr>
      </w:pPr>
      <w:r>
        <w:rPr>
          <w:rFonts w:ascii="Calibri" w:cs="Calibri" w:eastAsia="Calibri" w:hAnsi="Calibri"/>
          <w:sz w:val="17"/>
          <w:szCs w:val="17"/>
          <w:color w:val="auto"/>
        </w:rPr>
        <w:t>Date: November 25, 2024</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748030</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7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400" w:top="1408" w:right="639" w:bottom="1440" w:gutter="0" w:footer="0" w:header="0"/>
        </w:sectPr>
      </w:pPr>
    </w:p>
    <w:bookmarkStart w:id="187" w:name="page188"/>
    <w:bookmarkEnd w:id="187"/>
    <w:p>
      <w:pPr>
        <w:spacing w:after="0" w:line="171"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b w:val="1"/>
          <w:bCs w:val="1"/>
          <w:color w:val="auto"/>
        </w:rPr>
        <w:t>EXHIBIT A</w:t>
      </w:r>
    </w:p>
    <w:p>
      <w:pPr>
        <w:spacing w:after="0" w:line="217" w:lineRule="exact"/>
        <w:rPr>
          <w:sz w:val="20"/>
          <w:szCs w:val="20"/>
          <w:color w:val="auto"/>
        </w:rPr>
      </w:pPr>
    </w:p>
    <w:p>
      <w:pPr>
        <w:jc w:val="center"/>
        <w:ind w:right="-59"/>
        <w:spacing w:after="0"/>
        <w:rPr>
          <w:sz w:val="20"/>
          <w:szCs w:val="20"/>
          <w:color w:val="auto"/>
        </w:rPr>
      </w:pPr>
      <w:r>
        <w:rPr>
          <w:rFonts w:ascii="Calibri" w:cs="Calibri" w:eastAsia="Calibri" w:hAnsi="Calibri"/>
          <w:sz w:val="17"/>
          <w:szCs w:val="17"/>
          <w:b w:val="1"/>
          <w:bCs w:val="1"/>
          <w:u w:val="single" w:color="auto"/>
          <w:color w:val="auto"/>
        </w:rPr>
        <w:t>FORM OF SHARED SPACE ACKNOWLEDGMENT</w:t>
      </w:r>
    </w:p>
    <w:p>
      <w:pPr>
        <w:sectPr>
          <w:pgSz w:w="11900" w:h="16838" w:orient="portrait"/>
          <w:cols w:equalWidth="0" w:num="1">
            <w:col w:w="10920"/>
          </w:cols>
          <w:pgMar w:left="400" w:top="1440" w:right="579" w:bottom="1440" w:gutter="0" w:footer="0" w:header="0"/>
        </w:sectPr>
      </w:pPr>
    </w:p>
    <w:p>
      <w:pPr>
        <w:spacing w:after="0" w:line="224" w:lineRule="exact"/>
        <w:rPr>
          <w:sz w:val="20"/>
          <w:szCs w:val="20"/>
          <w:color w:val="auto"/>
        </w:rPr>
      </w:pPr>
    </w:p>
    <w:p>
      <w:pPr>
        <w:ind w:left="60" w:firstLine="747"/>
        <w:spacing w:after="0" w:line="249" w:lineRule="auto"/>
        <w:rPr>
          <w:sz w:val="20"/>
          <w:szCs w:val="20"/>
          <w:color w:val="auto"/>
        </w:rPr>
      </w:pPr>
      <w:r>
        <w:rPr>
          <w:rFonts w:ascii="Calibri" w:cs="Calibri" w:eastAsia="Calibri" w:hAnsi="Calibri"/>
          <w:sz w:val="17"/>
          <w:szCs w:val="17"/>
          <w:color w:val="auto"/>
        </w:rPr>
        <w:t>This Shared Space Acknowledgment (this “</w:t>
      </w:r>
      <w:r>
        <w:rPr>
          <w:rFonts w:ascii="Calibri" w:cs="Calibri" w:eastAsia="Calibri" w:hAnsi="Calibri"/>
          <w:sz w:val="17"/>
          <w:szCs w:val="17"/>
          <w:b w:val="1"/>
          <w:bCs w:val="1"/>
          <w:color w:val="auto"/>
        </w:rPr>
        <w:t>Acknowledgment</w:t>
      </w:r>
      <w:r>
        <w:rPr>
          <w:rFonts w:ascii="Calibri" w:cs="Calibri" w:eastAsia="Calibri" w:hAnsi="Calibri"/>
          <w:sz w:val="17"/>
          <w:szCs w:val="17"/>
          <w:color w:val="auto"/>
        </w:rPr>
        <w:t>”) is made as of Delaware limited liability company (“</w:t>
      </w:r>
      <w:r>
        <w:rPr>
          <w:rFonts w:ascii="Calibri" w:cs="Calibri" w:eastAsia="Calibri" w:hAnsi="Calibri"/>
          <w:sz w:val="17"/>
          <w:szCs w:val="17"/>
          <w:b w:val="1"/>
          <w:bCs w:val="1"/>
          <w:color w:val="auto"/>
        </w:rPr>
        <w:t>Landlord</w:t>
      </w:r>
      <w:r>
        <w:rPr>
          <w:rFonts w:ascii="Calibri" w:cs="Calibri" w:eastAsia="Calibri" w:hAnsi="Calibri"/>
          <w:sz w:val="17"/>
          <w:szCs w:val="17"/>
          <w:color w:val="auto"/>
        </w:rPr>
        <w:t xml:space="preserve">”), and </w:t>
      </w:r>
      <w:r>
        <w:rPr>
          <w:rFonts w:ascii="Calibri" w:cs="Calibri" w:eastAsia="Calibri" w:hAnsi="Calibri"/>
          <w:sz w:val="17"/>
          <w:szCs w:val="17"/>
          <w:b w:val="1"/>
          <w:bCs w:val="1"/>
          <w:color w:val="auto"/>
        </w:rPr>
        <w:t>ULTRAGENYX PHARMACEUTICAL INC.</w:t>
      </w:r>
      <w:r>
        <w:rPr>
          <w:rFonts w:ascii="Calibri" w:cs="Calibri" w:eastAsia="Calibri" w:hAnsi="Calibri"/>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4113530</wp:posOffset>
            </wp:positionH>
            <wp:positionV relativeFrom="paragraph">
              <wp:posOffset>-155575</wp:posOffset>
            </wp:positionV>
            <wp:extent cx="17589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703">
                      <a:extLst>
                        <a:ext uri="{28A0092B-C50C-407E-A947-70E740481C1C}"/>
                      </a:extLst>
                    </a:blip>
                    <a:srcRect/>
                    <a:stretch>
                      <a:fillRect/>
                    </a:stretch>
                  </pic:blipFill>
                  <pic:spPr bwMode="auto">
                    <a:xfrm>
                      <a:off x="0" y="0"/>
                      <a:ext cx="175895" cy="8255"/>
                    </a:xfrm>
                    <a:prstGeom prst="rect">
                      <a:avLst/>
                    </a:prstGeom>
                    <a:noFill/>
                  </pic:spPr>
                </pic:pic>
              </a:graphicData>
            </a:graphic>
          </wp:anchor>
        </w:drawing>
      </w:r>
    </w:p>
    <w:p>
      <w:pPr>
        <w:ind w:left="1360" w:hanging="673"/>
        <w:spacing w:after="0" w:line="236" w:lineRule="auto"/>
        <w:tabs>
          <w:tab w:leader="none" w:pos="1360" w:val="left"/>
        </w:tabs>
        <w:numPr>
          <w:ilvl w:val="0"/>
          <w:numId w:val="166"/>
        </w:numPr>
        <w:rPr>
          <w:rFonts w:ascii="Calibri" w:cs="Calibri" w:eastAsia="Calibri" w:hAnsi="Calibri"/>
          <w:sz w:val="18"/>
          <w:szCs w:val="18"/>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Shared Space Occupant</w:t>
      </w:r>
      <w:r>
        <w:rPr>
          <w:rFonts w:ascii="Calibri" w:cs="Calibri" w:eastAsia="Calibri" w:hAnsi="Calibri"/>
          <w:sz w:val="18"/>
          <w:szCs w:val="18"/>
          <w:color w:val="auto"/>
        </w:rPr>
        <w:t>”), with reference to the following Recitals.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-18415</wp:posOffset>
            </wp:positionV>
            <wp:extent cx="80581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704">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41" w:firstLine="41"/>
        <w:spacing w:after="0" w:line="235" w:lineRule="auto"/>
        <w:tabs>
          <w:tab w:leader="none" w:pos="109" w:val="left"/>
        </w:tabs>
        <w:numPr>
          <w:ilvl w:val="0"/>
          <w:numId w:val="167"/>
        </w:numPr>
        <w:rPr>
          <w:rFonts w:ascii="Calibri" w:cs="Calibri" w:eastAsia="Calibri" w:hAnsi="Calibri"/>
          <w:sz w:val="18"/>
          <w:szCs w:val="18"/>
          <w:color w:val="auto"/>
        </w:rPr>
      </w:pPr>
      <w:r>
        <w:rPr>
          <w:rFonts w:ascii="Calibri" w:cs="Calibri" w:eastAsia="Calibri" w:hAnsi="Calibri"/>
          <w:sz w:val="18"/>
          <w:szCs w:val="18"/>
          <w:color w:val="auto"/>
        </w:rPr>
        <w:t xml:space="preserve">20 , by and among </w:t>
      </w:r>
      <w:r>
        <w:rPr>
          <w:rFonts w:ascii="Calibri" w:cs="Calibri" w:eastAsia="Calibri" w:hAnsi="Calibri"/>
          <w:sz w:val="18"/>
          <w:szCs w:val="18"/>
          <w:b w:val="1"/>
          <w:bCs w:val="1"/>
          <w:color w:val="auto"/>
        </w:rPr>
        <w:t>ARE-MA REGION NO. 20, LLC</w:t>
      </w:r>
      <w:r>
        <w:rPr>
          <w:rFonts w:ascii="Calibri" w:cs="Calibri" w:eastAsia="Calibri" w:hAnsi="Calibri"/>
          <w:sz w:val="18"/>
          <w:szCs w:val="18"/>
          <w:color w:val="auto"/>
        </w:rPr>
        <w:t>, a a Delaware corporaton (“</w:t>
      </w:r>
      <w:r>
        <w:rPr>
          <w:rFonts w:ascii="Calibri" w:cs="Calibri" w:eastAsia="Calibri" w:hAnsi="Calibri"/>
          <w:sz w:val="18"/>
          <w:szCs w:val="18"/>
          <w:b w:val="1"/>
          <w:bCs w:val="1"/>
          <w:color w:val="auto"/>
        </w:rPr>
        <w:t>Tenant</w:t>
      </w:r>
      <w:r>
        <w:rPr>
          <w:rFonts w:ascii="Calibri" w:cs="Calibri" w:eastAsia="Calibri" w:hAnsi="Calibri"/>
          <w:sz w:val="18"/>
          <w:szCs w:val="18"/>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-155575</wp:posOffset>
            </wp:positionV>
            <wp:extent cx="8445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705">
                      <a:extLst>
                        <a:ext uri="{28A0092B-C50C-407E-A947-70E740481C1C}"/>
                      </a:extLst>
                    </a:blip>
                    <a:srcRect/>
                    <a:stretch>
                      <a:fillRect/>
                    </a:stretch>
                  </pic:blipFill>
                  <pic:spPr bwMode="auto">
                    <a:xfrm>
                      <a:off x="0" y="0"/>
                      <a:ext cx="84455" cy="8255"/>
                    </a:xfrm>
                    <a:prstGeom prst="rect">
                      <a:avLst/>
                    </a:prstGeom>
                    <a:noFill/>
                  </pic:spPr>
                </pic:pic>
              </a:graphicData>
            </a:graphic>
          </wp:anchor>
        </w:drawing>
      </w:r>
    </w:p>
    <w:p>
      <w:pPr>
        <w:spacing w:after="0" w:line="416" w:lineRule="exact"/>
        <w:rPr>
          <w:sz w:val="20"/>
          <w:szCs w:val="20"/>
          <w:color w:val="auto"/>
        </w:rPr>
      </w:pPr>
    </w:p>
    <w:p>
      <w:pPr>
        <w:sectPr>
          <w:pgSz w:w="11900" w:h="16838" w:orient="portrait"/>
          <w:cols w:equalWidth="0" w:num="2">
            <w:col w:w="6740" w:space="121"/>
            <w:col w:w="4059"/>
          </w:cols>
          <w:pgMar w:left="400" w:top="1440" w:right="579" w:bottom="1440" w:gutter="0" w:footer="0" w:header="0"/>
          <w:type w:val="continuous"/>
        </w:sectPr>
      </w:pPr>
    </w:p>
    <w:p>
      <w:pPr>
        <w:spacing w:after="0" w:line="26"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b w:val="1"/>
          <w:bCs w:val="1"/>
          <w:u w:val="single" w:color="auto"/>
          <w:color w:val="auto"/>
        </w:rPr>
        <w:t>R E C I T A L S</w:t>
      </w:r>
    </w:p>
    <w:p>
      <w:pPr>
        <w:spacing w:after="0" w:line="226" w:lineRule="exact"/>
        <w:rPr>
          <w:sz w:val="20"/>
          <w:szCs w:val="20"/>
          <w:color w:val="auto"/>
        </w:rPr>
      </w:pPr>
    </w:p>
    <w:p>
      <w:pPr>
        <w:ind w:left="1540" w:hanging="744"/>
        <w:spacing w:after="0"/>
        <w:tabs>
          <w:tab w:leader="none" w:pos="1540" w:val="left"/>
        </w:tabs>
        <w:numPr>
          <w:ilvl w:val="0"/>
          <w:numId w:val="168"/>
        </w:numPr>
        <w:rPr>
          <w:rFonts w:ascii="Arial" w:cs="Arial" w:eastAsia="Arial" w:hAnsi="Arial"/>
          <w:sz w:val="18"/>
          <w:szCs w:val="18"/>
          <w:color w:val="auto"/>
        </w:rPr>
      </w:pPr>
      <w:r>
        <w:rPr>
          <w:rFonts w:ascii="Calibri" w:cs="Calibri" w:eastAsia="Calibri" w:hAnsi="Calibri"/>
          <w:sz w:val="18"/>
          <w:szCs w:val="18"/>
          <w:color w:val="auto"/>
        </w:rPr>
        <w:t>Landlord and Tenant are now partes to that certain Lease Agreement dated</w:t>
      </w:r>
    </w:p>
    <w:p>
      <w:pPr>
        <w:spacing w:after="0" w:line="14" w:lineRule="exact"/>
        <w:rPr>
          <w:sz w:val="20"/>
          <w:szCs w:val="20"/>
          <w:color w:val="auto"/>
        </w:rPr>
      </w:pPr>
    </w:p>
    <w:p>
      <w:pPr>
        <w:jc w:val="both"/>
        <w:ind w:left="60" w:firstLine="317"/>
        <w:spacing w:after="0" w:line="230" w:lineRule="auto"/>
        <w:rPr>
          <w:sz w:val="20"/>
          <w:szCs w:val="20"/>
          <w:color w:val="auto"/>
        </w:rPr>
      </w:pPr>
      <w:r>
        <w:rPr>
          <w:rFonts w:ascii="Calibri" w:cs="Calibri" w:eastAsia="Calibri" w:hAnsi="Calibri"/>
          <w:sz w:val="18"/>
          <w:szCs w:val="18"/>
          <w:color w:val="auto"/>
        </w:rPr>
        <w:t>, 2024 (as the same may in the future be amended, the “</w:t>
      </w:r>
      <w:r>
        <w:rPr>
          <w:rFonts w:ascii="Calibri" w:cs="Calibri" w:eastAsia="Calibri" w:hAnsi="Calibri"/>
          <w:sz w:val="18"/>
          <w:szCs w:val="18"/>
          <w:b w:val="1"/>
          <w:bCs w:val="1"/>
          <w:color w:val="auto"/>
        </w:rPr>
        <w:t>Lease</w:t>
      </w:r>
      <w:r>
        <w:rPr>
          <w:rFonts w:ascii="Calibri" w:cs="Calibri" w:eastAsia="Calibri" w:hAnsi="Calibri"/>
          <w:sz w:val="18"/>
          <w:szCs w:val="18"/>
          <w:color w:val="auto"/>
        </w:rPr>
        <w:t>”) wherein Tenant leases certain premises consistng of approximately [ ] rentable square feet (the “</w:t>
      </w:r>
      <w:r>
        <w:rPr>
          <w:rFonts w:ascii="Calibri" w:cs="Calibri" w:eastAsia="Calibri" w:hAnsi="Calibri"/>
          <w:sz w:val="18"/>
          <w:szCs w:val="18"/>
          <w:b w:val="1"/>
          <w:bCs w:val="1"/>
          <w:color w:val="auto"/>
        </w:rPr>
        <w:t>Premises</w:t>
      </w:r>
      <w:r>
        <w:rPr>
          <w:rFonts w:ascii="Calibri" w:cs="Calibri" w:eastAsia="Calibri" w:hAnsi="Calibri"/>
          <w:sz w:val="18"/>
          <w:szCs w:val="18"/>
          <w:color w:val="auto"/>
        </w:rPr>
        <w:t>”) in the building located at 19 Presidental Way, Woburn, Massachusets. All initally capitalized terms not otherwise defned in this Acknowledgment shall have the meanings set forth in the Lease unless the context clearly indicates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-291465</wp:posOffset>
            </wp:positionV>
            <wp:extent cx="20129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706">
                      <a:extLst>
                        <a:ext uri="{28A0092B-C50C-407E-A947-70E740481C1C}"/>
                      </a:extLst>
                    </a:blip>
                    <a:srcRect/>
                    <a:stretch>
                      <a:fillRect/>
                    </a:stretch>
                  </pic:blipFill>
                  <pic:spPr bwMode="auto">
                    <a:xfrm>
                      <a:off x="0" y="0"/>
                      <a:ext cx="201295" cy="8255"/>
                    </a:xfrm>
                    <a:prstGeom prst="rect">
                      <a:avLst/>
                    </a:prstGeom>
                    <a:noFill/>
                  </pic:spPr>
                </pic:pic>
              </a:graphicData>
            </a:graphic>
          </wp:anchor>
        </w:drawing>
        <w:drawing>
          <wp:anchor simplePos="0" relativeHeight="251657728" behindDoc="1" locked="0" layoutInCell="0" allowOverlap="1">
            <wp:simplePos x="0" y="0"/>
            <wp:positionH relativeFrom="column">
              <wp:posOffset>6283325</wp:posOffset>
            </wp:positionH>
            <wp:positionV relativeFrom="paragraph">
              <wp:posOffset>-291465</wp:posOffset>
            </wp:positionV>
            <wp:extent cx="19939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707">
                      <a:extLst>
                        <a:ext uri="{28A0092B-C50C-407E-A947-70E740481C1C}"/>
                      </a:extLst>
                    </a:blip>
                    <a:srcRect/>
                    <a:stretch>
                      <a:fillRect/>
                    </a:stretch>
                  </pic:blipFill>
                  <pic:spPr bwMode="auto">
                    <a:xfrm>
                      <a:off x="0" y="0"/>
                      <a:ext cx="199390" cy="8255"/>
                    </a:xfrm>
                    <a:prstGeom prst="rect">
                      <a:avLst/>
                    </a:prstGeom>
                    <a:noFill/>
                  </pic:spPr>
                </pic:pic>
              </a:graphicData>
            </a:graphic>
          </wp:anchor>
        </w:drawing>
      </w:r>
    </w:p>
    <w:p>
      <w:pPr>
        <w:sectPr>
          <w:pgSz w:w="11900" w:h="16838" w:orient="portrait"/>
          <w:cols w:equalWidth="0" w:num="1">
            <w:col w:w="10920"/>
          </w:cols>
          <w:pgMar w:left="400" w:top="1440" w:right="579" w:bottom="1440" w:gutter="0" w:footer="0" w:header="0"/>
          <w:type w:val="continuous"/>
        </w:sectPr>
      </w:pPr>
    </w:p>
    <w:p>
      <w:pPr>
        <w:spacing w:after="0" w:line="236" w:lineRule="exact"/>
        <w:rPr>
          <w:sz w:val="20"/>
          <w:szCs w:val="20"/>
          <w:color w:val="auto"/>
        </w:rPr>
      </w:pPr>
    </w:p>
    <w:p>
      <w:pPr>
        <w:jc w:val="both"/>
        <w:ind w:left="40" w:firstLine="749"/>
        <w:spacing w:after="0" w:line="239" w:lineRule="auto"/>
        <w:rPr>
          <w:sz w:val="20"/>
          <w:szCs w:val="20"/>
          <w:color w:val="auto"/>
        </w:rPr>
      </w:pPr>
      <w:r>
        <w:rPr>
          <w:rFonts w:ascii="Arial" w:cs="Arial" w:eastAsia="Arial" w:hAnsi="Arial"/>
          <w:sz w:val="18"/>
          <w:szCs w:val="18"/>
          <w:color w:val="auto"/>
        </w:rPr>
        <w:t>B.</w:t>
      </w:r>
      <w:r>
        <w:rPr>
          <w:rFonts w:ascii="Calibri" w:cs="Calibri" w:eastAsia="Calibri" w:hAnsi="Calibri"/>
          <w:sz w:val="18"/>
          <w:szCs w:val="18"/>
          <w:color w:val="auto"/>
        </w:rPr>
        <w:t>Tenant desires to permit Shared Space Occupant to</w:t>
      </w:r>
      <w:r>
        <w:rPr>
          <w:rFonts w:ascii="Arial" w:cs="Arial" w:eastAsia="Arial" w:hAnsi="Arial"/>
          <w:sz w:val="18"/>
          <w:szCs w:val="18"/>
          <w:color w:val="auto"/>
        </w:rPr>
        <w:t xml:space="preserve"> </w:t>
      </w:r>
      <w:r>
        <w:rPr>
          <w:rFonts w:ascii="Calibri" w:cs="Calibri" w:eastAsia="Calibri" w:hAnsi="Calibri"/>
          <w:sz w:val="18"/>
          <w:szCs w:val="18"/>
          <w:color w:val="auto"/>
        </w:rPr>
        <w:t xml:space="preserve">pursuant to the provisions of that certain [Agreement] dated as of </w:t>
      </w:r>
      <w:r>
        <w:rPr>
          <w:rFonts w:ascii="Calibri" w:cs="Calibri" w:eastAsia="Calibri" w:hAnsi="Calibri"/>
          <w:sz w:val="18"/>
          <w:szCs w:val="18"/>
          <w:u w:val="single" w:color="auto"/>
          <w:color w:val="auto"/>
        </w:rPr>
        <w:t>Schedule 1</w:t>
      </w:r>
      <w:r>
        <w:rPr>
          <w:rFonts w:ascii="Calibri" w:cs="Calibri" w:eastAsia="Calibri" w:hAnsi="Calibri"/>
          <w:sz w:val="18"/>
          <w:szCs w:val="18"/>
          <w:color w:val="auto"/>
        </w:rPr>
        <w:t>.</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right"/>
        <w:ind w:right="20"/>
        <w:spacing w:after="0" w:line="235" w:lineRule="auto"/>
        <w:rPr>
          <w:sz w:val="20"/>
          <w:szCs w:val="20"/>
          <w:color w:val="auto"/>
        </w:rPr>
      </w:pPr>
      <w:r>
        <w:rPr>
          <w:rFonts w:ascii="Calibri" w:cs="Calibri" w:eastAsia="Calibri" w:hAnsi="Calibri"/>
          <w:sz w:val="18"/>
          <w:szCs w:val="18"/>
          <w:color w:val="auto"/>
        </w:rPr>
        <w:t>use and occupy a porton of the Premises, as more partcularly described in and , 20 (the “</w:t>
      </w:r>
      <w:r>
        <w:rPr>
          <w:rFonts w:ascii="Calibri" w:cs="Calibri" w:eastAsia="Calibri" w:hAnsi="Calibri"/>
          <w:sz w:val="18"/>
          <w:szCs w:val="18"/>
          <w:b w:val="1"/>
          <w:bCs w:val="1"/>
          <w:color w:val="auto"/>
        </w:rPr>
        <w:t>Shared Space Agreement</w:t>
      </w:r>
      <w:r>
        <w:rPr>
          <w:rFonts w:ascii="Calibri" w:cs="Calibri" w:eastAsia="Calibri" w:hAnsi="Calibri"/>
          <w:sz w:val="18"/>
          <w:szCs w:val="18"/>
          <w:color w:val="auto"/>
        </w:rPr>
        <w:t>”), a copy of which is atached hereto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-18415</wp:posOffset>
            </wp:positionV>
            <wp:extent cx="20637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708">
                      <a:extLst>
                        <a:ext uri="{28A0092B-C50C-407E-A947-70E740481C1C}"/>
                      </a:extLst>
                    </a:blip>
                    <a:srcRect/>
                    <a:stretch>
                      <a:fillRect/>
                    </a:stretch>
                  </pic:blipFill>
                  <pic:spPr bwMode="auto">
                    <a:xfrm>
                      <a:off x="0" y="0"/>
                      <a:ext cx="206375" cy="8255"/>
                    </a:xfrm>
                    <a:prstGeom prst="rect">
                      <a:avLst/>
                    </a:prstGeom>
                    <a:noFill/>
                  </pic:spPr>
                </pic:pic>
              </a:graphicData>
            </a:graphic>
          </wp:anchor>
        </w:drawing>
      </w:r>
    </w:p>
    <w:p>
      <w:pPr>
        <w:spacing w:after="0" w:line="416" w:lineRule="exact"/>
        <w:rPr>
          <w:sz w:val="20"/>
          <w:szCs w:val="20"/>
          <w:color w:val="auto"/>
        </w:rPr>
      </w:pPr>
    </w:p>
    <w:p>
      <w:pPr>
        <w:sectPr>
          <w:pgSz w:w="11900" w:h="16838" w:orient="portrait"/>
          <w:cols w:equalWidth="0" w:num="2">
            <w:col w:w="4820" w:space="60"/>
            <w:col w:w="6040"/>
          </w:cols>
          <w:pgMar w:left="400" w:top="1440" w:right="579" w:bottom="1440" w:gutter="0" w:footer="0" w:header="0"/>
          <w:type w:val="continuous"/>
        </w:sectPr>
      </w:pPr>
    </w:p>
    <w:p>
      <w:pPr>
        <w:spacing w:after="0" w:line="31" w:lineRule="exact"/>
        <w:rPr>
          <w:sz w:val="20"/>
          <w:szCs w:val="20"/>
          <w:color w:val="auto"/>
        </w:rPr>
      </w:pPr>
    </w:p>
    <w:p>
      <w:pPr>
        <w:jc w:val="both"/>
        <w:ind w:left="60" w:right="20" w:firstLine="749"/>
        <w:spacing w:after="0" w:line="235" w:lineRule="auto"/>
        <w:rPr>
          <w:sz w:val="20"/>
          <w:szCs w:val="20"/>
          <w:color w:val="auto"/>
        </w:rPr>
      </w:pPr>
      <w:r>
        <w:rPr>
          <w:rFonts w:ascii="Calibri" w:cs="Calibri" w:eastAsia="Calibri" w:hAnsi="Calibri"/>
          <w:sz w:val="18"/>
          <w:szCs w:val="18"/>
          <w:b w:val="1"/>
          <w:bCs w:val="1"/>
          <w:color w:val="auto"/>
        </w:rPr>
        <w:t xml:space="preserve">NOW, THEREFORE, </w:t>
      </w:r>
      <w:r>
        <w:rPr>
          <w:rFonts w:ascii="Calibri" w:cs="Calibri" w:eastAsia="Calibri" w:hAnsi="Calibri"/>
          <w:sz w:val="18"/>
          <w:szCs w:val="18"/>
          <w:color w:val="auto"/>
        </w:rPr>
        <w:t>in consideraton of the foregoing and the agreements contained herein, and for other good and valuable consideraton,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the receipt and sufciency of which are hereby acknowledged, the partes hereto hereby agree as follows:</w:t>
      </w:r>
    </w:p>
    <w:p>
      <w:pPr>
        <w:spacing w:after="0" w:line="221" w:lineRule="exact"/>
        <w:rPr>
          <w:sz w:val="20"/>
          <w:szCs w:val="20"/>
          <w:color w:val="auto"/>
        </w:rPr>
      </w:pPr>
    </w:p>
    <w:p>
      <w:pPr>
        <w:ind w:left="40" w:right="80" w:firstLine="749"/>
        <w:spacing w:after="0" w:line="241" w:lineRule="auto"/>
        <w:rPr>
          <w:sz w:val="20"/>
          <w:szCs w:val="20"/>
          <w:color w:val="auto"/>
        </w:rPr>
      </w:pPr>
      <w:r>
        <w:rPr>
          <w:rFonts w:ascii="Arial" w:cs="Arial" w:eastAsia="Arial" w:hAnsi="Arial"/>
          <w:sz w:val="18"/>
          <w:szCs w:val="18"/>
          <w:color w:val="auto"/>
        </w:rPr>
        <w:t>1.</w:t>
      </w:r>
      <w:r>
        <w:rPr>
          <w:rFonts w:ascii="Calibri" w:cs="Calibri" w:eastAsia="Calibri" w:hAnsi="Calibri"/>
          <w:sz w:val="18"/>
          <w:szCs w:val="18"/>
          <w:color w:val="auto"/>
        </w:rPr>
        <w:t>Tenant and Shared Space Occupant each represent and warrant to Landlord that the copy of the Shared Space Agreement atached hereto</w:t>
      </w:r>
      <w:r>
        <w:rPr>
          <w:rFonts w:ascii="Arial" w:cs="Arial" w:eastAsia="Arial" w:hAnsi="Arial"/>
          <w:sz w:val="18"/>
          <w:szCs w:val="18"/>
          <w:color w:val="auto"/>
        </w:rPr>
        <w:t xml:space="preserve"> </w:t>
      </w:r>
      <w:r>
        <w:rPr>
          <w:rFonts w:ascii="Calibri" w:cs="Calibri" w:eastAsia="Calibri" w:hAnsi="Calibri"/>
          <w:sz w:val="18"/>
          <w:szCs w:val="18"/>
          <w:color w:val="auto"/>
        </w:rPr>
        <w:t xml:space="preserve">as </w:t>
      </w:r>
      <w:r>
        <w:rPr>
          <w:rFonts w:ascii="Calibri" w:cs="Calibri" w:eastAsia="Calibri" w:hAnsi="Calibri"/>
          <w:sz w:val="18"/>
          <w:szCs w:val="18"/>
          <w:u w:val="single" w:color="auto"/>
          <w:color w:val="auto"/>
        </w:rPr>
        <w:t>Exhibit A</w:t>
      </w:r>
      <w:r>
        <w:rPr>
          <w:rFonts w:ascii="Calibri" w:cs="Calibri" w:eastAsia="Calibri" w:hAnsi="Calibri"/>
          <w:sz w:val="18"/>
          <w:szCs w:val="18"/>
          <w:color w:val="auto"/>
        </w:rPr>
        <w:t xml:space="preserve"> is true, correct and complete.</w:t>
      </w:r>
    </w:p>
    <w:p>
      <w:pPr>
        <w:spacing w:after="0" w:line="234" w:lineRule="exact"/>
        <w:rPr>
          <w:sz w:val="20"/>
          <w:szCs w:val="20"/>
          <w:color w:val="auto"/>
        </w:rPr>
      </w:pPr>
    </w:p>
    <w:p>
      <w:pPr>
        <w:ind w:left="40" w:right="20" w:firstLine="749"/>
        <w:spacing w:after="0" w:line="241" w:lineRule="auto"/>
        <w:rPr>
          <w:sz w:val="20"/>
          <w:szCs w:val="20"/>
          <w:color w:val="auto"/>
        </w:rPr>
      </w:pPr>
      <w:r>
        <w:rPr>
          <w:rFonts w:ascii="Arial" w:cs="Arial" w:eastAsia="Arial" w:hAnsi="Arial"/>
          <w:sz w:val="18"/>
          <w:szCs w:val="18"/>
          <w:color w:val="auto"/>
        </w:rPr>
        <w:t>2.</w:t>
      </w:r>
      <w:r>
        <w:rPr>
          <w:rFonts w:ascii="Calibri" w:cs="Calibri" w:eastAsia="Calibri" w:hAnsi="Calibri"/>
          <w:sz w:val="18"/>
          <w:szCs w:val="18"/>
          <w:color w:val="auto"/>
        </w:rPr>
        <w:t>The terms of the Shared Space Agreement are subject and subordinate to the terms of the Lease. Landlord shall have no obligatons to</w:t>
      </w:r>
      <w:r>
        <w:rPr>
          <w:rFonts w:ascii="Arial" w:cs="Arial" w:eastAsia="Arial" w:hAnsi="Arial"/>
          <w:sz w:val="18"/>
          <w:szCs w:val="18"/>
          <w:color w:val="auto"/>
        </w:rPr>
        <w:t xml:space="preserve"> </w:t>
      </w:r>
      <w:r>
        <w:rPr>
          <w:rFonts w:ascii="Calibri" w:cs="Calibri" w:eastAsia="Calibri" w:hAnsi="Calibri"/>
          <w:sz w:val="18"/>
          <w:szCs w:val="18"/>
          <w:color w:val="auto"/>
        </w:rPr>
        <w:t>Shared Space Occupant or any party claiming by or through Shared Space Occupant.</w:t>
      </w:r>
    </w:p>
    <w:p>
      <w:pPr>
        <w:spacing w:after="0" w:line="23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w:t>
      </w:r>
      <w:r>
        <w:rPr>
          <w:rFonts w:ascii="Calibri" w:cs="Calibri" w:eastAsia="Calibri" w:hAnsi="Calibri"/>
          <w:sz w:val="18"/>
          <w:szCs w:val="18"/>
          <w:color w:val="auto"/>
        </w:rPr>
        <w:t>If the Lease terminates, then the Shared Space Agreement shall automatcally terminate concurrently therewith.</w:t>
      </w:r>
    </w:p>
    <w:p>
      <w:pPr>
        <w:spacing w:after="0" w:line="226" w:lineRule="exact"/>
        <w:rPr>
          <w:sz w:val="20"/>
          <w:szCs w:val="20"/>
          <w:color w:val="auto"/>
        </w:rPr>
      </w:pPr>
    </w:p>
    <w:p>
      <w:pPr>
        <w:ind w:left="40" w:right="20" w:firstLine="749"/>
        <w:spacing w:after="0" w:line="241" w:lineRule="auto"/>
        <w:rPr>
          <w:sz w:val="20"/>
          <w:szCs w:val="20"/>
          <w:color w:val="auto"/>
        </w:rPr>
      </w:pPr>
      <w:r>
        <w:rPr>
          <w:rFonts w:ascii="Arial" w:cs="Arial" w:eastAsia="Arial" w:hAnsi="Arial"/>
          <w:sz w:val="18"/>
          <w:szCs w:val="18"/>
          <w:color w:val="auto"/>
        </w:rPr>
        <w:t>4.</w:t>
      </w:r>
      <w:r>
        <w:rPr>
          <w:rFonts w:ascii="Calibri" w:cs="Calibri" w:eastAsia="Calibri" w:hAnsi="Calibri"/>
          <w:sz w:val="18"/>
          <w:szCs w:val="18"/>
          <w:color w:val="auto"/>
        </w:rPr>
        <w:t>All waivers and releases set forth in the Lease that apply as between Landlord and Tenant thereunder shall also apply as between Landlord</w:t>
      </w:r>
      <w:r>
        <w:rPr>
          <w:rFonts w:ascii="Arial" w:cs="Arial" w:eastAsia="Arial" w:hAnsi="Arial"/>
          <w:sz w:val="18"/>
          <w:szCs w:val="18"/>
          <w:color w:val="auto"/>
        </w:rPr>
        <w:t xml:space="preserve"> </w:t>
      </w:r>
      <w:r>
        <w:rPr>
          <w:rFonts w:ascii="Calibri" w:cs="Calibri" w:eastAsia="Calibri" w:hAnsi="Calibri"/>
          <w:sz w:val="18"/>
          <w:szCs w:val="18"/>
          <w:color w:val="auto"/>
        </w:rPr>
        <w:t>and Shared Space Occupant.</w:t>
      </w:r>
    </w:p>
    <w:p>
      <w:pPr>
        <w:spacing w:after="0" w:line="234" w:lineRule="exact"/>
        <w:rPr>
          <w:sz w:val="20"/>
          <w:szCs w:val="20"/>
          <w:color w:val="auto"/>
        </w:rPr>
      </w:pPr>
    </w:p>
    <w:p>
      <w:pPr>
        <w:jc w:val="both"/>
        <w:ind w:left="40" w:firstLine="749"/>
        <w:spacing w:after="0" w:line="239" w:lineRule="auto"/>
        <w:rPr>
          <w:sz w:val="20"/>
          <w:szCs w:val="20"/>
          <w:color w:val="auto"/>
        </w:rPr>
      </w:pPr>
      <w:r>
        <w:rPr>
          <w:rFonts w:ascii="Arial" w:cs="Arial" w:eastAsia="Arial" w:hAnsi="Arial"/>
          <w:sz w:val="18"/>
          <w:szCs w:val="18"/>
          <w:color w:val="auto"/>
        </w:rPr>
        <w:t>5.</w:t>
      </w:r>
      <w:r>
        <w:rPr>
          <w:rFonts w:ascii="Calibri" w:cs="Calibri" w:eastAsia="Calibri" w:hAnsi="Calibri"/>
          <w:sz w:val="18"/>
          <w:szCs w:val="18"/>
          <w:color w:val="auto"/>
        </w:rPr>
        <w:t>Tenant shall deliver to Landlord a certfcate of insurance from Shared Space Occupant, as insured, evidencing no less than the insurance</w:t>
      </w:r>
      <w:r>
        <w:rPr>
          <w:rFonts w:ascii="Arial" w:cs="Arial" w:eastAsia="Arial" w:hAnsi="Arial"/>
          <w:sz w:val="18"/>
          <w:szCs w:val="18"/>
          <w:color w:val="auto"/>
        </w:rPr>
        <w:t xml:space="preserve"> </w:t>
      </w:r>
      <w:r>
        <w:rPr>
          <w:rFonts w:ascii="Calibri" w:cs="Calibri" w:eastAsia="Calibri" w:hAnsi="Calibri"/>
          <w:sz w:val="18"/>
          <w:szCs w:val="18"/>
          <w:color w:val="auto"/>
        </w:rPr>
        <w:t xml:space="preserve">requirements set forth in </w:t>
      </w:r>
      <w:r>
        <w:rPr>
          <w:rFonts w:ascii="Calibri" w:cs="Calibri" w:eastAsia="Calibri" w:hAnsi="Calibri"/>
          <w:sz w:val="18"/>
          <w:szCs w:val="18"/>
          <w:u w:val="single" w:color="auto"/>
          <w:color w:val="auto"/>
        </w:rPr>
        <w:t>Secton 17</w:t>
      </w:r>
      <w:r>
        <w:rPr>
          <w:rFonts w:ascii="Calibri" w:cs="Calibri" w:eastAsia="Calibri" w:hAnsi="Calibri"/>
          <w:sz w:val="18"/>
          <w:szCs w:val="18"/>
          <w:color w:val="auto"/>
        </w:rPr>
        <w:t xml:space="preserve"> of the Lease concurrent with Tenant’s delivery to Landlord of a fully executed copy of this Acknowledgment and prior to the expiraton of such policy.</w:t>
      </w:r>
    </w:p>
    <w:p>
      <w:pPr>
        <w:spacing w:after="0" w:line="235" w:lineRule="exact"/>
        <w:rPr>
          <w:sz w:val="20"/>
          <w:szCs w:val="20"/>
          <w:color w:val="auto"/>
        </w:rPr>
      </w:pPr>
    </w:p>
    <w:p>
      <w:pPr>
        <w:jc w:val="both"/>
        <w:ind w:left="40" w:right="20" w:firstLine="749"/>
        <w:spacing w:after="0" w:line="241" w:lineRule="auto"/>
        <w:rPr>
          <w:sz w:val="20"/>
          <w:szCs w:val="20"/>
          <w:color w:val="auto"/>
        </w:rPr>
      </w:pPr>
      <w:r>
        <w:rPr>
          <w:rFonts w:ascii="Arial" w:cs="Arial" w:eastAsia="Arial" w:hAnsi="Arial"/>
          <w:sz w:val="18"/>
          <w:szCs w:val="18"/>
          <w:color w:val="auto"/>
        </w:rPr>
        <w:t>6.</w:t>
      </w:r>
      <w:r>
        <w:rPr>
          <w:rFonts w:ascii="Calibri" w:cs="Calibri" w:eastAsia="Calibri" w:hAnsi="Calibri"/>
          <w:sz w:val="18"/>
          <w:szCs w:val="18"/>
          <w:color w:val="auto"/>
        </w:rPr>
        <w:t>Tenant hereby indemnifes and agrees to hold Landlord harmless from and against any loss or liability arising from any commissions or fees</w:t>
      </w:r>
      <w:r>
        <w:rPr>
          <w:rFonts w:ascii="Arial" w:cs="Arial" w:eastAsia="Arial" w:hAnsi="Arial"/>
          <w:sz w:val="18"/>
          <w:szCs w:val="18"/>
          <w:color w:val="auto"/>
        </w:rPr>
        <w:t xml:space="preserve"> </w:t>
      </w:r>
      <w:r>
        <w:rPr>
          <w:rFonts w:ascii="Calibri" w:cs="Calibri" w:eastAsia="Calibri" w:hAnsi="Calibri"/>
          <w:sz w:val="18"/>
          <w:szCs w:val="18"/>
          <w:color w:val="auto"/>
        </w:rPr>
        <w:t>payable in connecton with the Shared Space Agreement.</w:t>
      </w:r>
    </w:p>
    <w:p>
      <w:pPr>
        <w:spacing w:after="0" w:line="220" w:lineRule="exact"/>
        <w:rPr>
          <w:sz w:val="20"/>
          <w:szCs w:val="20"/>
          <w:color w:val="auto"/>
        </w:rPr>
      </w:pPr>
    </w:p>
    <w:p>
      <w:pPr>
        <w:jc w:val="both"/>
        <w:ind w:left="40" w:right="20" w:firstLine="749"/>
        <w:spacing w:after="0" w:line="238" w:lineRule="auto"/>
        <w:rPr>
          <w:sz w:val="20"/>
          <w:szCs w:val="20"/>
          <w:color w:val="auto"/>
        </w:rPr>
      </w:pPr>
      <w:r>
        <w:rPr>
          <w:rFonts w:ascii="Arial" w:cs="Arial" w:eastAsia="Arial" w:hAnsi="Arial"/>
          <w:sz w:val="18"/>
          <w:szCs w:val="18"/>
          <w:color w:val="auto"/>
        </w:rPr>
        <w:t>7.</w:t>
      </w:r>
      <w:r>
        <w:rPr>
          <w:rFonts w:ascii="Calibri" w:cs="Calibri" w:eastAsia="Calibri" w:hAnsi="Calibri"/>
          <w:sz w:val="18"/>
          <w:szCs w:val="18"/>
          <w:color w:val="auto"/>
        </w:rPr>
        <w:t>Notwithstanding anything in the Shared Space Agreement to the contrary, Landlord and Shared Space Occupant each hereby release the</w:t>
      </w:r>
      <w:r>
        <w:rPr>
          <w:rFonts w:ascii="Arial" w:cs="Arial" w:eastAsia="Arial" w:hAnsi="Arial"/>
          <w:sz w:val="18"/>
          <w:szCs w:val="18"/>
          <w:color w:val="auto"/>
        </w:rPr>
        <w:t xml:space="preserve"> </w:t>
      </w:r>
      <w:r>
        <w:rPr>
          <w:rFonts w:ascii="Calibri" w:cs="Calibri" w:eastAsia="Calibri" w:hAnsi="Calibri"/>
          <w:sz w:val="18"/>
          <w:szCs w:val="18"/>
          <w:color w:val="auto"/>
        </w:rPr>
        <w:t>other, and waive their respectve rights of recovery against the other for direct or consequental loss or damage arising out of or incident to the perils covered by property insurance carried by such party to the extent of such insurance and waive any right of subrogaton which might otherwise exist in or accrue to any person on account thereof.</w:t>
      </w:r>
    </w:p>
    <w:p>
      <w:pPr>
        <w:spacing w:after="0" w:line="8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8.</w:t>
      </w:r>
      <w:r>
        <w:rPr>
          <w:rFonts w:ascii="Calibri" w:cs="Calibri" w:eastAsia="Calibri" w:hAnsi="Calibri"/>
          <w:sz w:val="18"/>
          <w:szCs w:val="18"/>
          <w:color w:val="auto"/>
        </w:rPr>
        <w:t>Tenant and Shared Space Occupant agree that upon any confict between the terms of the Shared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739775</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7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00" w:top="1440" w:right="579" w:bottom="1440" w:gutter="0" w:footer="0" w:header="0"/>
          <w:type w:val="continuous"/>
        </w:sectPr>
      </w:pPr>
    </w:p>
    <w:bookmarkStart w:id="188" w:name="page189"/>
    <w:bookmarkEnd w:id="188"/>
    <w:p>
      <w:pPr>
        <w:ind w:left="40"/>
        <w:spacing w:after="0"/>
        <w:rPr>
          <w:sz w:val="20"/>
          <w:szCs w:val="20"/>
          <w:color w:val="auto"/>
        </w:rPr>
      </w:pPr>
      <w:r>
        <w:rPr>
          <w:rFonts w:ascii="Calibri" w:cs="Calibri" w:eastAsia="Calibri" w:hAnsi="Calibri"/>
          <w:sz w:val="17"/>
          <w:szCs w:val="17"/>
          <w:color w:val="auto"/>
        </w:rPr>
        <w:t>Space Agreement and this Acknowledgment, the terms of this Acknowledgment shall control.</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748030</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7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13" w:right="1440" w:bottom="1440" w:gutter="0" w:footer="0" w:header="0"/>
        </w:sectPr>
      </w:pPr>
    </w:p>
    <w:bookmarkStart w:id="189" w:name="page190"/>
    <w:bookmarkEnd w:id="189"/>
    <w:p>
      <w:pPr>
        <w:spacing w:after="0" w:line="126" w:lineRule="exact"/>
        <w:rPr>
          <w:sz w:val="20"/>
          <w:szCs w:val="20"/>
          <w:color w:val="auto"/>
        </w:rPr>
      </w:pPr>
    </w:p>
    <w:p>
      <w:pPr>
        <w:jc w:val="both"/>
        <w:ind w:left="40" w:right="20" w:firstLine="749"/>
        <w:spacing w:after="0" w:line="241" w:lineRule="auto"/>
        <w:rPr>
          <w:sz w:val="20"/>
          <w:szCs w:val="20"/>
          <w:color w:val="auto"/>
        </w:rPr>
      </w:pPr>
      <w:r>
        <w:rPr>
          <w:rFonts w:ascii="Arial" w:cs="Arial" w:eastAsia="Arial" w:hAnsi="Arial"/>
          <w:sz w:val="18"/>
          <w:szCs w:val="18"/>
          <w:color w:val="auto"/>
        </w:rPr>
        <w:t>9.</w:t>
      </w:r>
      <w:r>
        <w:rPr>
          <w:rFonts w:ascii="Calibri" w:cs="Calibri" w:eastAsia="Calibri" w:hAnsi="Calibri"/>
          <w:sz w:val="18"/>
          <w:szCs w:val="18"/>
          <w:color w:val="auto"/>
        </w:rPr>
        <w:t>This Acknowledgment and the legal relatons between the partes hereto shall be governed by and construed and enforced in accordance</w:t>
      </w:r>
      <w:r>
        <w:rPr>
          <w:rFonts w:ascii="Arial" w:cs="Arial" w:eastAsia="Arial" w:hAnsi="Arial"/>
          <w:sz w:val="18"/>
          <w:szCs w:val="18"/>
          <w:color w:val="auto"/>
        </w:rPr>
        <w:t xml:space="preserve"> </w:t>
      </w:r>
      <w:r>
        <w:rPr>
          <w:rFonts w:ascii="Calibri" w:cs="Calibri" w:eastAsia="Calibri" w:hAnsi="Calibri"/>
          <w:sz w:val="18"/>
          <w:szCs w:val="18"/>
          <w:color w:val="auto"/>
        </w:rPr>
        <w:t>with the internal laws of Commonwealth of Massachusets, without regard to its principles of conficts of law.</w:t>
      </w:r>
    </w:p>
    <w:p>
      <w:pPr>
        <w:spacing w:after="0" w:line="234" w:lineRule="exact"/>
        <w:rPr>
          <w:sz w:val="20"/>
          <w:szCs w:val="20"/>
          <w:color w:val="auto"/>
        </w:rPr>
      </w:pPr>
    </w:p>
    <w:p>
      <w:pPr>
        <w:jc w:val="both"/>
        <w:ind w:left="40" w:firstLine="749"/>
        <w:spacing w:after="0" w:line="237" w:lineRule="auto"/>
        <w:rPr>
          <w:sz w:val="20"/>
          <w:szCs w:val="20"/>
          <w:color w:val="auto"/>
        </w:rPr>
      </w:pPr>
      <w:r>
        <w:rPr>
          <w:rFonts w:ascii="Arial" w:cs="Arial" w:eastAsia="Arial" w:hAnsi="Arial"/>
          <w:sz w:val="18"/>
          <w:szCs w:val="18"/>
          <w:color w:val="auto"/>
        </w:rPr>
        <w:t>10.</w:t>
      </w:r>
      <w:r>
        <w:rPr>
          <w:rFonts w:ascii="Calibri" w:cs="Calibri" w:eastAsia="Calibri" w:hAnsi="Calibri"/>
          <w:sz w:val="18"/>
          <w:szCs w:val="18"/>
          <w:color w:val="auto"/>
        </w:rPr>
        <w:t>Tenant and Shared Space Occupant are currently (a) in compliance with (and are required to at all tmes during the term of the Shared</w:t>
      </w:r>
      <w:r>
        <w:rPr>
          <w:rFonts w:ascii="Arial" w:cs="Arial" w:eastAsia="Arial" w:hAnsi="Arial"/>
          <w:sz w:val="18"/>
          <w:szCs w:val="18"/>
          <w:color w:val="auto"/>
        </w:rPr>
        <w:t xml:space="preserve"> </w:t>
      </w:r>
      <w:r>
        <w:rPr>
          <w:rFonts w:ascii="Calibri" w:cs="Calibri" w:eastAsia="Calibri" w:hAnsi="Calibri"/>
          <w:sz w:val="18"/>
          <w:szCs w:val="18"/>
          <w:color w:val="auto"/>
        </w:rPr>
        <w:t>Space Agreement to remain) in compliance with the regulatons of the Ofce of Foreign Assets Control (“</w:t>
      </w:r>
      <w:r>
        <w:rPr>
          <w:rFonts w:ascii="Calibri" w:cs="Calibri" w:eastAsia="Calibri" w:hAnsi="Calibri"/>
          <w:sz w:val="18"/>
          <w:szCs w:val="18"/>
          <w:b w:val="1"/>
          <w:bCs w:val="1"/>
          <w:color w:val="auto"/>
        </w:rPr>
        <w:t>OFAC</w:t>
      </w:r>
      <w:r>
        <w:rPr>
          <w:rFonts w:ascii="Calibri" w:cs="Calibri" w:eastAsia="Calibri" w:hAnsi="Calibri"/>
          <w:sz w:val="18"/>
          <w:szCs w:val="18"/>
          <w:color w:val="auto"/>
        </w:rPr>
        <w:t>”) of the U.S. Department of Treasury and any statute, executve order, or regulaton relatng thereto (collectvely, the “</w:t>
      </w:r>
      <w:r>
        <w:rPr>
          <w:rFonts w:ascii="Calibri" w:cs="Calibri" w:eastAsia="Calibri" w:hAnsi="Calibri"/>
          <w:sz w:val="18"/>
          <w:szCs w:val="18"/>
          <w:b w:val="1"/>
          <w:bCs w:val="1"/>
          <w:color w:val="auto"/>
        </w:rPr>
        <w:t>OFAC Rules</w:t>
      </w:r>
      <w:r>
        <w:rPr>
          <w:rFonts w:ascii="Calibri" w:cs="Calibri" w:eastAsia="Calibri" w:hAnsi="Calibri"/>
          <w:sz w:val="18"/>
          <w:szCs w:val="18"/>
          <w:color w:val="auto"/>
        </w:rPr>
        <w:t>”), (b) not listed on, and shall not during the term of the Shared Space Agreement be listed on, the Specially Designated Natonals and Blocked Persons List, Foreign Sanctons Evaders List, or the Sectoral Sanctons Identfcaton List, which are all maintained by OFAC and/or on any other similar list maintained by OFAC or other governmental authority pursuant to any authorizing statute, executve order, or regulaton, and (c) not a person or entty with whom a U.S. person is prohibited from conductng business under the OFAC Rules.</w:t>
      </w:r>
    </w:p>
    <w:p>
      <w:pPr>
        <w:spacing w:after="0" w:line="223" w:lineRule="exact"/>
        <w:rPr>
          <w:sz w:val="20"/>
          <w:szCs w:val="20"/>
          <w:color w:val="auto"/>
        </w:rPr>
      </w:pPr>
    </w:p>
    <w:p>
      <w:pPr>
        <w:jc w:val="both"/>
        <w:ind w:left="40" w:right="20" w:firstLine="749"/>
        <w:spacing w:after="0" w:line="254" w:lineRule="auto"/>
        <w:rPr>
          <w:sz w:val="20"/>
          <w:szCs w:val="20"/>
          <w:color w:val="auto"/>
        </w:rPr>
      </w:pPr>
      <w:r>
        <w:rPr>
          <w:rFonts w:ascii="Arial" w:cs="Arial" w:eastAsia="Arial" w:hAnsi="Arial"/>
          <w:sz w:val="17"/>
          <w:szCs w:val="17"/>
          <w:color w:val="auto"/>
        </w:rPr>
        <w:t>11.</w:t>
      </w:r>
      <w:r>
        <w:rPr>
          <w:rFonts w:ascii="Calibri" w:cs="Calibri" w:eastAsia="Calibri" w:hAnsi="Calibri"/>
          <w:sz w:val="17"/>
          <w:szCs w:val="17"/>
          <w:color w:val="auto"/>
        </w:rPr>
        <w:t>This Acknowledgment may be executed in 2 or more counterparts, each of which shall be deemed an original, but all of which together</w:t>
      </w:r>
      <w:r>
        <w:rPr>
          <w:rFonts w:ascii="Arial" w:cs="Arial" w:eastAsia="Arial" w:hAnsi="Arial"/>
          <w:sz w:val="17"/>
          <w:szCs w:val="17"/>
          <w:color w:val="auto"/>
        </w:rPr>
        <w:t xml:space="preserve"> </w:t>
      </w:r>
      <w:r>
        <w:rPr>
          <w:rFonts w:ascii="Calibri" w:cs="Calibri" w:eastAsia="Calibri" w:hAnsi="Calibri"/>
          <w:sz w:val="17"/>
          <w:szCs w:val="17"/>
          <w:color w:val="auto"/>
        </w:rPr>
        <w:t>shall consttute one and the same instrument. Counterparts may be delivered via facsimile, electronic mail (including pdf or any electronic signature process complying with the U.S. federal ESIGN Act of 2000) or other transmission method and any counterpart so delivered shall be deemed to have been duly and validly delivered and be valid and efectve for all purposes. Electronic signatures shall be deemed original signatures for purposes of this Acknowledgment and all maters related thereto, with such electronic signatures having the same legal efect as original signatures</w:t>
      </w:r>
    </w:p>
    <w:p>
      <w:pPr>
        <w:spacing w:after="0" w:line="217"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b w:val="1"/>
          <w:bCs w:val="1"/>
          <w:color w:val="auto"/>
        </w:rPr>
        <w:t>[ Signatures on next page ]</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739775</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7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00" w:top="1440" w:right="579" w:bottom="1440" w:gutter="0" w:footer="0" w:header="0"/>
        </w:sectPr>
      </w:pPr>
    </w:p>
    <w:bookmarkStart w:id="190" w:name="page191"/>
    <w:bookmarkEnd w:id="190"/>
    <w:p>
      <w:pPr>
        <w:ind w:left="60" w:right="299" w:firstLine="747"/>
        <w:spacing w:after="0" w:line="235" w:lineRule="auto"/>
        <w:rPr>
          <w:sz w:val="20"/>
          <w:szCs w:val="20"/>
          <w:color w:val="auto"/>
        </w:rPr>
      </w:pPr>
      <w:r>
        <w:rPr>
          <w:rFonts w:ascii="Calibri" w:cs="Calibri" w:eastAsia="Calibri" w:hAnsi="Calibri"/>
          <w:sz w:val="18"/>
          <w:szCs w:val="18"/>
          <w:b w:val="1"/>
          <w:bCs w:val="1"/>
          <w:color w:val="auto"/>
        </w:rPr>
        <w:t>IN WITNESS WHEREOF</w:t>
      </w:r>
      <w:r>
        <w:rPr>
          <w:rFonts w:ascii="Calibri" w:cs="Calibri" w:eastAsia="Calibri" w:hAnsi="Calibri"/>
          <w:sz w:val="18"/>
          <w:szCs w:val="18"/>
          <w:color w:val="auto"/>
        </w:rPr>
        <w:t>, Tenant and Shared Space Occupant have caused their duly authorized representatves to execute this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Acknowledgment as of the date frst above writen.</w:t>
      </w:r>
    </w:p>
    <w:p>
      <w:pPr>
        <w:spacing w:after="0" w:line="213" w:lineRule="exact"/>
        <w:rPr>
          <w:sz w:val="20"/>
          <w:szCs w:val="20"/>
          <w:color w:val="auto"/>
        </w:rPr>
      </w:pPr>
    </w:p>
    <w:p>
      <w:pPr>
        <w:ind w:left="3800"/>
        <w:spacing w:after="0"/>
        <w:rPr>
          <w:sz w:val="20"/>
          <w:szCs w:val="20"/>
          <w:color w:val="auto"/>
        </w:rPr>
      </w:pPr>
      <w:r>
        <w:rPr>
          <w:rFonts w:ascii="Calibri" w:cs="Calibri" w:eastAsia="Calibri" w:hAnsi="Calibri"/>
          <w:sz w:val="18"/>
          <w:szCs w:val="18"/>
          <w:b w:val="1"/>
          <w:bCs w:val="1"/>
          <w:color w:val="auto"/>
        </w:rPr>
        <w:t>TENANT:</w:t>
      </w:r>
    </w:p>
    <w:p>
      <w:pPr>
        <w:spacing w:after="0" w:line="226" w:lineRule="exact"/>
        <w:rPr>
          <w:sz w:val="20"/>
          <w:szCs w:val="20"/>
          <w:color w:val="auto"/>
        </w:rPr>
      </w:pPr>
    </w:p>
    <w:p>
      <w:pPr>
        <w:ind w:left="3800"/>
        <w:spacing w:after="0"/>
        <w:rPr>
          <w:sz w:val="20"/>
          <w:szCs w:val="20"/>
          <w:color w:val="auto"/>
        </w:rPr>
      </w:pPr>
      <w:r>
        <w:rPr>
          <w:rFonts w:ascii="Calibri" w:cs="Calibri" w:eastAsia="Calibri" w:hAnsi="Calibri"/>
          <w:sz w:val="18"/>
          <w:szCs w:val="18"/>
          <w:b w:val="1"/>
          <w:bCs w:val="1"/>
          <w:color w:val="auto"/>
        </w:rPr>
        <w:t>ULTRAGENYX PHARMACEUTICAL INC.</w:t>
      </w:r>
      <w:r>
        <w:rPr>
          <w:rFonts w:ascii="Calibri" w:cs="Calibri" w:eastAsia="Calibri" w:hAnsi="Calibri"/>
          <w:sz w:val="18"/>
          <w:szCs w:val="18"/>
          <w:color w:val="auto"/>
        </w:rPr>
        <w:t>,</w:t>
      </w:r>
    </w:p>
    <w:p>
      <w:pPr>
        <w:ind w:left="3800"/>
        <w:spacing w:after="0" w:line="235" w:lineRule="auto"/>
        <w:rPr>
          <w:sz w:val="20"/>
          <w:szCs w:val="20"/>
          <w:color w:val="auto"/>
        </w:rPr>
      </w:pPr>
      <w:r>
        <w:rPr>
          <w:rFonts w:ascii="Calibri" w:cs="Calibri" w:eastAsia="Calibri" w:hAnsi="Calibri"/>
          <w:sz w:val="18"/>
          <w:szCs w:val="18"/>
          <w:color w:val="auto"/>
        </w:rPr>
        <w:t>a Delaware corporaton</w:t>
      </w:r>
    </w:p>
    <w:p>
      <w:pPr>
        <w:spacing w:after="0" w:line="200" w:lineRule="exact"/>
        <w:rPr>
          <w:sz w:val="20"/>
          <w:szCs w:val="20"/>
          <w:color w:val="auto"/>
        </w:rPr>
      </w:pPr>
    </w:p>
    <w:p>
      <w:pPr>
        <w:spacing w:after="0" w:line="243" w:lineRule="exact"/>
        <w:rPr>
          <w:sz w:val="20"/>
          <w:szCs w:val="20"/>
          <w:color w:val="auto"/>
        </w:rPr>
      </w:pPr>
    </w:p>
    <w:p>
      <w:pPr>
        <w:ind w:left="3800"/>
        <w:spacing w:after="0"/>
        <w:tabs>
          <w:tab w:leader="none" w:pos="4140" w:val="left"/>
          <w:tab w:leader="none" w:pos="4760" w:val="left"/>
        </w:tabs>
        <w:rPr>
          <w:sz w:val="20"/>
          <w:szCs w:val="20"/>
          <w:color w:val="auto"/>
        </w:rPr>
      </w:pPr>
      <w:r>
        <w:rPr>
          <w:rFonts w:ascii="Calibri" w:cs="Calibri" w:eastAsia="Calibri" w:hAnsi="Calibri"/>
          <w:sz w:val="18"/>
          <w:szCs w:val="18"/>
          <w:color w:val="auto"/>
        </w:rPr>
        <w:t>By:</w:t>
        <w:tab/>
        <w:t>Name:</w:t>
      </w:r>
      <w:r>
        <w:rPr>
          <w:sz w:val="20"/>
          <w:szCs w:val="20"/>
          <w:color w:val="auto"/>
        </w:rPr>
        <w:tab/>
      </w:r>
      <w:r>
        <w:rPr>
          <w:rFonts w:ascii="Calibri" w:cs="Calibri" w:eastAsia="Calibri" w:hAnsi="Calibri"/>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2551430</wp:posOffset>
            </wp:positionH>
            <wp:positionV relativeFrom="paragraph">
              <wp:posOffset>-19050</wp:posOffset>
            </wp:positionV>
            <wp:extent cx="6032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7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-19050</wp:posOffset>
            </wp:positionV>
            <wp:extent cx="7810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713">
                      <a:extLst>
                        <a:ext uri="{28A0092B-C50C-407E-A947-70E740481C1C}"/>
                      </a:extLst>
                    </a:blip>
                    <a:srcRect/>
                    <a:stretch>
                      <a:fillRect/>
                    </a:stretch>
                  </pic:blipFill>
                  <pic:spPr bwMode="auto">
                    <a:xfrm>
                      <a:off x="0" y="0"/>
                      <a:ext cx="78105" cy="8255"/>
                    </a:xfrm>
                    <a:prstGeom prst="rect">
                      <a:avLst/>
                    </a:prstGeom>
                    <a:noFill/>
                  </pic:spPr>
                </pic:pic>
              </a:graphicData>
            </a:graphic>
          </wp:anchor>
        </w:drawing>
        <w:drawing>
          <wp:anchor simplePos="0" relativeHeight="251657728" behindDoc="1" locked="0" layoutInCell="0" allowOverlap="1">
            <wp:simplePos x="0" y="0"/>
            <wp:positionH relativeFrom="column">
              <wp:posOffset>3178810</wp:posOffset>
            </wp:positionH>
            <wp:positionV relativeFrom="paragraph">
              <wp:posOffset>-19050</wp:posOffset>
            </wp:positionV>
            <wp:extent cx="3746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714">
                      <a:extLst>
                        <a:ext uri="{28A0092B-C50C-407E-A947-70E740481C1C}"/>
                      </a:extLst>
                    </a:blip>
                    <a:srcRect/>
                    <a:stretch>
                      <a:fillRect/>
                    </a:stretch>
                  </pic:blipFill>
                  <pic:spPr bwMode="auto">
                    <a:xfrm>
                      <a:off x="0" y="0"/>
                      <a:ext cx="37465" cy="8255"/>
                    </a:xfrm>
                    <a:prstGeom prst="rect">
                      <a:avLst/>
                    </a:prstGeom>
                    <a:noFill/>
                  </pic:spPr>
                </pic:pic>
              </a:graphicData>
            </a:graphic>
          </wp:anchor>
        </w:drawing>
      </w:r>
    </w:p>
    <w:p>
      <w:pPr>
        <w:spacing w:after="0" w:line="224" w:lineRule="exact"/>
        <w:rPr>
          <w:sz w:val="20"/>
          <w:szCs w:val="20"/>
          <w:color w:val="auto"/>
        </w:rPr>
      </w:pPr>
    </w:p>
    <w:p>
      <w:pPr>
        <w:ind w:left="3800" w:right="2559" w:hanging="4"/>
        <w:spacing w:after="0" w:line="235" w:lineRule="auto"/>
        <w:tabs>
          <w:tab w:leader="none" w:pos="3948" w:val="left"/>
        </w:tabs>
        <w:numPr>
          <w:ilvl w:val="0"/>
          <w:numId w:val="169"/>
        </w:numPr>
        <w:rPr>
          <w:rFonts w:ascii="Arial" w:cs="Arial" w:eastAsia="Arial" w:hAnsi="Arial"/>
          <w:sz w:val="18"/>
          <w:szCs w:val="18"/>
          <w:color w:val="auto"/>
        </w:rPr>
      </w:pPr>
      <w:r>
        <w:rPr>
          <w:rFonts w:ascii="Calibri" w:cs="Calibri" w:eastAsia="Calibri" w:hAnsi="Calibri"/>
          <w:sz w:val="18"/>
          <w:szCs w:val="18"/>
          <w:color w:val="auto"/>
        </w:rPr>
        <w:t>I hereby certfy that the signature, name, and ttle above are my signature, name and ttle.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00"/>
        <w:spacing w:after="0"/>
        <w:rPr>
          <w:sz w:val="20"/>
          <w:szCs w:val="20"/>
          <w:color w:val="auto"/>
        </w:rPr>
      </w:pPr>
      <w:r>
        <w:rPr>
          <w:rFonts w:ascii="Calibri" w:cs="Calibri" w:eastAsia="Calibri" w:hAnsi="Calibri"/>
          <w:sz w:val="18"/>
          <w:szCs w:val="18"/>
          <w:b w:val="1"/>
          <w:bCs w:val="1"/>
          <w:color w:val="auto"/>
        </w:rPr>
        <w:t>SHARED SPACE OCCUPANT:</w:t>
      </w:r>
    </w:p>
    <w:p>
      <w:pPr>
        <w:spacing w:after="0" w:line="212" w:lineRule="exact"/>
        <w:rPr>
          <w:sz w:val="20"/>
          <w:szCs w:val="20"/>
          <w:color w:val="auto"/>
        </w:rPr>
      </w:pPr>
    </w:p>
    <w:p>
      <w:pPr>
        <w:ind w:left="4440"/>
        <w:spacing w:after="0"/>
        <w:rPr>
          <w:sz w:val="20"/>
          <w:szCs w:val="20"/>
          <w:color w:val="auto"/>
        </w:rPr>
      </w:pPr>
      <w:r>
        <w:rPr>
          <w:rFonts w:ascii="Calibri" w:cs="Calibri" w:eastAsia="Calibri" w:hAnsi="Calibri"/>
          <w:sz w:val="18"/>
          <w:szCs w:val="18"/>
          <w:color w:val="auto"/>
        </w:rPr>
        <w: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2410460</wp:posOffset>
            </wp:positionH>
            <wp:positionV relativeFrom="paragraph">
              <wp:posOffset>-19050</wp:posOffset>
            </wp:positionV>
            <wp:extent cx="60452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715">
                      <a:extLst>
                        <a:ext uri="{28A0092B-C50C-407E-A947-70E740481C1C}"/>
                      </a:extLst>
                    </a:blip>
                    <a:srcRect/>
                    <a:stretch>
                      <a:fillRect/>
                    </a:stretch>
                  </pic:blipFill>
                  <pic:spPr bwMode="auto">
                    <a:xfrm>
                      <a:off x="0" y="0"/>
                      <a:ext cx="60452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3800"/>
        <w:spacing w:after="0"/>
        <w:tabs>
          <w:tab w:leader="none" w:pos="4140" w:val="left"/>
          <w:tab w:leader="none" w:pos="4760" w:val="left"/>
        </w:tabs>
        <w:rPr>
          <w:sz w:val="20"/>
          <w:szCs w:val="20"/>
          <w:color w:val="auto"/>
        </w:rPr>
      </w:pPr>
      <w:r>
        <w:rPr>
          <w:rFonts w:ascii="Calibri" w:cs="Calibri" w:eastAsia="Calibri" w:hAnsi="Calibri"/>
          <w:sz w:val="18"/>
          <w:szCs w:val="18"/>
          <w:color w:val="auto"/>
        </w:rPr>
        <w:t>By:</w:t>
        <w:tab/>
        <w:t>Name:</w:t>
      </w:r>
      <w:r>
        <w:rPr>
          <w:sz w:val="20"/>
          <w:szCs w:val="20"/>
          <w:color w:val="auto"/>
        </w:rPr>
        <w:tab/>
      </w:r>
      <w:r>
        <w:rPr>
          <w:rFonts w:ascii="Calibri" w:cs="Calibri" w:eastAsia="Calibri" w:hAnsi="Calibri"/>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2551430</wp:posOffset>
            </wp:positionH>
            <wp:positionV relativeFrom="paragraph">
              <wp:posOffset>-18415</wp:posOffset>
            </wp:positionV>
            <wp:extent cx="6032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71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24" w:lineRule="exact"/>
        <w:rPr>
          <w:sz w:val="20"/>
          <w:szCs w:val="20"/>
          <w:color w:val="auto"/>
        </w:rPr>
      </w:pPr>
    </w:p>
    <w:p>
      <w:pPr>
        <w:ind w:left="3800" w:right="2199" w:hanging="4"/>
        <w:spacing w:after="0" w:line="235" w:lineRule="auto"/>
        <w:tabs>
          <w:tab w:leader="none" w:pos="3988" w:val="left"/>
        </w:tabs>
        <w:numPr>
          <w:ilvl w:val="0"/>
          <w:numId w:val="170"/>
        </w:numPr>
        <w:rPr>
          <w:rFonts w:ascii="Arial" w:cs="Arial" w:eastAsia="Arial" w:hAnsi="Arial"/>
          <w:sz w:val="18"/>
          <w:szCs w:val="18"/>
          <w:color w:val="auto"/>
        </w:rPr>
      </w:pPr>
      <w:r>
        <w:rPr>
          <w:rFonts w:ascii="Calibri" w:cs="Calibri" w:eastAsia="Calibri" w:hAnsi="Calibri"/>
          <w:sz w:val="18"/>
          <w:szCs w:val="18"/>
          <w:color w:val="auto"/>
        </w:rPr>
        <w:t>I hereby certfy that the signature, name, and ttle above are my signature, name and ttle.</w:t>
      </w:r>
    </w:p>
    <w:p>
      <w:pPr>
        <w:spacing w:after="0" w:line="334" w:lineRule="exact"/>
        <w:rPr>
          <w:sz w:val="20"/>
          <w:szCs w:val="20"/>
          <w:color w:val="auto"/>
        </w:rPr>
      </w:pPr>
    </w:p>
    <w:p>
      <w:pPr>
        <w:ind w:left="3800"/>
        <w:spacing w:after="0"/>
        <w:rPr>
          <w:sz w:val="20"/>
          <w:szCs w:val="20"/>
          <w:color w:val="auto"/>
        </w:rPr>
      </w:pPr>
      <w:r>
        <w:rPr>
          <w:rFonts w:ascii="Calibri" w:cs="Calibri" w:eastAsia="Calibri" w:hAnsi="Calibri"/>
          <w:sz w:val="18"/>
          <w:szCs w:val="18"/>
          <w:b w:val="1"/>
          <w:bCs w:val="1"/>
          <w:color w:val="auto"/>
        </w:rPr>
        <w:t>LANDLORD:</w:t>
      </w:r>
    </w:p>
    <w:p>
      <w:pPr>
        <w:spacing w:after="0" w:line="212" w:lineRule="exact"/>
        <w:rPr>
          <w:sz w:val="20"/>
          <w:szCs w:val="20"/>
          <w:color w:val="auto"/>
        </w:rPr>
      </w:pPr>
    </w:p>
    <w:p>
      <w:pPr>
        <w:ind w:left="3800"/>
        <w:spacing w:after="0"/>
        <w:rPr>
          <w:sz w:val="20"/>
          <w:szCs w:val="20"/>
          <w:color w:val="auto"/>
        </w:rPr>
      </w:pPr>
      <w:r>
        <w:rPr>
          <w:rFonts w:ascii="Calibri" w:cs="Calibri" w:eastAsia="Calibri" w:hAnsi="Calibri"/>
          <w:sz w:val="18"/>
          <w:szCs w:val="18"/>
          <w:b w:val="1"/>
          <w:bCs w:val="1"/>
          <w:color w:val="auto"/>
        </w:rPr>
        <w:t>ARE-MA REGION NO. 20, LLC</w:t>
      </w:r>
      <w:r>
        <w:rPr>
          <w:rFonts w:ascii="Calibri" w:cs="Calibri" w:eastAsia="Calibri" w:hAnsi="Calibri"/>
          <w:sz w:val="18"/>
          <w:szCs w:val="18"/>
          <w:color w:val="auto"/>
        </w:rPr>
        <w:t>,</w:t>
      </w:r>
    </w:p>
    <w:p>
      <w:pPr>
        <w:ind w:left="3800"/>
        <w:spacing w:after="0" w:line="235" w:lineRule="auto"/>
        <w:rPr>
          <w:sz w:val="20"/>
          <w:szCs w:val="20"/>
          <w:color w:val="auto"/>
        </w:rPr>
      </w:pPr>
      <w:r>
        <w:rPr>
          <w:rFonts w:ascii="Calibri" w:cs="Calibri" w:eastAsia="Calibri" w:hAnsi="Calibri"/>
          <w:sz w:val="18"/>
          <w:szCs w:val="18"/>
          <w:color w:val="auto"/>
        </w:rPr>
        <w:t>a Delaware limited liability company</w:t>
      </w:r>
    </w:p>
    <w:p>
      <w:pPr>
        <w:spacing w:after="0" w:line="227" w:lineRule="exact"/>
        <w:rPr>
          <w:sz w:val="20"/>
          <w:szCs w:val="20"/>
          <w:color w:val="auto"/>
        </w:rPr>
      </w:pPr>
    </w:p>
    <w:p>
      <w:pPr>
        <w:ind w:left="3800"/>
        <w:spacing w:after="0"/>
        <w:rPr>
          <w:sz w:val="20"/>
          <w:szCs w:val="20"/>
          <w:color w:val="auto"/>
        </w:rPr>
      </w:pPr>
      <w:r>
        <w:rPr>
          <w:rFonts w:ascii="Calibri" w:cs="Calibri" w:eastAsia="Calibri" w:hAnsi="Calibri"/>
          <w:sz w:val="18"/>
          <w:szCs w:val="18"/>
          <w:color w:val="auto"/>
        </w:rPr>
        <w:t>By: ALEXANDRIA REAL ESTATE EQUITIES, L.P.,</w:t>
      </w:r>
    </w:p>
    <w:p>
      <w:pPr>
        <w:ind w:left="4540"/>
        <w:spacing w:after="0" w:line="235" w:lineRule="auto"/>
        <w:rPr>
          <w:sz w:val="20"/>
          <w:szCs w:val="20"/>
          <w:color w:val="auto"/>
        </w:rPr>
      </w:pPr>
      <w:r>
        <w:rPr>
          <w:rFonts w:ascii="Calibri" w:cs="Calibri" w:eastAsia="Calibri" w:hAnsi="Calibri"/>
          <w:sz w:val="18"/>
          <w:szCs w:val="18"/>
          <w:color w:val="auto"/>
        </w:rPr>
        <w:t>a Delaware limited partnership, managing member</w:t>
      </w:r>
    </w:p>
    <w:p>
      <w:pPr>
        <w:spacing w:after="0" w:line="227" w:lineRule="exact"/>
        <w:rPr>
          <w:sz w:val="20"/>
          <w:szCs w:val="20"/>
          <w:color w:val="auto"/>
        </w:rPr>
      </w:pPr>
    </w:p>
    <w:p>
      <w:pPr>
        <w:ind w:left="4540"/>
        <w:spacing w:after="0"/>
        <w:rPr>
          <w:sz w:val="20"/>
          <w:szCs w:val="20"/>
          <w:color w:val="auto"/>
        </w:rPr>
      </w:pPr>
      <w:r>
        <w:rPr>
          <w:rFonts w:ascii="Calibri" w:cs="Calibri" w:eastAsia="Calibri" w:hAnsi="Calibri"/>
          <w:sz w:val="18"/>
          <w:szCs w:val="18"/>
          <w:color w:val="auto"/>
        </w:rPr>
        <w:t>By: ARE-QRS CORP.,</w:t>
      </w:r>
    </w:p>
    <w:p>
      <w:pPr>
        <w:ind w:left="5300"/>
        <w:spacing w:after="0" w:line="235" w:lineRule="auto"/>
        <w:rPr>
          <w:sz w:val="20"/>
          <w:szCs w:val="20"/>
          <w:color w:val="auto"/>
        </w:rPr>
      </w:pPr>
      <w:r>
        <w:rPr>
          <w:rFonts w:ascii="Calibri" w:cs="Calibri" w:eastAsia="Calibri" w:hAnsi="Calibri"/>
          <w:sz w:val="18"/>
          <w:szCs w:val="18"/>
          <w:color w:val="auto"/>
        </w:rPr>
        <w:t>a Maryland corporaton, general partner</w:t>
      </w:r>
    </w:p>
    <w:p>
      <w:pPr>
        <w:spacing w:after="0" w:line="200" w:lineRule="exact"/>
        <w:rPr>
          <w:sz w:val="20"/>
          <w:szCs w:val="20"/>
          <w:color w:val="auto"/>
        </w:rPr>
      </w:pPr>
    </w:p>
    <w:p>
      <w:pPr>
        <w:spacing w:after="0" w:line="243" w:lineRule="exact"/>
        <w:rPr>
          <w:sz w:val="20"/>
          <w:szCs w:val="20"/>
          <w:color w:val="auto"/>
        </w:rPr>
      </w:pPr>
    </w:p>
    <w:p>
      <w:pPr>
        <w:ind w:left="5300"/>
        <w:spacing w:after="0"/>
        <w:tabs>
          <w:tab w:leader="none" w:pos="5640" w:val="left"/>
          <w:tab w:leader="none" w:pos="6260" w:val="left"/>
        </w:tabs>
        <w:rPr>
          <w:sz w:val="20"/>
          <w:szCs w:val="20"/>
          <w:color w:val="auto"/>
        </w:rPr>
      </w:pPr>
      <w:r>
        <w:rPr>
          <w:rFonts w:ascii="Calibri" w:cs="Calibri" w:eastAsia="Calibri" w:hAnsi="Calibri"/>
          <w:sz w:val="18"/>
          <w:szCs w:val="18"/>
          <w:color w:val="auto"/>
        </w:rPr>
        <w:t>By:</w:t>
        <w:tab/>
        <w:t>Name:</w:t>
        <w:tab/>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-19050</wp:posOffset>
            </wp:positionV>
            <wp:extent cx="6032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7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3887470</wp:posOffset>
            </wp:positionH>
            <wp:positionV relativeFrom="paragraph">
              <wp:posOffset>-19050</wp:posOffset>
            </wp:positionV>
            <wp:extent cx="7810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718">
                      <a:extLst>
                        <a:ext uri="{28A0092B-C50C-407E-A947-70E740481C1C}"/>
                      </a:extLst>
                    </a:blip>
                    <a:srcRect/>
                    <a:stretch>
                      <a:fillRect/>
                    </a:stretch>
                  </pic:blipFill>
                  <pic:spPr bwMode="auto">
                    <a:xfrm>
                      <a:off x="0" y="0"/>
                      <a:ext cx="78105"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748030</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7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1413" w:right="1440" w:bottom="1440" w:gutter="0" w:footer="0" w:header="0"/>
        </w:sectPr>
      </w:pPr>
    </w:p>
    <w:bookmarkStart w:id="191" w:name="page192"/>
    <w:bookmarkEnd w:id="191"/>
    <w:p>
      <w:pPr>
        <w:ind w:left="8940"/>
        <w:spacing w:after="0"/>
        <w:rPr>
          <w:sz w:val="20"/>
          <w:szCs w:val="20"/>
          <w:color w:val="auto"/>
        </w:rPr>
      </w:pPr>
      <w:r>
        <w:rPr>
          <w:rFonts w:ascii="Calibri" w:cs="Calibri" w:eastAsia="Calibri" w:hAnsi="Calibri"/>
          <w:sz w:val="18"/>
          <w:szCs w:val="18"/>
          <w:b w:val="1"/>
          <w:bCs w:val="1"/>
          <w:u w:val="single" w:color="auto"/>
          <w:color w:val="auto"/>
        </w:rPr>
        <w:t>Exhibit 10.89</w:t>
      </w:r>
    </w:p>
    <w:p>
      <w:pPr>
        <w:spacing w:after="0" w:line="79"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b w:val="1"/>
          <w:bCs w:val="1"/>
          <w:color w:val="auto"/>
        </w:rPr>
        <w:t>FOURTH AMENDMENT TO LEASE</w:t>
      </w:r>
    </w:p>
    <w:p>
      <w:pPr>
        <w:spacing w:after="0" w:line="188" w:lineRule="exact"/>
        <w:rPr>
          <w:sz w:val="20"/>
          <w:szCs w:val="20"/>
          <w:color w:val="auto"/>
        </w:rPr>
      </w:pPr>
    </w:p>
    <w:p>
      <w:pPr>
        <w:jc w:val="both"/>
        <w:ind w:left="20" w:right="20" w:firstLine="749"/>
        <w:spacing w:after="0" w:line="237" w:lineRule="auto"/>
        <w:rPr>
          <w:sz w:val="20"/>
          <w:szCs w:val="20"/>
          <w:color w:val="auto"/>
        </w:rPr>
      </w:pPr>
      <w:r>
        <w:rPr>
          <w:rFonts w:ascii="Calibri" w:cs="Calibri" w:eastAsia="Calibri" w:hAnsi="Calibri"/>
          <w:sz w:val="22"/>
          <w:szCs w:val="22"/>
          <w:b w:val="1"/>
          <w:bCs w:val="1"/>
          <w:color w:val="auto"/>
        </w:rPr>
        <w:t xml:space="preserve">THIS FOURTH AMENDMENT TO LEASE </w:t>
      </w:r>
      <w:r>
        <w:rPr>
          <w:rFonts w:ascii="Calibri" w:cs="Calibri" w:eastAsia="Calibri" w:hAnsi="Calibri"/>
          <w:sz w:val="22"/>
          <w:szCs w:val="22"/>
          <w:color w:val="auto"/>
        </w:rPr>
        <w:t>(this “</w:t>
      </w:r>
      <w:r>
        <w:rPr>
          <w:rFonts w:ascii="Calibri" w:cs="Calibri" w:eastAsia="Calibri" w:hAnsi="Calibri"/>
          <w:sz w:val="22"/>
          <w:szCs w:val="22"/>
          <w:b w:val="1"/>
          <w:bCs w:val="1"/>
          <w:color w:val="auto"/>
        </w:rPr>
        <w:t>Fourth Amendment</w:t>
      </w:r>
      <w:r>
        <w:rPr>
          <w:rFonts w:ascii="Calibri" w:cs="Calibri" w:eastAsia="Calibri" w:hAnsi="Calibri"/>
          <w:sz w:val="22"/>
          <w:szCs w:val="22"/>
          <w:color w:val="auto"/>
        </w:rPr>
        <w:t>”) is made as of December 13, 2024 (the “</w:t>
      </w:r>
      <w:r>
        <w:rPr>
          <w:rFonts w:ascii="Calibri" w:cs="Calibri" w:eastAsia="Calibri" w:hAnsi="Calibri"/>
          <w:sz w:val="22"/>
          <w:szCs w:val="22"/>
          <w:b w:val="1"/>
          <w:bCs w:val="1"/>
          <w:color w:val="auto"/>
        </w:rPr>
        <w:t>Fourth Amendment Efectve Date</w:t>
      </w:r>
      <w:r>
        <w:rPr>
          <w:rFonts w:ascii="Calibri" w:cs="Calibri" w:eastAsia="Calibri" w:hAnsi="Calibri"/>
          <w:sz w:val="22"/>
          <w:szCs w:val="22"/>
          <w:color w:val="auto"/>
        </w:rPr>
        <w:t>”), by and between</w:t>
      </w:r>
      <w:r>
        <w:rPr>
          <w:rFonts w:ascii="Calibri" w:cs="Calibri" w:eastAsia="Calibri" w:hAnsi="Calibri"/>
          <w:sz w:val="22"/>
          <w:szCs w:val="22"/>
          <w:b w:val="1"/>
          <w:bCs w:val="1"/>
          <w:color w:val="auto"/>
        </w:rPr>
        <w:t xml:space="preserve"> GI ETS SHORELINE LLC</w:t>
      </w:r>
      <w:r>
        <w:rPr>
          <w:rFonts w:ascii="Calibri" w:cs="Calibri" w:eastAsia="Calibri" w:hAnsi="Calibri"/>
          <w:sz w:val="22"/>
          <w:szCs w:val="22"/>
          <w:color w:val="auto"/>
        </w:rPr>
        <w:t>, a Delaware limited liability company (“</w:t>
      </w:r>
      <w:r>
        <w:rPr>
          <w:rFonts w:ascii="Calibri" w:cs="Calibri" w:eastAsia="Calibri" w:hAnsi="Calibri"/>
          <w:sz w:val="22"/>
          <w:szCs w:val="22"/>
          <w:b w:val="1"/>
          <w:bCs w:val="1"/>
          <w:color w:val="auto"/>
        </w:rPr>
        <w:t>Landlord</w:t>
      </w:r>
      <w:r>
        <w:rPr>
          <w:rFonts w:ascii="Calibri" w:cs="Calibri" w:eastAsia="Calibri" w:hAnsi="Calibri"/>
          <w:sz w:val="22"/>
          <w:szCs w:val="22"/>
          <w:color w:val="auto"/>
        </w:rPr>
        <w:t>”),</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 xml:space="preserve">and </w:t>
      </w:r>
      <w:r>
        <w:rPr>
          <w:rFonts w:ascii="Calibri" w:cs="Calibri" w:eastAsia="Calibri" w:hAnsi="Calibri"/>
          <w:sz w:val="22"/>
          <w:szCs w:val="22"/>
          <w:b w:val="1"/>
          <w:bCs w:val="1"/>
          <w:color w:val="auto"/>
        </w:rPr>
        <w:t>ULTRAGENYX PHARMACEUTICAL INC.</w:t>
      </w:r>
      <w:r>
        <w:rPr>
          <w:rFonts w:ascii="Calibri" w:cs="Calibri" w:eastAsia="Calibri" w:hAnsi="Calibri"/>
          <w:sz w:val="22"/>
          <w:szCs w:val="22"/>
          <w:color w:val="auto"/>
        </w:rPr>
        <w:t xml:space="preserve">, a Delaware corporaton </w:t>
      </w:r>
      <w:r>
        <w:rPr>
          <w:rFonts w:ascii="Calibri" w:cs="Calibri" w:eastAsia="Calibri" w:hAnsi="Calibri"/>
          <w:sz w:val="22"/>
          <w:szCs w:val="22"/>
          <w:b w:val="1"/>
          <w:bCs w:val="1"/>
          <w:color w:val="auto"/>
        </w:rPr>
        <w:t>(“Tenant”).</w:t>
      </w:r>
    </w:p>
    <w:p>
      <w:pPr>
        <w:spacing w:after="0" w:line="203" w:lineRule="exact"/>
        <w:rPr>
          <w:sz w:val="20"/>
          <w:szCs w:val="20"/>
          <w:color w:val="auto"/>
        </w:rPr>
      </w:pPr>
    </w:p>
    <w:p>
      <w:pPr>
        <w:jc w:val="both"/>
        <w:ind w:left="20" w:right="20" w:firstLine="749"/>
        <w:spacing w:after="0" w:line="239" w:lineRule="auto"/>
        <w:rPr>
          <w:sz w:val="20"/>
          <w:szCs w:val="20"/>
          <w:color w:val="auto"/>
        </w:rPr>
      </w:pPr>
      <w:r>
        <w:rPr>
          <w:rFonts w:ascii="Calibri" w:cs="Calibri" w:eastAsia="Calibri" w:hAnsi="Calibri"/>
          <w:sz w:val="22"/>
          <w:szCs w:val="22"/>
          <w:b w:val="1"/>
          <w:bCs w:val="1"/>
          <w:color w:val="auto"/>
        </w:rPr>
        <w:t>WHEREAS</w:t>
      </w:r>
      <w:r>
        <w:rPr>
          <w:rFonts w:ascii="Calibri" w:cs="Calibri" w:eastAsia="Calibri" w:hAnsi="Calibri"/>
          <w:sz w:val="22"/>
          <w:szCs w:val="22"/>
          <w:color w:val="auto"/>
        </w:rPr>
        <w:t>, Landlord (as successor-in-interest to ARE-San Francisco No. 17, LLC) and Tenant are partes to that</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certain Lease Agreement dated as of December 15, 2019 (the “</w:t>
      </w:r>
      <w:r>
        <w:rPr>
          <w:rFonts w:ascii="Calibri" w:cs="Calibri" w:eastAsia="Calibri" w:hAnsi="Calibri"/>
          <w:sz w:val="22"/>
          <w:szCs w:val="22"/>
          <w:b w:val="1"/>
          <w:bCs w:val="1"/>
          <w:color w:val="auto"/>
        </w:rPr>
        <w:t>Original Lease</w:t>
      </w:r>
      <w:r>
        <w:rPr>
          <w:rFonts w:ascii="Calibri" w:cs="Calibri" w:eastAsia="Calibri" w:hAnsi="Calibri"/>
          <w:sz w:val="22"/>
          <w:szCs w:val="22"/>
          <w:color w:val="auto"/>
        </w:rPr>
        <w:t>”), as amended by that certain First Amendment to Lease Agreement dated as of September 30, 2020 (the “</w:t>
      </w:r>
      <w:r>
        <w:rPr>
          <w:rFonts w:ascii="Calibri" w:cs="Calibri" w:eastAsia="Calibri" w:hAnsi="Calibri"/>
          <w:sz w:val="22"/>
          <w:szCs w:val="22"/>
          <w:b w:val="1"/>
          <w:bCs w:val="1"/>
          <w:color w:val="auto"/>
        </w:rPr>
        <w:t>First Amendment</w:t>
      </w:r>
      <w:r>
        <w:rPr>
          <w:rFonts w:ascii="Calibri" w:cs="Calibri" w:eastAsia="Calibri" w:hAnsi="Calibri"/>
          <w:sz w:val="22"/>
          <w:szCs w:val="22"/>
          <w:color w:val="auto"/>
        </w:rPr>
        <w:t>”), Second Amendment to Lease Agreement as of October 21, 2020 (the “</w:t>
      </w:r>
      <w:r>
        <w:rPr>
          <w:rFonts w:ascii="Calibri" w:cs="Calibri" w:eastAsia="Calibri" w:hAnsi="Calibri"/>
          <w:sz w:val="22"/>
          <w:szCs w:val="22"/>
          <w:b w:val="1"/>
          <w:bCs w:val="1"/>
          <w:color w:val="auto"/>
        </w:rPr>
        <w:t>Second Amendment</w:t>
      </w:r>
      <w:r>
        <w:rPr>
          <w:rFonts w:ascii="Calibri" w:cs="Calibri" w:eastAsia="Calibri" w:hAnsi="Calibri"/>
          <w:sz w:val="22"/>
          <w:szCs w:val="22"/>
          <w:color w:val="auto"/>
        </w:rPr>
        <w:t>”), and Third Amendment to Lease Agreement dated as of July 27, 2022 (the “</w:t>
      </w:r>
      <w:r>
        <w:rPr>
          <w:rFonts w:ascii="Calibri" w:cs="Calibri" w:eastAsia="Calibri" w:hAnsi="Calibri"/>
          <w:sz w:val="22"/>
          <w:szCs w:val="22"/>
          <w:b w:val="1"/>
          <w:bCs w:val="1"/>
          <w:color w:val="auto"/>
        </w:rPr>
        <w:t>Third Amendment</w:t>
      </w:r>
      <w:r>
        <w:rPr>
          <w:rFonts w:ascii="Calibri" w:cs="Calibri" w:eastAsia="Calibri" w:hAnsi="Calibri"/>
          <w:sz w:val="22"/>
          <w:szCs w:val="22"/>
          <w:color w:val="auto"/>
        </w:rPr>
        <w:t>”; and, together with the Original Lease, First Amendment, Second Amendment, and Third Amendment, collectvely, the “</w:t>
      </w:r>
      <w:r>
        <w:rPr>
          <w:rFonts w:ascii="Calibri" w:cs="Calibri" w:eastAsia="Calibri" w:hAnsi="Calibri"/>
          <w:sz w:val="22"/>
          <w:szCs w:val="22"/>
          <w:b w:val="1"/>
          <w:bCs w:val="1"/>
          <w:color w:val="auto"/>
        </w:rPr>
        <w:t>Lease</w:t>
      </w:r>
      <w:r>
        <w:rPr>
          <w:rFonts w:ascii="Calibri" w:cs="Calibri" w:eastAsia="Calibri" w:hAnsi="Calibri"/>
          <w:sz w:val="22"/>
          <w:szCs w:val="22"/>
          <w:color w:val="auto"/>
        </w:rPr>
        <w:t>”), demising approximately 32,377 rentable square feet (the “</w:t>
      </w:r>
      <w:r>
        <w:rPr>
          <w:rFonts w:ascii="Calibri" w:cs="Calibri" w:eastAsia="Calibri" w:hAnsi="Calibri"/>
          <w:sz w:val="22"/>
          <w:szCs w:val="22"/>
          <w:b w:val="1"/>
          <w:bCs w:val="1"/>
          <w:color w:val="auto"/>
        </w:rPr>
        <w:t>Premises</w:t>
      </w:r>
      <w:r>
        <w:rPr>
          <w:rFonts w:ascii="Calibri" w:cs="Calibri" w:eastAsia="Calibri" w:hAnsi="Calibri"/>
          <w:sz w:val="22"/>
          <w:szCs w:val="22"/>
          <w:color w:val="auto"/>
        </w:rPr>
        <w:t>”) in the building located at 7000 Shoreline Court, South San Francisco, California (the “</w:t>
      </w:r>
      <w:r>
        <w:rPr>
          <w:rFonts w:ascii="Calibri" w:cs="Calibri" w:eastAsia="Calibri" w:hAnsi="Calibri"/>
          <w:sz w:val="22"/>
          <w:szCs w:val="22"/>
          <w:b w:val="1"/>
          <w:bCs w:val="1"/>
          <w:color w:val="auto"/>
        </w:rPr>
        <w:t>Building</w:t>
      </w:r>
      <w:r>
        <w:rPr>
          <w:rFonts w:ascii="Calibri" w:cs="Calibri" w:eastAsia="Calibri" w:hAnsi="Calibri"/>
          <w:sz w:val="22"/>
          <w:szCs w:val="22"/>
          <w:color w:val="auto"/>
        </w:rPr>
        <w:t>”);</w:t>
      </w:r>
    </w:p>
    <w:p>
      <w:pPr>
        <w:spacing w:after="0" w:line="193" w:lineRule="exact"/>
        <w:rPr>
          <w:sz w:val="20"/>
          <w:szCs w:val="20"/>
          <w:color w:val="auto"/>
        </w:rPr>
      </w:pPr>
    </w:p>
    <w:p>
      <w:pPr>
        <w:jc w:val="both"/>
        <w:ind w:left="20" w:right="20" w:firstLine="749"/>
        <w:spacing w:after="0" w:line="235" w:lineRule="auto"/>
        <w:rPr>
          <w:sz w:val="20"/>
          <w:szCs w:val="20"/>
          <w:color w:val="auto"/>
        </w:rPr>
      </w:pPr>
      <w:r>
        <w:rPr>
          <w:rFonts w:ascii="Calibri" w:cs="Calibri" w:eastAsia="Calibri" w:hAnsi="Calibri"/>
          <w:sz w:val="22"/>
          <w:szCs w:val="22"/>
          <w:b w:val="1"/>
          <w:bCs w:val="1"/>
          <w:color w:val="auto"/>
        </w:rPr>
        <w:t>WHEREAS</w:t>
      </w:r>
      <w:r>
        <w:rPr>
          <w:rFonts w:ascii="Calibri" w:cs="Calibri" w:eastAsia="Calibri" w:hAnsi="Calibri"/>
          <w:sz w:val="22"/>
          <w:szCs w:val="22"/>
          <w:color w:val="auto"/>
        </w:rPr>
        <w:t>, the Base Term of the Lease currently expires on March 31, 2025 (the “</w:t>
      </w:r>
      <w:r>
        <w:rPr>
          <w:rFonts w:ascii="Calibri" w:cs="Calibri" w:eastAsia="Calibri" w:hAnsi="Calibri"/>
          <w:sz w:val="22"/>
          <w:szCs w:val="22"/>
          <w:b w:val="1"/>
          <w:bCs w:val="1"/>
          <w:color w:val="auto"/>
        </w:rPr>
        <w:t>Current Expiraton Date</w:t>
      </w:r>
      <w:r>
        <w:rPr>
          <w:rFonts w:ascii="Calibri" w:cs="Calibri" w:eastAsia="Calibri" w:hAnsi="Calibri"/>
          <w:sz w:val="22"/>
          <w:szCs w:val="22"/>
          <w:color w:val="auto"/>
        </w:rPr>
        <w:t>”) and</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Tenant has requested that Landlord, among other things, extend the Base Term; and</w:t>
      </w:r>
    </w:p>
    <w:p>
      <w:pPr>
        <w:spacing w:after="0" w:line="190" w:lineRule="exact"/>
        <w:rPr>
          <w:sz w:val="20"/>
          <w:szCs w:val="20"/>
          <w:color w:val="auto"/>
        </w:rPr>
      </w:pPr>
    </w:p>
    <w:p>
      <w:pPr>
        <w:jc w:val="both"/>
        <w:ind w:left="20" w:right="20" w:firstLine="749"/>
        <w:spacing w:after="0" w:line="235" w:lineRule="auto"/>
        <w:rPr>
          <w:sz w:val="20"/>
          <w:szCs w:val="20"/>
          <w:color w:val="auto"/>
        </w:rPr>
      </w:pPr>
      <w:r>
        <w:rPr>
          <w:rFonts w:ascii="Calibri" w:cs="Calibri" w:eastAsia="Calibri" w:hAnsi="Calibri"/>
          <w:sz w:val="22"/>
          <w:szCs w:val="22"/>
          <w:b w:val="1"/>
          <w:bCs w:val="1"/>
          <w:color w:val="auto"/>
        </w:rPr>
        <w:t>WHEREAS</w:t>
      </w:r>
      <w:r>
        <w:rPr>
          <w:rFonts w:ascii="Calibri" w:cs="Calibri" w:eastAsia="Calibri" w:hAnsi="Calibri"/>
          <w:sz w:val="22"/>
          <w:szCs w:val="22"/>
          <w:color w:val="auto"/>
        </w:rPr>
        <w:t>, Landlord and Tenant desire, subject to the terms and conditons set forth below, to amend the Lease</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as set forth in this Fourth Amendment.</w:t>
      </w:r>
    </w:p>
    <w:p>
      <w:pPr>
        <w:spacing w:after="0" w:line="203" w:lineRule="exact"/>
        <w:rPr>
          <w:sz w:val="20"/>
          <w:szCs w:val="20"/>
          <w:color w:val="auto"/>
        </w:rPr>
      </w:pPr>
    </w:p>
    <w:p>
      <w:pPr>
        <w:jc w:val="both"/>
        <w:ind w:left="20" w:right="20" w:firstLine="749"/>
        <w:spacing w:after="0" w:line="237" w:lineRule="auto"/>
        <w:rPr>
          <w:sz w:val="20"/>
          <w:szCs w:val="20"/>
          <w:color w:val="auto"/>
        </w:rPr>
      </w:pPr>
      <w:r>
        <w:rPr>
          <w:rFonts w:ascii="Calibri" w:cs="Calibri" w:eastAsia="Calibri" w:hAnsi="Calibri"/>
          <w:sz w:val="22"/>
          <w:szCs w:val="22"/>
          <w:b w:val="1"/>
          <w:bCs w:val="1"/>
          <w:color w:val="auto"/>
        </w:rPr>
        <w:t>NOW, THEREFORE</w:t>
      </w:r>
      <w:r>
        <w:rPr>
          <w:rFonts w:ascii="Calibri" w:cs="Calibri" w:eastAsia="Calibri" w:hAnsi="Calibri"/>
          <w:sz w:val="22"/>
          <w:szCs w:val="22"/>
          <w:color w:val="auto"/>
        </w:rPr>
        <w:t>, in consideraton of the mutual covenants contained herein and other good and valuable</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consideraton, the receipt and sufciency of which is hereby acknowledged, Landlord and Tenant do hereby agree as follows:</w:t>
      </w:r>
    </w:p>
    <w:p>
      <w:pPr>
        <w:spacing w:after="0" w:line="177" w:lineRule="exact"/>
        <w:rPr>
          <w:sz w:val="20"/>
          <w:szCs w:val="20"/>
          <w:color w:val="auto"/>
        </w:rPr>
      </w:pPr>
    </w:p>
    <w:p>
      <w:pPr>
        <w:ind w:right="340" w:firstLine="749"/>
        <w:spacing w:after="0" w:line="242" w:lineRule="auto"/>
        <w:rPr>
          <w:sz w:val="20"/>
          <w:szCs w:val="20"/>
          <w:color w:val="auto"/>
        </w:rPr>
      </w:pPr>
      <w:r>
        <w:rPr>
          <w:rFonts w:ascii="Times New Roman" w:cs="Times New Roman" w:eastAsia="Times New Roman" w:hAnsi="Times New Roman"/>
          <w:sz w:val="22"/>
          <w:szCs w:val="22"/>
          <w:color w:val="auto"/>
        </w:rPr>
        <w:t>1.</w:t>
      </w:r>
      <w:r>
        <w:rPr>
          <w:rFonts w:ascii="Calibri" w:cs="Calibri" w:eastAsia="Calibri" w:hAnsi="Calibri"/>
          <w:sz w:val="22"/>
          <w:szCs w:val="22"/>
          <w:b w:val="1"/>
          <w:bCs w:val="1"/>
          <w:u w:val="single" w:color="auto"/>
          <w:color w:val="auto"/>
        </w:rPr>
        <w:t>Defnitons</w:t>
      </w:r>
      <w:r>
        <w:rPr>
          <w:rFonts w:ascii="Calibri" w:cs="Calibri" w:eastAsia="Calibri" w:hAnsi="Calibri"/>
          <w:sz w:val="22"/>
          <w:szCs w:val="22"/>
          <w:color w:val="auto"/>
        </w:rPr>
        <w:t>. Unless the context otherwise requires, any capitalized or defned term used herein shall have its</w:t>
      </w:r>
      <w:r>
        <w:rPr>
          <w:rFonts w:ascii="Times New Roman" w:cs="Times New Roman" w:eastAsia="Times New Roman" w:hAnsi="Times New Roman"/>
          <w:sz w:val="22"/>
          <w:szCs w:val="22"/>
          <w:color w:val="auto"/>
        </w:rPr>
        <w:t xml:space="preserve"> </w:t>
      </w:r>
      <w:r>
        <w:rPr>
          <w:rFonts w:ascii="Calibri" w:cs="Calibri" w:eastAsia="Calibri" w:hAnsi="Calibri"/>
          <w:sz w:val="22"/>
          <w:szCs w:val="22"/>
          <w:color w:val="auto"/>
        </w:rPr>
        <w:t>respectve meaning as set forth in the Lease.</w:t>
      </w:r>
    </w:p>
    <w:p>
      <w:pPr>
        <w:spacing w:after="0" w:line="174" w:lineRule="exact"/>
        <w:rPr>
          <w:sz w:val="20"/>
          <w:szCs w:val="20"/>
          <w:color w:val="auto"/>
        </w:rPr>
      </w:pPr>
    </w:p>
    <w:p>
      <w:pPr>
        <w:ind w:left="1500" w:hanging="744"/>
        <w:spacing w:after="0"/>
        <w:tabs>
          <w:tab w:leader="none" w:pos="1500" w:val="left"/>
        </w:tabs>
        <w:numPr>
          <w:ilvl w:val="0"/>
          <w:numId w:val="171"/>
        </w:numPr>
        <w:rPr>
          <w:rFonts w:ascii="Times New Roman" w:cs="Times New Roman" w:eastAsia="Times New Roman" w:hAnsi="Times New Roman"/>
          <w:sz w:val="22"/>
          <w:szCs w:val="22"/>
          <w:color w:val="auto"/>
        </w:rPr>
      </w:pPr>
      <w:r>
        <w:rPr>
          <w:rFonts w:ascii="Calibri" w:cs="Calibri" w:eastAsia="Calibri" w:hAnsi="Calibri"/>
          <w:sz w:val="22"/>
          <w:szCs w:val="22"/>
          <w:b w:val="1"/>
          <w:bCs w:val="1"/>
          <w:u w:val="single" w:color="auto"/>
          <w:color w:val="auto"/>
        </w:rPr>
        <w:t>Term</w:t>
      </w:r>
      <w:r>
        <w:rPr>
          <w:rFonts w:ascii="Calibri" w:cs="Calibri" w:eastAsia="Calibri" w:hAnsi="Calibri"/>
          <w:sz w:val="22"/>
          <w:szCs w:val="22"/>
          <w:color w:val="auto"/>
        </w:rPr>
        <w:t>.</w:t>
      </w:r>
    </w:p>
    <w:p>
      <w:pPr>
        <w:spacing w:after="0" w:line="192" w:lineRule="exact"/>
        <w:rPr>
          <w:rFonts w:ascii="Times New Roman" w:cs="Times New Roman" w:eastAsia="Times New Roman" w:hAnsi="Times New Roman"/>
          <w:sz w:val="22"/>
          <w:szCs w:val="22"/>
          <w:color w:val="auto"/>
        </w:rPr>
      </w:pPr>
    </w:p>
    <w:p>
      <w:pPr>
        <w:ind w:left="1920" w:hanging="415"/>
        <w:spacing w:after="0"/>
        <w:tabs>
          <w:tab w:leader="none" w:pos="1920" w:val="left"/>
        </w:tabs>
        <w:numPr>
          <w:ilvl w:val="1"/>
          <w:numId w:val="171"/>
        </w:numPr>
        <w:rPr>
          <w:rFonts w:ascii="Times New Roman" w:cs="Times New Roman" w:eastAsia="Times New Roman" w:hAnsi="Times New Roman"/>
          <w:sz w:val="22"/>
          <w:szCs w:val="22"/>
          <w:color w:val="auto"/>
        </w:rPr>
      </w:pPr>
      <w:r>
        <w:rPr>
          <w:rFonts w:ascii="Calibri" w:cs="Calibri" w:eastAsia="Calibri" w:hAnsi="Calibri"/>
          <w:sz w:val="22"/>
          <w:szCs w:val="22"/>
          <w:u w:val="single" w:color="auto"/>
          <w:color w:val="auto"/>
        </w:rPr>
        <w:t>Base Term</w:t>
      </w:r>
      <w:r>
        <w:rPr>
          <w:rFonts w:ascii="Calibri" w:cs="Calibri" w:eastAsia="Calibri" w:hAnsi="Calibri"/>
          <w:sz w:val="22"/>
          <w:szCs w:val="22"/>
          <w:color w:val="auto"/>
        </w:rPr>
        <w:t>. The Base Term is extended to expire on April 30, 2027 (the “</w:t>
      </w:r>
      <w:r>
        <w:rPr>
          <w:rFonts w:ascii="Calibri" w:cs="Calibri" w:eastAsia="Calibri" w:hAnsi="Calibri"/>
          <w:sz w:val="22"/>
          <w:szCs w:val="22"/>
          <w:b w:val="1"/>
          <w:bCs w:val="1"/>
          <w:color w:val="auto"/>
        </w:rPr>
        <w:t>New Expiraton Date</w:t>
      </w:r>
      <w:r>
        <w:rPr>
          <w:rFonts w:ascii="Calibri" w:cs="Calibri" w:eastAsia="Calibri" w:hAnsi="Calibri"/>
          <w:sz w:val="22"/>
          <w:szCs w:val="22"/>
          <w:color w:val="auto"/>
        </w:rPr>
        <w:t>”).</w:t>
      </w:r>
    </w:p>
    <w:p>
      <w:pPr>
        <w:spacing w:after="0" w:line="109" w:lineRule="exact"/>
        <w:rPr>
          <w:rFonts w:ascii="Times New Roman" w:cs="Times New Roman" w:eastAsia="Times New Roman" w:hAnsi="Times New Roman"/>
          <w:sz w:val="22"/>
          <w:szCs w:val="22"/>
          <w:color w:val="auto"/>
        </w:rPr>
      </w:pPr>
    </w:p>
    <w:p>
      <w:pPr>
        <w:ind w:left="1880" w:hanging="375"/>
        <w:spacing w:after="0"/>
        <w:tabs>
          <w:tab w:leader="none" w:pos="1880" w:val="left"/>
        </w:tabs>
        <w:numPr>
          <w:ilvl w:val="1"/>
          <w:numId w:val="171"/>
        </w:numPr>
        <w:rPr>
          <w:rFonts w:ascii="Times New Roman" w:cs="Times New Roman" w:eastAsia="Times New Roman" w:hAnsi="Times New Roman"/>
          <w:sz w:val="22"/>
          <w:szCs w:val="22"/>
          <w:color w:val="auto"/>
        </w:rPr>
      </w:pPr>
      <w:r>
        <w:rPr>
          <w:rFonts w:ascii="Calibri" w:cs="Calibri" w:eastAsia="Calibri" w:hAnsi="Calibri"/>
          <w:sz w:val="22"/>
          <w:szCs w:val="22"/>
          <w:u w:val="single" w:color="auto"/>
          <w:color w:val="auto"/>
        </w:rPr>
        <w:t>Extension Term</w:t>
      </w:r>
      <w:r>
        <w:rPr>
          <w:rFonts w:ascii="Calibri" w:cs="Calibri" w:eastAsia="Calibri" w:hAnsi="Calibri"/>
          <w:sz w:val="22"/>
          <w:szCs w:val="22"/>
          <w:color w:val="auto"/>
        </w:rPr>
        <w:t>.</w:t>
      </w:r>
    </w:p>
    <w:p>
      <w:pPr>
        <w:spacing w:after="0" w:line="108" w:lineRule="exact"/>
        <w:rPr>
          <w:sz w:val="20"/>
          <w:szCs w:val="20"/>
          <w:color w:val="auto"/>
        </w:rPr>
      </w:pPr>
    </w:p>
    <w:p>
      <w:pPr>
        <w:ind w:left="2260" w:right="20"/>
        <w:spacing w:after="0" w:line="242" w:lineRule="auto"/>
        <w:rPr>
          <w:sz w:val="20"/>
          <w:szCs w:val="20"/>
          <w:color w:val="auto"/>
        </w:rPr>
      </w:pPr>
      <w:r>
        <w:rPr>
          <w:rFonts w:ascii="Times New Roman" w:cs="Times New Roman" w:eastAsia="Times New Roman" w:hAnsi="Times New Roman"/>
          <w:sz w:val="22"/>
          <w:szCs w:val="22"/>
          <w:color w:val="auto"/>
        </w:rPr>
        <w:t>(i)</w:t>
      </w:r>
      <w:r>
        <w:rPr>
          <w:rFonts w:ascii="Calibri" w:cs="Calibri" w:eastAsia="Calibri" w:hAnsi="Calibri"/>
          <w:sz w:val="22"/>
          <w:szCs w:val="22"/>
          <w:color w:val="auto"/>
        </w:rPr>
        <w:t>Clause (a) of Secton 40 of the Lease is hereby deleted in its entrety and replaced with the</w:t>
      </w:r>
      <w:r>
        <w:rPr>
          <w:rFonts w:ascii="Times New Roman" w:cs="Times New Roman" w:eastAsia="Times New Roman" w:hAnsi="Times New Roman"/>
          <w:sz w:val="22"/>
          <w:szCs w:val="22"/>
          <w:color w:val="auto"/>
        </w:rPr>
        <w:t xml:space="preserve"> </w:t>
      </w:r>
      <w:r>
        <w:rPr>
          <w:rFonts w:ascii="Calibri" w:cs="Calibri" w:eastAsia="Calibri" w:hAnsi="Calibri"/>
          <w:sz w:val="22"/>
          <w:szCs w:val="22"/>
          <w:color w:val="auto"/>
        </w:rPr>
        <w:t>following:</w:t>
      </w:r>
    </w:p>
    <w:p>
      <w:pPr>
        <w:spacing w:after="0" w:line="119" w:lineRule="exact"/>
        <w:rPr>
          <w:sz w:val="20"/>
          <w:szCs w:val="20"/>
          <w:color w:val="auto"/>
        </w:rPr>
      </w:pPr>
    </w:p>
    <w:p>
      <w:pPr>
        <w:jc w:val="both"/>
        <w:ind w:left="1500" w:firstLine="1498"/>
        <w:spacing w:after="0" w:line="252" w:lineRule="auto"/>
        <w:rPr>
          <w:sz w:val="20"/>
          <w:szCs w:val="20"/>
          <w:color w:val="auto"/>
        </w:rPr>
      </w:pPr>
      <w:r>
        <w:rPr>
          <w:rFonts w:ascii="Calibri" w:cs="Calibri" w:eastAsia="Calibri" w:hAnsi="Calibri"/>
          <w:sz w:val="21"/>
          <w:szCs w:val="21"/>
          <w:color w:val="auto"/>
        </w:rPr>
        <w:t xml:space="preserve">“(a) </w:t>
      </w:r>
      <w:r>
        <w:rPr>
          <w:rFonts w:ascii="Calibri" w:cs="Calibri" w:eastAsia="Calibri" w:hAnsi="Calibri"/>
          <w:sz w:val="21"/>
          <w:szCs w:val="21"/>
          <w:u w:val="single" w:color="auto"/>
          <w:color w:val="auto"/>
        </w:rPr>
        <w:t>Extension Right</w:t>
      </w:r>
      <w:r>
        <w:rPr>
          <w:rFonts w:ascii="Calibri" w:cs="Calibri" w:eastAsia="Calibri" w:hAnsi="Calibri"/>
          <w:sz w:val="21"/>
          <w:szCs w:val="21"/>
          <w:color w:val="auto"/>
        </w:rPr>
        <w:t xml:space="preserve">. Tenant shall have one (1) right (the </w:t>
      </w:r>
      <w:r>
        <w:rPr>
          <w:rFonts w:ascii="Calibri" w:cs="Calibri" w:eastAsia="Calibri" w:hAnsi="Calibri"/>
          <w:sz w:val="21"/>
          <w:szCs w:val="21"/>
          <w:b w:val="1"/>
          <w:bCs w:val="1"/>
          <w:color w:val="auto"/>
        </w:rPr>
        <w:t>“Extension Right</w:t>
      </w:r>
      <w:r>
        <w:rPr>
          <w:rFonts w:ascii="Calibri" w:cs="Calibri" w:eastAsia="Calibri" w:hAnsi="Calibri"/>
          <w:sz w:val="21"/>
          <w:szCs w:val="21"/>
          <w:color w:val="auto"/>
        </w:rPr>
        <w:t xml:space="preserve">”) to extend the term of this Lease for 36 months (the </w:t>
      </w:r>
      <w:r>
        <w:rPr>
          <w:rFonts w:ascii="Calibri" w:cs="Calibri" w:eastAsia="Calibri" w:hAnsi="Calibri"/>
          <w:sz w:val="21"/>
          <w:szCs w:val="21"/>
          <w:b w:val="1"/>
          <w:bCs w:val="1"/>
          <w:color w:val="auto"/>
        </w:rPr>
        <w:t>“Extension Term</w:t>
      </w:r>
      <w:r>
        <w:rPr>
          <w:rFonts w:ascii="Calibri" w:cs="Calibri" w:eastAsia="Calibri" w:hAnsi="Calibri"/>
          <w:sz w:val="21"/>
          <w:szCs w:val="21"/>
          <w:color w:val="auto"/>
        </w:rPr>
        <w:t xml:space="preserve">”) on the same terms and conditons as this Lease (other than with respect to Base Rent and the Work Leter) by giving Landlord writen notce (the </w:t>
      </w:r>
      <w:r>
        <w:rPr>
          <w:rFonts w:ascii="Calibri" w:cs="Calibri" w:eastAsia="Calibri" w:hAnsi="Calibri"/>
          <w:sz w:val="21"/>
          <w:szCs w:val="21"/>
          <w:b w:val="1"/>
          <w:bCs w:val="1"/>
          <w:color w:val="auto"/>
        </w:rPr>
        <w:t>“Exercise Notce</w:t>
      </w:r>
      <w:r>
        <w:rPr>
          <w:rFonts w:ascii="Calibri" w:cs="Calibri" w:eastAsia="Calibri" w:hAnsi="Calibri"/>
          <w:sz w:val="21"/>
          <w:szCs w:val="21"/>
          <w:color w:val="auto"/>
        </w:rPr>
        <w:t>”) of its electon to exercise the Extension Right at least nine (9) months, but not more</w:t>
      </w:r>
      <w:r>
        <w:rPr>
          <w:rFonts w:ascii="Calibri" w:cs="Calibri" w:eastAsia="Calibri" w:hAnsi="Calibri"/>
          <w:sz w:val="21"/>
          <w:szCs w:val="21"/>
          <w:b w:val="1"/>
          <w:bCs w:val="1"/>
          <w:color w:val="auto"/>
        </w:rPr>
        <w:t xml:space="preserve"> </w:t>
      </w:r>
      <w:r>
        <w:rPr>
          <w:rFonts w:ascii="Calibri" w:cs="Calibri" w:eastAsia="Calibri" w:hAnsi="Calibri"/>
          <w:sz w:val="21"/>
          <w:szCs w:val="21"/>
          <w:color w:val="auto"/>
        </w:rPr>
        <w:t xml:space="preserve">than ffeen (15) months, prior to the expiraton of the current Term of the Lease (the </w:t>
      </w:r>
      <w:r>
        <w:rPr>
          <w:rFonts w:ascii="Calibri" w:cs="Calibri" w:eastAsia="Calibri" w:hAnsi="Calibri"/>
          <w:sz w:val="21"/>
          <w:szCs w:val="21"/>
          <w:b w:val="1"/>
          <w:bCs w:val="1"/>
          <w:color w:val="auto"/>
        </w:rPr>
        <w:t>“Exercise Date</w:t>
      </w:r>
      <w:r>
        <w:rPr>
          <w:rFonts w:ascii="Calibri" w:cs="Calibri" w:eastAsia="Calibri" w:hAnsi="Calibri"/>
          <w:sz w:val="21"/>
          <w:szCs w:val="21"/>
          <w:color w:val="auto"/>
        </w:rPr>
        <w:t>”). Notwithstanding the foregoing, Tenant shall have the right to extend the Term by giving writen notce to Landlord of its electon to extend less than nine (9) months prior to the expiraton of the current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223520</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7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440" w:top="1395" w:right="679" w:bottom="1440" w:gutter="0" w:footer="0" w:header="0"/>
        </w:sectPr>
      </w:pPr>
    </w:p>
    <w:bookmarkStart w:id="192" w:name="page193"/>
    <w:bookmarkEnd w:id="192"/>
    <w:p>
      <w:pPr>
        <w:jc w:val="both"/>
        <w:ind w:left="1500"/>
        <w:spacing w:after="0" w:line="239" w:lineRule="auto"/>
        <w:rPr>
          <w:sz w:val="20"/>
          <w:szCs w:val="20"/>
          <w:color w:val="auto"/>
        </w:rPr>
      </w:pPr>
      <w:r>
        <w:rPr>
          <w:rFonts w:ascii="Calibri" w:cs="Calibri" w:eastAsia="Calibri" w:hAnsi="Calibri"/>
          <w:sz w:val="22"/>
          <w:szCs w:val="22"/>
          <w:color w:val="auto"/>
        </w:rPr>
        <w:t>provided that Tenant’s notce is accompanied by a payment of (a) one (1) month’s Full Service Gross Rent (as hereinafer defned) for each full calendar month that the writen notce is delayed, and (b) a prorated daily amount of one (1) month’s Full Service Gross Rent for each partal calendar month that the writen notce is delayed. For the avoidance of doubt, should Tenant provide Landlord with three (3) months’ prior writen notce of its electon to extend the Term, such notce must be accompanied by Tenant’s payment of six (6) months’ Full Service Gross Rent. “</w:t>
      </w:r>
      <w:r>
        <w:rPr>
          <w:rFonts w:ascii="Calibri" w:cs="Calibri" w:eastAsia="Calibri" w:hAnsi="Calibri"/>
          <w:sz w:val="22"/>
          <w:szCs w:val="22"/>
          <w:b w:val="1"/>
          <w:bCs w:val="1"/>
          <w:color w:val="auto"/>
        </w:rPr>
        <w:t>Full Service Gross Rent</w:t>
      </w:r>
      <w:r>
        <w:rPr>
          <w:rFonts w:ascii="Calibri" w:cs="Calibri" w:eastAsia="Calibri" w:hAnsi="Calibri"/>
          <w:sz w:val="22"/>
          <w:szCs w:val="22"/>
          <w:color w:val="auto"/>
        </w:rPr>
        <w:t>” shall mean Base Rent plus Tenant’s Share of (i) Utlites, (ii) Operatng Expenses and (iii) Landlord’s insurance policies covering the Project.</w:t>
      </w:r>
    </w:p>
    <w:p>
      <w:pPr>
        <w:spacing w:after="0" w:line="291" w:lineRule="exact"/>
        <w:rPr>
          <w:sz w:val="20"/>
          <w:szCs w:val="20"/>
          <w:color w:val="auto"/>
        </w:rPr>
      </w:pPr>
    </w:p>
    <w:p>
      <w:pPr>
        <w:jc w:val="both"/>
        <w:ind w:left="20"/>
        <w:spacing w:after="0"/>
        <w:rPr>
          <w:sz w:val="20"/>
          <w:szCs w:val="20"/>
          <w:color w:val="auto"/>
        </w:rPr>
      </w:pPr>
      <w:r>
        <w:rPr>
          <w:rFonts w:ascii="Calibri" w:cs="Calibri" w:eastAsia="Calibri" w:hAnsi="Calibri"/>
          <w:sz w:val="22"/>
          <w:szCs w:val="22"/>
          <w:color w:val="auto"/>
        </w:rPr>
        <w:t>Upon the commencement of the Extension Term, Base Rent shall be payable at the Market Rate (as defned below). Base Rent shall thereafer be adjusted on each annual anniversary of the commencement of such Extension Term by a percentage as determined by Landlord and agreed to by Tenant at the tme the Market Rate is determined. As used herein, “Market Rate” shall mean the rate that comparable landlords of comparable buildings have accepted in current transactons from non-equity (i.e., not being ofered equity in the buildings) and nonafliated tenants of similar fnancial strength for space of comparable size, quality (including all Tenant Improvements, Alteratons and other improvements) and foor height in Class A laboratory/ofce buildings in South San Francisco for a comparable term, with the determinaton of the Market Rate to take into account all relevant factors, including tenant inducements (including, without limitaton, rent abatements and tenant improvement allowances), available amenites (parking costs, leasing commissions, allowances or concessions, if any). Tenant shall exercise the Extension Right, if at all, as follows (i) Landlord shall deliver writen notce (the “</w:t>
      </w:r>
      <w:r>
        <w:rPr>
          <w:rFonts w:ascii="Calibri" w:cs="Calibri" w:eastAsia="Calibri" w:hAnsi="Calibri"/>
          <w:sz w:val="22"/>
          <w:szCs w:val="22"/>
          <w:b w:val="1"/>
          <w:bCs w:val="1"/>
          <w:color w:val="auto"/>
        </w:rPr>
        <w:t>Opton Rent Notce</w:t>
      </w:r>
      <w:r>
        <w:rPr>
          <w:rFonts w:ascii="Calibri" w:cs="Calibri" w:eastAsia="Calibri" w:hAnsi="Calibri"/>
          <w:sz w:val="22"/>
          <w:szCs w:val="22"/>
          <w:color w:val="auto"/>
        </w:rPr>
        <w:t>”) to Tenant within thirty (30) days afer Landlord’s receipt of Tenant’s Exercise Notce setng forth Landlord’s good faith determinaton of the Market Rate, and (ii) Tenant may object, in a writng delivered to Landlord within ten (10) days afer Tenant’s receipt of the Opton Rent Notce (the “</w:t>
      </w:r>
      <w:r>
        <w:rPr>
          <w:rFonts w:ascii="Calibri" w:cs="Calibri" w:eastAsia="Calibri" w:hAnsi="Calibri"/>
          <w:sz w:val="22"/>
          <w:szCs w:val="22"/>
          <w:b w:val="1"/>
          <w:bCs w:val="1"/>
          <w:color w:val="auto"/>
        </w:rPr>
        <w:t>Objecton</w:t>
      </w:r>
      <w:r>
        <w:rPr>
          <w:rFonts w:ascii="Calibri" w:cs="Calibri" w:eastAsia="Calibri" w:hAnsi="Calibri"/>
          <w:sz w:val="22"/>
          <w:szCs w:val="22"/>
          <w:color w:val="auto"/>
        </w:rPr>
        <w:t xml:space="preserve"> </w:t>
      </w:r>
      <w:r>
        <w:rPr>
          <w:rFonts w:ascii="Calibri" w:cs="Calibri" w:eastAsia="Calibri" w:hAnsi="Calibri"/>
          <w:sz w:val="22"/>
          <w:szCs w:val="22"/>
          <w:b w:val="1"/>
          <w:bCs w:val="1"/>
          <w:color w:val="auto"/>
        </w:rPr>
        <w:t>Notce</w:t>
      </w:r>
      <w:r>
        <w:rPr>
          <w:rFonts w:ascii="Calibri" w:cs="Calibri" w:eastAsia="Calibri" w:hAnsi="Calibri"/>
          <w:sz w:val="22"/>
          <w:szCs w:val="22"/>
          <w:color w:val="auto"/>
        </w:rPr>
        <w:t>”), to Landlord’s determinaton of the Market Rate set forth in the Opton Rent Notce, in which event such Market</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Rate shall be determined by arbitraton pursuant to Secton 40(b) below. If Tenant does not deliver an Objecton Notce pursuant to the immediately preceding sentence, Tenant shall be deemed to have accepted the Market Rate set forth in the Opton Rent Notce. Tenant acknowledges and agrees that, if Tenant has delivered an Exercise Notce to Landlord pursuant to this Secton 40(a), Tenant shall have no right thereafer to rescind such Exercise Notce or elect not to extend the term of the Lease for the Extension Term. For the avoidance of doubt, the Extension Right under this Secton 40(a) is not personal to Tenant.”</w:t>
      </w:r>
    </w:p>
    <w:p>
      <w:pPr>
        <w:spacing w:after="0" w:line="12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(ii)</w:t>
      </w:r>
      <w:r>
        <w:rPr>
          <w:rFonts w:ascii="Calibri" w:cs="Calibri" w:eastAsia="Calibri" w:hAnsi="Calibri"/>
          <w:sz w:val="22"/>
          <w:szCs w:val="22"/>
          <w:color w:val="auto"/>
        </w:rPr>
        <w:t>Clause (c) of Secton 40 of the Lease is hereby deleted in its entrety.</w:t>
      </w:r>
    </w:p>
    <w:p>
      <w:pPr>
        <w:spacing w:after="0" w:line="122" w:lineRule="exact"/>
        <w:rPr>
          <w:sz w:val="20"/>
          <w:szCs w:val="20"/>
          <w:color w:val="auto"/>
        </w:rPr>
      </w:pPr>
    </w:p>
    <w:p>
      <w:pPr>
        <w:ind w:right="20" w:firstLine="1505"/>
        <w:spacing w:after="0" w:line="235" w:lineRule="auto"/>
        <w:tabs>
          <w:tab w:leader="none" w:pos="1903" w:val="left"/>
        </w:tabs>
        <w:numPr>
          <w:ilvl w:val="0"/>
          <w:numId w:val="172"/>
        </w:numPr>
        <w:rPr>
          <w:rFonts w:ascii="Times New Roman" w:cs="Times New Roman" w:eastAsia="Times New Roman" w:hAnsi="Times New Roman"/>
          <w:sz w:val="22"/>
          <w:szCs w:val="22"/>
          <w:color w:val="auto"/>
        </w:rPr>
      </w:pPr>
      <w:r>
        <w:rPr>
          <w:rFonts w:ascii="Calibri" w:cs="Calibri" w:eastAsia="Calibri" w:hAnsi="Calibri"/>
          <w:sz w:val="22"/>
          <w:szCs w:val="22"/>
          <w:u w:val="single" w:color="auto"/>
          <w:color w:val="auto"/>
        </w:rPr>
        <w:t>Term</w:t>
      </w:r>
      <w:r>
        <w:rPr>
          <w:rFonts w:ascii="Calibri" w:cs="Calibri" w:eastAsia="Calibri" w:hAnsi="Calibri"/>
          <w:sz w:val="22"/>
          <w:szCs w:val="22"/>
          <w:color w:val="auto"/>
        </w:rPr>
        <w:t>. The defniton of “</w:t>
      </w:r>
      <w:r>
        <w:rPr>
          <w:rFonts w:ascii="Calibri" w:cs="Calibri" w:eastAsia="Calibri" w:hAnsi="Calibri"/>
          <w:sz w:val="22"/>
          <w:szCs w:val="22"/>
          <w:b w:val="1"/>
          <w:bCs w:val="1"/>
          <w:u w:val="single" w:color="auto"/>
          <w:color w:val="auto"/>
        </w:rPr>
        <w:t>Term</w:t>
      </w:r>
      <w:r>
        <w:rPr>
          <w:rFonts w:ascii="Calibri" w:cs="Calibri" w:eastAsia="Calibri" w:hAnsi="Calibri"/>
          <w:sz w:val="22"/>
          <w:szCs w:val="22"/>
          <w:color w:val="auto"/>
        </w:rPr>
        <w:t>” set forth in the Original Lease shall be deleted in its entrety and replaced with the following:</w:t>
      </w:r>
    </w:p>
    <w:p>
      <w:pPr>
        <w:spacing w:after="0" w:line="190" w:lineRule="exact"/>
        <w:rPr>
          <w:sz w:val="20"/>
          <w:szCs w:val="20"/>
          <w:color w:val="auto"/>
        </w:rPr>
      </w:pPr>
    </w:p>
    <w:p>
      <w:pPr>
        <w:jc w:val="both"/>
        <w:ind w:left="760" w:right="20"/>
        <w:spacing w:after="0" w:line="237"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b w:val="1"/>
          <w:bCs w:val="1"/>
          <w:u w:val="single" w:color="auto"/>
          <w:color w:val="auto"/>
        </w:rPr>
        <w:t>Term</w:t>
      </w:r>
      <w:r>
        <w:rPr>
          <w:rFonts w:ascii="Calibri" w:cs="Calibri" w:eastAsia="Calibri" w:hAnsi="Calibri"/>
          <w:sz w:val="22"/>
          <w:szCs w:val="22"/>
          <w:color w:val="auto"/>
        </w:rPr>
        <w:t xml:space="preserve">” shall mean the Base Term (as extended by this Fourth Amendment to expire on the New Expiraton Date), as the same may be extended pursuant to </w:t>
      </w:r>
      <w:r>
        <w:rPr>
          <w:rFonts w:ascii="Calibri" w:cs="Calibri" w:eastAsia="Calibri" w:hAnsi="Calibri"/>
          <w:sz w:val="22"/>
          <w:szCs w:val="22"/>
          <w:u w:val="single" w:color="auto"/>
          <w:color w:val="auto"/>
        </w:rPr>
        <w:t>Secton 2</w:t>
      </w:r>
      <w:r>
        <w:rPr>
          <w:rFonts w:ascii="Calibri" w:cs="Calibri" w:eastAsia="Calibri" w:hAnsi="Calibri"/>
          <w:sz w:val="22"/>
          <w:szCs w:val="22"/>
          <w:color w:val="auto"/>
        </w:rPr>
        <w:t xml:space="preserve"> of this Fourth Amendment, unless sooner terminated as provided in the Lease (as amended by this Fourth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237490</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7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440" w:top="1407" w:right="679" w:bottom="1440" w:gutter="0" w:footer="0" w:header="0"/>
        </w:sectPr>
      </w:pPr>
    </w:p>
    <w:bookmarkStart w:id="193" w:name="page194"/>
    <w:bookmarkEnd w:id="193"/>
    <w:p>
      <w:pPr>
        <w:jc w:val="both"/>
        <w:ind w:firstLine="749"/>
        <w:spacing w:after="0" w:line="242" w:lineRule="auto"/>
        <w:rPr>
          <w:sz w:val="20"/>
          <w:szCs w:val="20"/>
          <w:color w:val="auto"/>
        </w:rPr>
      </w:pPr>
      <w:r>
        <w:rPr>
          <w:rFonts w:ascii="Times New Roman" w:cs="Times New Roman" w:eastAsia="Times New Roman" w:hAnsi="Times New Roman"/>
          <w:sz w:val="22"/>
          <w:szCs w:val="22"/>
          <w:color w:val="auto"/>
        </w:rPr>
        <w:t>3.</w:t>
      </w:r>
      <w:r>
        <w:rPr>
          <w:rFonts w:ascii="Calibri" w:cs="Calibri" w:eastAsia="Calibri" w:hAnsi="Calibri"/>
          <w:sz w:val="22"/>
          <w:szCs w:val="22"/>
          <w:b w:val="1"/>
          <w:bCs w:val="1"/>
          <w:u w:val="single" w:color="auto"/>
          <w:color w:val="auto"/>
        </w:rPr>
        <w:t>Base Rent</w:t>
      </w:r>
      <w:r>
        <w:rPr>
          <w:rFonts w:ascii="Calibri" w:cs="Calibri" w:eastAsia="Calibri" w:hAnsi="Calibri"/>
          <w:sz w:val="22"/>
          <w:szCs w:val="22"/>
          <w:color w:val="auto"/>
        </w:rPr>
        <w:t>. Tenant shall contnue to pay Base Rent as provided for in the Lease untl the Current Expiraton Date</w:t>
      </w:r>
      <w:r>
        <w:rPr>
          <w:rFonts w:ascii="Times New Roman" w:cs="Times New Roman" w:eastAsia="Times New Roman" w:hAnsi="Times New Roman"/>
          <w:sz w:val="22"/>
          <w:szCs w:val="22"/>
          <w:color w:val="auto"/>
        </w:rPr>
        <w:t xml:space="preserve"> </w:t>
      </w:r>
      <w:r>
        <w:rPr>
          <w:rFonts w:ascii="Calibri" w:cs="Calibri" w:eastAsia="Calibri" w:hAnsi="Calibri"/>
          <w:sz w:val="22"/>
          <w:szCs w:val="22"/>
          <w:color w:val="auto"/>
        </w:rPr>
        <w:t>with respect to the Premises. For the period commencing on the day following the Current Expiraton Date through the New Expiraton Date, Tenant shall pay Base Rent as follows with respect to the Premises:</w:t>
      </w:r>
    </w:p>
    <w:p>
      <w:pPr>
        <w:spacing w:after="0" w:line="123" w:lineRule="exact"/>
        <w:rPr>
          <w:sz w:val="20"/>
          <w:szCs w:val="20"/>
          <w:color w:val="auto"/>
        </w:rPr>
      </w:pPr>
    </w:p>
    <w:tbl>
      <w:tblPr>
        <w:tblLayout w:type="fixed"/>
        <w:tblInd w:w="30" w:type="dxa"/>
        <w:tblCellMar>
          <w:top w:w="0" w:type="dxa"/>
          <w:left w:w="0" w:type="dxa"/>
          <w:bottom w:w="0" w:type="dxa"/>
          <w:right w:w="0" w:type="dxa"/>
        </w:tblCellMar>
      </w:tblPr>
      <w:tr>
        <w:trPr>
          <w:trHeight w:val="300"/>
        </w:trPr>
        <w:tc>
          <w:tcPr>
            <w:tcW w:w="1220" w:type="dxa"/>
            <w:vAlign w:val="bottom"/>
            <w:tcBorders>
              <w:top w:val="single" w:sz="8" w:color="auto"/>
              <w:left w:val="single" w:sz="8" w:color="auto"/>
              <w:bottom w:val="single" w:sz="8" w:color="auto"/>
            </w:tcBorders>
          </w:tcPr>
          <w:p>
            <w:pPr>
              <w:spacing w:after="0"/>
              <w:rPr>
                <w:sz w:val="24"/>
                <w:szCs w:val="24"/>
                <w:color w:val="auto"/>
              </w:rPr>
            </w:pPr>
          </w:p>
        </w:tc>
        <w:tc>
          <w:tcPr>
            <w:tcW w:w="4140" w:type="dxa"/>
            <w:vAlign w:val="bottom"/>
            <w:tcBorders>
              <w:top w:val="single" w:sz="8" w:color="auto"/>
              <w:bottom w:val="single" w:sz="8" w:color="auto"/>
              <w:right w:val="single" w:sz="8" w:color="auto"/>
            </w:tcBorders>
          </w:tcPr>
          <w:p>
            <w:pPr>
              <w:spacing w:after="0"/>
              <w:rPr>
                <w:sz w:val="24"/>
                <w:szCs w:val="24"/>
                <w:color w:val="auto"/>
              </w:rPr>
            </w:pPr>
          </w:p>
        </w:tc>
        <w:tc>
          <w:tcPr>
            <w:tcW w:w="5320" w:type="dxa"/>
            <w:vAlign w:val="bottom"/>
            <w:tcBorders>
              <w:top w:val="single" w:sz="8" w:color="auto"/>
              <w:bottom w:val="single" w:sz="8" w:color="auto"/>
              <w:right w:val="single" w:sz="8" w:color="auto"/>
            </w:tcBorders>
            <w:gridSpan w:val="3"/>
          </w:tcPr>
          <w:p>
            <w:pPr>
              <w:ind w:left="40"/>
              <w:spacing w:after="0"/>
              <w:rPr>
                <w:sz w:val="20"/>
                <w:szCs w:val="20"/>
                <w:color w:val="auto"/>
              </w:rPr>
            </w:pPr>
            <w:r>
              <w:rPr>
                <w:rFonts w:ascii="Calibri" w:cs="Calibri" w:eastAsia="Calibri" w:hAnsi="Calibri"/>
                <w:sz w:val="22"/>
                <w:szCs w:val="22"/>
                <w:color w:val="auto"/>
              </w:rPr>
              <w:t>Monthly Base Rent Amount</w:t>
            </w:r>
          </w:p>
        </w:tc>
      </w:tr>
      <w:tr>
        <w:trPr>
          <w:trHeight w:val="183"/>
        </w:trPr>
        <w:tc>
          <w:tcPr>
            <w:tcW w:w="1220" w:type="dxa"/>
            <w:vAlign w:val="bottom"/>
            <w:tcBorders>
              <w:left w:val="single" w:sz="8" w:color="auto"/>
            </w:tcBorders>
          </w:tcPr>
          <w:p>
            <w:pPr>
              <w:ind w:left="80"/>
              <w:spacing w:after="0" w:line="182" w:lineRule="exact"/>
              <w:rPr>
                <w:sz w:val="20"/>
                <w:szCs w:val="20"/>
                <w:color w:val="auto"/>
              </w:rPr>
            </w:pPr>
            <w:r>
              <w:rPr>
                <w:rFonts w:ascii="Calibri" w:cs="Calibri" w:eastAsia="Calibri" w:hAnsi="Calibri"/>
                <w:sz w:val="19"/>
                <w:szCs w:val="19"/>
                <w:color w:val="auto"/>
              </w:rPr>
              <w:t>April 1, 2025</w:t>
            </w:r>
          </w:p>
        </w:tc>
        <w:tc>
          <w:tcPr>
            <w:tcW w:w="4140" w:type="dxa"/>
            <w:vAlign w:val="bottom"/>
            <w:tcBorders>
              <w:right w:val="single" w:sz="8" w:color="auto"/>
            </w:tcBorders>
          </w:tcPr>
          <w:p>
            <w:pPr>
              <w:ind w:left="20"/>
              <w:spacing w:after="0" w:line="182" w:lineRule="exact"/>
              <w:rPr>
                <w:sz w:val="20"/>
                <w:szCs w:val="20"/>
                <w:color w:val="auto"/>
              </w:rPr>
            </w:pPr>
            <w:r>
              <w:rPr>
                <w:rFonts w:ascii="Calibri" w:cs="Calibri" w:eastAsia="Calibri" w:hAnsi="Calibri"/>
                <w:sz w:val="19"/>
                <w:szCs w:val="19"/>
                <w:color w:val="auto"/>
              </w:rPr>
              <w:t>– March 31, 2026</w:t>
            </w:r>
          </w:p>
        </w:tc>
        <w:tc>
          <w:tcPr>
            <w:tcW w:w="5320" w:type="dxa"/>
            <w:vAlign w:val="bottom"/>
            <w:tcBorders>
              <w:right w:val="single" w:sz="8" w:color="auto"/>
            </w:tcBorders>
            <w:gridSpan w:val="3"/>
          </w:tcPr>
          <w:p>
            <w:pPr>
              <w:ind w:left="40"/>
              <w:spacing w:after="0" w:line="182" w:lineRule="exact"/>
              <w:rPr>
                <w:sz w:val="20"/>
                <w:szCs w:val="20"/>
                <w:color w:val="auto"/>
              </w:rPr>
            </w:pPr>
            <w:r>
              <w:rPr>
                <w:rFonts w:ascii="Calibri" w:cs="Calibri" w:eastAsia="Calibri" w:hAnsi="Calibri"/>
                <w:sz w:val="19"/>
                <w:szCs w:val="19"/>
                <w:color w:val="auto"/>
              </w:rPr>
              <w:t>$63,715.71 (Note: During this period, Base Rent is owed</w:t>
            </w:r>
          </w:p>
        </w:tc>
      </w:tr>
      <w:tr>
        <w:trPr>
          <w:trHeight w:val="20"/>
        </w:trPr>
        <w:tc>
          <w:tcPr>
            <w:tcW w:w="1220" w:type="dxa"/>
            <w:vAlign w:val="bottom"/>
            <w:tcBorders>
              <w:left w:val="single" w:sz="8" w:color="auto"/>
            </w:tcBorders>
          </w:tcPr>
          <w:p>
            <w:pPr>
              <w:spacing w:after="0" w:line="20" w:lineRule="exact"/>
              <w:rPr>
                <w:sz w:val="1"/>
                <w:szCs w:val="1"/>
                <w:color w:val="auto"/>
              </w:rPr>
            </w:pPr>
          </w:p>
        </w:tc>
        <w:tc>
          <w:tcPr>
            <w:tcW w:w="4140" w:type="dxa"/>
            <w:vAlign w:val="bottom"/>
            <w:tcBorders>
              <w:right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740" w:type="dxa"/>
            <w:vAlign w:val="bottom"/>
            <w:tcBorders>
              <w:right w:val="single" w:sz="8" w:color="auto"/>
            </w:tcBorders>
          </w:tcPr>
          <w:p>
            <w:pPr>
              <w:spacing w:after="0" w:line="20" w:lineRule="exact"/>
              <w:rPr>
                <w:sz w:val="1"/>
                <w:szCs w:val="1"/>
                <w:color w:val="auto"/>
              </w:rPr>
            </w:pPr>
          </w:p>
        </w:tc>
      </w:tr>
      <w:tr>
        <w:trPr>
          <w:trHeight w:val="291"/>
        </w:trPr>
        <w:tc>
          <w:tcPr>
            <w:tcW w:w="1220" w:type="dxa"/>
            <w:vAlign w:val="bottom"/>
            <w:tcBorders>
              <w:left w:val="single" w:sz="8" w:color="auto"/>
            </w:tcBorders>
          </w:tcPr>
          <w:p>
            <w:pPr>
              <w:spacing w:after="0"/>
              <w:rPr>
                <w:sz w:val="24"/>
                <w:szCs w:val="24"/>
                <w:color w:val="auto"/>
              </w:rPr>
            </w:pPr>
          </w:p>
        </w:tc>
        <w:tc>
          <w:tcPr>
            <w:tcW w:w="4140" w:type="dxa"/>
            <w:vAlign w:val="bottom"/>
            <w:tcBorders>
              <w:right w:val="single" w:sz="8" w:color="auto"/>
            </w:tcBorders>
          </w:tcPr>
          <w:p>
            <w:pPr>
              <w:spacing w:after="0"/>
              <w:rPr>
                <w:sz w:val="24"/>
                <w:szCs w:val="24"/>
                <w:color w:val="auto"/>
              </w:rPr>
            </w:pPr>
          </w:p>
        </w:tc>
        <w:tc>
          <w:tcPr>
            <w:tcW w:w="5320" w:type="dxa"/>
            <w:vAlign w:val="bottom"/>
            <w:tcBorders>
              <w:right w:val="single" w:sz="8" w:color="auto"/>
            </w:tcBorders>
            <w:gridSpan w:val="3"/>
          </w:tcPr>
          <w:p>
            <w:pPr>
              <w:ind w:left="40"/>
              <w:spacing w:after="0"/>
              <w:rPr>
                <w:sz w:val="20"/>
                <w:szCs w:val="20"/>
                <w:color w:val="auto"/>
              </w:rPr>
            </w:pPr>
            <w:r>
              <w:rPr>
                <w:rFonts w:ascii="Calibri" w:cs="Calibri" w:eastAsia="Calibri" w:hAnsi="Calibri"/>
                <w:sz w:val="22"/>
                <w:szCs w:val="22"/>
                <w:color w:val="auto"/>
              </w:rPr>
              <w:t>only for the frst foor space consistng of 10,781 square</w:t>
            </w:r>
          </w:p>
        </w:tc>
      </w:tr>
      <w:tr>
        <w:trPr>
          <w:trHeight w:val="270"/>
        </w:trPr>
        <w:tc>
          <w:tcPr>
            <w:tcW w:w="1220" w:type="dxa"/>
            <w:vAlign w:val="bottom"/>
            <w:tcBorders>
              <w:left w:val="single" w:sz="8" w:color="auto"/>
            </w:tcBorders>
          </w:tcPr>
          <w:p>
            <w:pPr>
              <w:spacing w:after="0"/>
              <w:rPr>
                <w:sz w:val="23"/>
                <w:szCs w:val="23"/>
                <w:color w:val="auto"/>
              </w:rPr>
            </w:pPr>
          </w:p>
        </w:tc>
        <w:tc>
          <w:tcPr>
            <w:tcW w:w="4140" w:type="dxa"/>
            <w:vAlign w:val="bottom"/>
            <w:tcBorders>
              <w:right w:val="single" w:sz="8" w:color="auto"/>
            </w:tcBorders>
          </w:tcPr>
          <w:p>
            <w:pPr>
              <w:spacing w:after="0"/>
              <w:rPr>
                <w:sz w:val="23"/>
                <w:szCs w:val="23"/>
                <w:color w:val="auto"/>
              </w:rPr>
            </w:pPr>
          </w:p>
        </w:tc>
        <w:tc>
          <w:tcPr>
            <w:tcW w:w="5320" w:type="dxa"/>
            <w:vAlign w:val="bottom"/>
            <w:tcBorders>
              <w:right w:val="single" w:sz="8" w:color="auto"/>
            </w:tcBorders>
            <w:gridSpan w:val="3"/>
          </w:tcPr>
          <w:p>
            <w:pPr>
              <w:ind w:left="40"/>
              <w:spacing w:after="0"/>
              <w:rPr>
                <w:sz w:val="20"/>
                <w:szCs w:val="20"/>
                <w:color w:val="auto"/>
              </w:rPr>
            </w:pPr>
            <w:r>
              <w:rPr>
                <w:rFonts w:ascii="Calibri" w:cs="Calibri" w:eastAsia="Calibri" w:hAnsi="Calibri"/>
                <w:sz w:val="22"/>
                <w:szCs w:val="22"/>
                <w:color w:val="auto"/>
              </w:rPr>
              <w:t>feet)</w:t>
            </w:r>
          </w:p>
        </w:tc>
      </w:tr>
      <w:tr>
        <w:trPr>
          <w:trHeight w:val="27"/>
        </w:trPr>
        <w:tc>
          <w:tcPr>
            <w:tcW w:w="1220" w:type="dxa"/>
            <w:vAlign w:val="bottom"/>
            <w:tcBorders>
              <w:left w:val="single" w:sz="8" w:color="auto"/>
              <w:bottom w:val="single" w:sz="8" w:color="auto"/>
            </w:tcBorders>
          </w:tcPr>
          <w:p>
            <w:pPr>
              <w:spacing w:after="0"/>
              <w:rPr>
                <w:sz w:val="2"/>
                <w:szCs w:val="2"/>
                <w:color w:val="auto"/>
              </w:rPr>
            </w:pPr>
          </w:p>
        </w:tc>
        <w:tc>
          <w:tcPr>
            <w:tcW w:w="4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57"/>
        </w:trPr>
        <w:tc>
          <w:tcPr>
            <w:tcW w:w="1220" w:type="dxa"/>
            <w:vAlign w:val="bottom"/>
            <w:tcBorders>
              <w:left w:val="single" w:sz="8" w:color="auto"/>
              <w:bottom w:val="single" w:sz="8" w:color="auto"/>
            </w:tcBorders>
          </w:tcPr>
          <w:p>
            <w:pPr>
              <w:ind w:left="80"/>
              <w:spacing w:after="0" w:line="258" w:lineRule="exact"/>
              <w:rPr>
                <w:sz w:val="20"/>
                <w:szCs w:val="20"/>
                <w:color w:val="auto"/>
              </w:rPr>
            </w:pPr>
            <w:r>
              <w:rPr>
                <w:rFonts w:ascii="Calibri" w:cs="Calibri" w:eastAsia="Calibri" w:hAnsi="Calibri"/>
                <w:sz w:val="22"/>
                <w:szCs w:val="22"/>
                <w:color w:val="auto"/>
                <w:w w:val="98"/>
              </w:rPr>
              <w:t>April 1, 2026</w:t>
            </w:r>
          </w:p>
        </w:tc>
        <w:tc>
          <w:tcPr>
            <w:tcW w:w="4140" w:type="dxa"/>
            <w:vAlign w:val="bottom"/>
            <w:tcBorders>
              <w:bottom w:val="single" w:sz="8" w:color="auto"/>
              <w:right w:val="single" w:sz="8" w:color="auto"/>
            </w:tcBorders>
          </w:tcPr>
          <w:p>
            <w:pPr>
              <w:ind w:left="20"/>
              <w:spacing w:after="0" w:line="258" w:lineRule="exact"/>
              <w:rPr>
                <w:sz w:val="20"/>
                <w:szCs w:val="20"/>
                <w:color w:val="auto"/>
              </w:rPr>
            </w:pPr>
            <w:r>
              <w:rPr>
                <w:rFonts w:ascii="Calibri" w:cs="Calibri" w:eastAsia="Calibri" w:hAnsi="Calibri"/>
                <w:sz w:val="22"/>
                <w:szCs w:val="22"/>
                <w:color w:val="auto"/>
              </w:rPr>
              <w:t>– March 31, 2027</w:t>
            </w:r>
          </w:p>
        </w:tc>
        <w:tc>
          <w:tcPr>
            <w:tcW w:w="1140" w:type="dxa"/>
            <w:vAlign w:val="bottom"/>
            <w:tcBorders>
              <w:bottom w:val="single" w:sz="8" w:color="auto"/>
            </w:tcBorders>
          </w:tcPr>
          <w:p>
            <w:pPr>
              <w:ind w:left="40"/>
              <w:spacing w:after="0" w:line="258" w:lineRule="exact"/>
              <w:rPr>
                <w:sz w:val="20"/>
                <w:szCs w:val="20"/>
                <w:color w:val="auto"/>
              </w:rPr>
            </w:pPr>
            <w:r>
              <w:rPr>
                <w:rFonts w:ascii="Calibri" w:cs="Calibri" w:eastAsia="Calibri" w:hAnsi="Calibri"/>
                <w:sz w:val="22"/>
                <w:szCs w:val="22"/>
                <w:color w:val="auto"/>
                <w:w w:val="96"/>
              </w:rPr>
              <w:t>$197,088.51</w:t>
            </w:r>
          </w:p>
        </w:tc>
        <w:tc>
          <w:tcPr>
            <w:tcW w:w="440" w:type="dxa"/>
            <w:vAlign w:val="bottom"/>
            <w:tcBorders>
              <w:bottom w:val="single" w:sz="8" w:color="auto"/>
            </w:tcBorders>
          </w:tcPr>
          <w:p>
            <w:pPr>
              <w:spacing w:after="0"/>
              <w:rPr>
                <w:sz w:val="22"/>
                <w:szCs w:val="22"/>
                <w:color w:val="auto"/>
              </w:rPr>
            </w:pPr>
          </w:p>
        </w:tc>
        <w:tc>
          <w:tcPr>
            <w:tcW w:w="3740" w:type="dxa"/>
            <w:vAlign w:val="bottom"/>
            <w:tcBorders>
              <w:bottom w:val="single" w:sz="8" w:color="auto"/>
              <w:right w:val="single" w:sz="8" w:color="auto"/>
            </w:tcBorders>
          </w:tcPr>
          <w:p>
            <w:pPr>
              <w:spacing w:after="0"/>
              <w:rPr>
                <w:sz w:val="22"/>
                <w:szCs w:val="22"/>
                <w:color w:val="auto"/>
              </w:rPr>
            </w:pPr>
          </w:p>
        </w:tc>
      </w:tr>
      <w:tr>
        <w:trPr>
          <w:trHeight w:val="264"/>
        </w:trPr>
        <w:tc>
          <w:tcPr>
            <w:tcW w:w="1220" w:type="dxa"/>
            <w:vAlign w:val="bottom"/>
            <w:tcBorders>
              <w:left w:val="single" w:sz="8" w:color="auto"/>
              <w:bottom w:val="single" w:sz="8" w:color="auto"/>
            </w:tcBorders>
          </w:tcPr>
          <w:p>
            <w:pPr>
              <w:ind w:left="80"/>
              <w:spacing w:after="0" w:line="258" w:lineRule="exact"/>
              <w:rPr>
                <w:sz w:val="20"/>
                <w:szCs w:val="20"/>
                <w:color w:val="auto"/>
              </w:rPr>
            </w:pPr>
            <w:r>
              <w:rPr>
                <w:rFonts w:ascii="Calibri" w:cs="Calibri" w:eastAsia="Calibri" w:hAnsi="Calibri"/>
                <w:sz w:val="22"/>
                <w:szCs w:val="22"/>
                <w:color w:val="auto"/>
                <w:w w:val="98"/>
              </w:rPr>
              <w:t>April 1, 2027</w:t>
            </w:r>
          </w:p>
        </w:tc>
        <w:tc>
          <w:tcPr>
            <w:tcW w:w="4140" w:type="dxa"/>
            <w:vAlign w:val="bottom"/>
            <w:tcBorders>
              <w:bottom w:val="single" w:sz="8" w:color="auto"/>
              <w:right w:val="single" w:sz="8" w:color="auto"/>
            </w:tcBorders>
          </w:tcPr>
          <w:p>
            <w:pPr>
              <w:ind w:left="20"/>
              <w:spacing w:after="0" w:line="258" w:lineRule="exact"/>
              <w:rPr>
                <w:sz w:val="20"/>
                <w:szCs w:val="20"/>
                <w:color w:val="auto"/>
              </w:rPr>
            </w:pPr>
            <w:r>
              <w:rPr>
                <w:rFonts w:ascii="Calibri" w:cs="Calibri" w:eastAsia="Calibri" w:hAnsi="Calibri"/>
                <w:sz w:val="22"/>
                <w:szCs w:val="22"/>
                <w:color w:val="auto"/>
              </w:rPr>
              <w:t>– April 30, 2027</w:t>
            </w:r>
          </w:p>
        </w:tc>
        <w:tc>
          <w:tcPr>
            <w:tcW w:w="1140" w:type="dxa"/>
            <w:vAlign w:val="bottom"/>
            <w:tcBorders>
              <w:bottom w:val="single" w:sz="8" w:color="auto"/>
            </w:tcBorders>
          </w:tcPr>
          <w:p>
            <w:pPr>
              <w:ind w:left="40"/>
              <w:spacing w:after="0" w:line="258" w:lineRule="exact"/>
              <w:rPr>
                <w:sz w:val="20"/>
                <w:szCs w:val="20"/>
                <w:color w:val="auto"/>
              </w:rPr>
            </w:pPr>
            <w:r>
              <w:rPr>
                <w:rFonts w:ascii="Calibri" w:cs="Calibri" w:eastAsia="Calibri" w:hAnsi="Calibri"/>
                <w:sz w:val="22"/>
                <w:szCs w:val="22"/>
                <w:color w:val="auto"/>
                <w:w w:val="96"/>
              </w:rPr>
              <w:t>$203,001.17</w:t>
            </w:r>
          </w:p>
        </w:tc>
        <w:tc>
          <w:tcPr>
            <w:tcW w:w="440" w:type="dxa"/>
            <w:vAlign w:val="bottom"/>
            <w:tcBorders>
              <w:bottom w:val="single" w:sz="8" w:color="auto"/>
            </w:tcBorders>
          </w:tcPr>
          <w:p>
            <w:pPr>
              <w:spacing w:after="0"/>
              <w:rPr>
                <w:sz w:val="22"/>
                <w:szCs w:val="22"/>
                <w:color w:val="auto"/>
              </w:rPr>
            </w:pPr>
          </w:p>
        </w:tc>
        <w:tc>
          <w:tcPr>
            <w:tcW w:w="3740" w:type="dxa"/>
            <w:vAlign w:val="bottom"/>
            <w:tcBorders>
              <w:bottom w:val="single" w:sz="8" w:color="auto"/>
              <w:right w:val="single" w:sz="8" w:color="auto"/>
            </w:tcBorders>
          </w:tcPr>
          <w:p>
            <w:pPr>
              <w:spacing w:after="0"/>
              <w:rPr>
                <w:sz w:val="22"/>
                <w:szCs w:val="22"/>
                <w:color w:val="auto"/>
              </w:rPr>
            </w:pPr>
          </w:p>
        </w:tc>
      </w:tr>
    </w:tbl>
    <w:p>
      <w:pPr>
        <w:spacing w:after="0" w:line="82" w:lineRule="exact"/>
        <w:rPr>
          <w:sz w:val="20"/>
          <w:szCs w:val="20"/>
          <w:color w:val="auto"/>
        </w:rPr>
      </w:pPr>
    </w:p>
    <w:p>
      <w:pPr>
        <w:ind w:left="760"/>
        <w:spacing w:after="0"/>
        <w:rPr>
          <w:sz w:val="20"/>
          <w:szCs w:val="20"/>
          <w:color w:val="auto"/>
        </w:rPr>
      </w:pPr>
      <w:r>
        <w:rPr>
          <w:rFonts w:ascii="Calibri" w:cs="Calibri" w:eastAsia="Calibri" w:hAnsi="Calibri"/>
          <w:sz w:val="22"/>
          <w:szCs w:val="22"/>
          <w:color w:val="auto"/>
        </w:rPr>
        <w:t>Notwithstanding the foregoing, Base Rent shall be abated for the month of April 2025.</w:t>
      </w:r>
    </w:p>
    <w:p>
      <w:pPr>
        <w:spacing w:after="0" w:line="120" w:lineRule="exact"/>
        <w:rPr>
          <w:sz w:val="20"/>
          <w:szCs w:val="20"/>
          <w:color w:val="auto"/>
        </w:rPr>
      </w:pPr>
    </w:p>
    <w:p>
      <w:pPr>
        <w:jc w:val="both"/>
        <w:ind w:left="20" w:right="20" w:firstLine="749"/>
        <w:spacing w:after="0" w:line="237" w:lineRule="auto"/>
        <w:rPr>
          <w:sz w:val="20"/>
          <w:szCs w:val="20"/>
          <w:color w:val="auto"/>
        </w:rPr>
      </w:pPr>
      <w:r>
        <w:rPr>
          <w:rFonts w:ascii="Calibri" w:cs="Calibri" w:eastAsia="Calibri" w:hAnsi="Calibri"/>
          <w:sz w:val="22"/>
          <w:szCs w:val="22"/>
          <w:color w:val="auto"/>
        </w:rPr>
        <w:t>Base Rent and all other Rent shall be due and payable as provided under the Lease. For the avoidance of doubt, Tenant shall be responsible for the payment in full of Tenant’s Share of Operatng Expenses for the period commencing on the day following the Current Expiraton Date through the New Expiraton Date.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4.</w:t>
      </w:r>
      <w:r>
        <w:rPr>
          <w:rFonts w:ascii="Calibri" w:cs="Calibri" w:eastAsia="Calibri" w:hAnsi="Calibri"/>
          <w:sz w:val="22"/>
          <w:szCs w:val="22"/>
          <w:b w:val="1"/>
          <w:bCs w:val="1"/>
          <w:u w:val="single" w:color="auto"/>
          <w:color w:val="auto"/>
        </w:rPr>
        <w:t>Permited Use</w:t>
      </w:r>
      <w:r>
        <w:rPr>
          <w:rFonts w:ascii="Calibri" w:cs="Calibri" w:eastAsia="Calibri" w:hAnsi="Calibri"/>
          <w:sz w:val="22"/>
          <w:szCs w:val="22"/>
          <w:color w:val="auto"/>
        </w:rPr>
        <w:t>. The Permited Use as set forth in the basic lease provisions on Page 1 of the Lease is restated as</w:t>
      </w:r>
    </w:p>
    <w:p>
      <w:pPr>
        <w:spacing w:after="0" w:line="3" w:lineRule="exact"/>
        <w:rPr>
          <w:sz w:val="20"/>
          <w:szCs w:val="20"/>
          <w:color w:val="auto"/>
        </w:rPr>
      </w:pPr>
    </w:p>
    <w:p>
      <w:pPr>
        <w:spacing w:after="0"/>
        <w:rPr>
          <w:sz w:val="20"/>
          <w:szCs w:val="20"/>
          <w:color w:val="auto"/>
        </w:rPr>
      </w:pPr>
      <w:r>
        <w:rPr>
          <w:rFonts w:ascii="Calibri" w:cs="Calibri" w:eastAsia="Calibri" w:hAnsi="Calibri"/>
          <w:sz w:val="22"/>
          <w:szCs w:val="22"/>
          <w:color w:val="auto"/>
        </w:rPr>
        <w:t>follows:</w:t>
      </w:r>
    </w:p>
    <w:p>
      <w:pPr>
        <w:spacing w:after="0" w:line="120" w:lineRule="exact"/>
        <w:rPr>
          <w:sz w:val="20"/>
          <w:szCs w:val="20"/>
          <w:color w:val="auto"/>
        </w:rPr>
      </w:pPr>
    </w:p>
    <w:p>
      <w:pPr>
        <w:jc w:val="both"/>
        <w:ind w:left="1500"/>
        <w:spacing w:after="0" w:line="239"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b w:val="1"/>
          <w:bCs w:val="1"/>
          <w:color w:val="auto"/>
        </w:rPr>
        <w:t>Permited Use</w:t>
      </w:r>
      <w:r>
        <w:rPr>
          <w:rFonts w:ascii="Calibri" w:cs="Calibri" w:eastAsia="Calibri" w:hAnsi="Calibri"/>
          <w:sz w:val="22"/>
          <w:szCs w:val="22"/>
          <w:color w:val="auto"/>
        </w:rPr>
        <w:t xml:space="preserve">: General administratve and sales ofce purposes, life science discovery and development, preclinical research, clinical research, QC testng, pilot plant operatons, and other manufacturing support functons, engineering, laboratory, partnership/special purpose vehicle/university/hospital collaboraton, sales and marketng, employee training, storage and/or warehouse and other lawful ancillary uses that are consistent with frst class life science/R&amp;D/ofce facilites in the Greater San Francisco area, and not conducted by a government, local, state or federal agency, and otherwise in compliance with the provisions of </w:t>
      </w:r>
      <w:r>
        <w:rPr>
          <w:rFonts w:ascii="Calibri" w:cs="Calibri" w:eastAsia="Calibri" w:hAnsi="Calibri"/>
          <w:sz w:val="22"/>
          <w:szCs w:val="22"/>
          <w:u w:val="single" w:color="auto"/>
          <w:color w:val="auto"/>
        </w:rPr>
        <w:t>Secton 7</w:t>
      </w:r>
      <w:r>
        <w:rPr>
          <w:rFonts w:ascii="Calibri" w:cs="Calibri" w:eastAsia="Calibri" w:hAnsi="Calibri"/>
          <w:sz w:val="22"/>
          <w:szCs w:val="22"/>
          <w:color w:val="auto"/>
        </w:rPr>
        <w:t xml:space="preserve"> hereof.”</w:t>
      </w:r>
    </w:p>
    <w:p>
      <w:pPr>
        <w:spacing w:after="0" w:line="275"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2"/>
          <w:szCs w:val="22"/>
          <w:color w:val="auto"/>
        </w:rPr>
        <w:t>5.</w:t>
      </w:r>
      <w:r>
        <w:rPr>
          <w:rFonts w:ascii="Calibri" w:cs="Calibri" w:eastAsia="Calibri" w:hAnsi="Calibri"/>
          <w:sz w:val="22"/>
          <w:szCs w:val="22"/>
          <w:b w:val="1"/>
          <w:bCs w:val="1"/>
          <w:u w:val="single" w:color="auto"/>
          <w:color w:val="auto"/>
        </w:rPr>
        <w:t>Tenant Improvement Allowance</w:t>
      </w:r>
      <w:r>
        <w:rPr>
          <w:rFonts w:ascii="Calibri" w:cs="Calibri" w:eastAsia="Calibri" w:hAnsi="Calibri"/>
          <w:sz w:val="22"/>
          <w:szCs w:val="22"/>
          <w:color w:val="auto"/>
        </w:rPr>
        <w:t>. Landlord and Tenant acknowledge and agree that (i) no TI Allowance is</w:t>
      </w:r>
      <w:r>
        <w:rPr>
          <w:rFonts w:ascii="Times New Roman" w:cs="Times New Roman" w:eastAsia="Times New Roman" w:hAnsi="Times New Roman"/>
          <w:sz w:val="22"/>
          <w:szCs w:val="22"/>
          <w:color w:val="auto"/>
        </w:rPr>
        <w:t xml:space="preserve"> </w:t>
      </w:r>
      <w:r>
        <w:rPr>
          <w:rFonts w:ascii="Calibri" w:cs="Calibri" w:eastAsia="Calibri" w:hAnsi="Calibri"/>
          <w:sz w:val="22"/>
          <w:szCs w:val="22"/>
          <w:color w:val="auto"/>
        </w:rPr>
        <w:t>available to Tenant under the Lease and (ii) no TI Allowance shall be available to Tenant in connecton with this Fourth Amendment.</w:t>
      </w:r>
    </w:p>
    <w:p>
      <w:pPr>
        <w:spacing w:after="0" w:line="214"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1"/>
          <w:szCs w:val="21"/>
          <w:color w:val="auto"/>
        </w:rPr>
        <w:t>6.</w:t>
      </w:r>
      <w:r>
        <w:rPr>
          <w:rFonts w:ascii="Calibri" w:cs="Calibri" w:eastAsia="Calibri" w:hAnsi="Calibri"/>
          <w:sz w:val="21"/>
          <w:szCs w:val="21"/>
          <w:b w:val="1"/>
          <w:bCs w:val="1"/>
          <w:u w:val="single" w:color="auto"/>
          <w:color w:val="auto"/>
        </w:rPr>
        <w:t>Taxes</w:t>
      </w:r>
      <w:r>
        <w:rPr>
          <w:rFonts w:ascii="Calibri" w:cs="Calibri" w:eastAsia="Calibri" w:hAnsi="Calibri"/>
          <w:sz w:val="21"/>
          <w:szCs w:val="21"/>
          <w:color w:val="auto"/>
        </w:rPr>
        <w:t>. Tenant acknowledges that Landlord is contestng certain Taxes pursuant to appropriate legal proceedings</w:t>
      </w:r>
      <w:r>
        <w:rPr>
          <w:rFonts w:ascii="Times New Roman" w:cs="Times New Roman" w:eastAsia="Times New Roman" w:hAnsi="Times New Roman"/>
          <w:sz w:val="21"/>
          <w:szCs w:val="21"/>
          <w:color w:val="auto"/>
        </w:rPr>
        <w:t xml:space="preserve"> </w:t>
      </w:r>
      <w:r>
        <w:rPr>
          <w:rFonts w:ascii="Calibri" w:cs="Calibri" w:eastAsia="Calibri" w:hAnsi="Calibri"/>
          <w:sz w:val="21"/>
          <w:szCs w:val="21"/>
          <w:color w:val="auto"/>
        </w:rPr>
        <w:t xml:space="preserve">in accordance with </w:t>
      </w:r>
      <w:r>
        <w:rPr>
          <w:rFonts w:ascii="Calibri" w:cs="Calibri" w:eastAsia="Calibri" w:hAnsi="Calibri"/>
          <w:sz w:val="21"/>
          <w:szCs w:val="21"/>
          <w:u w:val="single" w:color="auto"/>
          <w:color w:val="auto"/>
        </w:rPr>
        <w:t>Secton 9</w:t>
      </w:r>
      <w:r>
        <w:rPr>
          <w:rFonts w:ascii="Calibri" w:cs="Calibri" w:eastAsia="Calibri" w:hAnsi="Calibri"/>
          <w:sz w:val="21"/>
          <w:szCs w:val="21"/>
          <w:color w:val="auto"/>
        </w:rPr>
        <w:t xml:space="preserve"> of the Lease (“</w:t>
      </w:r>
      <w:r>
        <w:rPr>
          <w:rFonts w:ascii="Calibri" w:cs="Calibri" w:eastAsia="Calibri" w:hAnsi="Calibri"/>
          <w:sz w:val="21"/>
          <w:szCs w:val="21"/>
          <w:b w:val="1"/>
          <w:bCs w:val="1"/>
          <w:color w:val="auto"/>
        </w:rPr>
        <w:t>Tax Contest</w:t>
      </w:r>
      <w:r>
        <w:rPr>
          <w:rFonts w:ascii="Calibri" w:cs="Calibri" w:eastAsia="Calibri" w:hAnsi="Calibri"/>
          <w:sz w:val="21"/>
          <w:szCs w:val="21"/>
          <w:color w:val="auto"/>
        </w:rPr>
        <w:t>”). Landlord shall, upon writen request from Tenant, within two</w:t>
      </w:r>
    </w:p>
    <w:p>
      <w:pPr>
        <w:spacing w:after="0" w:line="1" w:lineRule="exact"/>
        <w:rPr>
          <w:sz w:val="20"/>
          <w:szCs w:val="20"/>
          <w:color w:val="auto"/>
        </w:rPr>
      </w:pPr>
    </w:p>
    <w:p>
      <w:pPr>
        <w:jc w:val="both"/>
        <w:ind w:firstLine="8"/>
        <w:spacing w:after="0" w:line="239" w:lineRule="auto"/>
        <w:tabs>
          <w:tab w:leader="none" w:pos="289" w:val="left"/>
        </w:tabs>
        <w:numPr>
          <w:ilvl w:val="0"/>
          <w:numId w:val="173"/>
        </w:numPr>
        <w:rPr>
          <w:rFonts w:ascii="Calibri" w:cs="Calibri" w:eastAsia="Calibri" w:hAnsi="Calibri"/>
          <w:sz w:val="22"/>
          <w:szCs w:val="22"/>
          <w:color w:val="auto"/>
        </w:rPr>
      </w:pPr>
      <w:r>
        <w:rPr>
          <w:rFonts w:ascii="Calibri" w:cs="Calibri" w:eastAsia="Calibri" w:hAnsi="Calibri"/>
          <w:sz w:val="22"/>
          <w:szCs w:val="22"/>
          <w:color w:val="auto"/>
        </w:rPr>
        <w:t>business days, make available for Tenant’s review a copy of the tax appeal applicaton related to the Tax Contest. In the event that a taxing authority decreases the amount of property taxes owed by Landlord with respect to the Building for a period during which Tenant occupied the Premises, and at the tme of the decrease, Tenant is no longer occupying the Premises, Tenant shall be enttled to Tenant’s pro rata share (which is the same as Tenant’s Share of Operatng Expenses) of any refund related to Taxes that accrued while Tenant was occupying the Premises.</w:t>
      </w:r>
    </w:p>
    <w:p>
      <w:pPr>
        <w:spacing w:after="0" w:line="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7.</w:t>
      </w:r>
      <w:r>
        <w:rPr>
          <w:rFonts w:ascii="Calibri" w:cs="Calibri" w:eastAsia="Calibri" w:hAnsi="Calibri"/>
          <w:sz w:val="22"/>
          <w:szCs w:val="22"/>
          <w:b w:val="1"/>
          <w:bCs w:val="1"/>
          <w:u w:val="single" w:color="auto"/>
          <w:color w:val="auto"/>
        </w:rPr>
        <w:t>Signage</w:t>
      </w:r>
      <w:r>
        <w:rPr>
          <w:rFonts w:ascii="Calibri" w:cs="Calibri" w:eastAsia="Calibri" w:hAnsi="Calibri"/>
          <w:sz w:val="22"/>
          <w:szCs w:val="22"/>
          <w:color w:val="auto"/>
        </w:rPr>
        <w:t>. Secton 38 of the Lease is deleted in its entrety and replaced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228600</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7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440" w:top="1395" w:right="679" w:bottom="1440" w:gutter="0" w:footer="0" w:header="0"/>
        </w:sectPr>
      </w:pPr>
    </w:p>
    <w:bookmarkStart w:id="194" w:name="page195"/>
    <w:bookmarkEnd w:id="194"/>
    <w:p>
      <w:pPr>
        <w:jc w:val="both"/>
        <w:ind w:left="8" w:right="20" w:firstLine="749"/>
        <w:spacing w:after="0" w:line="239"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b w:val="1"/>
          <w:bCs w:val="1"/>
          <w:color w:val="auto"/>
        </w:rPr>
        <w:t>Signs; Exterior Appearance</w:t>
      </w:r>
      <w:r>
        <w:rPr>
          <w:rFonts w:ascii="Calibri" w:cs="Calibri" w:eastAsia="Calibri" w:hAnsi="Calibri"/>
          <w:sz w:val="22"/>
          <w:szCs w:val="22"/>
          <w:color w:val="auto"/>
        </w:rPr>
        <w:t>. Tenant shall have the right, at Tenant’s sole cost and expense and upon receipt of Landlord’s prior writen approval of the signage to be displayed, such approval in Lender’s reasonable discreton, to display signage on decoratve plaques inside the main lobby of the Building. Commencing on the Fourth Amendment Efectve Date, and throughout any Extension Term, Tenant shall have the exclusive right to install, maintain, repair, operate, and remove, at its sole cost and expense, one (1) sign (“</w:t>
      </w:r>
      <w:r>
        <w:rPr>
          <w:rFonts w:ascii="Calibri" w:cs="Calibri" w:eastAsia="Calibri" w:hAnsi="Calibri"/>
          <w:sz w:val="22"/>
          <w:szCs w:val="22"/>
          <w:b w:val="1"/>
          <w:bCs w:val="1"/>
          <w:color w:val="auto"/>
        </w:rPr>
        <w:t>Tenant’s Signage</w:t>
      </w:r>
      <w:r>
        <w:rPr>
          <w:rFonts w:ascii="Calibri" w:cs="Calibri" w:eastAsia="Calibri" w:hAnsi="Calibri"/>
          <w:sz w:val="22"/>
          <w:szCs w:val="22"/>
          <w:color w:val="auto"/>
        </w:rPr>
        <w:t>”) on the uppermost façade of the Building (including, without limitaton, back lit signage and LED signage (or comparable streaming technology) and other programmable electronic technology, to the extent such signage technology complies with all applicable Legal Requirements), provided that:</w:t>
      </w:r>
    </w:p>
    <w:p>
      <w:pPr>
        <w:spacing w:after="0" w:line="21" w:lineRule="exact"/>
        <w:rPr>
          <w:sz w:val="20"/>
          <w:szCs w:val="20"/>
          <w:color w:val="auto"/>
        </w:rPr>
      </w:pPr>
    </w:p>
    <w:p>
      <w:pPr>
        <w:jc w:val="both"/>
        <w:ind w:left="8" w:hanging="8"/>
        <w:spacing w:after="0"/>
        <w:tabs>
          <w:tab w:leader="none" w:pos="330" w:val="left"/>
        </w:tabs>
        <w:numPr>
          <w:ilvl w:val="0"/>
          <w:numId w:val="174"/>
        </w:numPr>
        <w:rPr>
          <w:rFonts w:ascii="Calibri" w:cs="Calibri" w:eastAsia="Calibri" w:hAnsi="Calibri"/>
          <w:sz w:val="22"/>
          <w:szCs w:val="22"/>
          <w:color w:val="auto"/>
        </w:rPr>
      </w:pPr>
      <w:r>
        <w:rPr>
          <w:rFonts w:ascii="Calibri" w:cs="Calibri" w:eastAsia="Calibri" w:hAnsi="Calibri"/>
          <w:sz w:val="22"/>
          <w:szCs w:val="22"/>
          <w:color w:val="auto"/>
        </w:rPr>
        <w:t>Tenant obtains Landlords prior writen approval of the design and color of the Tenant Signage, such approval in Lender’s reasonable discreton, (b) the locaton is reasonably agreed upon by Landlord and Tenant following Tenant’s delivery of a signage plan which indicates the proposed locatons for Tenant’s Signage; and (c) Tenant’s Signage complies with all applicable laws and zoning restrictons. Tenant’s Signage may be sized, at Tenant’s discreton, to the maximum specifcatons allowed by applicable laws and zoning restrictons. Other than Tenant’s Signage, Tenant shall not, without the prior writen consent of Landlord, which may be granted or withheld in Landlord’s sole discreton (i) atach any awnings, exterior lights, decoratons, balloons, fags, pennants, banners, paintng or other projecton to any outside wall of the Project, (ii) use any curtains, blinds, shades or screens other than Landlord’s standard window coverings, (iii) coat or otherwise sunscreen the interior or exterior of any windows, (iv) place any botles, parcels, or other artcles on the window sills, (v) place any equipment, furniture or other items of personal property on any exterior balcony, (vi) paint, afx or exhibit on any part of the Premises or the Project any signs, notces, window or door letering, placards, decoratons, or advertsing media of any type which can be viewed from the exterior of the Premises or (vii) place any items on the exterior of corridor walls or corridor doors, other than Landlord’s standard letering. For purposes of clarifcaton, the Fourth Amendment Efectve Date tming restricton shall apply only to the actual installaton of Tenant’s Signage; and Tenant shall be enttled to obtain Landlord’s prior writen approval and/or any required permits and approvals prior to the Fourth Amendment Efectve Date. Tenant shall not be responsible for the payment of any signage rent, or other form of signage fee, to Landlord for Tenant’s Signage. For the avoidance of doubt, rights under this Secton 38 are not personal to Tenant.”</w:t>
      </w:r>
    </w:p>
    <w:p>
      <w:pPr>
        <w:spacing w:after="0" w:line="230"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22"/>
          <w:szCs w:val="22"/>
          <w:color w:val="auto"/>
        </w:rPr>
        <w:t>8.</w:t>
      </w:r>
      <w:r>
        <w:rPr>
          <w:rFonts w:ascii="Calibri" w:cs="Calibri" w:eastAsia="Calibri" w:hAnsi="Calibri"/>
          <w:sz w:val="22"/>
          <w:szCs w:val="22"/>
          <w:b w:val="1"/>
          <w:bCs w:val="1"/>
          <w:u w:val="single" w:color="auto"/>
          <w:color w:val="auto"/>
        </w:rPr>
        <w:t>Subordinaton</w:t>
      </w:r>
      <w:r>
        <w:rPr>
          <w:rFonts w:ascii="Calibri" w:cs="Calibri" w:eastAsia="Calibri" w:hAnsi="Calibri"/>
          <w:sz w:val="22"/>
          <w:szCs w:val="22"/>
          <w:color w:val="auto"/>
        </w:rPr>
        <w:t>. Secton 27 of the Lease is deleted in its entrety and replaced with the following:</w:t>
      </w:r>
    </w:p>
    <w:p>
      <w:pPr>
        <w:spacing w:after="0" w:line="122" w:lineRule="exact"/>
        <w:rPr>
          <w:sz w:val="20"/>
          <w:szCs w:val="20"/>
          <w:color w:val="auto"/>
        </w:rPr>
      </w:pPr>
    </w:p>
    <w:p>
      <w:pPr>
        <w:jc w:val="both"/>
        <w:ind w:left="748"/>
        <w:spacing w:after="0" w:line="252" w:lineRule="auto"/>
        <w:rPr>
          <w:sz w:val="20"/>
          <w:szCs w:val="20"/>
          <w:color w:val="auto"/>
        </w:rPr>
      </w:pPr>
      <w:r>
        <w:rPr>
          <w:rFonts w:ascii="Calibri" w:cs="Calibri" w:eastAsia="Calibri" w:hAnsi="Calibri"/>
          <w:sz w:val="21"/>
          <w:szCs w:val="21"/>
          <w:color w:val="auto"/>
        </w:rPr>
        <w:t>“</w:t>
      </w:r>
      <w:r>
        <w:rPr>
          <w:rFonts w:ascii="Calibri" w:cs="Calibri" w:eastAsia="Calibri" w:hAnsi="Calibri"/>
          <w:sz w:val="21"/>
          <w:szCs w:val="21"/>
          <w:b w:val="1"/>
          <w:bCs w:val="1"/>
          <w:color w:val="auto"/>
        </w:rPr>
        <w:t>Subordinaton</w:t>
      </w:r>
      <w:r>
        <w:rPr>
          <w:rFonts w:ascii="Calibri" w:cs="Calibri" w:eastAsia="Calibri" w:hAnsi="Calibri"/>
          <w:sz w:val="21"/>
          <w:szCs w:val="21"/>
          <w:color w:val="auto"/>
        </w:rPr>
        <w:t>. This Lease and Tenant’s interest and rights hereunder are hereby made and shall be subject and subordinate at all tmes to the lien of any Mortgage now existng or hereafer created on or against the Project or the Premises, and all amendments, restatements, renewals, modifcatons, consolidatons, refnancing, assignments and extensions thereof, without the necessity of any further instrument or act on the part of Tenant, provided, however that so long as there is no Default hereunder, Tenant’s right to possession of the Premises pursuant to the terms of the Lease (as amended) shall not be disturbed by the Holder of any such Mortgage. Tenant agrees, at the electon of the Holder of any such Mortgage, to atorn to any such Holder. Tenant agrees upon demand to execute, acknowledge and deliver such instruments, confrming such subordinaton, and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232410</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7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8"/>
          </w:cols>
          <w:pgMar w:left="452" w:top="1434" w:right="679" w:bottom="1440" w:gutter="0" w:footer="0" w:header="0"/>
        </w:sectPr>
      </w:pPr>
    </w:p>
    <w:bookmarkStart w:id="195" w:name="page196"/>
    <w:bookmarkEnd w:id="195"/>
    <w:p>
      <w:pPr>
        <w:jc w:val="both"/>
        <w:ind w:left="760" w:right="120"/>
        <w:spacing w:after="0"/>
        <w:rPr>
          <w:sz w:val="20"/>
          <w:szCs w:val="20"/>
          <w:color w:val="auto"/>
        </w:rPr>
      </w:pPr>
      <w:r>
        <w:rPr>
          <w:rFonts w:ascii="Calibri" w:cs="Calibri" w:eastAsia="Calibri" w:hAnsi="Calibri"/>
          <w:sz w:val="22"/>
          <w:szCs w:val="22"/>
          <w:color w:val="auto"/>
        </w:rPr>
        <w:t xml:space="preserve">instruments of atornment as shall be requested by any such Holder, provided any such instruments contain appropriate non-disturbance provisions assuring Tenant’s quiet enjoyment of the Premises as set forth in </w:t>
      </w:r>
      <w:r>
        <w:rPr>
          <w:rFonts w:ascii="Calibri" w:cs="Calibri" w:eastAsia="Calibri" w:hAnsi="Calibri"/>
          <w:sz w:val="22"/>
          <w:szCs w:val="22"/>
          <w:u w:val="single" w:color="auto"/>
          <w:color w:val="auto"/>
        </w:rPr>
        <w:t>Secton</w:t>
      </w:r>
      <w:r>
        <w:rPr>
          <w:rFonts w:ascii="Calibri" w:cs="Calibri" w:eastAsia="Calibri" w:hAnsi="Calibri"/>
          <w:sz w:val="22"/>
          <w:szCs w:val="22"/>
          <w:color w:val="auto"/>
        </w:rPr>
        <w:t xml:space="preserve"> </w:t>
      </w:r>
      <w:r>
        <w:rPr>
          <w:rFonts w:ascii="Calibri" w:cs="Calibri" w:eastAsia="Calibri" w:hAnsi="Calibri"/>
          <w:sz w:val="22"/>
          <w:szCs w:val="22"/>
          <w:u w:val="single" w:color="auto"/>
          <w:color w:val="auto"/>
        </w:rPr>
        <w:t>24</w:t>
      </w:r>
      <w:r>
        <w:rPr>
          <w:rFonts w:ascii="Calibri" w:cs="Calibri" w:eastAsia="Calibri" w:hAnsi="Calibri"/>
          <w:sz w:val="22"/>
          <w:szCs w:val="22"/>
          <w:color w:val="auto"/>
        </w:rPr>
        <w:t xml:space="preserve"> hereof. Following the Fourth Amendment Efectve Date, Landlord shall use commercially reasonable eforts to deliver to Tenant a subordinaton, non-disturbance and atornment agreement from any the Holder of any Mortgage or any other superior interest holder of the Project. Notwithstanding the foregoing, any such Holder may at any tme subordinate its Mortgage to this Lease, without Tenant’s consent, by notce in writng to Tenant, and thereupon this Lease shall be deemed prior to such Mortgage without regard to their respectve dates of executon, delivery or recording and in that event such Holder shall have the same rights with respect to this Lease as though this Lease had been executed prior to the executon, delivery and recording of such Mortgage and had been assigned to such Holder. Landlord shall deliver to Tenant a copy of any default notce relatng to the Project or the Premises received by Landlord, within thirty (30) business days of Landlord’s receipt of such default notce, from any Holder of any Mortgage, ground lessor or from a governmental agency. The term </w:t>
      </w:r>
      <w:r>
        <w:rPr>
          <w:rFonts w:ascii="Calibri" w:cs="Calibri" w:eastAsia="Calibri" w:hAnsi="Calibri"/>
          <w:sz w:val="22"/>
          <w:szCs w:val="22"/>
          <w:b w:val="1"/>
          <w:bCs w:val="1"/>
          <w:color w:val="auto"/>
        </w:rPr>
        <w:t>“Mortgage”</w:t>
      </w:r>
      <w:r>
        <w:rPr>
          <w:rFonts w:ascii="Calibri" w:cs="Calibri" w:eastAsia="Calibri" w:hAnsi="Calibri"/>
          <w:sz w:val="22"/>
          <w:szCs w:val="22"/>
          <w:color w:val="auto"/>
        </w:rPr>
        <w:t xml:space="preserve"> whenever used in this Lease shall be deemed to include deeds of trust, security assignments and any other encumbrances, and any reference to the </w:t>
      </w:r>
      <w:r>
        <w:rPr>
          <w:rFonts w:ascii="Calibri" w:cs="Calibri" w:eastAsia="Calibri" w:hAnsi="Calibri"/>
          <w:sz w:val="22"/>
          <w:szCs w:val="22"/>
          <w:b w:val="1"/>
          <w:bCs w:val="1"/>
          <w:color w:val="auto"/>
        </w:rPr>
        <w:t>“Holder”</w:t>
      </w:r>
      <w:r>
        <w:rPr>
          <w:rFonts w:ascii="Calibri" w:cs="Calibri" w:eastAsia="Calibri" w:hAnsi="Calibri"/>
          <w:sz w:val="22"/>
          <w:szCs w:val="22"/>
          <w:color w:val="auto"/>
        </w:rPr>
        <w:t xml:space="preserve"> of a Mortgage shall be deemed to include the benefciary under a deed of trust.”</w:t>
      </w:r>
    </w:p>
    <w:p>
      <w:pPr>
        <w:spacing w:after="0" w:line="225" w:lineRule="exact"/>
        <w:rPr>
          <w:sz w:val="20"/>
          <w:szCs w:val="20"/>
          <w:color w:val="auto"/>
        </w:rPr>
      </w:pPr>
    </w:p>
    <w:p>
      <w:pPr>
        <w:ind w:right="880" w:firstLine="749"/>
        <w:spacing w:after="0" w:line="242" w:lineRule="auto"/>
        <w:rPr>
          <w:sz w:val="20"/>
          <w:szCs w:val="20"/>
          <w:color w:val="auto"/>
        </w:rPr>
      </w:pPr>
      <w:r>
        <w:rPr>
          <w:rFonts w:ascii="Times New Roman" w:cs="Times New Roman" w:eastAsia="Times New Roman" w:hAnsi="Times New Roman"/>
          <w:sz w:val="22"/>
          <w:szCs w:val="22"/>
          <w:color w:val="auto"/>
        </w:rPr>
        <w:t>9.</w:t>
      </w:r>
      <w:r>
        <w:rPr>
          <w:rFonts w:ascii="Calibri" w:cs="Calibri" w:eastAsia="Calibri" w:hAnsi="Calibri"/>
          <w:sz w:val="22"/>
          <w:szCs w:val="22"/>
          <w:b w:val="1"/>
          <w:bCs w:val="1"/>
          <w:u w:val="single" w:color="auto"/>
          <w:color w:val="auto"/>
        </w:rPr>
        <w:t>Security Deposit.</w:t>
      </w:r>
      <w:r>
        <w:rPr>
          <w:rFonts w:ascii="Times New Roman" w:cs="Times New Roman" w:eastAsia="Times New Roman" w:hAnsi="Times New Roman"/>
          <w:sz w:val="22"/>
          <w:szCs w:val="22"/>
          <w:color w:val="auto"/>
        </w:rPr>
        <w:t xml:space="preserve"> </w:t>
      </w:r>
      <w:r>
        <w:rPr>
          <w:rFonts w:ascii="Calibri" w:cs="Calibri" w:eastAsia="Calibri" w:hAnsi="Calibri"/>
          <w:sz w:val="22"/>
          <w:szCs w:val="22"/>
          <w:color w:val="auto"/>
        </w:rPr>
        <w:t>The Security Deposit as set forth in the basic lease provisions on Page 1 of the Lease is</w:t>
      </w:r>
      <w:r>
        <w:rPr>
          <w:rFonts w:ascii="Times New Roman" w:cs="Times New Roman" w:eastAsia="Times New Roman" w:hAnsi="Times New Roman"/>
          <w:sz w:val="22"/>
          <w:szCs w:val="22"/>
          <w:color w:val="auto"/>
        </w:rPr>
        <w:t xml:space="preserve"> </w:t>
      </w:r>
      <w:r>
        <w:rPr>
          <w:rFonts w:ascii="Calibri" w:cs="Calibri" w:eastAsia="Calibri" w:hAnsi="Calibri"/>
          <w:sz w:val="22"/>
          <w:szCs w:val="22"/>
          <w:color w:val="auto"/>
        </w:rPr>
        <w:t>restated as follows:</w:t>
      </w:r>
    </w:p>
    <w:p>
      <w:pPr>
        <w:spacing w:after="0" w:line="119" w:lineRule="exact"/>
        <w:rPr>
          <w:sz w:val="20"/>
          <w:szCs w:val="20"/>
          <w:color w:val="auto"/>
        </w:rPr>
      </w:pPr>
    </w:p>
    <w:p>
      <w:pPr>
        <w:jc w:val="both"/>
        <w:ind w:left="1500"/>
        <w:spacing w:after="0" w:line="252" w:lineRule="auto"/>
        <w:rPr>
          <w:sz w:val="20"/>
          <w:szCs w:val="20"/>
          <w:color w:val="auto"/>
        </w:rPr>
      </w:pPr>
      <w:r>
        <w:rPr>
          <w:rFonts w:ascii="Calibri" w:cs="Calibri" w:eastAsia="Calibri" w:hAnsi="Calibri"/>
          <w:sz w:val="21"/>
          <w:szCs w:val="21"/>
          <w:color w:val="auto"/>
        </w:rPr>
        <w:t>“</w:t>
      </w:r>
      <w:r>
        <w:rPr>
          <w:rFonts w:ascii="Calibri" w:cs="Calibri" w:eastAsia="Calibri" w:hAnsi="Calibri"/>
          <w:sz w:val="21"/>
          <w:szCs w:val="21"/>
          <w:b w:val="1"/>
          <w:bCs w:val="1"/>
          <w:color w:val="auto"/>
        </w:rPr>
        <w:t>Security Deposit</w:t>
      </w:r>
      <w:r>
        <w:rPr>
          <w:rFonts w:ascii="Calibri" w:cs="Calibri" w:eastAsia="Calibri" w:hAnsi="Calibri"/>
          <w:sz w:val="21"/>
          <w:szCs w:val="21"/>
          <w:color w:val="auto"/>
        </w:rPr>
        <w:t>: As of the Fourth Amendment Efectve Date: $108,888.10. Within thirty (30) days of the Fourth Amendment Efectve Date, the Security Deposit held by Landlord will be decreased to $54,444.05.”</w:t>
      </w:r>
    </w:p>
    <w:p>
      <w:pPr>
        <w:spacing w:after="0" w:line="205" w:lineRule="exact"/>
        <w:rPr>
          <w:sz w:val="20"/>
          <w:szCs w:val="20"/>
          <w:color w:val="auto"/>
        </w:rPr>
      </w:pPr>
    </w:p>
    <w:p>
      <w:pPr>
        <w:ind w:right="860" w:firstLine="749"/>
        <w:spacing w:after="0" w:line="242" w:lineRule="auto"/>
        <w:rPr>
          <w:sz w:val="20"/>
          <w:szCs w:val="20"/>
          <w:color w:val="auto"/>
        </w:rPr>
      </w:pPr>
      <w:r>
        <w:rPr>
          <w:rFonts w:ascii="Times New Roman" w:cs="Times New Roman" w:eastAsia="Times New Roman" w:hAnsi="Times New Roman"/>
          <w:sz w:val="22"/>
          <w:szCs w:val="22"/>
          <w:color w:val="auto"/>
        </w:rPr>
        <w:t>10.</w:t>
      </w:r>
      <w:r>
        <w:rPr>
          <w:rFonts w:ascii="Calibri" w:cs="Calibri" w:eastAsia="Calibri" w:hAnsi="Calibri"/>
          <w:sz w:val="22"/>
          <w:szCs w:val="22"/>
          <w:b w:val="1"/>
          <w:bCs w:val="1"/>
          <w:u w:val="single" w:color="auto"/>
          <w:color w:val="auto"/>
        </w:rPr>
        <w:t>Parking</w:t>
      </w:r>
      <w:r>
        <w:rPr>
          <w:rFonts w:ascii="Calibri" w:cs="Calibri" w:eastAsia="Calibri" w:hAnsi="Calibri"/>
          <w:sz w:val="22"/>
          <w:szCs w:val="22"/>
          <w:color w:val="auto"/>
        </w:rPr>
        <w:t>. The second sentence of Secton 10 of the Lease is deleted in its entrety and replaced with the</w:t>
      </w:r>
      <w:r>
        <w:rPr>
          <w:rFonts w:ascii="Times New Roman" w:cs="Times New Roman" w:eastAsia="Times New Roman" w:hAnsi="Times New Roman"/>
          <w:sz w:val="22"/>
          <w:szCs w:val="22"/>
          <w:color w:val="auto"/>
        </w:rPr>
        <w:t xml:space="preserve"> </w:t>
      </w:r>
      <w:r>
        <w:rPr>
          <w:rFonts w:ascii="Calibri" w:cs="Calibri" w:eastAsia="Calibri" w:hAnsi="Calibri"/>
          <w:sz w:val="22"/>
          <w:szCs w:val="22"/>
          <w:color w:val="auto"/>
        </w:rPr>
        <w:t>following:</w:t>
      </w:r>
    </w:p>
    <w:p>
      <w:pPr>
        <w:spacing w:after="0" w:line="119" w:lineRule="exact"/>
        <w:rPr>
          <w:sz w:val="20"/>
          <w:szCs w:val="20"/>
          <w:color w:val="auto"/>
        </w:rPr>
      </w:pPr>
    </w:p>
    <w:p>
      <w:pPr>
        <w:ind w:left="1500" w:right="220"/>
        <w:spacing w:after="0" w:line="235" w:lineRule="auto"/>
        <w:rPr>
          <w:sz w:val="20"/>
          <w:szCs w:val="20"/>
          <w:color w:val="auto"/>
        </w:rPr>
      </w:pPr>
      <w:r>
        <w:rPr>
          <w:rFonts w:ascii="Calibri" w:cs="Calibri" w:eastAsia="Calibri" w:hAnsi="Calibri"/>
          <w:sz w:val="22"/>
          <w:szCs w:val="22"/>
          <w:color w:val="auto"/>
        </w:rPr>
        <w:t>“Tenant’s pro rata share of parking shall be equal to 3.3 parking spaces per 1,000 rentable square feet of the Premises.”</w:t>
      </w:r>
    </w:p>
    <w:p>
      <w:pPr>
        <w:spacing w:after="0" w:line="2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w:t>
      </w:r>
      <w:r>
        <w:rPr>
          <w:rFonts w:ascii="Calibri" w:cs="Calibri" w:eastAsia="Calibri" w:hAnsi="Calibri"/>
          <w:sz w:val="22"/>
          <w:szCs w:val="22"/>
          <w:b w:val="1"/>
          <w:bCs w:val="1"/>
          <w:u w:val="single" w:color="auto"/>
          <w:color w:val="auto"/>
        </w:rPr>
        <w:t>Artfcial Intelligence and Corporate Spying</w:t>
      </w:r>
      <w:r>
        <w:rPr>
          <w:rFonts w:ascii="Calibri" w:cs="Calibri" w:eastAsia="Calibri" w:hAnsi="Calibri"/>
          <w:sz w:val="22"/>
          <w:szCs w:val="22"/>
          <w:color w:val="auto"/>
        </w:rPr>
        <w:t>. The following is added to the end of Secton 42(c) of the Lease:</w:t>
      </w:r>
    </w:p>
    <w:p>
      <w:pPr>
        <w:spacing w:after="0" w:line="122" w:lineRule="exact"/>
        <w:rPr>
          <w:sz w:val="20"/>
          <w:szCs w:val="20"/>
          <w:color w:val="auto"/>
        </w:rPr>
      </w:pPr>
    </w:p>
    <w:p>
      <w:pPr>
        <w:jc w:val="both"/>
        <w:ind w:left="760" w:right="140"/>
        <w:spacing w:after="0"/>
        <w:rPr>
          <w:sz w:val="20"/>
          <w:szCs w:val="20"/>
          <w:color w:val="auto"/>
        </w:rPr>
      </w:pPr>
      <w:r>
        <w:rPr>
          <w:rFonts w:ascii="Calibri" w:cs="Calibri" w:eastAsia="Calibri" w:hAnsi="Calibri"/>
          <w:sz w:val="22"/>
          <w:szCs w:val="22"/>
          <w:color w:val="auto"/>
        </w:rPr>
        <w:t>“Landlord shall not use Generatve AI Technology (as hereinafer defned) in connecton with the processing of Tenant’s fnancial informaton without obtaining Tenant’s prior writen consent, such consent not to be unreasonably withheld, conditoned or delayed. In the event Tenant’s prior writen consent is obtained, the technology provider must maintain human oversight and accountability over all uses of Generatve AI Technology in connecton with the processing of Tenant’s fnancial informaton, to ensure outputs are accurate and free from bias. For purposes of this Lease, (a) “</w:t>
      </w:r>
      <w:r>
        <w:rPr>
          <w:rFonts w:ascii="Calibri" w:cs="Calibri" w:eastAsia="Calibri" w:hAnsi="Calibri"/>
          <w:sz w:val="22"/>
          <w:szCs w:val="22"/>
          <w:b w:val="1"/>
          <w:bCs w:val="1"/>
          <w:color w:val="auto"/>
        </w:rPr>
        <w:t>AI Technology</w:t>
      </w:r>
      <w:r>
        <w:rPr>
          <w:rFonts w:ascii="Calibri" w:cs="Calibri" w:eastAsia="Calibri" w:hAnsi="Calibri"/>
          <w:sz w:val="22"/>
          <w:szCs w:val="22"/>
          <w:color w:val="auto"/>
        </w:rPr>
        <w:t>” means any and all machine learning, deep learning, and other artfcial intelligence (“AI”) technologies, including statstcal learning algorithms, models (including large language models), neural networks, and other AI tools or methodologies, all sofware implementatons of any of the foregoing, and related hardware or equipment, and (b) “</w:t>
      </w:r>
      <w:r>
        <w:rPr>
          <w:rFonts w:ascii="Calibri" w:cs="Calibri" w:eastAsia="Calibri" w:hAnsi="Calibri"/>
          <w:sz w:val="22"/>
          <w:szCs w:val="22"/>
          <w:b w:val="1"/>
          <w:bCs w:val="1"/>
          <w:color w:val="auto"/>
        </w:rPr>
        <w:t>Generatve AI Technology</w:t>
      </w:r>
      <w:r>
        <w:rPr>
          <w:rFonts w:ascii="Calibri" w:cs="Calibri" w:eastAsia="Calibri" w:hAnsi="Calibri"/>
          <w:sz w:val="22"/>
          <w:szCs w:val="22"/>
          <w:color w:val="auto"/>
        </w:rPr>
        <w:t>” means AI Technology that generates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228600</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7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40" w:top="1407" w:right="559" w:bottom="1440" w:gutter="0" w:footer="0" w:header="0"/>
        </w:sectPr>
      </w:pPr>
    </w:p>
    <w:bookmarkStart w:id="196" w:name="page197"/>
    <w:bookmarkEnd w:id="196"/>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12.</w:t>
      </w:r>
      <w:r>
        <w:rPr>
          <w:rFonts w:ascii="Calibri" w:cs="Calibri" w:eastAsia="Calibri" w:hAnsi="Calibri"/>
          <w:sz w:val="22"/>
          <w:szCs w:val="22"/>
          <w:b w:val="1"/>
          <w:bCs w:val="1"/>
          <w:u w:val="single" w:color="auto"/>
          <w:color w:val="auto"/>
        </w:rPr>
        <w:t>Restoraton and Removable Installatons</w:t>
      </w:r>
      <w:r>
        <w:rPr>
          <w:rFonts w:ascii="Calibri" w:cs="Calibri" w:eastAsia="Calibri" w:hAnsi="Calibri"/>
          <w:sz w:val="22"/>
          <w:szCs w:val="22"/>
          <w:color w:val="auto"/>
        </w:rPr>
        <w:t>.</w:t>
      </w:r>
      <w:r>
        <w:rPr>
          <w:rFonts w:ascii="Calibri" w:cs="Calibri" w:eastAsia="Calibri" w:hAnsi="Calibri"/>
          <w:sz w:val="14"/>
          <w:szCs w:val="14"/>
          <w:b w:val="1"/>
          <w:bCs w:val="1"/>
          <w:color w:val="auto"/>
        </w:rPr>
        <w:t>1</w:t>
      </w:r>
      <w:r>
        <w:rPr>
          <w:rFonts w:ascii="Times New Roman" w:cs="Times New Roman" w:eastAsia="Times New Roman" w:hAnsi="Times New Roman"/>
          <w:sz w:val="22"/>
          <w:szCs w:val="22"/>
          <w:color w:val="auto"/>
        </w:rPr>
        <w:t xml:space="preserve"> </w:t>
      </w:r>
      <w:r>
        <w:rPr>
          <w:rFonts w:ascii="Calibri" w:cs="Calibri" w:eastAsia="Calibri" w:hAnsi="Calibri"/>
          <w:sz w:val="22"/>
          <w:szCs w:val="22"/>
          <w:color w:val="auto"/>
        </w:rPr>
        <w:t>Exhibit F of the Original Lease (as amended by Exhibit D atached to</w:t>
      </w:r>
      <w:r>
        <w:rPr>
          <w:rFonts w:ascii="Times New Roman" w:cs="Times New Roman" w:eastAsia="Times New Roman" w:hAnsi="Times New Roman"/>
          <w:sz w:val="22"/>
          <w:szCs w:val="22"/>
          <w:color w:val="auto"/>
        </w:rPr>
        <w:t xml:space="preserve"> </w:t>
      </w:r>
      <w:r>
        <w:rPr>
          <w:rFonts w:ascii="Calibri" w:cs="Calibri" w:eastAsia="Calibri" w:hAnsi="Calibri"/>
          <w:sz w:val="22"/>
          <w:szCs w:val="22"/>
          <w:color w:val="auto"/>
        </w:rPr>
        <w:t>the First Amendment) is hereby deleted and amended, restated and replaced in its entrety with the “Exhibit F” atached hereto as Exhibit A to this Fourth Amendment, which shall list the Removable Installatons which Tenant shall be enttled to remove following the expiraton or earlier terminaton of the Lease.</w:t>
      </w:r>
    </w:p>
    <w:p>
      <w:pPr>
        <w:spacing w:after="0" w:line="2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13.</w:t>
      </w:r>
      <w:r>
        <w:rPr>
          <w:rFonts w:ascii="Calibri" w:cs="Calibri" w:eastAsia="Calibri" w:hAnsi="Calibri"/>
          <w:sz w:val="22"/>
          <w:szCs w:val="22"/>
          <w:b w:val="1"/>
          <w:bCs w:val="1"/>
          <w:u w:val="single" w:color="auto"/>
          <w:color w:val="auto"/>
        </w:rPr>
        <w:t>Quiet Enjoyment</w:t>
      </w:r>
      <w:r>
        <w:rPr>
          <w:rFonts w:ascii="Calibri" w:cs="Calibri" w:eastAsia="Calibri" w:hAnsi="Calibri"/>
          <w:sz w:val="22"/>
          <w:szCs w:val="22"/>
          <w:color w:val="auto"/>
        </w:rPr>
        <w:t>. Secton 24 of the Lease is deleted in its entrety and replaced with the following:</w:t>
      </w:r>
    </w:p>
    <w:p>
      <w:pPr>
        <w:spacing w:after="0" w:line="122" w:lineRule="exact"/>
        <w:rPr>
          <w:sz w:val="20"/>
          <w:szCs w:val="20"/>
          <w:color w:val="auto"/>
        </w:rPr>
      </w:pPr>
    </w:p>
    <w:p>
      <w:pPr>
        <w:ind w:left="760"/>
        <w:spacing w:after="0" w:line="239"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b w:val="1"/>
          <w:bCs w:val="1"/>
          <w:color w:val="auto"/>
        </w:rPr>
        <w:t>Quiet Enjoyment</w:t>
      </w:r>
      <w:r>
        <w:rPr>
          <w:rFonts w:ascii="Calibri" w:cs="Calibri" w:eastAsia="Calibri" w:hAnsi="Calibri"/>
          <w:sz w:val="22"/>
          <w:szCs w:val="22"/>
          <w:color w:val="auto"/>
        </w:rPr>
        <w:t>. So long as Tenant is not in Default under this Lease, Tenant shall, subject to the terms of this Lease, at all tmes during the Term, have peaceful and quiet enjoyment of the Premises against (i) any person claiming by, through or under Landlord, and (ii) any surveillance by camera within the Premises. Landlord shall use commercially reasonable eforts to cause any service providers engaged by Landlord that enter the Premises to comply with this provision. Further, Landlord agrees to reasonably cooperate with Tenant should Tenant pursue any reasonable request for removal of a service provider in furtherance of its right to privacy.”</w:t>
      </w:r>
    </w:p>
    <w:p>
      <w:pPr>
        <w:spacing w:after="0" w:line="21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14.</w:t>
      </w:r>
      <w:r>
        <w:rPr>
          <w:rFonts w:ascii="Calibri" w:cs="Calibri" w:eastAsia="Calibri" w:hAnsi="Calibri"/>
          <w:sz w:val="22"/>
          <w:szCs w:val="22"/>
          <w:b w:val="1"/>
          <w:bCs w:val="1"/>
          <w:u w:val="single" w:color="auto"/>
          <w:color w:val="auto"/>
        </w:rPr>
        <w:t>Binding Efect; Ratfcaton; Confict</w:t>
      </w:r>
      <w:r>
        <w:rPr>
          <w:rFonts w:ascii="Calibri" w:cs="Calibri" w:eastAsia="Calibri" w:hAnsi="Calibri"/>
          <w:sz w:val="22"/>
          <w:szCs w:val="22"/>
          <w:color w:val="auto"/>
        </w:rPr>
        <w:t>. This Fourth Amendment shall be binding upon the partes and their</w:t>
      </w:r>
      <w:r>
        <w:rPr>
          <w:rFonts w:ascii="Times New Roman" w:cs="Times New Roman" w:eastAsia="Times New Roman" w:hAnsi="Times New Roman"/>
          <w:sz w:val="22"/>
          <w:szCs w:val="22"/>
          <w:color w:val="auto"/>
        </w:rPr>
        <w:t xml:space="preserve"> </w:t>
      </w:r>
      <w:r>
        <w:rPr>
          <w:rFonts w:ascii="Calibri" w:cs="Calibri" w:eastAsia="Calibri" w:hAnsi="Calibri"/>
          <w:sz w:val="22"/>
          <w:szCs w:val="22"/>
          <w:color w:val="auto"/>
        </w:rPr>
        <w:t>respectve successors and assigns. Except as modifed by this Fourth Amendment, all of the terms and conditons of the Lease shall remain unmodifed and in full force and efect. To the extent the terms and conditons of the Lease confict with or are inconsistent with this Fourth Amendment, the terms and conditons of this Fourth Amendment shall control.</w:t>
      </w:r>
    </w:p>
    <w:p>
      <w:pPr>
        <w:spacing w:after="0" w:line="17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15.</w:t>
      </w:r>
      <w:r>
        <w:rPr>
          <w:rFonts w:ascii="Calibri" w:cs="Calibri" w:eastAsia="Calibri" w:hAnsi="Calibri"/>
          <w:sz w:val="22"/>
          <w:szCs w:val="22"/>
          <w:b w:val="1"/>
          <w:bCs w:val="1"/>
          <w:u w:val="single" w:color="auto"/>
          <w:color w:val="auto"/>
        </w:rPr>
        <w:t>Authority</w:t>
      </w:r>
      <w:r>
        <w:rPr>
          <w:rFonts w:ascii="Calibri" w:cs="Calibri" w:eastAsia="Calibri" w:hAnsi="Calibri"/>
          <w:sz w:val="22"/>
          <w:szCs w:val="22"/>
          <w:color w:val="auto"/>
        </w:rPr>
        <w:t>. Tenant hereby represents and warrants that (a) Tenant is in good standing under the laws of the</w:t>
      </w:r>
      <w:r>
        <w:rPr>
          <w:rFonts w:ascii="Times New Roman" w:cs="Times New Roman" w:eastAsia="Times New Roman" w:hAnsi="Times New Roman"/>
          <w:sz w:val="22"/>
          <w:szCs w:val="22"/>
          <w:color w:val="auto"/>
        </w:rPr>
        <w:t xml:space="preserve"> </w:t>
      </w:r>
      <w:r>
        <w:rPr>
          <w:rFonts w:ascii="Calibri" w:cs="Calibri" w:eastAsia="Calibri" w:hAnsi="Calibri"/>
          <w:sz w:val="22"/>
          <w:szCs w:val="22"/>
          <w:color w:val="auto"/>
        </w:rPr>
        <w:t>state in which the Building is located, (b) Tenant has full power and authority to enter into this Fourth Amendment and to perform all Tenant’s obligatons under this Fourth Amendment, and (c) each person (and all of the persons if more than one signs) signing this Fourth Amendment on behalf of Tenant is duly and validly authorized to do so.</w:t>
      </w:r>
    </w:p>
    <w:p>
      <w:pPr>
        <w:spacing w:after="0" w:line="177" w:lineRule="exact"/>
        <w:rPr>
          <w:sz w:val="20"/>
          <w:szCs w:val="20"/>
          <w:color w:val="auto"/>
        </w:rPr>
      </w:pPr>
    </w:p>
    <w:p>
      <w:pPr>
        <w:jc w:val="both"/>
        <w:ind w:right="20" w:firstLine="749"/>
        <w:spacing w:after="0" w:line="242" w:lineRule="auto"/>
        <w:rPr>
          <w:sz w:val="20"/>
          <w:szCs w:val="20"/>
          <w:color w:val="auto"/>
        </w:rPr>
      </w:pPr>
      <w:r>
        <w:rPr>
          <w:rFonts w:ascii="Times New Roman" w:cs="Times New Roman" w:eastAsia="Times New Roman" w:hAnsi="Times New Roman"/>
          <w:sz w:val="22"/>
          <w:szCs w:val="22"/>
          <w:color w:val="auto"/>
        </w:rPr>
        <w:t>16.</w:t>
      </w:r>
      <w:r>
        <w:rPr>
          <w:rFonts w:ascii="Calibri" w:cs="Calibri" w:eastAsia="Calibri" w:hAnsi="Calibri"/>
          <w:sz w:val="22"/>
          <w:szCs w:val="22"/>
          <w:b w:val="1"/>
          <w:bCs w:val="1"/>
          <w:u w:val="single" w:color="auto"/>
          <w:color w:val="auto"/>
        </w:rPr>
        <w:t>No Ofer</w:t>
      </w:r>
      <w:r>
        <w:rPr>
          <w:rFonts w:ascii="Calibri" w:cs="Calibri" w:eastAsia="Calibri" w:hAnsi="Calibri"/>
          <w:sz w:val="22"/>
          <w:szCs w:val="22"/>
          <w:color w:val="auto"/>
        </w:rPr>
        <w:t>. Submission of this Fourth Amendment for examinaton and signature to Tenant does not consttute</w:t>
      </w:r>
      <w:r>
        <w:rPr>
          <w:rFonts w:ascii="Times New Roman" w:cs="Times New Roman" w:eastAsia="Times New Roman" w:hAnsi="Times New Roman"/>
          <w:sz w:val="22"/>
          <w:szCs w:val="22"/>
          <w:color w:val="auto"/>
        </w:rPr>
        <w:t xml:space="preserve"> </w:t>
      </w:r>
      <w:r>
        <w:rPr>
          <w:rFonts w:ascii="Calibri" w:cs="Calibri" w:eastAsia="Calibri" w:hAnsi="Calibri"/>
          <w:sz w:val="22"/>
          <w:szCs w:val="22"/>
          <w:color w:val="auto"/>
        </w:rPr>
        <w:t>an ofer to amend the Lease, and this instrument is not efectve as an amendment to the Lease or otherwise untl executed and delivered by both Landlord and Tenant.</w:t>
      </w:r>
    </w:p>
    <w:p>
      <w:pPr>
        <w:spacing w:after="0" w:line="18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17.</w:t>
      </w:r>
      <w:r>
        <w:rPr>
          <w:rFonts w:ascii="Calibri" w:cs="Calibri" w:eastAsia="Calibri" w:hAnsi="Calibri"/>
          <w:sz w:val="22"/>
          <w:szCs w:val="22"/>
          <w:b w:val="1"/>
          <w:bCs w:val="1"/>
          <w:u w:val="single" w:color="auto"/>
          <w:color w:val="auto"/>
        </w:rPr>
        <w:t>Brokers</w:t>
      </w:r>
      <w:r>
        <w:rPr>
          <w:rFonts w:ascii="Calibri" w:cs="Calibri" w:eastAsia="Calibri" w:hAnsi="Calibri"/>
          <w:sz w:val="22"/>
          <w:szCs w:val="22"/>
          <w:color w:val="auto"/>
        </w:rPr>
        <w:t>. Landlord and Tenant each represents and warrants to the other that they have not dealt with any</w:t>
      </w:r>
      <w:r>
        <w:rPr>
          <w:rFonts w:ascii="Times New Roman" w:cs="Times New Roman" w:eastAsia="Times New Roman" w:hAnsi="Times New Roman"/>
          <w:sz w:val="22"/>
          <w:szCs w:val="22"/>
          <w:color w:val="auto"/>
        </w:rPr>
        <w:t xml:space="preserve"> </w:t>
      </w:r>
      <w:r>
        <w:rPr>
          <w:rFonts w:ascii="Calibri" w:cs="Calibri" w:eastAsia="Calibri" w:hAnsi="Calibri"/>
          <w:sz w:val="22"/>
          <w:szCs w:val="22"/>
          <w:color w:val="auto"/>
        </w:rPr>
        <w:t>broker in connecton with this Fourth Amendment, other than Jones Lang LaSalle (as Landlord’s representatve) and Kidder Mathews of California (“</w:t>
      </w:r>
      <w:r>
        <w:rPr>
          <w:rFonts w:ascii="Calibri" w:cs="Calibri" w:eastAsia="Calibri" w:hAnsi="Calibri"/>
          <w:sz w:val="22"/>
          <w:szCs w:val="22"/>
          <w:b w:val="1"/>
          <w:bCs w:val="1"/>
          <w:color w:val="auto"/>
        </w:rPr>
        <w:t>Tenant’s Representatve</w:t>
      </w:r>
      <w:r>
        <w:rPr>
          <w:rFonts w:ascii="Calibri" w:cs="Calibri" w:eastAsia="Calibri" w:hAnsi="Calibri"/>
          <w:sz w:val="22"/>
          <w:szCs w:val="22"/>
          <w:color w:val="auto"/>
        </w:rPr>
        <w:t>”). Landlord and Tenant each agrees to defend, indemnify and hold the other harmless from and against all claims by any other broker for fees, commissions or other compensaton to the extent such broker alleges to have been retained by the indemnifying party in connecton with the executon of this Fourth Amendment. Landlord shall pay Tenant’s Representatve in accordance with that certain Kidder – Commission Agreement, dated as of May 21, 2024, by and between Landlord and Tenant’s Representatve.</w:t>
      </w:r>
    </w:p>
    <w:p>
      <w:pPr>
        <w:spacing w:after="0" w:line="178" w:lineRule="exact"/>
        <w:rPr>
          <w:sz w:val="20"/>
          <w:szCs w:val="20"/>
          <w:color w:val="auto"/>
        </w:rPr>
      </w:pPr>
    </w:p>
    <w:p>
      <w:pPr>
        <w:ind w:right="740" w:firstLine="749"/>
        <w:spacing w:after="0" w:line="241" w:lineRule="auto"/>
        <w:rPr>
          <w:sz w:val="20"/>
          <w:szCs w:val="20"/>
          <w:color w:val="auto"/>
        </w:rPr>
      </w:pPr>
      <w:r>
        <w:rPr>
          <w:rFonts w:ascii="Times New Roman" w:cs="Times New Roman" w:eastAsia="Times New Roman" w:hAnsi="Times New Roman"/>
          <w:sz w:val="22"/>
          <w:szCs w:val="22"/>
          <w:color w:val="auto"/>
        </w:rPr>
        <w:t>18.</w:t>
      </w:r>
      <w:r>
        <w:rPr>
          <w:rFonts w:ascii="Calibri" w:cs="Calibri" w:eastAsia="Calibri" w:hAnsi="Calibri"/>
          <w:sz w:val="22"/>
          <w:szCs w:val="22"/>
          <w:b w:val="1"/>
          <w:bCs w:val="1"/>
          <w:u w:val="single" w:color="auto"/>
          <w:color w:val="auto"/>
        </w:rPr>
        <w:t>Entre Agreement</w:t>
      </w:r>
      <w:r>
        <w:rPr>
          <w:rFonts w:ascii="Calibri" w:cs="Calibri" w:eastAsia="Calibri" w:hAnsi="Calibri"/>
          <w:sz w:val="22"/>
          <w:szCs w:val="22"/>
          <w:color w:val="auto"/>
        </w:rPr>
        <w:t>. This Fourth Amendment, together with the Lease, consttutes the entre agreement</w:t>
      </w:r>
      <w:r>
        <w:rPr>
          <w:rFonts w:ascii="Times New Roman" w:cs="Times New Roman" w:eastAsia="Times New Roman" w:hAnsi="Times New Roman"/>
          <w:sz w:val="22"/>
          <w:szCs w:val="22"/>
          <w:color w:val="auto"/>
        </w:rPr>
        <w:t xml:space="preserve"> </w:t>
      </w:r>
      <w:r>
        <w:rPr>
          <w:rFonts w:ascii="Calibri" w:cs="Calibri" w:eastAsia="Calibri" w:hAnsi="Calibri"/>
          <w:sz w:val="22"/>
          <w:szCs w:val="22"/>
          <w:color w:val="auto"/>
        </w:rPr>
        <w:t>between Landlord and Tenant regarding the Lease and the subject mater</w:t>
      </w:r>
    </w:p>
    <w:p>
      <w:pPr>
        <w:spacing w:after="0" w:line="200" w:lineRule="exact"/>
        <w:rPr>
          <w:sz w:val="20"/>
          <w:szCs w:val="20"/>
          <w:color w:val="auto"/>
        </w:rPr>
      </w:pPr>
    </w:p>
    <w:p>
      <w:pPr>
        <w:spacing w:after="0" w:line="268" w:lineRule="exact"/>
        <w:rPr>
          <w:sz w:val="20"/>
          <w:szCs w:val="20"/>
          <w:color w:val="auto"/>
        </w:rPr>
      </w:pPr>
    </w:p>
    <w:p>
      <w:pPr>
        <w:ind w:left="120" w:hanging="108"/>
        <w:spacing w:after="0"/>
        <w:tabs>
          <w:tab w:leader="none" w:pos="120" w:val="left"/>
        </w:tabs>
        <w:numPr>
          <w:ilvl w:val="0"/>
          <w:numId w:val="175"/>
        </w:numPr>
        <w:rPr>
          <w:rFonts w:ascii="Calibri" w:cs="Calibri" w:eastAsia="Calibri" w:hAnsi="Calibri"/>
          <w:sz w:val="24"/>
          <w:szCs w:val="24"/>
          <w:color w:val="auto"/>
          <w:vertAlign w:val="superscript"/>
        </w:rPr>
      </w:pPr>
      <w:r>
        <w:rPr>
          <w:rFonts w:ascii="Calibri" w:cs="Calibri" w:eastAsia="Calibri" w:hAnsi="Calibri"/>
          <w:sz w:val="18"/>
          <w:szCs w:val="18"/>
          <w:color w:val="auto"/>
        </w:rPr>
        <w:t>NTD: Tenant to provide proposed Exhibit A (removable installatons).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224790</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7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440" w:top="1395" w:right="679" w:bottom="1440" w:gutter="0" w:footer="0" w:header="0"/>
        </w:sectPr>
      </w:pPr>
    </w:p>
    <w:bookmarkStart w:id="197" w:name="page198"/>
    <w:bookmarkEnd w:id="197"/>
    <w:p>
      <w:pPr>
        <w:jc w:val="both"/>
        <w:ind w:left="20" w:right="20"/>
        <w:spacing w:after="0" w:line="237" w:lineRule="auto"/>
        <w:rPr>
          <w:sz w:val="20"/>
          <w:szCs w:val="20"/>
          <w:color w:val="auto"/>
        </w:rPr>
      </w:pPr>
      <w:r>
        <w:rPr>
          <w:rFonts w:ascii="Calibri" w:cs="Calibri" w:eastAsia="Calibri" w:hAnsi="Calibri"/>
          <w:sz w:val="22"/>
          <w:szCs w:val="22"/>
          <w:color w:val="auto"/>
        </w:rPr>
        <w:t>contained herein and supersedes any and all prior and/or contemporaneous oral or writen negotatons, agreement or understandings, except as otherwise expressly provided herein. This Fourth Amendment may not be amended or modifed except pursuant to a writen instrument executed by both Landlord and Tenant.</w:t>
      </w:r>
    </w:p>
    <w:p>
      <w:pPr>
        <w:spacing w:after="0" w:line="177" w:lineRule="exact"/>
        <w:rPr>
          <w:sz w:val="20"/>
          <w:szCs w:val="20"/>
          <w:color w:val="auto"/>
        </w:rPr>
      </w:pPr>
    </w:p>
    <w:p>
      <w:pPr>
        <w:jc w:val="both"/>
        <w:ind w:right="20" w:firstLine="749"/>
        <w:spacing w:after="0" w:line="241" w:lineRule="auto"/>
        <w:rPr>
          <w:sz w:val="20"/>
          <w:szCs w:val="20"/>
          <w:color w:val="auto"/>
        </w:rPr>
      </w:pPr>
      <w:r>
        <w:rPr>
          <w:rFonts w:ascii="Times New Roman" w:cs="Times New Roman" w:eastAsia="Times New Roman" w:hAnsi="Times New Roman"/>
          <w:sz w:val="22"/>
          <w:szCs w:val="22"/>
          <w:color w:val="auto"/>
        </w:rPr>
        <w:t>19.</w:t>
      </w:r>
      <w:r>
        <w:rPr>
          <w:rFonts w:ascii="Calibri" w:cs="Calibri" w:eastAsia="Calibri" w:hAnsi="Calibri"/>
          <w:sz w:val="22"/>
          <w:szCs w:val="22"/>
          <w:b w:val="1"/>
          <w:bCs w:val="1"/>
          <w:u w:val="single" w:color="auto"/>
          <w:color w:val="auto"/>
        </w:rPr>
        <w:t>Atorneys’ Fees</w:t>
      </w:r>
      <w:r>
        <w:rPr>
          <w:rFonts w:ascii="Calibri" w:cs="Calibri" w:eastAsia="Calibri" w:hAnsi="Calibri"/>
          <w:sz w:val="22"/>
          <w:szCs w:val="22"/>
          <w:color w:val="auto"/>
        </w:rPr>
        <w:t>. Should any suit be brought to enforce or interpret the terms of this Fourth Amendment or</w:t>
      </w:r>
      <w:r>
        <w:rPr>
          <w:rFonts w:ascii="Times New Roman" w:cs="Times New Roman" w:eastAsia="Times New Roman" w:hAnsi="Times New Roman"/>
          <w:sz w:val="22"/>
          <w:szCs w:val="22"/>
          <w:color w:val="auto"/>
        </w:rPr>
        <w:t xml:space="preserve"> </w:t>
      </w:r>
      <w:r>
        <w:rPr>
          <w:rFonts w:ascii="Calibri" w:cs="Calibri" w:eastAsia="Calibri" w:hAnsi="Calibri"/>
          <w:sz w:val="22"/>
          <w:szCs w:val="22"/>
          <w:color w:val="auto"/>
        </w:rPr>
        <w:t>any obligaton herein, the prevailing party, either by way of setlement or by fnal judgment, shall be enttled to recover its reasonable out-of-pocket atorneys’ fees, costs and expenses.</w:t>
      </w:r>
    </w:p>
    <w:p>
      <w:pPr>
        <w:spacing w:after="0" w:line="19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20.</w:t>
      </w:r>
      <w:r>
        <w:rPr>
          <w:rFonts w:ascii="Calibri" w:cs="Calibri" w:eastAsia="Calibri" w:hAnsi="Calibri"/>
          <w:sz w:val="22"/>
          <w:szCs w:val="22"/>
          <w:b w:val="1"/>
          <w:bCs w:val="1"/>
          <w:u w:val="single" w:color="auto"/>
          <w:color w:val="auto"/>
        </w:rPr>
        <w:t>Constructon</w:t>
      </w:r>
      <w:r>
        <w:rPr>
          <w:rFonts w:ascii="Calibri" w:cs="Calibri" w:eastAsia="Calibri" w:hAnsi="Calibri"/>
          <w:sz w:val="22"/>
          <w:szCs w:val="22"/>
          <w:color w:val="auto"/>
        </w:rPr>
        <w:t>. The headings used in this Fourth Amendment are for convenience and reference use only, and</w:t>
      </w:r>
      <w:r>
        <w:rPr>
          <w:rFonts w:ascii="Times New Roman" w:cs="Times New Roman" w:eastAsia="Times New Roman" w:hAnsi="Times New Roman"/>
          <w:sz w:val="22"/>
          <w:szCs w:val="22"/>
          <w:color w:val="auto"/>
        </w:rPr>
        <w:t xml:space="preserve"> </w:t>
      </w:r>
      <w:r>
        <w:rPr>
          <w:rFonts w:ascii="Calibri" w:cs="Calibri" w:eastAsia="Calibri" w:hAnsi="Calibri"/>
          <w:sz w:val="22"/>
          <w:szCs w:val="22"/>
          <w:color w:val="auto"/>
        </w:rPr>
        <w:t>are not to be considered in the constructon or interpretaton of this Fourth Amendment. The partes agree that each party and its legal counsel has reviewed or has had the opportunity to review this Fourth Amendment and that any rule of constructon to the efect that ambiguites are to be resolved against the drafing party shall not apply in any constructon or interpretaton of this Fourth Amendment.</w:t>
      </w:r>
    </w:p>
    <w:p>
      <w:pPr>
        <w:spacing w:after="0" w:line="177"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2"/>
          <w:szCs w:val="22"/>
          <w:color w:val="auto"/>
        </w:rPr>
        <w:t>21.</w:t>
      </w:r>
      <w:r>
        <w:rPr>
          <w:rFonts w:ascii="Calibri" w:cs="Calibri" w:eastAsia="Calibri" w:hAnsi="Calibri"/>
          <w:sz w:val="22"/>
          <w:szCs w:val="22"/>
          <w:b w:val="1"/>
          <w:bCs w:val="1"/>
          <w:u w:val="single" w:color="auto"/>
          <w:color w:val="auto"/>
        </w:rPr>
        <w:t>Governing Law</w:t>
      </w:r>
      <w:r>
        <w:rPr>
          <w:rFonts w:ascii="Calibri" w:cs="Calibri" w:eastAsia="Calibri" w:hAnsi="Calibri"/>
          <w:sz w:val="22"/>
          <w:szCs w:val="22"/>
          <w:color w:val="auto"/>
        </w:rPr>
        <w:t>. This Fourth Amendment shall be construed and enforced in accordance with the laws of the</w:t>
      </w:r>
      <w:r>
        <w:rPr>
          <w:rFonts w:ascii="Times New Roman" w:cs="Times New Roman" w:eastAsia="Times New Roman" w:hAnsi="Times New Roman"/>
          <w:sz w:val="22"/>
          <w:szCs w:val="22"/>
          <w:color w:val="auto"/>
        </w:rPr>
        <w:t xml:space="preserve"> </w:t>
      </w:r>
      <w:r>
        <w:rPr>
          <w:rFonts w:ascii="Calibri" w:cs="Calibri" w:eastAsia="Calibri" w:hAnsi="Calibri"/>
          <w:sz w:val="22"/>
          <w:szCs w:val="22"/>
          <w:color w:val="auto"/>
        </w:rPr>
        <w:t>state in which the Building is located applicable to contracts entered into in such state by partes residing therein.</w:t>
      </w:r>
    </w:p>
    <w:p>
      <w:pPr>
        <w:spacing w:after="0" w:line="174"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22.</w:t>
      </w:r>
      <w:r>
        <w:rPr>
          <w:rFonts w:ascii="Calibri" w:cs="Calibri" w:eastAsia="Calibri" w:hAnsi="Calibri"/>
          <w:sz w:val="21"/>
          <w:szCs w:val="21"/>
          <w:b w:val="1"/>
          <w:bCs w:val="1"/>
          <w:u w:val="single" w:color="auto"/>
          <w:color w:val="auto"/>
        </w:rPr>
        <w:t>Counterparts; Electronic Delivery</w:t>
      </w:r>
      <w:r>
        <w:rPr>
          <w:rFonts w:ascii="Calibri" w:cs="Calibri" w:eastAsia="Calibri" w:hAnsi="Calibri"/>
          <w:sz w:val="21"/>
          <w:szCs w:val="21"/>
          <w:color w:val="auto"/>
        </w:rPr>
        <w:t>. This Fourth Amendment may be executed in counterparts, each of which</w:t>
      </w:r>
      <w:r>
        <w:rPr>
          <w:rFonts w:ascii="Times New Roman" w:cs="Times New Roman" w:eastAsia="Times New Roman" w:hAnsi="Times New Roman"/>
          <w:sz w:val="21"/>
          <w:szCs w:val="21"/>
          <w:color w:val="auto"/>
        </w:rPr>
        <w:t xml:space="preserve"> </w:t>
      </w:r>
      <w:r>
        <w:rPr>
          <w:rFonts w:ascii="Calibri" w:cs="Calibri" w:eastAsia="Calibri" w:hAnsi="Calibri"/>
          <w:sz w:val="21"/>
          <w:szCs w:val="21"/>
          <w:color w:val="auto"/>
        </w:rPr>
        <w:t>shall be deemed a part of an original and all of which together shall consttute one (1) agreement. Signature pages may be detached from the counterparts and atached to a single copy of this Fourth Amendment to form one (1) document. Furthermore, this Fourth Amendment may be executed and delivered by electronic transmission. The partes intend that electronic (e.g. pdf format or DocuSign) signatures consttute original signatures and that an electronic copy or counterparts of this Fourth Amendment containing signatures (original or electronic) of a party is binding upon that party.</w:t>
      </w:r>
    </w:p>
    <w:p>
      <w:pPr>
        <w:spacing w:after="0" w:line="17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23.</w:t>
      </w:r>
      <w:r>
        <w:rPr>
          <w:rFonts w:ascii="Calibri" w:cs="Calibri" w:eastAsia="Calibri" w:hAnsi="Calibri"/>
          <w:sz w:val="22"/>
          <w:szCs w:val="22"/>
          <w:b w:val="1"/>
          <w:bCs w:val="1"/>
          <w:u w:val="single" w:color="auto"/>
          <w:color w:val="auto"/>
        </w:rPr>
        <w:t>Invalidity</w:t>
      </w:r>
      <w:r>
        <w:rPr>
          <w:rFonts w:ascii="Calibri" w:cs="Calibri" w:eastAsia="Calibri" w:hAnsi="Calibri"/>
          <w:sz w:val="22"/>
          <w:szCs w:val="22"/>
          <w:color w:val="auto"/>
        </w:rPr>
        <w:t>. If any provision of this Fourth Amendment is invalid or unenforceable under applicable law, such</w:t>
      </w:r>
      <w:r>
        <w:rPr>
          <w:rFonts w:ascii="Times New Roman" w:cs="Times New Roman" w:eastAsia="Times New Roman" w:hAnsi="Times New Roman"/>
          <w:sz w:val="22"/>
          <w:szCs w:val="22"/>
          <w:color w:val="auto"/>
        </w:rPr>
        <w:t xml:space="preserve"> </w:t>
      </w:r>
      <w:r>
        <w:rPr>
          <w:rFonts w:ascii="Calibri" w:cs="Calibri" w:eastAsia="Calibri" w:hAnsi="Calibri"/>
          <w:sz w:val="22"/>
          <w:szCs w:val="22"/>
          <w:color w:val="auto"/>
        </w:rPr>
        <w:t>invalidity or unenforceability shall not afect the validity and enforceability of the remaining provisions of this Fourth Amendment.</w:t>
      </w:r>
    </w:p>
    <w:p>
      <w:pPr>
        <w:spacing w:after="0" w:line="189" w:lineRule="exact"/>
        <w:rPr>
          <w:sz w:val="20"/>
          <w:szCs w:val="20"/>
          <w:color w:val="auto"/>
        </w:rPr>
      </w:pPr>
    </w:p>
    <w:p>
      <w:pPr>
        <w:ind w:left="20" w:right="220" w:firstLine="749"/>
        <w:spacing w:after="0" w:line="235" w:lineRule="auto"/>
        <w:rPr>
          <w:sz w:val="20"/>
          <w:szCs w:val="20"/>
          <w:color w:val="auto"/>
        </w:rPr>
      </w:pPr>
      <w:r>
        <w:rPr>
          <w:rFonts w:ascii="Calibri" w:cs="Calibri" w:eastAsia="Calibri" w:hAnsi="Calibri"/>
          <w:sz w:val="22"/>
          <w:szCs w:val="22"/>
          <w:b w:val="1"/>
          <w:bCs w:val="1"/>
          <w:color w:val="auto"/>
        </w:rPr>
        <w:t>IN WITNESS WHEREOF</w:t>
      </w:r>
      <w:r>
        <w:rPr>
          <w:rFonts w:ascii="Calibri" w:cs="Calibri" w:eastAsia="Calibri" w:hAnsi="Calibri"/>
          <w:sz w:val="22"/>
          <w:szCs w:val="22"/>
          <w:color w:val="auto"/>
        </w:rPr>
        <w:t>, Landlord and Tenant have executed this Fourth Amendment as of the day and year frst</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writen above.</w:t>
      </w:r>
    </w:p>
    <w:p>
      <w:pPr>
        <w:spacing w:after="0" w:line="220" w:lineRule="exact"/>
        <w:rPr>
          <w:sz w:val="20"/>
          <w:szCs w:val="20"/>
          <w:color w:val="auto"/>
        </w:rPr>
      </w:pPr>
    </w:p>
    <w:p>
      <w:pPr>
        <w:ind w:left="20"/>
        <w:spacing w:after="0"/>
        <w:rPr>
          <w:sz w:val="20"/>
          <w:szCs w:val="20"/>
          <w:color w:val="auto"/>
        </w:rPr>
      </w:pPr>
      <w:r>
        <w:rPr>
          <w:rFonts w:ascii="Calibri" w:cs="Calibri" w:eastAsia="Calibri" w:hAnsi="Calibri"/>
          <w:sz w:val="22"/>
          <w:szCs w:val="22"/>
          <w:b w:val="1"/>
          <w:bCs w:val="1"/>
          <w:color w:val="auto"/>
        </w:rPr>
        <w:t>LANDLORD</w:t>
      </w:r>
      <w:r>
        <w:rPr>
          <w:rFonts w:ascii="Calibri" w:cs="Calibri" w:eastAsia="Calibri" w:hAnsi="Calibri"/>
          <w:sz w:val="22"/>
          <w:szCs w:val="22"/>
          <w:color w:val="auto"/>
        </w:rPr>
        <w:t>:</w:t>
      </w:r>
      <w:r>
        <w:rPr>
          <w:rFonts w:ascii="Calibri" w:cs="Calibri" w:eastAsia="Calibri" w:hAnsi="Calibri"/>
          <w:sz w:val="22"/>
          <w:szCs w:val="22"/>
          <w:b w:val="1"/>
          <w:bCs w:val="1"/>
          <w:color w:val="auto"/>
        </w:rPr>
        <w:t xml:space="preserve"> TENANT</w:t>
      </w:r>
      <w:r>
        <w:rPr>
          <w:rFonts w:ascii="Calibri" w:cs="Calibri" w:eastAsia="Calibri" w:hAnsi="Calibri"/>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7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440" w:top="1407" w:right="679" w:bottom="1440" w:gutter="0" w:footer="0" w:header="0"/>
        </w:sectPr>
      </w:pPr>
    </w:p>
    <w:bookmarkStart w:id="198" w:name="page199"/>
    <w:bookmarkEnd w:id="198"/>
    <w:p>
      <w:pPr>
        <w:spacing w:after="0"/>
        <w:rPr>
          <w:sz w:val="20"/>
          <w:szCs w:val="20"/>
          <w:color w:val="auto"/>
        </w:rPr>
      </w:pPr>
      <w:r>
        <w:rPr>
          <w:rFonts w:ascii="Calibri" w:cs="Calibri" w:eastAsia="Calibri" w:hAnsi="Calibri"/>
          <w:sz w:val="22"/>
          <w:szCs w:val="22"/>
          <w:color w:val="auto"/>
        </w:rPr>
        <w:t>GI ETS SHORELINE LLC,</w:t>
      </w:r>
    </w:p>
    <w:p>
      <w:pPr>
        <w:spacing w:after="0" w:line="12" w:lineRule="exact"/>
        <w:rPr>
          <w:sz w:val="20"/>
          <w:szCs w:val="20"/>
          <w:color w:val="auto"/>
        </w:rPr>
      </w:pPr>
    </w:p>
    <w:p>
      <w:pPr>
        <w:spacing w:after="0"/>
        <w:rPr>
          <w:sz w:val="20"/>
          <w:szCs w:val="20"/>
          <w:color w:val="auto"/>
        </w:rPr>
      </w:pPr>
      <w:r>
        <w:rPr>
          <w:rFonts w:ascii="Calibri" w:cs="Calibri" w:eastAsia="Calibri" w:hAnsi="Calibri"/>
          <w:sz w:val="21"/>
          <w:szCs w:val="21"/>
          <w:color w:val="auto"/>
        </w:rPr>
        <w:t>a Delaware limited liability company</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Calibri" w:cs="Calibri" w:eastAsia="Calibri" w:hAnsi="Calibri"/>
          <w:sz w:val="22"/>
          <w:szCs w:val="22"/>
          <w:color w:val="auto"/>
        </w:rPr>
        <w:t>Approved and Executed By:</w:t>
      </w:r>
    </w:p>
    <w:p>
      <w:pPr>
        <w:spacing w:after="0" w:line="271" w:lineRule="exact"/>
        <w:rPr>
          <w:sz w:val="20"/>
          <w:szCs w:val="20"/>
          <w:color w:val="auto"/>
        </w:rPr>
      </w:pPr>
    </w:p>
    <w:p>
      <w:pPr>
        <w:spacing w:after="0"/>
        <w:rPr>
          <w:sz w:val="20"/>
          <w:szCs w:val="20"/>
          <w:color w:val="auto"/>
        </w:rPr>
      </w:pPr>
      <w:r>
        <w:rPr>
          <w:rFonts w:ascii="Calibri" w:cs="Calibri" w:eastAsia="Calibri" w:hAnsi="Calibri"/>
          <w:sz w:val="22"/>
          <w:szCs w:val="22"/>
          <w:color w:val="auto"/>
        </w:rPr>
        <w:t xml:space="preserve">By: </w:t>
      </w:r>
      <w:r>
        <w:rPr>
          <w:rFonts w:ascii="Calibri" w:cs="Calibri" w:eastAsia="Calibri" w:hAnsi="Calibri"/>
          <w:sz w:val="22"/>
          <w:szCs w:val="22"/>
          <w:u w:val="single" w:color="auto"/>
          <w:color w:val="auto"/>
        </w:rPr>
        <w:t>/s David Boehle</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Name: David Boehle</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 xml:space="preserve">Title: </w:t>
      </w:r>
      <w:r>
        <w:rPr>
          <w:rFonts w:ascii="Calibri" w:cs="Calibri" w:eastAsia="Calibri" w:hAnsi="Calibri"/>
          <w:sz w:val="22"/>
          <w:szCs w:val="22"/>
          <w:u w:val="single" w:color="auto"/>
          <w:color w:val="auto"/>
        </w:rPr>
        <w:t>Director</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418465</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7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99"/>
          </w:cols>
          <w:pgMar w:left="460" w:top="1397" w:right="1440" w:bottom="1440" w:gutter="0" w:footer="0" w:header="0"/>
        </w:sectPr>
      </w:pPr>
    </w:p>
    <w:bookmarkStart w:id="199" w:name="page200"/>
    <w:bookmarkEnd w:id="199"/>
    <w:p>
      <w:pPr>
        <w:ind w:left="140"/>
        <w:spacing w:after="0"/>
        <w:rPr>
          <w:sz w:val="20"/>
          <w:szCs w:val="20"/>
          <w:color w:val="auto"/>
        </w:rPr>
      </w:pPr>
      <w:r>
        <w:rPr>
          <w:rFonts w:ascii="Calibri" w:cs="Calibri" w:eastAsia="Calibri" w:hAnsi="Calibri"/>
          <w:sz w:val="21"/>
          <w:szCs w:val="21"/>
          <w:color w:val="auto"/>
        </w:rPr>
        <w:t>ULTRAGENYX PHARMACEUTICAL INC.,</w:t>
      </w:r>
    </w:p>
    <w:p>
      <w:pPr>
        <w:spacing w:after="0" w:line="3" w:lineRule="exact"/>
        <w:rPr>
          <w:sz w:val="20"/>
          <w:szCs w:val="20"/>
          <w:color w:val="auto"/>
        </w:rPr>
      </w:pPr>
    </w:p>
    <w:p>
      <w:pPr>
        <w:ind w:left="140"/>
        <w:spacing w:after="0"/>
        <w:rPr>
          <w:sz w:val="20"/>
          <w:szCs w:val="20"/>
          <w:color w:val="auto"/>
        </w:rPr>
      </w:pPr>
      <w:r>
        <w:rPr>
          <w:rFonts w:ascii="Calibri" w:cs="Calibri" w:eastAsia="Calibri" w:hAnsi="Calibri"/>
          <w:sz w:val="22"/>
          <w:szCs w:val="22"/>
          <w:color w:val="auto"/>
        </w:rPr>
        <w:t>a Delaware corporaton</w:t>
      </w:r>
    </w:p>
    <w:p>
      <w:pPr>
        <w:spacing w:after="0" w:line="200" w:lineRule="exact"/>
        <w:rPr>
          <w:sz w:val="20"/>
          <w:szCs w:val="20"/>
          <w:color w:val="auto"/>
        </w:rPr>
      </w:pPr>
    </w:p>
    <w:p>
      <w:pPr>
        <w:spacing w:after="0" w:line="341" w:lineRule="exact"/>
        <w:rPr>
          <w:sz w:val="20"/>
          <w:szCs w:val="20"/>
          <w:color w:val="auto"/>
        </w:rPr>
      </w:pPr>
    </w:p>
    <w:p>
      <w:pPr>
        <w:ind w:left="140"/>
        <w:spacing w:after="0"/>
        <w:rPr>
          <w:sz w:val="20"/>
          <w:szCs w:val="20"/>
          <w:color w:val="auto"/>
        </w:rPr>
      </w:pPr>
      <w:r>
        <w:rPr>
          <w:rFonts w:ascii="Calibri" w:cs="Calibri" w:eastAsia="Calibri" w:hAnsi="Calibri"/>
          <w:sz w:val="22"/>
          <w:szCs w:val="22"/>
          <w:color w:val="auto"/>
        </w:rPr>
        <w:t>Approved and Executed By:</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u w:val="single" w:color="auto"/>
          <w:color w:val="auto"/>
        </w:rPr>
        <w:t>/s/ Emil Kakkis</w:t>
      </w:r>
    </w:p>
    <w:p>
      <w:pPr>
        <w:spacing w:after="0" w:line="1" w:lineRule="exact"/>
        <w:rPr>
          <w:sz w:val="20"/>
          <w:szCs w:val="20"/>
          <w:color w:val="auto"/>
        </w:rPr>
      </w:pPr>
    </w:p>
    <w:p>
      <w:pPr>
        <w:ind w:left="140"/>
        <w:spacing w:after="0"/>
        <w:rPr>
          <w:sz w:val="20"/>
          <w:szCs w:val="20"/>
          <w:color w:val="auto"/>
        </w:rPr>
      </w:pPr>
      <w:r>
        <w:rPr>
          <w:rFonts w:ascii="Calibri" w:cs="Calibri" w:eastAsia="Calibri" w:hAnsi="Calibri"/>
          <w:sz w:val="22"/>
          <w:szCs w:val="22"/>
          <w:color w:val="auto"/>
        </w:rPr>
        <w:t>Name: Emil Kakkis</w:t>
      </w:r>
    </w:p>
    <w:p>
      <w:pPr>
        <w:spacing w:after="0" w:line="1" w:lineRule="exact"/>
        <w:rPr>
          <w:sz w:val="20"/>
          <w:szCs w:val="20"/>
          <w:color w:val="auto"/>
        </w:rPr>
      </w:pPr>
    </w:p>
    <w:p>
      <w:pPr>
        <w:ind w:left="140"/>
        <w:spacing w:after="0"/>
        <w:rPr>
          <w:sz w:val="20"/>
          <w:szCs w:val="20"/>
          <w:color w:val="auto"/>
        </w:rPr>
      </w:pPr>
      <w:r>
        <w:rPr>
          <w:rFonts w:ascii="Calibri" w:cs="Calibri" w:eastAsia="Calibri" w:hAnsi="Calibri"/>
          <w:sz w:val="22"/>
          <w:szCs w:val="22"/>
          <w:color w:val="auto"/>
        </w:rPr>
        <w:t>Title: Chief Executve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7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7" w:right="1440" w:bottom="1440" w:gutter="0" w:footer="0" w:header="0"/>
        </w:sectPr>
      </w:pPr>
    </w:p>
    <w:bookmarkStart w:id="200" w:name="page201"/>
    <w:bookmarkEnd w:id="200"/>
    <w:p>
      <w:pPr>
        <w:ind w:left="8840"/>
        <w:spacing w:after="0"/>
        <w:rPr>
          <w:sz w:val="20"/>
          <w:szCs w:val="20"/>
          <w:color w:val="auto"/>
        </w:rPr>
      </w:pPr>
      <w:r>
        <w:rPr>
          <w:rFonts w:ascii="Calibri" w:cs="Calibri" w:eastAsia="Calibri" w:hAnsi="Calibri"/>
          <w:sz w:val="18"/>
          <w:szCs w:val="18"/>
          <w:b w:val="1"/>
          <w:bCs w:val="1"/>
          <w:u w:val="single" w:color="auto"/>
          <w:color w:val="auto"/>
        </w:rPr>
        <w:t>Exhibit 10.93</w:t>
      </w:r>
    </w:p>
    <w:p>
      <w:pPr>
        <w:spacing w:after="0" w:line="65"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b w:val="1"/>
          <w:bCs w:val="1"/>
          <w:u w:val="single" w:color="auto"/>
          <w:color w:val="auto"/>
        </w:rPr>
        <w:t>FIRST AMENDMENT TO LEASE</w:t>
      </w:r>
    </w:p>
    <w:p>
      <w:pPr>
        <w:spacing w:after="0" w:line="228" w:lineRule="exact"/>
        <w:rPr>
          <w:sz w:val="20"/>
          <w:szCs w:val="20"/>
          <w:color w:val="auto"/>
        </w:rPr>
      </w:pPr>
    </w:p>
    <w:p>
      <w:pPr>
        <w:ind w:left="20" w:right="300" w:firstLine="749"/>
        <w:spacing w:after="0" w:line="252" w:lineRule="auto"/>
        <w:rPr>
          <w:sz w:val="20"/>
          <w:szCs w:val="20"/>
          <w:color w:val="auto"/>
        </w:rPr>
      </w:pPr>
      <w:r>
        <w:rPr>
          <w:rFonts w:ascii="Calibri" w:cs="Calibri" w:eastAsia="Calibri" w:hAnsi="Calibri"/>
          <w:sz w:val="21"/>
          <w:szCs w:val="21"/>
          <w:color w:val="auto"/>
        </w:rPr>
        <w:t>This First Amendment to Lease (this “</w:t>
      </w:r>
      <w:r>
        <w:rPr>
          <w:rFonts w:ascii="Calibri" w:cs="Calibri" w:eastAsia="Calibri" w:hAnsi="Calibri"/>
          <w:sz w:val="21"/>
          <w:szCs w:val="21"/>
          <w:u w:val="single" w:color="auto"/>
          <w:color w:val="auto"/>
        </w:rPr>
        <w:t>Amendment</w:t>
      </w:r>
      <w:r>
        <w:rPr>
          <w:rFonts w:ascii="Calibri" w:cs="Calibri" w:eastAsia="Calibri" w:hAnsi="Calibri"/>
          <w:sz w:val="21"/>
          <w:szCs w:val="21"/>
          <w:color w:val="auto"/>
        </w:rPr>
        <w:t>”) is made and entered into as of March 12, 2024, by and BRICKBOTTOM I QOZB LP, a Delaware limited partnership transactng business in Massachusets as BRICKBOTTOM I QOZB LIMITED PARTNERSHIP (“</w:t>
      </w:r>
      <w:r>
        <w:rPr>
          <w:rFonts w:ascii="Calibri" w:cs="Calibri" w:eastAsia="Calibri" w:hAnsi="Calibri"/>
          <w:sz w:val="21"/>
          <w:szCs w:val="21"/>
          <w:u w:val="single" w:color="auto"/>
          <w:color w:val="auto"/>
        </w:rPr>
        <w:t>Landlord</w:t>
      </w:r>
      <w:r>
        <w:rPr>
          <w:rFonts w:ascii="Calibri" w:cs="Calibri" w:eastAsia="Calibri" w:hAnsi="Calibri"/>
          <w:sz w:val="21"/>
          <w:szCs w:val="21"/>
          <w:color w:val="auto"/>
        </w:rPr>
        <w:t>”), and ULTRAGENYX PHARMACEUTICAL INC., a Delaware corporaton (“</w:t>
      </w:r>
      <w:r>
        <w:rPr>
          <w:rFonts w:ascii="Calibri" w:cs="Calibri" w:eastAsia="Calibri" w:hAnsi="Calibri"/>
          <w:sz w:val="21"/>
          <w:szCs w:val="21"/>
          <w:u w:val="single" w:color="auto"/>
          <w:color w:val="auto"/>
        </w:rPr>
        <w:t>Tenant</w:t>
      </w:r>
      <w:r>
        <w:rPr>
          <w:rFonts w:ascii="Calibri" w:cs="Calibri" w:eastAsia="Calibri" w:hAnsi="Calibri"/>
          <w:sz w:val="21"/>
          <w:szCs w:val="21"/>
          <w:color w:val="auto"/>
        </w:rPr>
        <w:t>”).</w:t>
      </w:r>
    </w:p>
    <w:p>
      <w:pPr>
        <w:spacing w:after="0" w:line="206"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b w:val="1"/>
          <w:bCs w:val="1"/>
          <w:color w:val="auto"/>
        </w:rPr>
        <w:t>W I T N E S S E T H:</w:t>
      </w:r>
    </w:p>
    <w:p>
      <w:pPr>
        <w:spacing w:after="0" w:line="230" w:lineRule="exact"/>
        <w:rPr>
          <w:sz w:val="20"/>
          <w:szCs w:val="20"/>
          <w:color w:val="auto"/>
        </w:rPr>
      </w:pPr>
    </w:p>
    <w:p>
      <w:pPr>
        <w:ind w:left="20" w:right="180" w:firstLine="749"/>
        <w:spacing w:after="0" w:line="237" w:lineRule="auto"/>
        <w:rPr>
          <w:sz w:val="20"/>
          <w:szCs w:val="20"/>
          <w:color w:val="auto"/>
        </w:rPr>
      </w:pPr>
      <w:r>
        <w:rPr>
          <w:rFonts w:ascii="Calibri" w:cs="Calibri" w:eastAsia="Calibri" w:hAnsi="Calibri"/>
          <w:sz w:val="22"/>
          <w:szCs w:val="22"/>
          <w:color w:val="auto"/>
        </w:rPr>
        <w:t>WHEREAS, Landlord and Tenant are partes to a Lease dated August 18, 2022 (the “</w:t>
      </w:r>
      <w:r>
        <w:rPr>
          <w:rFonts w:ascii="Calibri" w:cs="Calibri" w:eastAsia="Calibri" w:hAnsi="Calibri"/>
          <w:sz w:val="22"/>
          <w:szCs w:val="22"/>
          <w:u w:val="single" w:color="auto"/>
          <w:color w:val="auto"/>
        </w:rPr>
        <w:t>Lease</w:t>
      </w:r>
      <w:r>
        <w:rPr>
          <w:rFonts w:ascii="Calibri" w:cs="Calibri" w:eastAsia="Calibri" w:hAnsi="Calibri"/>
          <w:sz w:val="22"/>
          <w:szCs w:val="22"/>
          <w:color w:val="auto"/>
        </w:rPr>
        <w:t>”), whereby Tenant leases from Landlord certain premises (the “</w:t>
      </w:r>
      <w:r>
        <w:rPr>
          <w:rFonts w:ascii="Calibri" w:cs="Calibri" w:eastAsia="Calibri" w:hAnsi="Calibri"/>
          <w:sz w:val="22"/>
          <w:szCs w:val="22"/>
          <w:u w:val="single" w:color="auto"/>
          <w:color w:val="auto"/>
        </w:rPr>
        <w:t>Premises</w:t>
      </w:r>
      <w:r>
        <w:rPr>
          <w:rFonts w:ascii="Calibri" w:cs="Calibri" w:eastAsia="Calibri" w:hAnsi="Calibri"/>
          <w:sz w:val="22"/>
          <w:szCs w:val="22"/>
          <w:color w:val="auto"/>
        </w:rPr>
        <w:t>”) in the building located at 100 Chestnut Street, Somerville, Massachusets (the “</w:t>
      </w:r>
      <w:r>
        <w:rPr>
          <w:rFonts w:ascii="Calibri" w:cs="Calibri" w:eastAsia="Calibri" w:hAnsi="Calibri"/>
          <w:sz w:val="22"/>
          <w:szCs w:val="22"/>
          <w:u w:val="single" w:color="auto"/>
          <w:color w:val="auto"/>
        </w:rPr>
        <w:t>Building</w:t>
      </w:r>
      <w:r>
        <w:rPr>
          <w:rFonts w:ascii="Calibri" w:cs="Calibri" w:eastAsia="Calibri" w:hAnsi="Calibri"/>
          <w:sz w:val="22"/>
          <w:szCs w:val="22"/>
          <w:color w:val="auto"/>
        </w:rPr>
        <w:t>”), as more partcularly described in the Lease; and</w:t>
      </w:r>
    </w:p>
    <w:p>
      <w:pPr>
        <w:spacing w:after="0" w:line="230" w:lineRule="exact"/>
        <w:rPr>
          <w:sz w:val="20"/>
          <w:szCs w:val="20"/>
          <w:color w:val="auto"/>
        </w:rPr>
      </w:pPr>
    </w:p>
    <w:p>
      <w:pPr>
        <w:ind w:left="20" w:right="200" w:firstLine="749"/>
        <w:spacing w:after="0" w:line="237" w:lineRule="auto"/>
        <w:rPr>
          <w:sz w:val="20"/>
          <w:szCs w:val="20"/>
          <w:color w:val="auto"/>
        </w:rPr>
      </w:pPr>
      <w:r>
        <w:rPr>
          <w:rFonts w:ascii="Calibri" w:cs="Calibri" w:eastAsia="Calibri" w:hAnsi="Calibri"/>
          <w:sz w:val="22"/>
          <w:szCs w:val="22"/>
          <w:color w:val="auto"/>
        </w:rPr>
        <w:t>WHEREAS, Landlord and Tenant desire to amend the Lease to provide for the performance of certain additonal improvements by Landlord and the temporary increase in the number of parking spaces provided to Tenant, subject to and upon the terms and conditons hereinafer provided.</w:t>
      </w:r>
    </w:p>
    <w:p>
      <w:pPr>
        <w:spacing w:after="0" w:line="230" w:lineRule="exact"/>
        <w:rPr>
          <w:sz w:val="20"/>
          <w:szCs w:val="20"/>
          <w:color w:val="auto"/>
        </w:rPr>
      </w:pPr>
    </w:p>
    <w:p>
      <w:pPr>
        <w:ind w:left="20" w:firstLine="749"/>
        <w:spacing w:after="0" w:line="235" w:lineRule="auto"/>
        <w:rPr>
          <w:sz w:val="20"/>
          <w:szCs w:val="20"/>
          <w:color w:val="auto"/>
        </w:rPr>
      </w:pPr>
      <w:r>
        <w:rPr>
          <w:rFonts w:ascii="Calibri" w:cs="Calibri" w:eastAsia="Calibri" w:hAnsi="Calibri"/>
          <w:sz w:val="22"/>
          <w:szCs w:val="22"/>
          <w:color w:val="auto"/>
        </w:rPr>
        <w:t>NOW, THEREFORE, in consideraton of the foregoing and for other consideraton the mutual receipt and sufciency of which are hereby acknowledged, Landlord and Tenant agree that the Lease is hereby amended as follows:</w:t>
      </w:r>
    </w:p>
    <w:p>
      <w:pPr>
        <w:spacing w:after="0" w:line="218" w:lineRule="exact"/>
        <w:rPr>
          <w:sz w:val="20"/>
          <w:szCs w:val="20"/>
          <w:color w:val="auto"/>
        </w:rPr>
      </w:pPr>
    </w:p>
    <w:p>
      <w:pPr>
        <w:ind w:right="1160" w:firstLine="749"/>
        <w:spacing w:after="0" w:line="242" w:lineRule="auto"/>
        <w:rPr>
          <w:sz w:val="20"/>
          <w:szCs w:val="20"/>
          <w:color w:val="auto"/>
        </w:rPr>
      </w:pPr>
      <w:r>
        <w:rPr>
          <w:rFonts w:ascii="Times New Roman" w:cs="Times New Roman" w:eastAsia="Times New Roman" w:hAnsi="Times New Roman"/>
          <w:sz w:val="22"/>
          <w:szCs w:val="22"/>
          <w:color w:val="auto"/>
        </w:rPr>
        <w:t>1.</w:t>
      </w:r>
      <w:r>
        <w:rPr>
          <w:rFonts w:ascii="Calibri" w:cs="Calibri" w:eastAsia="Calibri" w:hAnsi="Calibri"/>
          <w:sz w:val="22"/>
          <w:szCs w:val="22"/>
          <w:color w:val="auto"/>
        </w:rPr>
        <w:t>Unless otherwise defned herein, all capitalized terms shall have the same meaning as they have been</w:t>
      </w:r>
      <w:r>
        <w:rPr>
          <w:rFonts w:ascii="Times New Roman" w:cs="Times New Roman" w:eastAsia="Times New Roman" w:hAnsi="Times New Roman"/>
          <w:sz w:val="22"/>
          <w:szCs w:val="22"/>
          <w:color w:val="auto"/>
        </w:rPr>
        <w:t xml:space="preserve"> </w:t>
      </w:r>
      <w:r>
        <w:rPr>
          <w:rFonts w:ascii="Calibri" w:cs="Calibri" w:eastAsia="Calibri" w:hAnsi="Calibri"/>
          <w:sz w:val="22"/>
          <w:szCs w:val="22"/>
          <w:color w:val="auto"/>
        </w:rPr>
        <w:t>assigned in the Lease.</w:t>
      </w:r>
    </w:p>
    <w:p>
      <w:pPr>
        <w:spacing w:after="0" w:line="214" w:lineRule="exact"/>
        <w:rPr>
          <w:sz w:val="20"/>
          <w:szCs w:val="20"/>
          <w:color w:val="auto"/>
        </w:rPr>
      </w:pPr>
    </w:p>
    <w:p>
      <w:pPr>
        <w:ind w:right="1100" w:firstLine="749"/>
        <w:spacing w:after="0" w:line="241" w:lineRule="auto"/>
        <w:rPr>
          <w:sz w:val="20"/>
          <w:szCs w:val="20"/>
          <w:color w:val="auto"/>
        </w:rPr>
      </w:pPr>
      <w:r>
        <w:rPr>
          <w:rFonts w:ascii="Times New Roman" w:cs="Times New Roman" w:eastAsia="Times New Roman" w:hAnsi="Times New Roman"/>
          <w:sz w:val="22"/>
          <w:szCs w:val="22"/>
          <w:color w:val="auto"/>
        </w:rPr>
        <w:t>2.</w:t>
      </w:r>
      <w:r>
        <w:rPr>
          <w:rFonts w:ascii="Calibri" w:cs="Calibri" w:eastAsia="Calibri" w:hAnsi="Calibri"/>
          <w:sz w:val="22"/>
          <w:szCs w:val="22"/>
          <w:color w:val="auto"/>
        </w:rPr>
        <w:t>Landlord shall, not later than April 30, 2024, and at Landlord’s sole cost and expense, install a Building-standard WiFi/LTE booster or extender at the Building.</w:t>
      </w:r>
    </w:p>
    <w:p>
      <w:pPr>
        <w:spacing w:after="0" w:line="217" w:lineRule="exact"/>
        <w:rPr>
          <w:sz w:val="20"/>
          <w:szCs w:val="20"/>
          <w:color w:val="auto"/>
        </w:rPr>
      </w:pPr>
    </w:p>
    <w:p>
      <w:pPr>
        <w:ind w:right="700" w:firstLine="741"/>
        <w:spacing w:after="0" w:line="241" w:lineRule="auto"/>
        <w:rPr>
          <w:sz w:val="20"/>
          <w:szCs w:val="20"/>
          <w:color w:val="auto"/>
        </w:rPr>
      </w:pPr>
      <w:r>
        <w:rPr>
          <w:rFonts w:ascii="Times New Roman" w:cs="Times New Roman" w:eastAsia="Times New Roman" w:hAnsi="Times New Roman"/>
          <w:sz w:val="22"/>
          <w:szCs w:val="22"/>
          <w:color w:val="auto"/>
        </w:rPr>
        <w:t>3.</w:t>
      </w:r>
      <w:r>
        <w:rPr>
          <w:rFonts w:ascii="Calibri" w:cs="Calibri" w:eastAsia="Calibri" w:hAnsi="Calibri"/>
          <w:sz w:val="22"/>
          <w:szCs w:val="22"/>
          <w:color w:val="auto"/>
        </w:rPr>
        <w:t>The third paragraph of Secton 3.3(c) of the Lease is hereby amended by insertng the following as the third</w:t>
      </w:r>
      <w:r>
        <w:rPr>
          <w:rFonts w:ascii="Times New Roman" w:cs="Times New Roman" w:eastAsia="Times New Roman" w:hAnsi="Times New Roman"/>
          <w:sz w:val="22"/>
          <w:szCs w:val="22"/>
          <w:color w:val="auto"/>
        </w:rPr>
        <w:t xml:space="preserve"> </w:t>
      </w:r>
      <w:r>
        <w:rPr>
          <w:rFonts w:ascii="Calibri" w:cs="Calibri" w:eastAsia="Calibri" w:hAnsi="Calibri"/>
          <w:sz w:val="22"/>
          <w:szCs w:val="22"/>
          <w:color w:val="auto"/>
        </w:rPr>
        <w:t>sentence thereof:</w:t>
      </w:r>
    </w:p>
    <w:p>
      <w:pPr>
        <w:spacing w:after="0" w:line="121" w:lineRule="exact"/>
        <w:rPr>
          <w:sz w:val="20"/>
          <w:szCs w:val="20"/>
          <w:color w:val="auto"/>
        </w:rPr>
      </w:pPr>
    </w:p>
    <w:p>
      <w:pPr>
        <w:jc w:val="both"/>
        <w:ind w:left="760" w:right="840"/>
        <w:spacing w:after="0" w:line="237" w:lineRule="auto"/>
        <w:rPr>
          <w:sz w:val="20"/>
          <w:szCs w:val="20"/>
          <w:color w:val="auto"/>
        </w:rPr>
      </w:pPr>
      <w:r>
        <w:rPr>
          <w:rFonts w:ascii="Calibri" w:cs="Calibri" w:eastAsia="Calibri" w:hAnsi="Calibri"/>
          <w:sz w:val="22"/>
          <w:szCs w:val="22"/>
          <w:color w:val="auto"/>
        </w:rPr>
        <w:t>Notwithstanding anything herein to the contrary, the hard costs of Tenant’s Work shall not include the frst Ninety Thousand and 00/100 Dollars ($90,000.00) of the costs of Tenant’s Work in excess of the Maximum Turnkey Amount.</w:t>
      </w:r>
    </w:p>
    <w:p>
      <w:pPr>
        <w:spacing w:after="0" w:line="218" w:lineRule="exact"/>
        <w:rPr>
          <w:sz w:val="20"/>
          <w:szCs w:val="20"/>
          <w:color w:val="auto"/>
        </w:rPr>
      </w:pPr>
    </w:p>
    <w:p>
      <w:pPr>
        <w:ind w:right="420" w:firstLine="741"/>
        <w:spacing w:after="0" w:line="242" w:lineRule="auto"/>
        <w:rPr>
          <w:sz w:val="20"/>
          <w:szCs w:val="20"/>
          <w:color w:val="auto"/>
        </w:rPr>
      </w:pPr>
      <w:r>
        <w:rPr>
          <w:rFonts w:ascii="Times New Roman" w:cs="Times New Roman" w:eastAsia="Times New Roman" w:hAnsi="Times New Roman"/>
          <w:sz w:val="22"/>
          <w:szCs w:val="22"/>
          <w:color w:val="auto"/>
        </w:rPr>
        <w:t>4.</w:t>
      </w:r>
      <w:r>
        <w:rPr>
          <w:rFonts w:ascii="Calibri" w:cs="Calibri" w:eastAsia="Calibri" w:hAnsi="Calibri"/>
          <w:sz w:val="22"/>
          <w:szCs w:val="22"/>
          <w:color w:val="auto"/>
        </w:rPr>
        <w:t>The second sentence of the second paragraph of Secton 3.6 of the Lease is hereby deleted and in its place the</w:t>
      </w:r>
      <w:r>
        <w:rPr>
          <w:rFonts w:ascii="Times New Roman" w:cs="Times New Roman" w:eastAsia="Times New Roman" w:hAnsi="Times New Roman"/>
          <w:sz w:val="22"/>
          <w:szCs w:val="22"/>
          <w:color w:val="auto"/>
        </w:rPr>
        <w:t xml:space="preserve"> </w:t>
      </w:r>
      <w:r>
        <w:rPr>
          <w:rFonts w:ascii="Calibri" w:cs="Calibri" w:eastAsia="Calibri" w:hAnsi="Calibri"/>
          <w:sz w:val="22"/>
          <w:szCs w:val="22"/>
          <w:color w:val="auto"/>
        </w:rPr>
        <w:t>following shall be inserted:</w:t>
      </w:r>
    </w:p>
    <w:p>
      <w:pPr>
        <w:spacing w:after="0" w:line="119" w:lineRule="exact"/>
        <w:rPr>
          <w:sz w:val="20"/>
          <w:szCs w:val="20"/>
          <w:color w:val="auto"/>
        </w:rPr>
      </w:pPr>
    </w:p>
    <w:p>
      <w:pPr>
        <w:ind w:left="1140" w:right="720"/>
        <w:spacing w:after="0" w:line="239" w:lineRule="auto"/>
        <w:rPr>
          <w:sz w:val="20"/>
          <w:szCs w:val="20"/>
          <w:color w:val="auto"/>
        </w:rPr>
      </w:pPr>
      <w:r>
        <w:rPr>
          <w:rFonts w:ascii="Calibri" w:cs="Calibri" w:eastAsia="Calibri" w:hAnsi="Calibri"/>
          <w:sz w:val="22"/>
          <w:szCs w:val="22"/>
          <w:color w:val="auto"/>
        </w:rPr>
        <w:t>If the Total TI Costs exceed the Maximum Turnkey Amount, Landlord shall pay the frst Ninety-Thousand and 00/100 Dollars ($90,000.00) of such excess and then (i) to the extent that the increase in Total TI Costs is atributable to a change in the scope of Tenant’s Work from that shown on or contemplated by the Schematc Plans or Work Matrix and/or to additonal design elements, or a change to design elements, of Tenant’s Work beyond those shown on or contemplated by the Schematc Plans or Work Matrix, then such increase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615315</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7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395" w:right="459" w:bottom="1440" w:gutter="0" w:footer="0" w:header="0"/>
        </w:sectPr>
      </w:pPr>
    </w:p>
    <w:bookmarkStart w:id="201" w:name="page202"/>
    <w:bookmarkEnd w:id="201"/>
    <w:p>
      <w:pPr>
        <w:ind w:left="140" w:right="19"/>
        <w:spacing w:after="0" w:line="235" w:lineRule="auto"/>
        <w:rPr>
          <w:sz w:val="20"/>
          <w:szCs w:val="20"/>
          <w:color w:val="auto"/>
        </w:rPr>
      </w:pPr>
      <w:r>
        <w:rPr>
          <w:rFonts w:ascii="Calibri" w:cs="Calibri" w:eastAsia="Calibri" w:hAnsi="Calibri"/>
          <w:sz w:val="22"/>
          <w:szCs w:val="22"/>
          <w:color w:val="auto"/>
        </w:rPr>
        <w:t>the Total TI Costs (i.e., the diference per square foot of Premises Rentable Area between the Total TI Costs per square foot of Premises Rentable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614680</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7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34" w:right="1440" w:bottom="1440" w:gutter="0" w:footer="0" w:header="0"/>
        </w:sectPr>
      </w:pPr>
    </w:p>
    <w:bookmarkStart w:id="202" w:name="page203"/>
    <w:bookmarkEnd w:id="202"/>
    <w:p>
      <w:pPr>
        <w:ind w:left="1140" w:right="640"/>
        <w:spacing w:after="0"/>
        <w:rPr>
          <w:sz w:val="20"/>
          <w:szCs w:val="20"/>
          <w:color w:val="auto"/>
        </w:rPr>
      </w:pPr>
      <w:r>
        <w:rPr>
          <w:rFonts w:ascii="Calibri" w:cs="Calibri" w:eastAsia="Calibri" w:hAnsi="Calibri"/>
          <w:sz w:val="22"/>
          <w:szCs w:val="22"/>
          <w:color w:val="auto"/>
        </w:rPr>
        <w:t>and $324.50 per square foot of Premises Rentable Area) shall be Excess Costs (but shall not consttute a Tenant Delay) and shall be paid by frst applying any unused amount, following the fnal determinaton of the costs of Tenant’s Work, of the Contngencies and then paid by Tenant; and (ii) to the extent that the increase in costs is not atributable to a change in the scope of Tenant’s Work from that shown on or contemplated by the Schematc Plans or Work Matrix and/or to additonal design elements, or a change to design elements, of Tenant’s Work beyond those shown on or contemplated by the Schematc Plans or Work Matrix, then such increase in the Total TI Costs (i.e., the diference per square foot of Premises Rentable Area between the Total TI Costs per square foot of Premises Rentable Area and $324.50 per square foot of Premises Rentable Area) shall be paid by Landlord.</w:t>
      </w:r>
    </w:p>
    <w:p>
      <w:pPr>
        <w:spacing w:after="0" w:line="217" w:lineRule="exact"/>
        <w:rPr>
          <w:sz w:val="20"/>
          <w:szCs w:val="20"/>
          <w:color w:val="auto"/>
        </w:rPr>
      </w:pPr>
    </w:p>
    <w:p>
      <w:pPr>
        <w:ind w:right="260" w:firstLine="749"/>
        <w:spacing w:after="0" w:line="241" w:lineRule="auto"/>
        <w:rPr>
          <w:sz w:val="20"/>
          <w:szCs w:val="20"/>
          <w:color w:val="auto"/>
        </w:rPr>
      </w:pPr>
      <w:r>
        <w:rPr>
          <w:rFonts w:ascii="Times New Roman" w:cs="Times New Roman" w:eastAsia="Times New Roman" w:hAnsi="Times New Roman"/>
          <w:sz w:val="22"/>
          <w:szCs w:val="22"/>
          <w:color w:val="auto"/>
        </w:rPr>
        <w:t>5.</w:t>
      </w:r>
      <w:r>
        <w:rPr>
          <w:rFonts w:ascii="Calibri" w:cs="Calibri" w:eastAsia="Calibri" w:hAnsi="Calibri"/>
          <w:sz w:val="22"/>
          <w:szCs w:val="22"/>
          <w:color w:val="auto"/>
        </w:rPr>
        <w:t>Tenant shall be enttled to a credit in the amount of Forty-Two Thousand and 00/100 Dollars ($42,000.00),</w:t>
      </w:r>
      <w:r>
        <w:rPr>
          <w:rFonts w:ascii="Times New Roman" w:cs="Times New Roman" w:eastAsia="Times New Roman" w:hAnsi="Times New Roman"/>
          <w:sz w:val="22"/>
          <w:szCs w:val="22"/>
          <w:color w:val="auto"/>
        </w:rPr>
        <w:t xml:space="preserve"> </w:t>
      </w:r>
      <w:r>
        <w:rPr>
          <w:rFonts w:ascii="Calibri" w:cs="Calibri" w:eastAsia="Calibri" w:hAnsi="Calibri"/>
          <w:sz w:val="22"/>
          <w:szCs w:val="22"/>
          <w:color w:val="auto"/>
        </w:rPr>
        <w:t>which credit shall be applied in equal monthly installments between April 1, 2024, and December 31, 2024, in the amount of Four Thousand Six Hundred Sixty-Six and 67/100 Dollars ($4,666.67) per month. At Tenant’s electon, such credit shall be applied to charges incurred by Tenant at the café located in the Building.</w:t>
      </w:r>
    </w:p>
    <w:p>
      <w:pPr>
        <w:spacing w:after="0" w:line="217"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22"/>
          <w:szCs w:val="22"/>
          <w:color w:val="auto"/>
        </w:rPr>
        <w:t>6.</w:t>
      </w:r>
      <w:r>
        <w:rPr>
          <w:rFonts w:ascii="Calibri" w:cs="Calibri" w:eastAsia="Calibri" w:hAnsi="Calibri"/>
          <w:sz w:val="22"/>
          <w:szCs w:val="22"/>
          <w:color w:val="auto"/>
        </w:rPr>
        <w:t>This Amendment may be executed in multple counterparts, including by electronic signature or DocuSign, each of</w:t>
      </w:r>
      <w:r>
        <w:rPr>
          <w:rFonts w:ascii="Times New Roman" w:cs="Times New Roman" w:eastAsia="Times New Roman" w:hAnsi="Times New Roman"/>
          <w:sz w:val="22"/>
          <w:szCs w:val="22"/>
          <w:color w:val="auto"/>
        </w:rPr>
        <w:t xml:space="preserve"> </w:t>
      </w:r>
      <w:r>
        <w:rPr>
          <w:rFonts w:ascii="Calibri" w:cs="Calibri" w:eastAsia="Calibri" w:hAnsi="Calibri"/>
          <w:sz w:val="22"/>
          <w:szCs w:val="22"/>
          <w:color w:val="auto"/>
        </w:rPr>
        <w:t>which shall consttute an original instrument but all of which shall consttute one and the same agreement.</w:t>
      </w:r>
    </w:p>
    <w:p>
      <w:pPr>
        <w:spacing w:after="0" w:line="227" w:lineRule="exact"/>
        <w:rPr>
          <w:sz w:val="20"/>
          <w:szCs w:val="20"/>
          <w:color w:val="auto"/>
        </w:rPr>
      </w:pPr>
    </w:p>
    <w:p>
      <w:pPr>
        <w:ind w:left="3820" w:right="3820" w:hanging="3064"/>
        <w:spacing w:after="0" w:line="424" w:lineRule="auto"/>
        <w:tabs>
          <w:tab w:leader="none" w:pos="1501" w:val="left"/>
        </w:tabs>
        <w:numPr>
          <w:ilvl w:val="0"/>
          <w:numId w:val="176"/>
        </w:numPr>
        <w:rPr>
          <w:rFonts w:ascii="Times New Roman" w:cs="Times New Roman" w:eastAsia="Times New Roman" w:hAnsi="Times New Roman"/>
          <w:sz w:val="22"/>
          <w:szCs w:val="22"/>
          <w:color w:val="auto"/>
        </w:rPr>
      </w:pPr>
      <w:r>
        <w:rPr>
          <w:rFonts w:ascii="Calibri" w:cs="Calibri" w:eastAsia="Calibri" w:hAnsi="Calibri"/>
          <w:sz w:val="22"/>
          <w:szCs w:val="22"/>
          <w:color w:val="auto"/>
        </w:rPr>
        <w:t xml:space="preserve">As amended hereby, the Lease is hereby ratfed and confrmed. </w:t>
      </w:r>
      <w:r>
        <w:rPr>
          <w:rFonts w:ascii="Calibri" w:cs="Calibri" w:eastAsia="Calibri" w:hAnsi="Calibri"/>
          <w:sz w:val="22"/>
          <w:szCs w:val="22"/>
          <w:i w:val="1"/>
          <w:iCs w:val="1"/>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483235</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7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40" w:top="1407" w:right="519" w:bottom="1440" w:gutter="0" w:footer="0" w:header="0"/>
        </w:sectPr>
      </w:pPr>
    </w:p>
    <w:bookmarkStart w:id="203" w:name="page204"/>
    <w:bookmarkEnd w:id="203"/>
    <w:p>
      <w:pPr>
        <w:spacing w:after="0"/>
        <w:rPr>
          <w:sz w:val="20"/>
          <w:szCs w:val="20"/>
          <w:color w:val="auto"/>
        </w:rPr>
      </w:pPr>
      <w:r>
        <w:rPr>
          <w:rFonts w:ascii="Calibri" w:cs="Calibri" w:eastAsia="Calibri" w:hAnsi="Calibri"/>
          <w:sz w:val="21"/>
          <w:szCs w:val="21"/>
          <w:color w:val="auto"/>
        </w:rPr>
        <w:t>IN WITNESS WHEREOF, the partes hereunto have executed this Amendment as of the date frst writen above.</w:t>
      </w:r>
    </w:p>
    <w:p>
      <w:pPr>
        <w:sectPr>
          <w:pgSz w:w="11900" w:h="16838" w:orient="portrait"/>
          <w:cols w:equalWidth="0" w:num="1">
            <w:col w:w="9720"/>
          </w:cols>
          <w:pgMar w:left="1200" w:top="1407" w:right="979" w:bottom="1440" w:gutter="0" w:footer="0" w:header="0"/>
        </w:sectPr>
      </w:pPr>
    </w:p>
    <w:p>
      <w:pPr>
        <w:spacing w:after="0" w:line="219" w:lineRule="exact"/>
        <w:rPr>
          <w:sz w:val="20"/>
          <w:szCs w:val="20"/>
          <w:color w:val="auto"/>
        </w:rPr>
      </w:pPr>
    </w:p>
    <w:p>
      <w:pPr>
        <w:ind w:left="2840"/>
        <w:spacing w:after="0"/>
        <w:rPr>
          <w:sz w:val="20"/>
          <w:szCs w:val="20"/>
          <w:color w:val="auto"/>
        </w:rPr>
      </w:pPr>
      <w:r>
        <w:rPr>
          <w:rFonts w:ascii="Calibri" w:cs="Calibri" w:eastAsia="Calibri" w:hAnsi="Calibri"/>
          <w:sz w:val="22"/>
          <w:szCs w:val="22"/>
          <w:b w:val="1"/>
          <w:bCs w:val="1"/>
          <w:color w:val="auto"/>
        </w:rPr>
        <w:t>LANDLORD</w:t>
      </w:r>
      <w:r>
        <w:rPr>
          <w:rFonts w:ascii="Calibri" w:cs="Calibri" w:eastAsia="Calibri" w:hAnsi="Calibri"/>
          <w:sz w:val="22"/>
          <w:szCs w:val="22"/>
          <w:color w:val="auto"/>
        </w:rPr>
        <w:t>: BRICKBOTTOM I QOZB LP</w:t>
      </w:r>
    </w:p>
    <w:p>
      <w:pPr>
        <w:spacing w:after="0" w:line="1" w:lineRule="exact"/>
        <w:rPr>
          <w:sz w:val="20"/>
          <w:szCs w:val="20"/>
          <w:color w:val="auto"/>
        </w:rPr>
      </w:pPr>
    </w:p>
    <w:p>
      <w:pPr>
        <w:ind w:left="3000"/>
        <w:spacing w:after="0"/>
        <w:rPr>
          <w:sz w:val="20"/>
          <w:szCs w:val="20"/>
          <w:color w:val="auto"/>
        </w:rPr>
      </w:pPr>
      <w:r>
        <w:rPr>
          <w:rFonts w:ascii="Calibri" w:cs="Calibri" w:eastAsia="Calibri" w:hAnsi="Calibri"/>
          <w:sz w:val="22"/>
          <w:szCs w:val="22"/>
          <w:color w:val="auto"/>
        </w:rPr>
        <w:t>By: NRL Manager LLC Its general partner</w:t>
      </w:r>
    </w:p>
    <w:p>
      <w:pPr>
        <w:spacing w:after="0" w:line="215" w:lineRule="exact"/>
        <w:rPr>
          <w:sz w:val="20"/>
          <w:szCs w:val="20"/>
          <w:color w:val="auto"/>
        </w:rPr>
      </w:pPr>
    </w:p>
    <w:p>
      <w:pPr>
        <w:ind w:left="3560"/>
        <w:spacing w:after="0"/>
        <w:rPr>
          <w:sz w:val="20"/>
          <w:szCs w:val="20"/>
          <w:color w:val="auto"/>
        </w:rPr>
      </w:pPr>
      <w:r>
        <w:rPr>
          <w:rFonts w:ascii="Calibri" w:cs="Calibri" w:eastAsia="Calibri" w:hAnsi="Calibri"/>
          <w:sz w:val="22"/>
          <w:szCs w:val="22"/>
          <w:color w:val="auto"/>
        </w:rPr>
        <w:t>By: North River Company, LLC Its Manager</w:t>
      </w:r>
    </w:p>
    <w:p>
      <w:pPr>
        <w:spacing w:after="0" w:line="1" w:lineRule="exact"/>
        <w:rPr>
          <w:sz w:val="20"/>
          <w:szCs w:val="20"/>
          <w:color w:val="auto"/>
        </w:rPr>
      </w:pPr>
    </w:p>
    <w:p>
      <w:pPr>
        <w:ind w:left="4120"/>
        <w:spacing w:after="0"/>
        <w:rPr>
          <w:sz w:val="20"/>
          <w:szCs w:val="20"/>
          <w:color w:val="auto"/>
        </w:rPr>
      </w:pPr>
      <w:r>
        <w:rPr>
          <w:rFonts w:ascii="Calibri" w:cs="Calibri" w:eastAsia="Calibri" w:hAnsi="Calibri"/>
          <w:sz w:val="22"/>
          <w:szCs w:val="22"/>
          <w:color w:val="auto"/>
        </w:rPr>
        <w:t xml:space="preserve">By: </w:t>
      </w:r>
      <w:r>
        <w:rPr>
          <w:rFonts w:ascii="Calibri" w:cs="Calibri" w:eastAsia="Calibri" w:hAnsi="Calibri"/>
          <w:sz w:val="22"/>
          <w:szCs w:val="22"/>
          <w:u w:val="single" w:color="auto"/>
          <w:color w:val="auto"/>
        </w:rPr>
        <w:t>/s/ Christopher S. Flagg</w:t>
      </w:r>
    </w:p>
    <w:p>
      <w:pPr>
        <w:spacing w:after="0" w:line="14" w:lineRule="exact"/>
        <w:rPr>
          <w:sz w:val="20"/>
          <w:szCs w:val="20"/>
          <w:color w:val="auto"/>
        </w:rPr>
      </w:pPr>
    </w:p>
    <w:p>
      <w:pPr>
        <w:ind w:left="4160"/>
        <w:spacing w:after="0"/>
        <w:rPr>
          <w:sz w:val="20"/>
          <w:szCs w:val="20"/>
          <w:color w:val="auto"/>
        </w:rPr>
      </w:pPr>
      <w:r>
        <w:rPr>
          <w:rFonts w:ascii="Calibri" w:cs="Calibri" w:eastAsia="Calibri" w:hAnsi="Calibri"/>
          <w:sz w:val="21"/>
          <w:szCs w:val="21"/>
          <w:color w:val="auto"/>
        </w:rPr>
        <w:t>Name: Christopher S. Flagg Title: Manager</w:t>
      </w:r>
    </w:p>
    <w:p>
      <w:pPr>
        <w:spacing w:after="0" w:line="1" w:lineRule="exact"/>
        <w:rPr>
          <w:sz w:val="20"/>
          <w:szCs w:val="20"/>
          <w:color w:val="auto"/>
        </w:rPr>
      </w:pPr>
    </w:p>
    <w:p>
      <w:pPr>
        <w:ind w:left="4120"/>
        <w:spacing w:after="0"/>
        <w:rPr>
          <w:sz w:val="20"/>
          <w:szCs w:val="20"/>
          <w:color w:val="auto"/>
        </w:rPr>
      </w:pPr>
      <w:r>
        <w:rPr>
          <w:rFonts w:ascii="Calibri" w:cs="Calibri" w:eastAsia="Calibri" w:hAnsi="Calibri"/>
          <w:sz w:val="22"/>
          <w:szCs w:val="22"/>
          <w:color w:val="auto"/>
        </w:rPr>
        <w:t>13-March-2024</w:t>
      </w:r>
    </w:p>
    <w:p>
      <w:pPr>
        <w:spacing w:after="0" w:line="200" w:lineRule="exact"/>
        <w:rPr>
          <w:sz w:val="20"/>
          <w:szCs w:val="20"/>
          <w:color w:val="auto"/>
        </w:rPr>
      </w:pPr>
    </w:p>
    <w:p>
      <w:pPr>
        <w:spacing w:after="0" w:line="249" w:lineRule="exact"/>
        <w:rPr>
          <w:sz w:val="20"/>
          <w:szCs w:val="20"/>
          <w:color w:val="auto"/>
        </w:rPr>
      </w:pPr>
    </w:p>
    <w:p>
      <w:pPr>
        <w:ind w:left="3680"/>
        <w:spacing w:after="0"/>
        <w:rPr>
          <w:sz w:val="20"/>
          <w:szCs w:val="20"/>
          <w:color w:val="auto"/>
        </w:rPr>
      </w:pPr>
      <w:r>
        <w:rPr>
          <w:rFonts w:ascii="Calibri" w:cs="Calibri" w:eastAsia="Calibri" w:hAnsi="Calibri"/>
          <w:sz w:val="22"/>
          <w:szCs w:val="22"/>
          <w:b w:val="1"/>
          <w:bCs w:val="1"/>
          <w:color w:val="auto"/>
        </w:rPr>
        <w:t>TENANT</w:t>
      </w:r>
      <w:r>
        <w:rPr>
          <w:rFonts w:ascii="Calibri" w:cs="Calibri" w:eastAsia="Calibri" w:hAnsi="Calibri"/>
          <w:sz w:val="22"/>
          <w:szCs w:val="22"/>
          <w:color w:val="auto"/>
        </w:rPr>
        <w:t>:</w:t>
      </w:r>
    </w:p>
    <w:p>
      <w:pPr>
        <w:spacing w:after="0" w:line="217" w:lineRule="exact"/>
        <w:rPr>
          <w:sz w:val="20"/>
          <w:szCs w:val="20"/>
          <w:color w:val="auto"/>
        </w:rPr>
      </w:pPr>
    </w:p>
    <w:p>
      <w:pPr>
        <w:ind w:left="3740"/>
        <w:spacing w:after="0"/>
        <w:rPr>
          <w:sz w:val="20"/>
          <w:szCs w:val="20"/>
          <w:color w:val="auto"/>
        </w:rPr>
      </w:pPr>
      <w:r>
        <w:rPr>
          <w:rFonts w:ascii="Calibri" w:cs="Calibri" w:eastAsia="Calibri" w:hAnsi="Calibri"/>
          <w:sz w:val="22"/>
          <w:szCs w:val="22"/>
          <w:color w:val="auto"/>
        </w:rPr>
        <w:t>Ultragenyx Pharmaceutcal Inc.</w:t>
      </w:r>
    </w:p>
    <w:p>
      <w:pPr>
        <w:spacing w:after="0" w:line="352" w:lineRule="exact"/>
        <w:rPr>
          <w:sz w:val="20"/>
          <w:szCs w:val="20"/>
          <w:color w:val="auto"/>
        </w:rPr>
      </w:pPr>
    </w:p>
    <w:p>
      <w:pPr>
        <w:ind w:left="4320"/>
        <w:spacing w:after="0"/>
        <w:rPr>
          <w:sz w:val="20"/>
          <w:szCs w:val="20"/>
          <w:color w:val="auto"/>
        </w:rPr>
      </w:pPr>
      <w:r>
        <w:rPr>
          <w:rFonts w:ascii="Calibri" w:cs="Calibri" w:eastAsia="Calibri" w:hAnsi="Calibri"/>
          <w:sz w:val="22"/>
          <w:szCs w:val="22"/>
          <w:color w:val="auto"/>
        </w:rPr>
        <w:t xml:space="preserve">By: </w:t>
      </w:r>
      <w:r>
        <w:rPr>
          <w:rFonts w:ascii="Calibri" w:cs="Calibri" w:eastAsia="Calibri" w:hAnsi="Calibri"/>
          <w:sz w:val="22"/>
          <w:szCs w:val="22"/>
          <w:u w:val="single" w:color="auto"/>
          <w:color w:val="auto"/>
        </w:rPr>
        <w:t>/s/ Emil Kakkis</w:t>
      </w:r>
    </w:p>
    <w:p>
      <w:pPr>
        <w:spacing w:after="0" w:line="1" w:lineRule="exact"/>
        <w:rPr>
          <w:sz w:val="20"/>
          <w:szCs w:val="20"/>
          <w:color w:val="auto"/>
        </w:rPr>
      </w:pPr>
    </w:p>
    <w:p>
      <w:pPr>
        <w:ind w:left="4300"/>
        <w:spacing w:after="0"/>
        <w:rPr>
          <w:sz w:val="20"/>
          <w:szCs w:val="20"/>
          <w:color w:val="auto"/>
        </w:rPr>
      </w:pPr>
      <w:r>
        <w:rPr>
          <w:rFonts w:ascii="Calibri" w:cs="Calibri" w:eastAsia="Calibri" w:hAnsi="Calibri"/>
          <w:sz w:val="22"/>
          <w:szCs w:val="22"/>
          <w:color w:val="auto"/>
        </w:rPr>
        <w:t>Name: Emil Kakkis</w:t>
      </w:r>
    </w:p>
    <w:p>
      <w:pPr>
        <w:spacing w:after="0" w:line="1" w:lineRule="exact"/>
        <w:rPr>
          <w:sz w:val="20"/>
          <w:szCs w:val="20"/>
          <w:color w:val="auto"/>
        </w:rPr>
      </w:pPr>
    </w:p>
    <w:p>
      <w:pPr>
        <w:ind w:left="3420"/>
        <w:spacing w:after="0"/>
        <w:rPr>
          <w:sz w:val="20"/>
          <w:szCs w:val="20"/>
          <w:color w:val="auto"/>
        </w:rPr>
      </w:pPr>
      <w:r>
        <w:rPr>
          <w:rFonts w:ascii="Calibri" w:cs="Calibri" w:eastAsia="Calibri" w:hAnsi="Calibri"/>
          <w:sz w:val="22"/>
          <w:szCs w:val="22"/>
          <w:color w:val="auto"/>
        </w:rPr>
        <w:t>Title: CEO</w:t>
      </w:r>
    </w:p>
    <w:p>
      <w:pPr>
        <w:spacing w:after="0" w:line="1" w:lineRule="exact"/>
        <w:rPr>
          <w:sz w:val="20"/>
          <w:szCs w:val="20"/>
          <w:color w:val="auto"/>
        </w:rPr>
      </w:pPr>
    </w:p>
    <w:p>
      <w:pPr>
        <w:ind w:left="3420"/>
        <w:spacing w:after="0"/>
        <w:rPr>
          <w:sz w:val="20"/>
          <w:szCs w:val="20"/>
          <w:color w:val="auto"/>
        </w:rPr>
      </w:pPr>
      <w:r>
        <w:rPr>
          <w:rFonts w:ascii="Calibri" w:cs="Calibri" w:eastAsia="Calibri" w:hAnsi="Calibri"/>
          <w:sz w:val="22"/>
          <w:szCs w:val="22"/>
          <w:color w:val="auto"/>
        </w:rPr>
        <w:t>12-March-2024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612775</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7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20"/>
          </w:cols>
          <w:pgMar w:left="1200" w:top="1407" w:right="979" w:bottom="1440" w:gutter="0" w:footer="0" w:header="0"/>
          <w:type w:val="continuous"/>
        </w:sectPr>
      </w:pPr>
    </w:p>
    <w:bookmarkStart w:id="204" w:name="page205"/>
    <w:bookmarkEnd w:id="204"/>
    <w:p>
      <w:pPr>
        <w:spacing w:after="0" w:line="63" w:lineRule="exact"/>
        <w:rPr>
          <w:sz w:val="20"/>
          <w:szCs w:val="20"/>
          <w:color w:val="auto"/>
        </w:rPr>
      </w:pPr>
    </w:p>
    <w:p>
      <w:pPr>
        <w:jc w:val="right"/>
        <w:spacing w:after="0"/>
        <w:rPr>
          <w:sz w:val="20"/>
          <w:szCs w:val="20"/>
          <w:color w:val="auto"/>
        </w:rPr>
      </w:pPr>
      <w:r>
        <w:rPr>
          <w:rFonts w:ascii="Calibri" w:cs="Calibri" w:eastAsia="Calibri" w:hAnsi="Calibri"/>
          <w:sz w:val="18"/>
          <w:szCs w:val="18"/>
          <w:b w:val="1"/>
          <w:bCs w:val="1"/>
          <w:u w:val="single" w:color="auto"/>
          <w:color w:val="auto"/>
        </w:rPr>
        <w:t>Exhibit 19.1</w:t>
      </w:r>
    </w:p>
    <w:p>
      <w:pPr>
        <w:spacing w:after="0" w:line="63" w:lineRule="exact"/>
        <w:rPr>
          <w:sz w:val="20"/>
          <w:szCs w:val="20"/>
          <w:color w:val="auto"/>
        </w:rPr>
      </w:pPr>
    </w:p>
    <w:p>
      <w:pPr>
        <w:jc w:val="center"/>
        <w:spacing w:after="0"/>
        <w:rPr>
          <w:sz w:val="20"/>
          <w:szCs w:val="20"/>
          <w:color w:val="auto"/>
        </w:rPr>
      </w:pPr>
      <w:r>
        <w:rPr>
          <w:rFonts w:ascii="Calibri" w:cs="Calibri" w:eastAsia="Calibri" w:hAnsi="Calibri"/>
          <w:sz w:val="29"/>
          <w:szCs w:val="29"/>
          <w:b w:val="1"/>
          <w:bCs w:val="1"/>
          <w:color w:val="auto"/>
        </w:rPr>
        <w:t>Ultragenyx Pharmaceutical Inc.</w:t>
      </w:r>
    </w:p>
    <w:p>
      <w:pPr>
        <w:spacing w:after="0" w:line="200" w:lineRule="exact"/>
        <w:rPr>
          <w:sz w:val="20"/>
          <w:szCs w:val="20"/>
          <w:color w:val="auto"/>
        </w:rPr>
      </w:pPr>
    </w:p>
    <w:p>
      <w:pPr>
        <w:spacing w:after="0" w:line="271" w:lineRule="exact"/>
        <w:rPr>
          <w:sz w:val="20"/>
          <w:szCs w:val="20"/>
          <w:color w:val="auto"/>
        </w:rPr>
      </w:pPr>
    </w:p>
    <w:p>
      <w:pPr>
        <w:ind w:left="4480"/>
        <w:spacing w:after="0"/>
        <w:rPr>
          <w:sz w:val="20"/>
          <w:szCs w:val="20"/>
          <w:color w:val="auto"/>
        </w:rPr>
      </w:pPr>
      <w:r>
        <w:rPr>
          <w:rFonts w:ascii="Calibri" w:cs="Calibri" w:eastAsia="Calibri" w:hAnsi="Calibri"/>
          <w:sz w:val="22"/>
          <w:szCs w:val="22"/>
          <w:b w:val="1"/>
          <w:bCs w:val="1"/>
          <w:color w:val="auto"/>
        </w:rPr>
        <w:t>INSIDER TRADING POLICY</w:t>
      </w:r>
    </w:p>
    <w:p>
      <w:pPr>
        <w:spacing w:after="0" w:line="1" w:lineRule="exact"/>
        <w:rPr>
          <w:sz w:val="20"/>
          <w:szCs w:val="20"/>
          <w:color w:val="auto"/>
        </w:rPr>
      </w:pPr>
    </w:p>
    <w:p>
      <w:pPr>
        <w:ind w:left="4440"/>
        <w:spacing w:after="0"/>
        <w:rPr>
          <w:sz w:val="20"/>
          <w:szCs w:val="20"/>
          <w:color w:val="auto"/>
        </w:rPr>
      </w:pPr>
      <w:r>
        <w:rPr>
          <w:rFonts w:ascii="Calibri" w:cs="Calibri" w:eastAsia="Calibri" w:hAnsi="Calibri"/>
          <w:sz w:val="22"/>
          <w:szCs w:val="22"/>
          <w:b w:val="1"/>
          <w:bCs w:val="1"/>
          <w:color w:val="auto"/>
        </w:rPr>
        <w:t>Approved: March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186690</wp:posOffset>
            </wp:positionV>
            <wp:extent cx="7136130" cy="10496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733">
                      <a:extLst>
                        <a:ext uri="{28A0092B-C50C-407E-A947-70E740481C1C}"/>
                      </a:extLst>
                    </a:blip>
                    <a:srcRect/>
                    <a:stretch>
                      <a:fillRect/>
                    </a:stretch>
                  </pic:blipFill>
                  <pic:spPr bwMode="auto">
                    <a:xfrm>
                      <a:off x="0" y="0"/>
                      <a:ext cx="7136130" cy="1049655"/>
                    </a:xfrm>
                    <a:prstGeom prst="rect">
                      <a:avLst/>
                    </a:prstGeom>
                    <a:noFill/>
                  </pic:spPr>
                </pic:pic>
              </a:graphicData>
            </a:graphic>
          </wp:anchor>
        </w:drawing>
      </w:r>
    </w:p>
    <w:p>
      <w:pPr>
        <w:spacing w:after="0" w:line="276" w:lineRule="exact"/>
        <w:rPr>
          <w:sz w:val="20"/>
          <w:szCs w:val="20"/>
          <w:color w:val="auto"/>
        </w:rPr>
      </w:pPr>
    </w:p>
    <w:p>
      <w:pPr>
        <w:ind w:left="20" w:right="80" w:firstLine="747"/>
        <w:spacing w:after="0" w:line="239" w:lineRule="auto"/>
        <w:rPr>
          <w:sz w:val="20"/>
          <w:szCs w:val="20"/>
          <w:color w:val="auto"/>
        </w:rPr>
      </w:pPr>
      <w:r>
        <w:rPr>
          <w:rFonts w:ascii="Calibri" w:cs="Calibri" w:eastAsia="Calibri" w:hAnsi="Calibri"/>
          <w:sz w:val="22"/>
          <w:szCs w:val="22"/>
          <w:color w:val="auto"/>
        </w:rPr>
        <w:t>This Insider Trading Policy (this “</w:t>
      </w:r>
      <w:r>
        <w:rPr>
          <w:rFonts w:ascii="Calibri" w:cs="Calibri" w:eastAsia="Calibri" w:hAnsi="Calibri"/>
          <w:sz w:val="22"/>
          <w:szCs w:val="22"/>
          <w:u w:val="single" w:color="auto"/>
          <w:color w:val="auto"/>
        </w:rPr>
        <w:t>Policy</w:t>
      </w:r>
      <w:r>
        <w:rPr>
          <w:rFonts w:ascii="Calibri" w:cs="Calibri" w:eastAsia="Calibri" w:hAnsi="Calibri"/>
          <w:sz w:val="22"/>
          <w:szCs w:val="22"/>
          <w:color w:val="auto"/>
        </w:rPr>
        <w:t>”) applies to all employees, ofcers, directors and consultants of Ultragenyx Pharmaceutcal Inc. and its subsidiaries (collectvely, the “</w:t>
      </w:r>
      <w:r>
        <w:rPr>
          <w:rFonts w:ascii="Calibri" w:cs="Calibri" w:eastAsia="Calibri" w:hAnsi="Calibri"/>
          <w:sz w:val="22"/>
          <w:szCs w:val="22"/>
          <w:u w:val="single" w:color="auto"/>
          <w:color w:val="auto"/>
        </w:rPr>
        <w:t>Company</w:t>
      </w:r>
      <w:r>
        <w:rPr>
          <w:rFonts w:ascii="Calibri" w:cs="Calibri" w:eastAsia="Calibri" w:hAnsi="Calibri"/>
          <w:sz w:val="22"/>
          <w:szCs w:val="22"/>
          <w:color w:val="auto"/>
        </w:rPr>
        <w:t>”) as well as your family members, household members and enttes controlled by you (as described below). This Policy is designed to prevent insider trading or allegatons of insider trading, and to protect the Company’s reputaton for integrity and ethical conduct. It is your obligaton to understand and comply with this Policy. Should you have any questons regarding this Policy, please contact the Company’s Chief Financial Ofcer (“</w:t>
      </w:r>
      <w:r>
        <w:rPr>
          <w:rFonts w:ascii="Calibri" w:cs="Calibri" w:eastAsia="Calibri" w:hAnsi="Calibri"/>
          <w:sz w:val="22"/>
          <w:szCs w:val="22"/>
          <w:u w:val="single" w:color="auto"/>
          <w:color w:val="auto"/>
        </w:rPr>
        <w:t>CFO</w:t>
      </w:r>
      <w:r>
        <w:rPr>
          <w:rFonts w:ascii="Calibri" w:cs="Calibri" w:eastAsia="Calibri" w:hAnsi="Calibri"/>
          <w:sz w:val="22"/>
          <w:szCs w:val="22"/>
          <w:color w:val="auto"/>
        </w:rPr>
        <w:t>”) or the Company’s Chief Legal Ofcer.</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BACKGROUND</w:t>
      </w:r>
    </w:p>
    <w:p>
      <w:pPr>
        <w:spacing w:after="0" w:line="284" w:lineRule="exact"/>
        <w:rPr>
          <w:sz w:val="20"/>
          <w:szCs w:val="20"/>
          <w:color w:val="auto"/>
        </w:rPr>
      </w:pPr>
    </w:p>
    <w:p>
      <w:pPr>
        <w:ind w:right="120"/>
        <w:spacing w:after="0" w:line="238" w:lineRule="auto"/>
        <w:rPr>
          <w:sz w:val="20"/>
          <w:szCs w:val="20"/>
          <w:color w:val="auto"/>
        </w:rPr>
      </w:pPr>
      <w:r>
        <w:rPr>
          <w:rFonts w:ascii="Calibri" w:cs="Calibri" w:eastAsia="Calibri" w:hAnsi="Calibri"/>
          <w:sz w:val="22"/>
          <w:szCs w:val="22"/>
          <w:color w:val="auto"/>
        </w:rPr>
        <w:t>The Company’s Board of Directors (the “</w:t>
      </w:r>
      <w:r>
        <w:rPr>
          <w:rFonts w:ascii="Calibri" w:cs="Calibri" w:eastAsia="Calibri" w:hAnsi="Calibri"/>
          <w:sz w:val="22"/>
          <w:szCs w:val="22"/>
          <w:u w:val="single" w:color="auto"/>
          <w:color w:val="auto"/>
        </w:rPr>
        <w:t>Board</w:t>
      </w:r>
      <w:r>
        <w:rPr>
          <w:rFonts w:ascii="Calibri" w:cs="Calibri" w:eastAsia="Calibri" w:hAnsi="Calibri"/>
          <w:sz w:val="22"/>
          <w:szCs w:val="22"/>
          <w:color w:val="auto"/>
        </w:rPr>
        <w:t>”) has adopted this Policy for our directors, ofcers, employees, and consultants as well as their family members, household members and enttes controlled by them (as described below) with respect to the trading of the Company’s securites, as well as the securites of publicly traded companies with whom we have a business relatonship.</w:t>
      </w:r>
    </w:p>
    <w:p>
      <w:pPr>
        <w:spacing w:after="0" w:line="285" w:lineRule="exact"/>
        <w:rPr>
          <w:sz w:val="20"/>
          <w:szCs w:val="20"/>
          <w:color w:val="auto"/>
        </w:rPr>
      </w:pPr>
    </w:p>
    <w:p>
      <w:pPr>
        <w:ind w:right="180"/>
        <w:spacing w:after="0" w:line="238" w:lineRule="auto"/>
        <w:rPr>
          <w:sz w:val="20"/>
          <w:szCs w:val="20"/>
          <w:color w:val="auto"/>
        </w:rPr>
      </w:pPr>
      <w:r>
        <w:rPr>
          <w:rFonts w:ascii="Calibri" w:cs="Calibri" w:eastAsia="Calibri" w:hAnsi="Calibri"/>
          <w:sz w:val="22"/>
          <w:szCs w:val="22"/>
          <w:color w:val="auto"/>
        </w:rPr>
        <w:t>Federal and state securites laws prohibit the purchase or sale of a company’s securites by persons who are aware of material informaton about that company that is not generally known or available to the public. These laws also prohibit persons who are aware of such material nonpublic informaton from disclosing this informaton to others who may trade. Companies and their controlling persons are also subject to liability if they fail to take reasonable steps to prevent insider trading by company personnel.</w:t>
      </w:r>
    </w:p>
    <w:p>
      <w:pPr>
        <w:spacing w:after="0" w:line="288" w:lineRule="exact"/>
        <w:rPr>
          <w:sz w:val="20"/>
          <w:szCs w:val="20"/>
          <w:color w:val="auto"/>
        </w:rPr>
      </w:pPr>
    </w:p>
    <w:p>
      <w:pPr>
        <w:spacing w:after="0" w:line="253" w:lineRule="auto"/>
        <w:rPr>
          <w:sz w:val="20"/>
          <w:szCs w:val="20"/>
          <w:color w:val="auto"/>
        </w:rPr>
      </w:pPr>
      <w:r>
        <w:rPr>
          <w:rFonts w:ascii="Calibri" w:cs="Calibri" w:eastAsia="Calibri" w:hAnsi="Calibri"/>
          <w:sz w:val="21"/>
          <w:szCs w:val="21"/>
          <w:color w:val="auto"/>
        </w:rPr>
        <w:t>It is important that you understand the breadth of actvites that consttute illegal insider trading and the consequences for such actvites, which can be severe. Both the U.S. Securites and Exchange Commission (the “</w:t>
      </w:r>
      <w:r>
        <w:rPr>
          <w:rFonts w:ascii="Calibri" w:cs="Calibri" w:eastAsia="Calibri" w:hAnsi="Calibri"/>
          <w:sz w:val="21"/>
          <w:szCs w:val="21"/>
          <w:u w:val="single" w:color="auto"/>
          <w:color w:val="auto"/>
        </w:rPr>
        <w:t>SEC</w:t>
      </w:r>
      <w:r>
        <w:rPr>
          <w:rFonts w:ascii="Calibri" w:cs="Calibri" w:eastAsia="Calibri" w:hAnsi="Calibri"/>
          <w:sz w:val="21"/>
          <w:szCs w:val="21"/>
          <w:color w:val="auto"/>
        </w:rPr>
        <w:t>”) and The Nasdaq Stock Market LLC (“</w:t>
      </w:r>
      <w:r>
        <w:rPr>
          <w:rFonts w:ascii="Calibri" w:cs="Calibri" w:eastAsia="Calibri" w:hAnsi="Calibri"/>
          <w:sz w:val="21"/>
          <w:szCs w:val="21"/>
          <w:u w:val="single" w:color="auto"/>
          <w:color w:val="auto"/>
        </w:rPr>
        <w:t>Nasdaq</w:t>
      </w:r>
      <w:r>
        <w:rPr>
          <w:rFonts w:ascii="Calibri" w:cs="Calibri" w:eastAsia="Calibri" w:hAnsi="Calibri"/>
          <w:sz w:val="21"/>
          <w:szCs w:val="21"/>
          <w:color w:val="auto"/>
        </w:rPr>
        <w:t>”) investgate and are very efectve at detectng insider trading. The SEC, together with the Ofces of the U.S. Atorneys, pursues insider trading violatons vigorously. Cases have been successfully prosecuted against trading by employees through foreign accounts, trading by family members and friends, and trading involving only a small number of shares.</w:t>
      </w:r>
    </w:p>
    <w:p>
      <w:pPr>
        <w:spacing w:after="0" w:line="258"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PENALTIES FOR NONCOMPLIANCE WITH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7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5" w:name="page206"/>
    <w:bookmarkEnd w:id="205"/>
    <w:p>
      <w:pPr>
        <w:ind w:right="60"/>
        <w:spacing w:after="0" w:line="237" w:lineRule="auto"/>
        <w:rPr>
          <w:sz w:val="20"/>
          <w:szCs w:val="20"/>
          <w:color w:val="auto"/>
        </w:rPr>
      </w:pPr>
      <w:r>
        <w:rPr>
          <w:rFonts w:ascii="Calibri" w:cs="Calibri" w:eastAsia="Calibri" w:hAnsi="Calibri"/>
          <w:sz w:val="22"/>
          <w:szCs w:val="22"/>
          <w:i w:val="1"/>
          <w:iCs w:val="1"/>
          <w:color w:val="auto"/>
        </w:rPr>
        <w:t xml:space="preserve">The Law. </w:t>
      </w:r>
      <w:r>
        <w:rPr>
          <w:rFonts w:ascii="Calibri" w:cs="Calibri" w:eastAsia="Calibri" w:hAnsi="Calibri"/>
          <w:sz w:val="22"/>
          <w:szCs w:val="22"/>
          <w:color w:val="auto"/>
        </w:rPr>
        <w:t>Federal law imposes heavy penaltes on those who, in violaton of law,</w:t>
      </w:r>
      <w:r>
        <w:rPr>
          <w:rFonts w:ascii="Calibri" w:cs="Calibri" w:eastAsia="Calibri" w:hAnsi="Calibri"/>
          <w:sz w:val="22"/>
          <w:szCs w:val="22"/>
          <w:i w:val="1"/>
          <w:iCs w:val="1"/>
          <w:color w:val="auto"/>
        </w:rPr>
        <w:t xml:space="preserve"> </w:t>
      </w:r>
      <w:r>
        <w:rPr>
          <w:rFonts w:ascii="Calibri" w:cs="Calibri" w:eastAsia="Calibri" w:hAnsi="Calibri"/>
          <w:sz w:val="22"/>
          <w:szCs w:val="22"/>
          <w:u w:val="single" w:color="auto"/>
          <w:color w:val="auto"/>
        </w:rPr>
        <w:t>either</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buy or sell securites while aware of</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 xml:space="preserve">material nonpublic informaton, </w:t>
      </w:r>
      <w:r>
        <w:rPr>
          <w:rFonts w:ascii="Calibri" w:cs="Calibri" w:eastAsia="Calibri" w:hAnsi="Calibri"/>
          <w:sz w:val="22"/>
          <w:szCs w:val="22"/>
          <w:u w:val="single" w:color="auto"/>
          <w:color w:val="auto"/>
        </w:rPr>
        <w:t>or</w:t>
      </w:r>
      <w:r>
        <w:rPr>
          <w:rFonts w:ascii="Calibri" w:cs="Calibri" w:eastAsia="Calibri" w:hAnsi="Calibri"/>
          <w:sz w:val="22"/>
          <w:szCs w:val="22"/>
          <w:color w:val="auto"/>
        </w:rPr>
        <w:t xml:space="preserve"> pass such material nonpublic informaton along to others who use it to buy or sell securites (known as “tpping”).</w:t>
      </w:r>
    </w:p>
    <w:p>
      <w:pPr>
        <w:spacing w:after="0" w:line="272" w:lineRule="exact"/>
        <w:rPr>
          <w:sz w:val="20"/>
          <w:szCs w:val="20"/>
          <w:color w:val="auto"/>
        </w:rPr>
      </w:pPr>
    </w:p>
    <w:p>
      <w:pPr>
        <w:spacing w:after="0"/>
        <w:rPr>
          <w:sz w:val="20"/>
          <w:szCs w:val="20"/>
          <w:color w:val="auto"/>
        </w:rPr>
      </w:pPr>
      <w:r>
        <w:rPr>
          <w:rFonts w:ascii="Calibri" w:cs="Calibri" w:eastAsia="Calibri" w:hAnsi="Calibri"/>
          <w:sz w:val="22"/>
          <w:szCs w:val="22"/>
          <w:i w:val="1"/>
          <w:iCs w:val="1"/>
          <w:color w:val="auto"/>
        </w:rPr>
        <w:t xml:space="preserve">Civil and Criminal Penaltes. </w:t>
      </w:r>
      <w:r>
        <w:rPr>
          <w:rFonts w:ascii="Calibri" w:cs="Calibri" w:eastAsia="Calibri" w:hAnsi="Calibri"/>
          <w:sz w:val="22"/>
          <w:szCs w:val="22"/>
          <w:color w:val="auto"/>
        </w:rPr>
        <w:t>Potental penaltes for insider trading violatons include</w:t>
      </w:r>
    </w:p>
    <w:p>
      <w:pPr>
        <w:spacing w:after="0" w:line="14" w:lineRule="exact"/>
        <w:rPr>
          <w:sz w:val="20"/>
          <w:szCs w:val="20"/>
          <w:color w:val="auto"/>
        </w:rPr>
      </w:pPr>
    </w:p>
    <w:p>
      <w:pPr>
        <w:ind w:right="600" w:firstLine="8"/>
        <w:spacing w:after="0" w:line="235" w:lineRule="auto"/>
        <w:tabs>
          <w:tab w:leader="none" w:pos="289" w:val="left"/>
        </w:tabs>
        <w:numPr>
          <w:ilvl w:val="0"/>
          <w:numId w:val="177"/>
        </w:numPr>
        <w:rPr>
          <w:rFonts w:ascii="Calibri" w:cs="Calibri" w:eastAsia="Calibri" w:hAnsi="Calibri"/>
          <w:sz w:val="22"/>
          <w:szCs w:val="22"/>
          <w:color w:val="auto"/>
        </w:rPr>
      </w:pPr>
      <w:r>
        <w:rPr>
          <w:rFonts w:ascii="Calibri" w:cs="Calibri" w:eastAsia="Calibri" w:hAnsi="Calibri"/>
          <w:sz w:val="22"/>
          <w:szCs w:val="22"/>
          <w:color w:val="auto"/>
        </w:rPr>
        <w:t>imprisonment for up to 20 years, (2) criminal fnes of up to $5 million, and (3) civil fnes of up to three tmes the proft gained or loss avoided.</w:t>
      </w:r>
    </w:p>
    <w:p>
      <w:pPr>
        <w:spacing w:after="0" w:line="284" w:lineRule="exact"/>
        <w:rPr>
          <w:sz w:val="20"/>
          <w:szCs w:val="20"/>
          <w:color w:val="auto"/>
        </w:rPr>
      </w:pPr>
    </w:p>
    <w:p>
      <w:pPr>
        <w:ind w:right="20"/>
        <w:spacing w:after="0" w:line="239" w:lineRule="auto"/>
        <w:rPr>
          <w:sz w:val="20"/>
          <w:szCs w:val="20"/>
          <w:color w:val="auto"/>
        </w:rPr>
      </w:pPr>
      <w:r>
        <w:rPr>
          <w:rFonts w:ascii="Calibri" w:cs="Calibri" w:eastAsia="Calibri" w:hAnsi="Calibri"/>
          <w:sz w:val="22"/>
          <w:szCs w:val="22"/>
          <w:i w:val="1"/>
          <w:iCs w:val="1"/>
          <w:color w:val="auto"/>
        </w:rPr>
        <w:t>Controlling Person Liability</w:t>
      </w:r>
      <w:r>
        <w:rPr>
          <w:rFonts w:ascii="Calibri" w:cs="Calibri" w:eastAsia="Calibri" w:hAnsi="Calibri"/>
          <w:sz w:val="22"/>
          <w:szCs w:val="22"/>
          <w:color w:val="auto"/>
        </w:rPr>
        <w:t>. If the Company fails to take appropriate steps to prevent illegal insider trading, the Company may</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have “controlling person” liability for a trading violaton, with civil penaltes of up to the greater of (1) $1.525 million, as may be adjusted for infaton, and (2) three tmes the proft gained or loss avoided, as well as a criminal penalty of up to $25 million. The civil penaltes can extend personal liability to the Company’s directors, ofcers, and other supervisory personnel if they fail to take appropriate steps to prevent insider trading.</w:t>
      </w:r>
    </w:p>
    <w:p>
      <w:pPr>
        <w:spacing w:after="0" w:line="283" w:lineRule="exact"/>
        <w:rPr>
          <w:sz w:val="20"/>
          <w:szCs w:val="20"/>
          <w:color w:val="auto"/>
        </w:rPr>
      </w:pPr>
    </w:p>
    <w:p>
      <w:pPr>
        <w:ind w:right="20"/>
        <w:spacing w:after="0" w:line="235" w:lineRule="auto"/>
        <w:rPr>
          <w:sz w:val="20"/>
          <w:szCs w:val="20"/>
          <w:color w:val="auto"/>
        </w:rPr>
      </w:pPr>
      <w:r>
        <w:rPr>
          <w:rFonts w:ascii="Calibri" w:cs="Calibri" w:eastAsia="Calibri" w:hAnsi="Calibri"/>
          <w:sz w:val="22"/>
          <w:szCs w:val="22"/>
          <w:i w:val="1"/>
          <w:iCs w:val="1"/>
          <w:color w:val="auto"/>
        </w:rPr>
        <w:t>Company Sanctons</w:t>
      </w:r>
      <w:r>
        <w:rPr>
          <w:rFonts w:ascii="Calibri" w:cs="Calibri" w:eastAsia="Calibri" w:hAnsi="Calibri"/>
          <w:sz w:val="22"/>
          <w:szCs w:val="22"/>
          <w:color w:val="auto"/>
        </w:rPr>
        <w:t>. Failure to comply with this Policy may also subject you to Company-imposed sanctons, including dismissal</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for cause, whether or not your failure to comply with this Policy results in a violaton of law.</w:t>
      </w:r>
    </w:p>
    <w:p>
      <w:pPr>
        <w:spacing w:after="0" w:line="284" w:lineRule="exact"/>
        <w:rPr>
          <w:sz w:val="20"/>
          <w:szCs w:val="20"/>
          <w:color w:val="auto"/>
        </w:rPr>
      </w:pPr>
    </w:p>
    <w:p>
      <w:pPr>
        <w:ind w:right="940"/>
        <w:spacing w:after="0" w:line="235" w:lineRule="auto"/>
        <w:rPr>
          <w:sz w:val="20"/>
          <w:szCs w:val="20"/>
          <w:color w:val="auto"/>
        </w:rPr>
      </w:pPr>
      <w:r>
        <w:rPr>
          <w:rFonts w:ascii="Calibri" w:cs="Calibri" w:eastAsia="Calibri" w:hAnsi="Calibri"/>
          <w:sz w:val="22"/>
          <w:szCs w:val="22"/>
          <w:color w:val="auto"/>
        </w:rPr>
        <w:t>Any of these consequences, and even an investgaton that does not result in prosecuton, can tarnish the Company’s reputaton and irreparably damage you and the Company.</w:t>
      </w:r>
    </w:p>
    <w:p>
      <w:pPr>
        <w:spacing w:after="0" w:line="274" w:lineRule="exact"/>
        <w:rPr>
          <w:sz w:val="20"/>
          <w:szCs w:val="20"/>
          <w:color w:val="auto"/>
        </w:rPr>
      </w:pPr>
    </w:p>
    <w:p>
      <w:pPr>
        <w:jc w:val="center"/>
        <w:ind w:right="-39"/>
        <w:spacing w:after="0"/>
        <w:rPr>
          <w:sz w:val="20"/>
          <w:szCs w:val="20"/>
          <w:color w:val="auto"/>
        </w:rPr>
      </w:pPr>
      <w:r>
        <w:rPr>
          <w:rFonts w:ascii="Calibri" w:cs="Calibri" w:eastAsia="Calibri" w:hAnsi="Calibri"/>
          <w:sz w:val="22"/>
          <w:szCs w:val="22"/>
          <w:color w:val="auto"/>
        </w:rPr>
        <w:t>SCOPE OF POLICY</w:t>
      </w:r>
    </w:p>
    <w:p>
      <w:pPr>
        <w:spacing w:after="0" w:line="282" w:lineRule="exact"/>
        <w:rPr>
          <w:sz w:val="20"/>
          <w:szCs w:val="20"/>
          <w:color w:val="auto"/>
        </w:rPr>
      </w:pPr>
    </w:p>
    <w:p>
      <w:pPr>
        <w:ind w:right="120"/>
        <w:spacing w:after="0" w:line="239" w:lineRule="auto"/>
        <w:rPr>
          <w:sz w:val="20"/>
          <w:szCs w:val="20"/>
          <w:color w:val="auto"/>
        </w:rPr>
      </w:pPr>
      <w:r>
        <w:rPr>
          <w:rFonts w:ascii="Calibri" w:cs="Calibri" w:eastAsia="Calibri" w:hAnsi="Calibri"/>
          <w:sz w:val="22"/>
          <w:szCs w:val="22"/>
          <w:i w:val="1"/>
          <w:iCs w:val="1"/>
          <w:color w:val="auto"/>
        </w:rPr>
        <w:t xml:space="preserve">Persons Covered. </w:t>
      </w:r>
      <w:r>
        <w:rPr>
          <w:rFonts w:ascii="Calibri" w:cs="Calibri" w:eastAsia="Calibri" w:hAnsi="Calibri"/>
          <w:sz w:val="22"/>
          <w:szCs w:val="22"/>
          <w:color w:val="auto"/>
        </w:rPr>
        <w:t>As a director, ofcer, employee, or consultant of the Company, this Policy applies to you. The same</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restrictons that apply to you apply to: (1) your family members who reside with you, (2) anyone else who lives in your household, (3) any family members who do not live in your household but whose transactons in Company securites are directed by you or are subject to your infuence or control (such as parents or children who consult with you before they trade in Company securites), (4) any corporatons or other business enttes controlled or managed by you, and (5) any trusts of which you are the trustee or otherwise have investment control over or benefcial or pecuniary interest. You are responsible for making sure that the purchase or sale of any security covered by this Policy by any such person or entty complies with this Policy.</w:t>
      </w:r>
    </w:p>
    <w:p>
      <w:pPr>
        <w:spacing w:after="0" w:line="291" w:lineRule="exact"/>
        <w:rPr>
          <w:sz w:val="20"/>
          <w:szCs w:val="20"/>
          <w:color w:val="auto"/>
        </w:rPr>
      </w:pPr>
    </w:p>
    <w:p>
      <w:pPr>
        <w:spacing w:after="0" w:line="252" w:lineRule="auto"/>
        <w:rPr>
          <w:sz w:val="20"/>
          <w:szCs w:val="20"/>
          <w:color w:val="auto"/>
        </w:rPr>
      </w:pPr>
      <w:r>
        <w:rPr>
          <w:rFonts w:ascii="Calibri" w:cs="Calibri" w:eastAsia="Calibri" w:hAnsi="Calibri"/>
          <w:sz w:val="21"/>
          <w:szCs w:val="21"/>
          <w:i w:val="1"/>
          <w:iCs w:val="1"/>
          <w:color w:val="auto"/>
        </w:rPr>
        <w:t xml:space="preserve">Companies Covered. </w:t>
      </w:r>
      <w:r>
        <w:rPr>
          <w:rFonts w:ascii="Calibri" w:cs="Calibri" w:eastAsia="Calibri" w:hAnsi="Calibri"/>
          <w:sz w:val="21"/>
          <w:szCs w:val="21"/>
          <w:color w:val="auto"/>
        </w:rPr>
        <w:t>The prohibiton on insider trading in this Policy is not limited to trading in the Company’s securites. It</w:t>
      </w:r>
      <w:r>
        <w:rPr>
          <w:rFonts w:ascii="Calibri" w:cs="Calibri" w:eastAsia="Calibri" w:hAnsi="Calibri"/>
          <w:sz w:val="21"/>
          <w:szCs w:val="21"/>
          <w:i w:val="1"/>
          <w:iCs w:val="1"/>
          <w:color w:val="auto"/>
        </w:rPr>
        <w:t xml:space="preserve"> </w:t>
      </w:r>
      <w:r>
        <w:rPr>
          <w:rFonts w:ascii="Calibri" w:cs="Calibri" w:eastAsia="Calibri" w:hAnsi="Calibri"/>
          <w:sz w:val="21"/>
          <w:szCs w:val="21"/>
          <w:color w:val="auto"/>
        </w:rPr>
        <w:t>includes trading in the securites of other companies with whom we have a business relatonship such as customers or suppliers of the Company and those with which the Company may be negotatng major transactons, such as an acquisiton, investment, or sale. Informaton that is not material to the Company may nevertheless be material to one of those other companies.</w:t>
      </w:r>
    </w:p>
    <w:p>
      <w:pPr>
        <w:spacing w:after="0" w:line="273" w:lineRule="exact"/>
        <w:rPr>
          <w:sz w:val="20"/>
          <w:szCs w:val="20"/>
          <w:color w:val="auto"/>
        </w:rPr>
      </w:pPr>
    </w:p>
    <w:p>
      <w:pPr>
        <w:ind w:right="220"/>
        <w:spacing w:after="0" w:line="235" w:lineRule="auto"/>
        <w:rPr>
          <w:sz w:val="20"/>
          <w:szCs w:val="20"/>
          <w:color w:val="auto"/>
        </w:rPr>
      </w:pPr>
      <w:r>
        <w:rPr>
          <w:rFonts w:ascii="Calibri" w:cs="Calibri" w:eastAsia="Calibri" w:hAnsi="Calibri"/>
          <w:sz w:val="22"/>
          <w:szCs w:val="22"/>
          <w:i w:val="1"/>
          <w:iCs w:val="1"/>
          <w:color w:val="auto"/>
        </w:rPr>
        <w:t>Transactons Generally Covered</w:t>
      </w:r>
      <w:r>
        <w:rPr>
          <w:rFonts w:ascii="Calibri" w:cs="Calibri" w:eastAsia="Calibri" w:hAnsi="Calibri"/>
          <w:sz w:val="22"/>
          <w:szCs w:val="22"/>
          <w:color w:val="auto"/>
        </w:rPr>
        <w:t>. Trading includes acquisitons/purchases and dispositons/sales of stock, derivatve securites</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(such as put and call optons and convertble debentures or</w:t>
      </w:r>
    </w:p>
    <w:p>
      <w:pPr>
        <w:spacing w:after="0" w:line="2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7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206" w:name="page207"/>
    <w:bookmarkEnd w:id="206"/>
    <w:p>
      <w:pPr>
        <w:jc w:val="both"/>
        <w:ind w:right="200"/>
        <w:spacing w:after="0" w:line="237" w:lineRule="auto"/>
        <w:rPr>
          <w:sz w:val="20"/>
          <w:szCs w:val="20"/>
          <w:color w:val="auto"/>
        </w:rPr>
      </w:pPr>
      <w:r>
        <w:rPr>
          <w:rFonts w:ascii="Calibri" w:cs="Calibri" w:eastAsia="Calibri" w:hAnsi="Calibri"/>
          <w:sz w:val="22"/>
          <w:szCs w:val="22"/>
          <w:color w:val="auto"/>
        </w:rPr>
        <w:t>preferred stock), debt securites (debentures, bonds, and notes), and gifs of securites. Trading also includes entering into or modifying a 10b5-1 Plan (as defned below) to trade securites in the future. Trading also includes certain transactons under Company plans, but not all of such transactons are subject to the trading restrictons under this Policy. Specifcally:</w:t>
      </w:r>
    </w:p>
    <w:p>
      <w:pPr>
        <w:spacing w:after="0" w:line="284" w:lineRule="exact"/>
        <w:rPr>
          <w:sz w:val="20"/>
          <w:szCs w:val="20"/>
          <w:color w:val="auto"/>
        </w:rPr>
      </w:pPr>
    </w:p>
    <w:p>
      <w:pPr>
        <w:ind w:left="1140" w:hanging="383"/>
        <w:spacing w:after="0" w:line="239" w:lineRule="auto"/>
        <w:tabs>
          <w:tab w:leader="none" w:pos="1140" w:val="left"/>
        </w:tabs>
        <w:numPr>
          <w:ilvl w:val="0"/>
          <w:numId w:val="178"/>
        </w:numPr>
        <w:rPr>
          <w:rFonts w:ascii="Times New Roman" w:cs="Times New Roman" w:eastAsia="Times New Roman" w:hAnsi="Times New Roman"/>
          <w:sz w:val="18"/>
          <w:szCs w:val="18"/>
          <w:color w:val="auto"/>
        </w:rPr>
      </w:pPr>
      <w:r>
        <w:rPr>
          <w:rFonts w:ascii="Calibri" w:cs="Calibri" w:eastAsia="Calibri" w:hAnsi="Calibri"/>
          <w:sz w:val="22"/>
          <w:szCs w:val="22"/>
          <w:i w:val="1"/>
          <w:iCs w:val="1"/>
          <w:color w:val="auto"/>
        </w:rPr>
        <w:t xml:space="preserve">Stock Opton Exercises and Restricted Stock/RSU Vestng. </w:t>
      </w:r>
      <w:r>
        <w:rPr>
          <w:rFonts w:ascii="Calibri" w:cs="Calibri" w:eastAsia="Calibri" w:hAnsi="Calibri"/>
          <w:sz w:val="22"/>
          <w:szCs w:val="22"/>
          <w:color w:val="auto"/>
        </w:rPr>
        <w:t>This Policy’s trading restrictons generally do not apply to</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the exercise of a stock opton (whether in cash or through a net exercise). The trading restrictons do apply, however, to any sale of the underlying stock or to a cashless exercise of the opton through a broker, as this entails selling a porton of the underlying stock to cover the costs of exercise. In additon, this Policy’s restrictons do not apply to the withholding of shares by the Company to satsfy a tax withholding obligaton upon the vestng of restricted stock or setlement of restricted stock units (if applicable, and to the extent permited under the Company’s equity incentve plans). However, the sale of shares, including a broker-assisted cashless exercise, to satsfy tax withholding obligatons is subject to the restrictons set forth in this Policy.</w:t>
      </w:r>
    </w:p>
    <w:p>
      <w:pPr>
        <w:spacing w:after="0" w:line="290" w:lineRule="exact"/>
        <w:rPr>
          <w:rFonts w:ascii="Times New Roman" w:cs="Times New Roman" w:eastAsia="Times New Roman" w:hAnsi="Times New Roman"/>
          <w:sz w:val="18"/>
          <w:szCs w:val="18"/>
          <w:color w:val="auto"/>
        </w:rPr>
      </w:pPr>
    </w:p>
    <w:p>
      <w:pPr>
        <w:ind w:left="1140" w:right="100" w:hanging="383"/>
        <w:spacing w:after="0" w:line="253" w:lineRule="auto"/>
        <w:tabs>
          <w:tab w:leader="none" w:pos="1140" w:val="left"/>
        </w:tabs>
        <w:numPr>
          <w:ilvl w:val="0"/>
          <w:numId w:val="178"/>
        </w:numPr>
        <w:rPr>
          <w:rFonts w:ascii="Times New Roman" w:cs="Times New Roman" w:eastAsia="Times New Roman" w:hAnsi="Times New Roman"/>
          <w:sz w:val="17"/>
          <w:szCs w:val="17"/>
          <w:color w:val="auto"/>
        </w:rPr>
      </w:pPr>
      <w:r>
        <w:rPr>
          <w:rFonts w:ascii="Calibri" w:cs="Calibri" w:eastAsia="Calibri" w:hAnsi="Calibri"/>
          <w:sz w:val="21"/>
          <w:szCs w:val="21"/>
          <w:i w:val="1"/>
          <w:iCs w:val="1"/>
          <w:color w:val="auto"/>
        </w:rPr>
        <w:t>Employee Stock Purchase Plan</w:t>
      </w:r>
      <w:r>
        <w:rPr>
          <w:rFonts w:ascii="Calibri" w:cs="Calibri" w:eastAsia="Calibri" w:hAnsi="Calibri"/>
          <w:sz w:val="21"/>
          <w:szCs w:val="21"/>
          <w:color w:val="auto"/>
        </w:rPr>
        <w:t>. This Policy also does not apply to your purchases of Company stock in the</w:t>
      </w:r>
      <w:r>
        <w:rPr>
          <w:rFonts w:ascii="Calibri" w:cs="Calibri" w:eastAsia="Calibri" w:hAnsi="Calibri"/>
          <w:sz w:val="21"/>
          <w:szCs w:val="21"/>
          <w:i w:val="1"/>
          <w:iCs w:val="1"/>
          <w:color w:val="auto"/>
        </w:rPr>
        <w:t xml:space="preserve"> </w:t>
      </w:r>
      <w:r>
        <w:rPr>
          <w:rFonts w:ascii="Calibri" w:cs="Calibri" w:eastAsia="Calibri" w:hAnsi="Calibri"/>
          <w:sz w:val="21"/>
          <w:szCs w:val="21"/>
          <w:color w:val="auto"/>
        </w:rPr>
        <w:t>Company’s Employee Stock Purchase Plan ( the “</w:t>
      </w:r>
      <w:r>
        <w:rPr>
          <w:rFonts w:ascii="Calibri" w:cs="Calibri" w:eastAsia="Calibri" w:hAnsi="Calibri"/>
          <w:sz w:val="21"/>
          <w:szCs w:val="21"/>
          <w:u w:val="single" w:color="auto"/>
          <w:color w:val="auto"/>
        </w:rPr>
        <w:t>ESPP</w:t>
      </w:r>
      <w:r>
        <w:rPr>
          <w:rFonts w:ascii="Calibri" w:cs="Calibri" w:eastAsia="Calibri" w:hAnsi="Calibri"/>
          <w:sz w:val="21"/>
          <w:szCs w:val="21"/>
          <w:color w:val="auto"/>
        </w:rPr>
        <w:t>”) resultng from your periodic contributon of money to the ESPP pursuant to your payroll deducton electon that is made while you are permited to trade under this Policy and you are not aware of material nonpublic informaton regarding the Company. However, this Policy will apply to any: (a) electon to partcipate in the ESPP for an enrollment period; (b) electon to increase or decrease your amount of periodic contributons to the ESPP; and (c) sales of Company stock purchased under the ESPP.</w:t>
      </w:r>
    </w:p>
    <w:p>
      <w:pPr>
        <w:spacing w:after="0" w:line="269" w:lineRule="exact"/>
        <w:rPr>
          <w:sz w:val="20"/>
          <w:szCs w:val="20"/>
          <w:color w:val="auto"/>
        </w:rPr>
      </w:pPr>
    </w:p>
    <w:p>
      <w:pPr>
        <w:ind w:right="80"/>
        <w:spacing w:after="0" w:line="235" w:lineRule="auto"/>
        <w:rPr>
          <w:sz w:val="20"/>
          <w:szCs w:val="20"/>
          <w:color w:val="auto"/>
        </w:rPr>
      </w:pPr>
      <w:r>
        <w:rPr>
          <w:rFonts w:ascii="Calibri" w:cs="Calibri" w:eastAsia="Calibri" w:hAnsi="Calibri"/>
          <w:sz w:val="22"/>
          <w:szCs w:val="22"/>
          <w:i w:val="1"/>
          <w:iCs w:val="1"/>
          <w:color w:val="auto"/>
        </w:rPr>
        <w:t xml:space="preserve">Transacton Not Covered. </w:t>
      </w:r>
      <w:r>
        <w:rPr>
          <w:rFonts w:ascii="Calibri" w:cs="Calibri" w:eastAsia="Calibri" w:hAnsi="Calibri"/>
          <w:sz w:val="22"/>
          <w:szCs w:val="22"/>
          <w:color w:val="auto"/>
        </w:rPr>
        <w:t>If you own shares of a mutual fund that invests in the Company’s securites, there are no restrictons</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on trading the shares of the mutual fund at any tme.</w:t>
      </w:r>
    </w:p>
    <w:p>
      <w:pPr>
        <w:spacing w:after="0" w:line="274" w:lineRule="exact"/>
        <w:rPr>
          <w:sz w:val="20"/>
          <w:szCs w:val="20"/>
          <w:color w:val="auto"/>
        </w:rPr>
      </w:pPr>
    </w:p>
    <w:p>
      <w:pPr>
        <w:jc w:val="center"/>
        <w:ind w:right="-39"/>
        <w:spacing w:after="0"/>
        <w:rPr>
          <w:sz w:val="20"/>
          <w:szCs w:val="20"/>
          <w:color w:val="auto"/>
        </w:rPr>
      </w:pPr>
      <w:r>
        <w:rPr>
          <w:rFonts w:ascii="Calibri" w:cs="Calibri" w:eastAsia="Calibri" w:hAnsi="Calibri"/>
          <w:sz w:val="22"/>
          <w:szCs w:val="22"/>
          <w:color w:val="auto"/>
        </w:rPr>
        <w:t>STATEMENT OF POLICY</w:t>
      </w:r>
    </w:p>
    <w:p>
      <w:pPr>
        <w:spacing w:after="0" w:line="282" w:lineRule="exact"/>
        <w:rPr>
          <w:sz w:val="20"/>
          <w:szCs w:val="20"/>
          <w:color w:val="auto"/>
        </w:rPr>
      </w:pPr>
    </w:p>
    <w:p>
      <w:pPr>
        <w:spacing w:after="0" w:line="238" w:lineRule="auto"/>
        <w:rPr>
          <w:sz w:val="20"/>
          <w:szCs w:val="20"/>
          <w:color w:val="auto"/>
        </w:rPr>
      </w:pPr>
      <w:r>
        <w:rPr>
          <w:rFonts w:ascii="Calibri" w:cs="Calibri" w:eastAsia="Calibri" w:hAnsi="Calibri"/>
          <w:sz w:val="22"/>
          <w:szCs w:val="22"/>
          <w:i w:val="1"/>
          <w:iCs w:val="1"/>
          <w:color w:val="auto"/>
        </w:rPr>
        <w:t xml:space="preserve">No Trading on Material Nonpublic Informaton. </w:t>
      </w:r>
      <w:r>
        <w:rPr>
          <w:rFonts w:ascii="Calibri" w:cs="Calibri" w:eastAsia="Calibri" w:hAnsi="Calibri"/>
          <w:sz w:val="22"/>
          <w:szCs w:val="22"/>
          <w:color w:val="auto"/>
        </w:rPr>
        <w:t>You may not trade in the securites of the Company, directly or indirectly,</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including through family members or other persons or enttes, if you are aware of any material nonpublic informaton relatng to the Company. Similarly, you may not trade, directly or indirectly, in the securites of any other company with whom we have a business relatonship if you are aware of material nonpublic informaton about that company, including material nonpublic informaton that you obtained in the course of your employment with the Company.</w:t>
      </w:r>
    </w:p>
    <w:p>
      <w:pPr>
        <w:spacing w:after="0" w:line="288" w:lineRule="exact"/>
        <w:rPr>
          <w:sz w:val="20"/>
          <w:szCs w:val="20"/>
          <w:color w:val="auto"/>
        </w:rPr>
      </w:pPr>
    </w:p>
    <w:p>
      <w:pPr>
        <w:ind w:right="60"/>
        <w:spacing w:after="0" w:line="252" w:lineRule="auto"/>
        <w:rPr>
          <w:sz w:val="20"/>
          <w:szCs w:val="20"/>
          <w:color w:val="auto"/>
        </w:rPr>
      </w:pPr>
      <w:r>
        <w:rPr>
          <w:rFonts w:ascii="Calibri" w:cs="Calibri" w:eastAsia="Calibri" w:hAnsi="Calibri"/>
          <w:sz w:val="21"/>
          <w:szCs w:val="21"/>
          <w:color w:val="auto"/>
        </w:rPr>
        <w:t>As described below, directors, certain ofcers and designated employees as well as their family members, household members and enttes under their control may only trade in Company securites during specifc periods each quarter. The Company will notfy you if you are subject to these trading restrictons. From tme to tme due to certain developments relatng to</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7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1" w:right="379" w:bottom="1440" w:gutter="0" w:footer="0" w:header="0"/>
        </w:sectPr>
      </w:pPr>
    </w:p>
    <w:bookmarkStart w:id="207" w:name="page208"/>
    <w:bookmarkEnd w:id="207"/>
    <w:p>
      <w:pPr>
        <w:ind w:right="20"/>
        <w:spacing w:after="0" w:line="239" w:lineRule="auto"/>
        <w:rPr>
          <w:sz w:val="20"/>
          <w:szCs w:val="20"/>
          <w:color w:val="auto"/>
        </w:rPr>
      </w:pPr>
      <w:r>
        <w:rPr>
          <w:rFonts w:ascii="Calibri" w:cs="Calibri" w:eastAsia="Calibri" w:hAnsi="Calibri"/>
          <w:sz w:val="22"/>
          <w:szCs w:val="22"/>
          <w:color w:val="auto"/>
        </w:rPr>
        <w:t>material nonpublic informaton, the Company may also implement special blackout periods during which the Company may notfy all employees or partcular individuals that they should not engage in any transactons involving the purchase or sale of Company securites or the securites of another company. If you are subject to a special blackout period, you should not trade in the applicable company’s securites during such tme and you should not disclose to others the fact that you are prohibited from trading. However, it is not the Company’s policy to impose special blackout periods every tme that material nonpublic informaton exists, or every tme that a Company employee may be in the possession of material nonpublic informaton. Thus, the absence of a special blackout should not be interpreted as permission to trade.</w:t>
      </w:r>
    </w:p>
    <w:p>
      <w:pPr>
        <w:spacing w:after="0" w:line="277" w:lineRule="exact"/>
        <w:rPr>
          <w:sz w:val="20"/>
          <w:szCs w:val="20"/>
          <w:color w:val="auto"/>
        </w:rPr>
      </w:pPr>
    </w:p>
    <w:p>
      <w:pPr>
        <w:spacing w:after="0"/>
        <w:rPr>
          <w:sz w:val="20"/>
          <w:szCs w:val="20"/>
          <w:color w:val="auto"/>
        </w:rPr>
      </w:pPr>
      <w:r>
        <w:rPr>
          <w:rFonts w:ascii="Calibri" w:cs="Calibri" w:eastAsia="Calibri" w:hAnsi="Calibri"/>
          <w:sz w:val="22"/>
          <w:szCs w:val="22"/>
          <w:color w:val="auto"/>
        </w:rPr>
        <w:t>In additon, is it the Company’s policy to comply with all applicable securites laws when issuing or repurchasing its securites.</w:t>
      </w:r>
    </w:p>
    <w:p>
      <w:pPr>
        <w:spacing w:after="0" w:line="282" w:lineRule="exact"/>
        <w:rPr>
          <w:sz w:val="20"/>
          <w:szCs w:val="20"/>
          <w:color w:val="auto"/>
        </w:rPr>
      </w:pPr>
    </w:p>
    <w:p>
      <w:pPr>
        <w:ind w:right="60"/>
        <w:spacing w:after="0" w:line="239" w:lineRule="auto"/>
        <w:rPr>
          <w:sz w:val="20"/>
          <w:szCs w:val="20"/>
          <w:color w:val="auto"/>
        </w:rPr>
      </w:pPr>
      <w:r>
        <w:rPr>
          <w:rFonts w:ascii="Calibri" w:cs="Calibri" w:eastAsia="Calibri" w:hAnsi="Calibri"/>
          <w:sz w:val="22"/>
          <w:szCs w:val="22"/>
          <w:i w:val="1"/>
          <w:iCs w:val="1"/>
          <w:color w:val="auto"/>
        </w:rPr>
        <w:t xml:space="preserve">No Tipping. </w:t>
      </w:r>
      <w:r>
        <w:rPr>
          <w:rFonts w:ascii="Calibri" w:cs="Calibri" w:eastAsia="Calibri" w:hAnsi="Calibri"/>
          <w:sz w:val="22"/>
          <w:szCs w:val="22"/>
          <w:color w:val="auto"/>
        </w:rPr>
        <w:t>You may not pass material nonpublic informaton of the Company or any other company on to others or</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recommend to anyone the purchase or sale of any securites of the Company or any such other company when you are aware of such informaton. This practce, known as “tpping,” also violates the securites laws and can result in the same civil and criminal penaltes that apply to insider trading, even though you did not trade and did not gain any beneft from another’s trading.</w:t>
      </w:r>
    </w:p>
    <w:p>
      <w:pPr>
        <w:spacing w:after="0" w:line="283" w:lineRule="exact"/>
        <w:rPr>
          <w:sz w:val="20"/>
          <w:szCs w:val="20"/>
          <w:color w:val="auto"/>
        </w:rPr>
      </w:pPr>
    </w:p>
    <w:p>
      <w:pPr>
        <w:ind w:right="280"/>
        <w:spacing w:after="0" w:line="235" w:lineRule="auto"/>
        <w:rPr>
          <w:sz w:val="20"/>
          <w:szCs w:val="20"/>
          <w:color w:val="auto"/>
        </w:rPr>
      </w:pPr>
      <w:r>
        <w:rPr>
          <w:rFonts w:ascii="Calibri" w:cs="Calibri" w:eastAsia="Calibri" w:hAnsi="Calibri"/>
          <w:sz w:val="22"/>
          <w:szCs w:val="22"/>
          <w:i w:val="1"/>
          <w:iCs w:val="1"/>
          <w:color w:val="auto"/>
        </w:rPr>
        <w:t xml:space="preserve">No Excepton for Hardship. </w:t>
      </w:r>
      <w:r>
        <w:rPr>
          <w:rFonts w:ascii="Calibri" w:cs="Calibri" w:eastAsia="Calibri" w:hAnsi="Calibri"/>
          <w:sz w:val="22"/>
          <w:szCs w:val="22"/>
          <w:color w:val="auto"/>
        </w:rPr>
        <w:t>The existence of a personal fnancial emergency does not excuse you from compliance with this</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Policy.</w:t>
      </w:r>
    </w:p>
    <w:p>
      <w:pPr>
        <w:spacing w:after="0" w:line="274" w:lineRule="exact"/>
        <w:rPr>
          <w:sz w:val="20"/>
          <w:szCs w:val="20"/>
          <w:color w:val="auto"/>
        </w:rPr>
      </w:pPr>
    </w:p>
    <w:p>
      <w:pPr>
        <w:jc w:val="center"/>
        <w:ind w:right="-159"/>
        <w:spacing w:after="0"/>
        <w:rPr>
          <w:sz w:val="20"/>
          <w:szCs w:val="20"/>
          <w:color w:val="auto"/>
        </w:rPr>
      </w:pPr>
      <w:r>
        <w:rPr>
          <w:rFonts w:ascii="Calibri" w:cs="Calibri" w:eastAsia="Calibri" w:hAnsi="Calibri"/>
          <w:sz w:val="22"/>
          <w:szCs w:val="22"/>
          <w:color w:val="auto"/>
        </w:rPr>
        <w:t>DEFINITION OF MATERIAL NONPUBLIC INFORMATION</w:t>
      </w:r>
    </w:p>
    <w:p>
      <w:pPr>
        <w:spacing w:after="0" w:line="271" w:lineRule="exact"/>
        <w:rPr>
          <w:sz w:val="20"/>
          <w:szCs w:val="20"/>
          <w:color w:val="auto"/>
        </w:rPr>
      </w:pPr>
    </w:p>
    <w:p>
      <w:pPr>
        <w:spacing w:after="0"/>
        <w:rPr>
          <w:sz w:val="20"/>
          <w:szCs w:val="20"/>
          <w:color w:val="auto"/>
        </w:rPr>
      </w:pPr>
      <w:r>
        <w:rPr>
          <w:rFonts w:ascii="Calibri" w:cs="Calibri" w:eastAsia="Calibri" w:hAnsi="Calibri"/>
          <w:sz w:val="22"/>
          <w:szCs w:val="22"/>
          <w:color w:val="auto"/>
        </w:rPr>
        <w:t>Note that material nonpublic informaton has two important elements: (1) materiality and (2) public availability.</w:t>
      </w:r>
    </w:p>
    <w:p>
      <w:pPr>
        <w:spacing w:after="0" w:line="282" w:lineRule="exact"/>
        <w:rPr>
          <w:sz w:val="20"/>
          <w:szCs w:val="20"/>
          <w:color w:val="auto"/>
        </w:rPr>
      </w:pPr>
    </w:p>
    <w:p>
      <w:pPr>
        <w:spacing w:after="0" w:line="237" w:lineRule="auto"/>
        <w:rPr>
          <w:sz w:val="20"/>
          <w:szCs w:val="20"/>
          <w:color w:val="auto"/>
        </w:rPr>
      </w:pPr>
      <w:r>
        <w:rPr>
          <w:rFonts w:ascii="Calibri" w:cs="Calibri" w:eastAsia="Calibri" w:hAnsi="Calibri"/>
          <w:sz w:val="22"/>
          <w:szCs w:val="22"/>
          <w:i w:val="1"/>
          <w:iCs w:val="1"/>
          <w:color w:val="auto"/>
        </w:rPr>
        <w:t>Material Informaton</w:t>
      </w:r>
      <w:r>
        <w:rPr>
          <w:rFonts w:ascii="Calibri" w:cs="Calibri" w:eastAsia="Calibri" w:hAnsi="Calibri"/>
          <w:sz w:val="22"/>
          <w:szCs w:val="22"/>
          <w:color w:val="auto"/>
        </w:rPr>
        <w:t>. Informaton is material if there is a substantal likelihood that a reasonable investor would consider it</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important in deciding whether to buy, hold, or sell a security. Any informaton that could reasonably be expected to afect the price of the security is material. Common examples of material informaton are:</w:t>
      </w:r>
    </w:p>
    <w:p>
      <w:pPr>
        <w:spacing w:after="0" w:line="284" w:lineRule="exact"/>
        <w:rPr>
          <w:sz w:val="20"/>
          <w:szCs w:val="20"/>
          <w:color w:val="auto"/>
        </w:rPr>
      </w:pPr>
    </w:p>
    <w:p>
      <w:pPr>
        <w:ind w:left="1140" w:right="200" w:hanging="383"/>
        <w:spacing w:after="0" w:line="235" w:lineRule="auto"/>
        <w:tabs>
          <w:tab w:leader="none" w:pos="1140" w:val="left"/>
        </w:tabs>
        <w:numPr>
          <w:ilvl w:val="0"/>
          <w:numId w:val="179"/>
        </w:numPr>
        <w:rPr>
          <w:rFonts w:ascii="Times New Roman" w:cs="Times New Roman" w:eastAsia="Times New Roman" w:hAnsi="Times New Roman"/>
          <w:sz w:val="18"/>
          <w:szCs w:val="18"/>
          <w:color w:val="auto"/>
        </w:rPr>
      </w:pPr>
      <w:r>
        <w:rPr>
          <w:rFonts w:ascii="Calibri" w:cs="Calibri" w:eastAsia="Calibri" w:hAnsi="Calibri"/>
          <w:sz w:val="22"/>
          <w:szCs w:val="22"/>
          <w:color w:val="auto"/>
        </w:rPr>
        <w:t>earnings or losses and other fnancial informaton, including projectons or other earnings guidance, whether or not they are signifcantly higher or lower than generally expected by the investment community;</w:t>
      </w:r>
    </w:p>
    <w:p>
      <w:pPr>
        <w:spacing w:after="0" w:line="2"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9"/>
        </w:numPr>
        <w:rPr>
          <w:rFonts w:ascii="Times New Roman" w:cs="Times New Roman" w:eastAsia="Times New Roman" w:hAnsi="Times New Roman"/>
          <w:sz w:val="18"/>
          <w:szCs w:val="18"/>
          <w:color w:val="auto"/>
        </w:rPr>
      </w:pPr>
      <w:r>
        <w:rPr>
          <w:rFonts w:ascii="Calibri" w:cs="Calibri" w:eastAsia="Calibri" w:hAnsi="Calibri"/>
          <w:sz w:val="22"/>
          <w:szCs w:val="22"/>
          <w:color w:val="auto"/>
        </w:rPr>
        <w:t>a pending or proposed merger, acquisiton, or sale of all or part of the Company’s business;</w:t>
      </w:r>
    </w:p>
    <w:p>
      <w:pPr>
        <w:spacing w:after="0" w:line="13" w:lineRule="exact"/>
        <w:rPr>
          <w:rFonts w:ascii="Times New Roman" w:cs="Times New Roman" w:eastAsia="Times New Roman" w:hAnsi="Times New Roman"/>
          <w:sz w:val="18"/>
          <w:szCs w:val="18"/>
          <w:color w:val="auto"/>
        </w:rPr>
      </w:pPr>
    </w:p>
    <w:p>
      <w:pPr>
        <w:ind w:left="1140" w:right="300" w:hanging="383"/>
        <w:spacing w:after="0" w:line="235" w:lineRule="auto"/>
        <w:tabs>
          <w:tab w:leader="none" w:pos="1140" w:val="left"/>
        </w:tabs>
        <w:numPr>
          <w:ilvl w:val="0"/>
          <w:numId w:val="179"/>
        </w:numPr>
        <w:rPr>
          <w:rFonts w:ascii="Times New Roman" w:cs="Times New Roman" w:eastAsia="Times New Roman" w:hAnsi="Times New Roman"/>
          <w:sz w:val="18"/>
          <w:szCs w:val="18"/>
          <w:color w:val="auto"/>
        </w:rPr>
      </w:pPr>
      <w:r>
        <w:rPr>
          <w:rFonts w:ascii="Calibri" w:cs="Calibri" w:eastAsia="Calibri" w:hAnsi="Calibri"/>
          <w:sz w:val="22"/>
          <w:szCs w:val="22"/>
          <w:color w:val="auto"/>
        </w:rPr>
        <w:t>current, proposed or contemplated transactons, business plans, fnancial restructurings, acquisiton targets or signifcant expansions or contractons of operatons;</w:t>
      </w:r>
    </w:p>
    <w:p>
      <w:pPr>
        <w:spacing w:after="0" w:line="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9"/>
        </w:numPr>
        <w:rPr>
          <w:rFonts w:ascii="Times New Roman" w:cs="Times New Roman" w:eastAsia="Times New Roman" w:hAnsi="Times New Roman"/>
          <w:sz w:val="18"/>
          <w:szCs w:val="18"/>
          <w:color w:val="auto"/>
        </w:rPr>
      </w:pPr>
      <w:r>
        <w:rPr>
          <w:rFonts w:ascii="Calibri" w:cs="Calibri" w:eastAsia="Calibri" w:hAnsi="Calibri"/>
          <w:sz w:val="22"/>
          <w:szCs w:val="22"/>
          <w:color w:val="auto"/>
        </w:rPr>
        <w:t>impending securites oferings by the Company;</w:t>
      </w:r>
    </w:p>
    <w:p>
      <w:pPr>
        <w:spacing w:after="0" w:line="2"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9"/>
        </w:numPr>
        <w:rPr>
          <w:rFonts w:ascii="Times New Roman" w:cs="Times New Roman" w:eastAsia="Times New Roman" w:hAnsi="Times New Roman"/>
          <w:sz w:val="18"/>
          <w:szCs w:val="18"/>
          <w:color w:val="auto"/>
        </w:rPr>
      </w:pPr>
      <w:r>
        <w:rPr>
          <w:rFonts w:ascii="Calibri" w:cs="Calibri" w:eastAsia="Calibri" w:hAnsi="Calibri"/>
          <w:sz w:val="22"/>
          <w:szCs w:val="22"/>
          <w:color w:val="auto"/>
        </w:rPr>
        <w:t>changes in management, directors or auditors;</w:t>
      </w:r>
    </w:p>
    <w:p>
      <w:pPr>
        <w:spacing w:after="0" w:line="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9"/>
        </w:numPr>
        <w:rPr>
          <w:rFonts w:ascii="Times New Roman" w:cs="Times New Roman" w:eastAsia="Times New Roman" w:hAnsi="Times New Roman"/>
          <w:sz w:val="18"/>
          <w:szCs w:val="18"/>
          <w:color w:val="auto"/>
        </w:rPr>
      </w:pPr>
      <w:r>
        <w:rPr>
          <w:rFonts w:ascii="Calibri" w:cs="Calibri" w:eastAsia="Calibri" w:hAnsi="Calibri"/>
          <w:sz w:val="22"/>
          <w:szCs w:val="22"/>
          <w:color w:val="auto"/>
        </w:rPr>
        <w:t>clinical trial results;</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7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21" w:right="479" w:bottom="1440" w:gutter="0" w:footer="0" w:header="0"/>
        </w:sectPr>
      </w:pPr>
    </w:p>
    <w:bookmarkStart w:id="208" w:name="page209"/>
    <w:bookmarkEnd w:id="208"/>
    <w:p>
      <w:pPr>
        <w:ind w:left="1140" w:hanging="383"/>
        <w:spacing w:after="0"/>
        <w:tabs>
          <w:tab w:leader="none" w:pos="1140" w:val="left"/>
        </w:tabs>
        <w:numPr>
          <w:ilvl w:val="0"/>
          <w:numId w:val="180"/>
        </w:numPr>
        <w:rPr>
          <w:rFonts w:ascii="Times New Roman" w:cs="Times New Roman" w:eastAsia="Times New Roman" w:hAnsi="Times New Roman"/>
          <w:sz w:val="18"/>
          <w:szCs w:val="18"/>
          <w:color w:val="auto"/>
        </w:rPr>
      </w:pPr>
      <w:r>
        <w:rPr>
          <w:rFonts w:ascii="Calibri" w:cs="Calibri" w:eastAsia="Calibri" w:hAnsi="Calibri"/>
          <w:sz w:val="22"/>
          <w:szCs w:val="22"/>
          <w:color w:val="auto"/>
        </w:rPr>
        <w:t>signifcant new products or discoveries;</w:t>
      </w:r>
    </w:p>
    <w:p>
      <w:pPr>
        <w:ind w:left="1140" w:hanging="383"/>
        <w:spacing w:after="0"/>
        <w:tabs>
          <w:tab w:leader="none" w:pos="1140" w:val="left"/>
        </w:tabs>
        <w:numPr>
          <w:ilvl w:val="0"/>
          <w:numId w:val="180"/>
        </w:numPr>
        <w:rPr>
          <w:rFonts w:ascii="Times New Roman" w:cs="Times New Roman" w:eastAsia="Times New Roman" w:hAnsi="Times New Roman"/>
          <w:sz w:val="18"/>
          <w:szCs w:val="18"/>
          <w:color w:val="auto"/>
        </w:rPr>
      </w:pPr>
      <w:r>
        <w:rPr>
          <w:rFonts w:ascii="Calibri" w:cs="Calibri" w:eastAsia="Calibri" w:hAnsi="Calibri"/>
          <w:sz w:val="22"/>
          <w:szCs w:val="22"/>
          <w:color w:val="auto"/>
        </w:rPr>
        <w:t>negotatons regarding an important license, distributon agreement, or joint venture;</w:t>
      </w:r>
    </w:p>
    <w:p>
      <w:pPr>
        <w:spacing w:after="0" w:line="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0"/>
        </w:numPr>
        <w:rPr>
          <w:rFonts w:ascii="Times New Roman" w:cs="Times New Roman" w:eastAsia="Times New Roman" w:hAnsi="Times New Roman"/>
          <w:sz w:val="18"/>
          <w:szCs w:val="18"/>
          <w:color w:val="auto"/>
        </w:rPr>
      </w:pPr>
      <w:r>
        <w:rPr>
          <w:rFonts w:ascii="Calibri" w:cs="Calibri" w:eastAsia="Calibri" w:hAnsi="Calibri"/>
          <w:sz w:val="22"/>
          <w:szCs w:val="22"/>
          <w:color w:val="auto"/>
        </w:rPr>
        <w:t>pending FDA or other regulatory acton;</w:t>
      </w:r>
    </w:p>
    <w:p>
      <w:pPr>
        <w:spacing w:after="0" w:line="13" w:lineRule="exact"/>
        <w:rPr>
          <w:rFonts w:ascii="Times New Roman" w:cs="Times New Roman" w:eastAsia="Times New Roman" w:hAnsi="Times New Roman"/>
          <w:sz w:val="18"/>
          <w:szCs w:val="18"/>
          <w:color w:val="auto"/>
        </w:rPr>
      </w:pPr>
    </w:p>
    <w:p>
      <w:pPr>
        <w:ind w:left="1140" w:hanging="383"/>
        <w:spacing w:after="0" w:line="235" w:lineRule="auto"/>
        <w:tabs>
          <w:tab w:leader="none" w:pos="1140" w:val="left"/>
        </w:tabs>
        <w:numPr>
          <w:ilvl w:val="0"/>
          <w:numId w:val="180"/>
        </w:numPr>
        <w:rPr>
          <w:rFonts w:ascii="Times New Roman" w:cs="Times New Roman" w:eastAsia="Times New Roman" w:hAnsi="Times New Roman"/>
          <w:sz w:val="18"/>
          <w:szCs w:val="18"/>
          <w:color w:val="auto"/>
        </w:rPr>
      </w:pPr>
      <w:r>
        <w:rPr>
          <w:rFonts w:ascii="Calibri" w:cs="Calibri" w:eastAsia="Calibri" w:hAnsi="Calibri"/>
          <w:sz w:val="22"/>
          <w:szCs w:val="22"/>
          <w:color w:val="auto"/>
        </w:rPr>
        <w:t>major events regarding the Company’s securites, including the declaraton of a stock split, dividend or the ofering of additonal securites;</w:t>
      </w:r>
    </w:p>
    <w:p>
      <w:pPr>
        <w:spacing w:after="0" w:line="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0"/>
        </w:numPr>
        <w:rPr>
          <w:rFonts w:ascii="Times New Roman" w:cs="Times New Roman" w:eastAsia="Times New Roman" w:hAnsi="Times New Roman"/>
          <w:sz w:val="18"/>
          <w:szCs w:val="18"/>
          <w:color w:val="auto"/>
        </w:rPr>
      </w:pPr>
      <w:r>
        <w:rPr>
          <w:rFonts w:ascii="Calibri" w:cs="Calibri" w:eastAsia="Calibri" w:hAnsi="Calibri"/>
          <w:sz w:val="22"/>
          <w:szCs w:val="22"/>
          <w:color w:val="auto"/>
        </w:rPr>
        <w:t>impending fnancial problems;</w:t>
      </w:r>
    </w:p>
    <w:p>
      <w:pPr>
        <w:spacing w:after="0" w:line="2"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0"/>
        </w:numPr>
        <w:rPr>
          <w:rFonts w:ascii="Times New Roman" w:cs="Times New Roman" w:eastAsia="Times New Roman" w:hAnsi="Times New Roman"/>
          <w:sz w:val="18"/>
          <w:szCs w:val="18"/>
          <w:color w:val="auto"/>
        </w:rPr>
      </w:pPr>
      <w:r>
        <w:rPr>
          <w:rFonts w:ascii="Calibri" w:cs="Calibri" w:eastAsia="Calibri" w:hAnsi="Calibri"/>
          <w:sz w:val="22"/>
          <w:szCs w:val="22"/>
          <w:color w:val="auto"/>
        </w:rPr>
        <w:t>actual or threatened major litgaton, or the resoluton of such litgaton;</w:t>
      </w:r>
    </w:p>
    <w:p>
      <w:pPr>
        <w:spacing w:after="0" w:line="13" w:lineRule="exact"/>
        <w:rPr>
          <w:rFonts w:ascii="Times New Roman" w:cs="Times New Roman" w:eastAsia="Times New Roman" w:hAnsi="Times New Roman"/>
          <w:sz w:val="18"/>
          <w:szCs w:val="18"/>
          <w:color w:val="auto"/>
        </w:rPr>
      </w:pPr>
    </w:p>
    <w:p>
      <w:pPr>
        <w:ind w:left="1140" w:right="120" w:hanging="383"/>
        <w:spacing w:after="0" w:line="238" w:lineRule="auto"/>
        <w:tabs>
          <w:tab w:leader="none" w:pos="1140" w:val="left"/>
        </w:tabs>
        <w:numPr>
          <w:ilvl w:val="0"/>
          <w:numId w:val="180"/>
        </w:numPr>
        <w:rPr>
          <w:rFonts w:ascii="Times New Roman" w:cs="Times New Roman" w:eastAsia="Times New Roman" w:hAnsi="Times New Roman"/>
          <w:sz w:val="18"/>
          <w:szCs w:val="18"/>
          <w:color w:val="auto"/>
        </w:rPr>
      </w:pPr>
      <w:r>
        <w:rPr>
          <w:rFonts w:ascii="Calibri" w:cs="Calibri" w:eastAsia="Calibri" w:hAnsi="Calibri"/>
          <w:sz w:val="22"/>
          <w:szCs w:val="22"/>
          <w:color w:val="auto"/>
        </w:rPr>
        <w:t>signifcant actual or potental cybersecurity incidents or events that afect the Company or third party providers that support the Company’s business operatons, including computer system or network compromises, viruses or other destructve sofware, and data breach incidents that may disclose personal, business or other confdental informaton;</w:t>
      </w:r>
    </w:p>
    <w:p>
      <w:pPr>
        <w:spacing w:after="0" w:line="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0"/>
        </w:numPr>
        <w:rPr>
          <w:rFonts w:ascii="Times New Roman" w:cs="Times New Roman" w:eastAsia="Times New Roman" w:hAnsi="Times New Roman"/>
          <w:sz w:val="18"/>
          <w:szCs w:val="18"/>
          <w:color w:val="auto"/>
        </w:rPr>
      </w:pPr>
      <w:r>
        <w:rPr>
          <w:rFonts w:ascii="Calibri" w:cs="Calibri" w:eastAsia="Calibri" w:hAnsi="Calibri"/>
          <w:sz w:val="22"/>
          <w:szCs w:val="22"/>
          <w:color w:val="auto"/>
        </w:rPr>
        <w:t>new major contracts, order, suppliers, customer or fnance sources, or the loss thereof; or</w:t>
      </w:r>
    </w:p>
    <w:p>
      <w:pPr>
        <w:spacing w:after="0" w:line="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0"/>
        </w:numPr>
        <w:rPr>
          <w:rFonts w:ascii="Times New Roman" w:cs="Times New Roman" w:eastAsia="Times New Roman" w:hAnsi="Times New Roman"/>
          <w:sz w:val="18"/>
          <w:szCs w:val="18"/>
          <w:color w:val="auto"/>
        </w:rPr>
      </w:pPr>
      <w:r>
        <w:rPr>
          <w:rFonts w:ascii="Calibri" w:cs="Calibri" w:eastAsia="Calibri" w:hAnsi="Calibri"/>
          <w:sz w:val="22"/>
          <w:szCs w:val="22"/>
          <w:color w:val="auto"/>
        </w:rPr>
        <w:t>changes in the status of any of the Company’s actvites which may have an adverse or favorable impact.</w:t>
      </w:r>
    </w:p>
    <w:p>
      <w:pPr>
        <w:spacing w:after="0" w:line="271" w:lineRule="exact"/>
        <w:rPr>
          <w:sz w:val="20"/>
          <w:szCs w:val="20"/>
          <w:color w:val="auto"/>
        </w:rPr>
      </w:pPr>
    </w:p>
    <w:p>
      <w:pPr>
        <w:spacing w:after="0"/>
        <w:rPr>
          <w:sz w:val="20"/>
          <w:szCs w:val="20"/>
          <w:color w:val="auto"/>
        </w:rPr>
      </w:pPr>
      <w:r>
        <w:rPr>
          <w:rFonts w:ascii="Calibri" w:cs="Calibri" w:eastAsia="Calibri" w:hAnsi="Calibri"/>
          <w:sz w:val="22"/>
          <w:szCs w:val="22"/>
          <w:color w:val="auto"/>
        </w:rPr>
        <w:t>Note that other types of informaton may also be material; no complete list can be given.</w:t>
      </w:r>
    </w:p>
    <w:p>
      <w:pPr>
        <w:spacing w:after="0" w:line="282" w:lineRule="exact"/>
        <w:rPr>
          <w:sz w:val="20"/>
          <w:szCs w:val="20"/>
          <w:color w:val="auto"/>
        </w:rPr>
      </w:pPr>
    </w:p>
    <w:p>
      <w:pPr>
        <w:ind w:right="80"/>
        <w:spacing w:after="0" w:line="237" w:lineRule="auto"/>
        <w:rPr>
          <w:sz w:val="20"/>
          <w:szCs w:val="20"/>
          <w:color w:val="auto"/>
        </w:rPr>
      </w:pPr>
      <w:r>
        <w:rPr>
          <w:rFonts w:ascii="Calibri" w:cs="Calibri" w:eastAsia="Calibri" w:hAnsi="Calibri"/>
          <w:sz w:val="22"/>
          <w:szCs w:val="22"/>
          <w:color w:val="auto"/>
        </w:rPr>
        <w:t>Both positve and negatve informaton can be material. Because trading that receives scrutny from federal and Nasdaq investgators will be evaluated afer the fact with the beneft of hindsight, when in doubt, questons concerning the materiality of partcular informaton should be resolved in favor of considering it material, and trading should be avoided.</w:t>
      </w:r>
    </w:p>
    <w:p>
      <w:pPr>
        <w:spacing w:after="0" w:line="284" w:lineRule="exact"/>
        <w:rPr>
          <w:sz w:val="20"/>
          <w:szCs w:val="20"/>
          <w:color w:val="auto"/>
        </w:rPr>
      </w:pPr>
    </w:p>
    <w:p>
      <w:pPr>
        <w:ind w:right="60"/>
        <w:spacing w:after="0"/>
        <w:rPr>
          <w:sz w:val="20"/>
          <w:szCs w:val="20"/>
          <w:color w:val="auto"/>
        </w:rPr>
      </w:pPr>
      <w:r>
        <w:rPr>
          <w:rFonts w:ascii="Calibri" w:cs="Calibri" w:eastAsia="Calibri" w:hAnsi="Calibri"/>
          <w:sz w:val="22"/>
          <w:szCs w:val="22"/>
          <w:i w:val="1"/>
          <w:iCs w:val="1"/>
          <w:color w:val="auto"/>
        </w:rPr>
        <w:t xml:space="preserve">Nonpublic Informaton. </w:t>
      </w:r>
      <w:r>
        <w:rPr>
          <w:rFonts w:ascii="Calibri" w:cs="Calibri" w:eastAsia="Calibri" w:hAnsi="Calibri"/>
          <w:sz w:val="22"/>
          <w:szCs w:val="22"/>
          <w:color w:val="auto"/>
        </w:rPr>
        <w:t>Nonpublic informaton is informaton that is not generally known or available to the public. One</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 xml:space="preserve">common misconcepton is that material informaton loses its “nonpublic” status as soon as a press release is issued disclosing the informaton. In fact, informaton is considered to be available to the public only when it has been released broadly to the marketplace (such as by a press release or an SEC fling) </w:t>
      </w:r>
      <w:r>
        <w:rPr>
          <w:rFonts w:ascii="Calibri" w:cs="Calibri" w:eastAsia="Calibri" w:hAnsi="Calibri"/>
          <w:sz w:val="22"/>
          <w:szCs w:val="22"/>
          <w:i w:val="1"/>
          <w:iCs w:val="1"/>
          <w:color w:val="auto"/>
        </w:rPr>
        <w:t>and the investng public has had tme to absorb the informaton fully.</w:t>
      </w:r>
      <w:r>
        <w:rPr>
          <w:rFonts w:ascii="Calibri" w:cs="Calibri" w:eastAsia="Calibri" w:hAnsi="Calibri"/>
          <w:sz w:val="22"/>
          <w:szCs w:val="22"/>
          <w:color w:val="auto"/>
        </w:rPr>
        <w:t xml:space="preserve"> As a general rule, Company informaton is considered nonpublic untl afer the second full trading day afer the informaton is released. For example, if the Company announces fnancial earnings before trading begins on a Tuesday, the frst tme you can buy or sell Company securites is the opening of the market on Thursday (assuming you are not aware of other material nonpublic informaton at that tme). However, if the Company announces earnings afer trading begins on that Tuesday, the frst tme you can buy or sell Company securites is the opening of the market on Friday.</w:t>
      </w:r>
    </w:p>
    <w:p>
      <w:pPr>
        <w:spacing w:after="0" w:line="272" w:lineRule="exact"/>
        <w:rPr>
          <w:sz w:val="20"/>
          <w:szCs w:val="20"/>
          <w:color w:val="auto"/>
        </w:rPr>
      </w:pPr>
    </w:p>
    <w:p>
      <w:pPr>
        <w:jc w:val="center"/>
        <w:ind w:right="-79"/>
        <w:spacing w:after="0"/>
        <w:rPr>
          <w:sz w:val="20"/>
          <w:szCs w:val="20"/>
          <w:color w:val="auto"/>
        </w:rPr>
      </w:pPr>
      <w:r>
        <w:rPr>
          <w:rFonts w:ascii="Calibri" w:cs="Calibri" w:eastAsia="Calibri" w:hAnsi="Calibri"/>
          <w:sz w:val="22"/>
          <w:szCs w:val="22"/>
          <w:color w:val="auto"/>
        </w:rPr>
        <w:t>EXCEPTION FOR TRANSACTIONS PURSUANT TO RULE 10b5-1 PLANS</w:t>
      </w:r>
    </w:p>
    <w:p>
      <w:pPr>
        <w:spacing w:after="0" w:line="282"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22"/>
          <w:szCs w:val="22"/>
          <w:color w:val="auto"/>
        </w:rPr>
        <w:t>An excepton to this rule is trading in compliance with Rule 10b5-1 under the Securites Exchange Act of 1934, as amended (the “</w:t>
      </w:r>
      <w:r>
        <w:rPr>
          <w:rFonts w:ascii="Calibri" w:cs="Calibri" w:eastAsia="Calibri" w:hAnsi="Calibri"/>
          <w:sz w:val="22"/>
          <w:szCs w:val="22"/>
          <w:u w:val="single" w:color="auto"/>
          <w:color w:val="auto"/>
        </w:rPr>
        <w:t>Exchange Act</w:t>
      </w:r>
      <w:r>
        <w:rPr>
          <w:rFonts w:ascii="Calibri" w:cs="Calibri" w:eastAsia="Calibri" w:hAnsi="Calibri"/>
          <w:sz w:val="22"/>
          <w:szCs w:val="22"/>
          <w:color w:val="auto"/>
        </w:rPr>
        <w:t>”) pursuant to a contract, instructon, or writen plan that (1) specifes, or includes a writen formula or algorithm or computer program for determining, the amount, price and date of securites to be purchased or sold, (2) is</w:t>
      </w:r>
    </w:p>
    <w:p>
      <w:pPr>
        <w:spacing w:after="0" w:line="2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7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0" w:right="399" w:bottom="1440" w:gutter="0" w:footer="0" w:header="0"/>
        </w:sectPr>
      </w:pPr>
    </w:p>
    <w:bookmarkStart w:id="209" w:name="page210"/>
    <w:bookmarkEnd w:id="209"/>
    <w:p>
      <w:pPr>
        <w:ind w:right="40"/>
        <w:spacing w:after="0" w:line="239" w:lineRule="auto"/>
        <w:rPr>
          <w:sz w:val="20"/>
          <w:szCs w:val="20"/>
          <w:color w:val="auto"/>
        </w:rPr>
      </w:pPr>
      <w:r>
        <w:rPr>
          <w:rFonts w:ascii="Calibri" w:cs="Calibri" w:eastAsia="Calibri" w:hAnsi="Calibri"/>
          <w:sz w:val="22"/>
          <w:szCs w:val="22"/>
          <w:color w:val="auto"/>
        </w:rPr>
        <w:t>established at a tme when you were not aware of material, nonpublic informaton, and (3) satsfes Exchange Act Rule 10b5-1(c) (a “</w:t>
      </w:r>
      <w:r>
        <w:rPr>
          <w:rFonts w:ascii="Calibri" w:cs="Calibri" w:eastAsia="Calibri" w:hAnsi="Calibri"/>
          <w:sz w:val="22"/>
          <w:szCs w:val="22"/>
          <w:u w:val="single" w:color="auto"/>
          <w:color w:val="auto"/>
        </w:rPr>
        <w:t>10b5-1 Plan</w:t>
      </w:r>
      <w:r>
        <w:rPr>
          <w:rFonts w:ascii="Calibri" w:cs="Calibri" w:eastAsia="Calibri" w:hAnsi="Calibri"/>
          <w:sz w:val="22"/>
          <w:szCs w:val="22"/>
          <w:color w:val="auto"/>
        </w:rPr>
        <w:t>”). Any 10b5-1 Plan is required to be reviewed and approved by the CFO and the Chief Legal Ofcer, or designees of such persons, prior to entry into such plan. In additon, all amendments, modifcatons and terminatons of a 10b5-1 Plan must be reviewed and approved by the CFO and the Chief Legal Ofcer, or designees of such persons prior to efectng any such amendments, modifcatons or terminatons. In accordance with SEC rules, any 10b5-1 Plan must also satsfy the following requirements:</w:t>
      </w:r>
    </w:p>
    <w:p>
      <w:pPr>
        <w:spacing w:after="0" w:line="285" w:lineRule="exact"/>
        <w:rPr>
          <w:sz w:val="20"/>
          <w:szCs w:val="20"/>
          <w:color w:val="auto"/>
        </w:rPr>
      </w:pPr>
    </w:p>
    <w:p>
      <w:pPr>
        <w:ind w:left="740" w:right="120" w:hanging="297"/>
        <w:spacing w:after="0" w:line="252" w:lineRule="auto"/>
        <w:tabs>
          <w:tab w:leader="none" w:pos="740" w:val="left"/>
        </w:tabs>
        <w:numPr>
          <w:ilvl w:val="0"/>
          <w:numId w:val="181"/>
        </w:numPr>
        <w:rPr>
          <w:rFonts w:ascii="Times New Roman" w:cs="Times New Roman" w:eastAsia="Times New Roman" w:hAnsi="Times New Roman"/>
          <w:sz w:val="21"/>
          <w:szCs w:val="21"/>
          <w:color w:val="auto"/>
        </w:rPr>
      </w:pPr>
      <w:r>
        <w:rPr>
          <w:rFonts w:ascii="Calibri" w:cs="Calibri" w:eastAsia="Calibri" w:hAnsi="Calibri"/>
          <w:sz w:val="21"/>
          <w:szCs w:val="21"/>
          <w:i w:val="1"/>
          <w:iCs w:val="1"/>
          <w:color w:val="auto"/>
        </w:rPr>
        <w:t>Timing</w:t>
      </w:r>
      <w:r>
        <w:rPr>
          <w:rFonts w:ascii="Calibri" w:cs="Calibri" w:eastAsia="Calibri" w:hAnsi="Calibri"/>
          <w:sz w:val="21"/>
          <w:szCs w:val="21"/>
          <w:color w:val="auto"/>
        </w:rPr>
        <w:t>. A Rule 10b5-1 Plan can only be entered into, amended, modifed or terminated during the Window Period (as</w:t>
      </w:r>
      <w:r>
        <w:rPr>
          <w:rFonts w:ascii="Calibri" w:cs="Calibri" w:eastAsia="Calibri" w:hAnsi="Calibri"/>
          <w:sz w:val="21"/>
          <w:szCs w:val="21"/>
          <w:i w:val="1"/>
          <w:iCs w:val="1"/>
          <w:color w:val="auto"/>
        </w:rPr>
        <w:t xml:space="preserve"> </w:t>
      </w:r>
      <w:r>
        <w:rPr>
          <w:rFonts w:ascii="Calibri" w:cs="Calibri" w:eastAsia="Calibri" w:hAnsi="Calibri"/>
          <w:sz w:val="21"/>
          <w:szCs w:val="21"/>
          <w:color w:val="auto"/>
        </w:rPr>
        <w:t>defned below) and at a tme when the person entering into the plan is not aware of material nonpublic informaton.</w:t>
      </w:r>
    </w:p>
    <w:p>
      <w:pPr>
        <w:spacing w:after="0" w:line="271" w:lineRule="exact"/>
        <w:rPr>
          <w:rFonts w:ascii="Times New Roman" w:cs="Times New Roman" w:eastAsia="Times New Roman" w:hAnsi="Times New Roman"/>
          <w:sz w:val="21"/>
          <w:szCs w:val="21"/>
          <w:color w:val="auto"/>
        </w:rPr>
      </w:pPr>
    </w:p>
    <w:p>
      <w:pPr>
        <w:ind w:left="740" w:hanging="297"/>
        <w:spacing w:after="0" w:line="252" w:lineRule="auto"/>
        <w:tabs>
          <w:tab w:leader="none" w:pos="740" w:val="left"/>
        </w:tabs>
        <w:numPr>
          <w:ilvl w:val="0"/>
          <w:numId w:val="181"/>
        </w:numPr>
        <w:rPr>
          <w:rFonts w:ascii="Times New Roman" w:cs="Times New Roman" w:eastAsia="Times New Roman" w:hAnsi="Times New Roman"/>
          <w:sz w:val="21"/>
          <w:szCs w:val="21"/>
          <w:color w:val="auto"/>
        </w:rPr>
      </w:pPr>
      <w:r>
        <w:rPr>
          <w:rFonts w:ascii="Calibri" w:cs="Calibri" w:eastAsia="Calibri" w:hAnsi="Calibri"/>
          <w:sz w:val="21"/>
          <w:szCs w:val="21"/>
          <w:i w:val="1"/>
          <w:iCs w:val="1"/>
          <w:color w:val="auto"/>
        </w:rPr>
        <w:t>Cooling-of Period</w:t>
      </w:r>
      <w:r>
        <w:rPr>
          <w:rFonts w:ascii="Calibri" w:cs="Calibri" w:eastAsia="Calibri" w:hAnsi="Calibri"/>
          <w:sz w:val="21"/>
          <w:szCs w:val="21"/>
          <w:color w:val="auto"/>
        </w:rPr>
        <w:t>. The frst scheduled transacton in an approved and executed 10b5-1 Plan must not take place untl</w:t>
      </w:r>
      <w:r>
        <w:rPr>
          <w:rFonts w:ascii="Calibri" w:cs="Calibri" w:eastAsia="Calibri" w:hAnsi="Calibri"/>
          <w:sz w:val="21"/>
          <w:szCs w:val="21"/>
          <w:i w:val="1"/>
          <w:iCs w:val="1"/>
          <w:color w:val="auto"/>
        </w:rPr>
        <w:t xml:space="preserve"> </w:t>
      </w:r>
      <w:r>
        <w:rPr>
          <w:rFonts w:ascii="Calibri" w:cs="Calibri" w:eastAsia="Calibri" w:hAnsi="Calibri"/>
          <w:sz w:val="21"/>
          <w:szCs w:val="21"/>
          <w:color w:val="auto"/>
        </w:rPr>
        <w:t>the end of a cooling-of period, which means (a) if you are a director or Secton 16 Executve Ofcer (defned below), the later of (i) ninety (90) calendar days afer the 10b5-1 Plan is entered into, and (ii) two business days following the disclosure of the Company’s fnancial results in a Form 10-K or Form 10-Q for the fscal quarter in which the 10b5-1 Plan was adopted (in any case, the transacton may occur afer 120 calendar days afer the 10b5-1 Plan is entered into), or (b) if you are not a director or Secton 16 Executve Ofcer, thirty (30) calendar days afer the 10b5-1 Plan is entered into. Amendments or modifcatons of a 10b5-1 Plan that impact the amount, price or tming of transactons under the plan will be treated as the adopton of a new plan and subject to the applicable cooling-of period described above.</w:t>
      </w:r>
    </w:p>
    <w:p>
      <w:pPr>
        <w:spacing w:after="0" w:line="276" w:lineRule="exact"/>
        <w:rPr>
          <w:rFonts w:ascii="Times New Roman" w:cs="Times New Roman" w:eastAsia="Times New Roman" w:hAnsi="Times New Roman"/>
          <w:sz w:val="21"/>
          <w:szCs w:val="21"/>
          <w:color w:val="auto"/>
        </w:rPr>
      </w:pPr>
    </w:p>
    <w:p>
      <w:pPr>
        <w:ind w:left="820" w:right="500" w:hanging="377"/>
        <w:spacing w:after="0" w:line="235" w:lineRule="auto"/>
        <w:tabs>
          <w:tab w:leader="none" w:pos="820" w:val="left"/>
        </w:tabs>
        <w:numPr>
          <w:ilvl w:val="0"/>
          <w:numId w:val="181"/>
        </w:numPr>
        <w:rPr>
          <w:rFonts w:ascii="Times New Roman" w:cs="Times New Roman" w:eastAsia="Times New Roman" w:hAnsi="Times New Roman"/>
          <w:sz w:val="22"/>
          <w:szCs w:val="22"/>
          <w:color w:val="auto"/>
        </w:rPr>
      </w:pPr>
      <w:r>
        <w:rPr>
          <w:rFonts w:ascii="Calibri" w:cs="Calibri" w:eastAsia="Calibri" w:hAnsi="Calibri"/>
          <w:sz w:val="22"/>
          <w:szCs w:val="22"/>
          <w:i w:val="1"/>
          <w:iCs w:val="1"/>
          <w:color w:val="auto"/>
        </w:rPr>
        <w:t>Good Faith</w:t>
      </w:r>
      <w:r>
        <w:rPr>
          <w:rFonts w:ascii="Calibri" w:cs="Calibri" w:eastAsia="Calibri" w:hAnsi="Calibri"/>
          <w:sz w:val="22"/>
          <w:szCs w:val="22"/>
          <w:color w:val="auto"/>
        </w:rPr>
        <w:t>. The 10b5-1 Plan must be entered into in good faith and not as part of a plan or scheme to evade the</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prohibitons of the securites laws, and you must act in good faith with respect to the 10b5-1 Plan.</w:t>
      </w:r>
    </w:p>
    <w:p>
      <w:pPr>
        <w:spacing w:after="0" w:line="284" w:lineRule="exact"/>
        <w:rPr>
          <w:rFonts w:ascii="Times New Roman" w:cs="Times New Roman" w:eastAsia="Times New Roman" w:hAnsi="Times New Roman"/>
          <w:sz w:val="22"/>
          <w:szCs w:val="22"/>
          <w:color w:val="auto"/>
        </w:rPr>
      </w:pPr>
    </w:p>
    <w:p>
      <w:pPr>
        <w:ind w:left="740" w:right="80" w:hanging="297"/>
        <w:spacing w:after="0" w:line="238" w:lineRule="auto"/>
        <w:tabs>
          <w:tab w:leader="none" w:pos="740" w:val="left"/>
        </w:tabs>
        <w:numPr>
          <w:ilvl w:val="0"/>
          <w:numId w:val="181"/>
        </w:numPr>
        <w:rPr>
          <w:rFonts w:ascii="Times New Roman" w:cs="Times New Roman" w:eastAsia="Times New Roman" w:hAnsi="Times New Roman"/>
          <w:sz w:val="22"/>
          <w:szCs w:val="22"/>
          <w:color w:val="auto"/>
        </w:rPr>
      </w:pPr>
      <w:r>
        <w:rPr>
          <w:rFonts w:ascii="Calibri" w:cs="Calibri" w:eastAsia="Calibri" w:hAnsi="Calibri"/>
          <w:sz w:val="22"/>
          <w:szCs w:val="22"/>
          <w:i w:val="1"/>
          <w:iCs w:val="1"/>
          <w:color w:val="auto"/>
        </w:rPr>
        <w:t>Restrictons on Overlapping and Single-Trade Plans</w:t>
      </w:r>
      <w:r>
        <w:rPr>
          <w:rFonts w:ascii="Calibri" w:cs="Calibri" w:eastAsia="Calibri" w:hAnsi="Calibri"/>
          <w:sz w:val="22"/>
          <w:szCs w:val="22"/>
          <w:color w:val="auto"/>
        </w:rPr>
        <w:t>. You may not enter into more than one 10b5-1 Plan for trading</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Company securites during the same period, unless the additonal plan only authorizes “sell-to-cover” transactons to satsfy tax withholding obligatons in connecton with the vestng of equity awards. In additon, you may not enter into more than one single-trade 10b5-1 Plan within a 12-month period.</w:t>
      </w:r>
    </w:p>
    <w:p>
      <w:pPr>
        <w:spacing w:after="0" w:line="285" w:lineRule="exact"/>
        <w:rPr>
          <w:sz w:val="20"/>
          <w:szCs w:val="20"/>
          <w:color w:val="auto"/>
        </w:rPr>
      </w:pPr>
    </w:p>
    <w:p>
      <w:pPr>
        <w:jc w:val="both"/>
        <w:ind w:right="180"/>
        <w:spacing w:after="0" w:line="237" w:lineRule="auto"/>
        <w:rPr>
          <w:sz w:val="20"/>
          <w:szCs w:val="20"/>
          <w:color w:val="auto"/>
        </w:rPr>
      </w:pPr>
      <w:r>
        <w:rPr>
          <w:rFonts w:ascii="Calibri" w:cs="Calibri" w:eastAsia="Calibri" w:hAnsi="Calibri"/>
          <w:sz w:val="22"/>
          <w:szCs w:val="22"/>
          <w:color w:val="auto"/>
        </w:rPr>
        <w:t>Directors and Secton 16 Executve Ofcers are subject to additonal requirements when entering into 10b5-1 Plans, including certfcaton requirements (regarding material non-public informaton and good faith) as well as disclosure requirements (e.g., the Company will need to disclose in its Form 10-Q or Form 10-K the material terms of your plan, other than price).</w:t>
      </w:r>
    </w:p>
    <w:p>
      <w:pPr>
        <w:spacing w:after="0" w:line="284" w:lineRule="exact"/>
        <w:rPr>
          <w:sz w:val="20"/>
          <w:szCs w:val="20"/>
          <w:color w:val="auto"/>
        </w:rPr>
      </w:pPr>
    </w:p>
    <w:p>
      <w:pPr>
        <w:ind w:right="620"/>
        <w:spacing w:after="0" w:line="237" w:lineRule="auto"/>
        <w:rPr>
          <w:sz w:val="20"/>
          <w:szCs w:val="20"/>
          <w:color w:val="auto"/>
        </w:rPr>
      </w:pPr>
      <w:r>
        <w:rPr>
          <w:rFonts w:ascii="Calibri" w:cs="Calibri" w:eastAsia="Calibri" w:hAnsi="Calibri"/>
          <w:sz w:val="22"/>
          <w:szCs w:val="22"/>
          <w:color w:val="auto"/>
        </w:rPr>
        <w:t>In accordance with SEC rules, any 10b5-1 Plan adopted prior to February 27, 2023 that is not subsequently modifed or amended on or afer February 27, 2023 in the manner described under “Cooling-of Period” above is grandfathered from certain of the requirements described</w:t>
      </w:r>
    </w:p>
    <w:p>
      <w:pPr>
        <w:spacing w:after="0" w:line="2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7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210" w:name="page211"/>
    <w:bookmarkEnd w:id="210"/>
    <w:p>
      <w:pPr>
        <w:ind w:right="380"/>
        <w:spacing w:after="0" w:line="235" w:lineRule="auto"/>
        <w:rPr>
          <w:sz w:val="20"/>
          <w:szCs w:val="20"/>
          <w:color w:val="auto"/>
        </w:rPr>
      </w:pPr>
      <w:r>
        <w:rPr>
          <w:rFonts w:ascii="Calibri" w:cs="Calibri" w:eastAsia="Calibri" w:hAnsi="Calibri"/>
          <w:sz w:val="22"/>
          <w:szCs w:val="22"/>
          <w:color w:val="auto"/>
        </w:rPr>
        <w:t>in this secton. Please contact the Chief Legal Ofcer with any questons with respect to the requirements applicable to such 10b5-1 Plans.</w:t>
      </w:r>
    </w:p>
    <w:p>
      <w:pPr>
        <w:spacing w:after="0" w:line="284" w:lineRule="exact"/>
        <w:rPr>
          <w:sz w:val="20"/>
          <w:szCs w:val="20"/>
          <w:color w:val="auto"/>
        </w:rPr>
      </w:pPr>
    </w:p>
    <w:p>
      <w:pPr>
        <w:ind w:right="360"/>
        <w:spacing w:after="0" w:line="237" w:lineRule="auto"/>
        <w:rPr>
          <w:sz w:val="20"/>
          <w:szCs w:val="20"/>
          <w:color w:val="auto"/>
        </w:rPr>
      </w:pPr>
      <w:r>
        <w:rPr>
          <w:rFonts w:ascii="Calibri" w:cs="Calibri" w:eastAsia="Calibri" w:hAnsi="Calibri"/>
          <w:sz w:val="22"/>
          <w:szCs w:val="22"/>
          <w:color w:val="auto"/>
        </w:rPr>
        <w:t>Other than transactons pursuant to 10b5-1 Plans, there is no excepton to this Policy, including for transactons that may be necessary or justfable for independent reasons (such as the need to raise money for an emergency expenditure, as noted above).</w:t>
      </w:r>
    </w:p>
    <w:p>
      <w:pPr>
        <w:spacing w:after="0" w:line="272"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SPECIAL RESTRICTIONS FOR DIRECTORS, SECTION 16 EXECUTIVE OFFICERS AND CERTAIN OTHER PERSONS</w:t>
      </w:r>
    </w:p>
    <w:p>
      <w:pPr>
        <w:spacing w:after="0" w:line="284" w:lineRule="exact"/>
        <w:rPr>
          <w:sz w:val="20"/>
          <w:szCs w:val="20"/>
          <w:color w:val="auto"/>
        </w:rPr>
      </w:pPr>
    </w:p>
    <w:p>
      <w:pPr>
        <w:ind w:right="80"/>
        <w:spacing w:after="0" w:line="239" w:lineRule="auto"/>
        <w:rPr>
          <w:sz w:val="20"/>
          <w:szCs w:val="20"/>
          <w:color w:val="auto"/>
        </w:rPr>
      </w:pPr>
      <w:r>
        <w:rPr>
          <w:rFonts w:ascii="Calibri" w:cs="Calibri" w:eastAsia="Calibri" w:hAnsi="Calibri"/>
          <w:sz w:val="22"/>
          <w:szCs w:val="22"/>
          <w:i w:val="1"/>
          <w:iCs w:val="1"/>
          <w:color w:val="auto"/>
        </w:rPr>
        <w:t>Persons Subject to Special Restrictons</w:t>
      </w:r>
      <w:r>
        <w:rPr>
          <w:rFonts w:ascii="Calibri" w:cs="Calibri" w:eastAsia="Calibri" w:hAnsi="Calibri"/>
          <w:sz w:val="22"/>
          <w:szCs w:val="22"/>
          <w:color w:val="auto"/>
        </w:rPr>
        <w:t>. To help prevent inadvertent violatons of the federal securites laws and to avoid even</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the appearance of trading on the basis of material nonpublic informaton, the Board has adopted certain procedures that apply to directors, ofcers subject to Secton 16 of the Exchange Act (“</w:t>
      </w:r>
      <w:r>
        <w:rPr>
          <w:rFonts w:ascii="Calibri" w:cs="Calibri" w:eastAsia="Calibri" w:hAnsi="Calibri"/>
          <w:sz w:val="22"/>
          <w:szCs w:val="22"/>
          <w:u w:val="single" w:color="auto"/>
          <w:color w:val="auto"/>
        </w:rPr>
        <w:t>Secton 16 Executve Ofcers</w:t>
      </w:r>
      <w:r>
        <w:rPr>
          <w:rFonts w:ascii="Calibri" w:cs="Calibri" w:eastAsia="Calibri" w:hAnsi="Calibri"/>
          <w:sz w:val="22"/>
          <w:szCs w:val="22"/>
          <w:color w:val="auto"/>
        </w:rPr>
        <w:t>”), and certain designated employees and consultants of the Company and its subsidiaries who have access to material nonpublic informaton about the Company. The Company will notfy you if you (as well as your family members, household members and enttes you control) are subject to these special trading and/or pre-clearance restrictons, described below.</w:t>
      </w:r>
    </w:p>
    <w:p>
      <w:pPr>
        <w:spacing w:after="0" w:line="285" w:lineRule="exact"/>
        <w:rPr>
          <w:sz w:val="20"/>
          <w:szCs w:val="20"/>
          <w:color w:val="auto"/>
        </w:rPr>
      </w:pPr>
    </w:p>
    <w:p>
      <w:pPr>
        <w:spacing w:after="0" w:line="238" w:lineRule="auto"/>
        <w:rPr>
          <w:sz w:val="20"/>
          <w:szCs w:val="20"/>
          <w:color w:val="auto"/>
        </w:rPr>
      </w:pPr>
      <w:r>
        <w:rPr>
          <w:rFonts w:ascii="Calibri" w:cs="Calibri" w:eastAsia="Calibri" w:hAnsi="Calibri"/>
          <w:sz w:val="22"/>
          <w:szCs w:val="22"/>
          <w:i w:val="1"/>
          <w:iCs w:val="1"/>
          <w:color w:val="auto"/>
        </w:rPr>
        <w:t>Window Periods</w:t>
      </w:r>
      <w:r>
        <w:rPr>
          <w:rFonts w:ascii="Calibri" w:cs="Calibri" w:eastAsia="Calibri" w:hAnsi="Calibri"/>
          <w:sz w:val="22"/>
          <w:szCs w:val="22"/>
          <w:color w:val="auto"/>
        </w:rPr>
        <w:t>. Each director, Secton 16 Executve Ofcer, certain designated fnance team members of the Company, and</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anyone else specifcally designated as subject to window period restrictons may only trade in Company securites from the date that is two full trading days afer the Company’s fling of a Form 10-Q or Form 10-K with the SEC to the end of business on the Monday of the second full calendar week prior to the end of each quarter (such period, the “</w:t>
      </w:r>
      <w:r>
        <w:rPr>
          <w:rFonts w:ascii="Calibri" w:cs="Calibri" w:eastAsia="Calibri" w:hAnsi="Calibri"/>
          <w:sz w:val="22"/>
          <w:szCs w:val="22"/>
          <w:u w:val="single" w:color="auto"/>
          <w:color w:val="auto"/>
        </w:rPr>
        <w:t>Window Period</w:t>
      </w:r>
      <w:r>
        <w:rPr>
          <w:rFonts w:ascii="Calibri" w:cs="Calibri" w:eastAsia="Calibri" w:hAnsi="Calibri"/>
          <w:sz w:val="22"/>
          <w:szCs w:val="22"/>
          <w:color w:val="auto"/>
        </w:rPr>
        <w:t>”).</w:t>
      </w:r>
    </w:p>
    <w:p>
      <w:pPr>
        <w:spacing w:after="0" w:line="285" w:lineRule="exact"/>
        <w:rPr>
          <w:sz w:val="20"/>
          <w:szCs w:val="20"/>
          <w:color w:val="auto"/>
        </w:rPr>
      </w:pPr>
    </w:p>
    <w:p>
      <w:pPr>
        <w:jc w:val="both"/>
        <w:ind w:right="20"/>
        <w:spacing w:after="0" w:line="238" w:lineRule="auto"/>
        <w:rPr>
          <w:sz w:val="20"/>
          <w:szCs w:val="20"/>
          <w:color w:val="auto"/>
        </w:rPr>
      </w:pPr>
      <w:r>
        <w:rPr>
          <w:rFonts w:ascii="Calibri" w:cs="Calibri" w:eastAsia="Calibri" w:hAnsi="Calibri"/>
          <w:sz w:val="22"/>
          <w:szCs w:val="22"/>
          <w:color w:val="auto"/>
        </w:rPr>
        <w:t>However, even if the Window Period is open, you (as well as your family members, household members and controlled enttes) may not trade in Company securites if you are aware of material nonpublic informaton about the Company. In additon, if you are subject to the Company’s pre-clearance policy, described below, you must pre-clear transactons even if you (or your family members, household member or controlled entty) initate them when the Window Period is open.</w:t>
      </w:r>
    </w:p>
    <w:p>
      <w:pPr>
        <w:spacing w:after="0" w:line="285" w:lineRule="exact"/>
        <w:rPr>
          <w:sz w:val="20"/>
          <w:szCs w:val="20"/>
          <w:color w:val="auto"/>
        </w:rPr>
      </w:pPr>
    </w:p>
    <w:p>
      <w:pPr>
        <w:ind w:right="80"/>
        <w:spacing w:after="0" w:line="238" w:lineRule="auto"/>
        <w:rPr>
          <w:sz w:val="20"/>
          <w:szCs w:val="20"/>
          <w:color w:val="auto"/>
        </w:rPr>
      </w:pPr>
      <w:r>
        <w:rPr>
          <w:rFonts w:ascii="Calibri" w:cs="Calibri" w:eastAsia="Calibri" w:hAnsi="Calibri"/>
          <w:sz w:val="22"/>
          <w:szCs w:val="22"/>
          <w:color w:val="auto"/>
        </w:rPr>
        <w:t>From tme to tme during the Window Period, the Company may close trading due to developments (such as a signifcant event or transacton) that may involve material nonpublic informaton. In such cases, the CFO and the Chief Legal Ofcer may notfy partcular individuals that they should not engage in any transactons in the Company’s securites, and should not disclose to others the fact that trading has been prohibited.</w:t>
      </w:r>
    </w:p>
    <w:p>
      <w:pPr>
        <w:spacing w:after="0" w:line="285" w:lineRule="exact"/>
        <w:rPr>
          <w:sz w:val="20"/>
          <w:szCs w:val="20"/>
          <w:color w:val="auto"/>
        </w:rPr>
      </w:pPr>
    </w:p>
    <w:p>
      <w:pPr>
        <w:ind w:right="120"/>
        <w:spacing w:after="0" w:line="238" w:lineRule="auto"/>
        <w:rPr>
          <w:sz w:val="20"/>
          <w:szCs w:val="20"/>
          <w:color w:val="auto"/>
        </w:rPr>
      </w:pPr>
      <w:r>
        <w:rPr>
          <w:rFonts w:ascii="Calibri" w:cs="Calibri" w:eastAsia="Calibri" w:hAnsi="Calibri"/>
          <w:sz w:val="22"/>
          <w:szCs w:val="22"/>
          <w:color w:val="auto"/>
        </w:rPr>
        <w:t>Even if the Window Period is closed, you may exercise stock optons if no shares are to be sold. However, you may not efect sales of stock issued upon the exercise of stock optons (including same-day sales and cashless exercises). Generally, all pending purchase and sale orders regarding Company securites that could be executed while the Window Period is open must be cancelled before it closes.</w:t>
      </w:r>
    </w:p>
    <w:p>
      <w:pPr>
        <w:spacing w:after="0" w:line="2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7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11" w:name="page212"/>
    <w:bookmarkEnd w:id="211"/>
    <w:p>
      <w:pPr>
        <w:spacing w:after="0" w:line="251" w:lineRule="exact"/>
        <w:rPr>
          <w:sz w:val="20"/>
          <w:szCs w:val="20"/>
          <w:color w:val="auto"/>
        </w:rPr>
      </w:pPr>
    </w:p>
    <w:p>
      <w:pPr>
        <w:ind w:right="280"/>
        <w:spacing w:after="0" w:line="235" w:lineRule="auto"/>
        <w:rPr>
          <w:sz w:val="20"/>
          <w:szCs w:val="20"/>
          <w:color w:val="auto"/>
        </w:rPr>
      </w:pPr>
      <w:r>
        <w:rPr>
          <w:rFonts w:ascii="Calibri" w:cs="Calibri" w:eastAsia="Calibri" w:hAnsi="Calibri"/>
          <w:sz w:val="22"/>
          <w:szCs w:val="22"/>
          <w:color w:val="auto"/>
        </w:rPr>
        <w:t>In light of these restrictons, if you antcipate the need to sell Company stock at a specifc tme in the future, you may wish to consider entering into a 10b5-1 Plan, as discussed above.</w:t>
      </w:r>
    </w:p>
    <w:p>
      <w:pPr>
        <w:spacing w:after="0" w:line="284" w:lineRule="exact"/>
        <w:rPr>
          <w:sz w:val="20"/>
          <w:szCs w:val="20"/>
          <w:color w:val="auto"/>
        </w:rPr>
      </w:pPr>
    </w:p>
    <w:p>
      <w:pPr>
        <w:ind w:right="20"/>
        <w:spacing w:after="0"/>
        <w:rPr>
          <w:sz w:val="20"/>
          <w:szCs w:val="20"/>
          <w:color w:val="auto"/>
        </w:rPr>
      </w:pPr>
      <w:r>
        <w:rPr>
          <w:rFonts w:ascii="Calibri" w:cs="Calibri" w:eastAsia="Calibri" w:hAnsi="Calibri"/>
          <w:sz w:val="22"/>
          <w:szCs w:val="22"/>
          <w:i w:val="1"/>
          <w:iCs w:val="1"/>
          <w:color w:val="auto"/>
        </w:rPr>
        <w:t>Pre-Clearance Procedures</w:t>
      </w:r>
      <w:r>
        <w:rPr>
          <w:rFonts w:ascii="Calibri" w:cs="Calibri" w:eastAsia="Calibri" w:hAnsi="Calibri"/>
          <w:sz w:val="22"/>
          <w:szCs w:val="22"/>
          <w:color w:val="auto"/>
        </w:rPr>
        <w:t>. Each director, Secton 16 Executve Ofcer, certain designated fnance team members of the</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 xml:space="preserve">Company, if any, and anyone else specifcally designated as subject to pre-clearance restrictons must contact the CFO and the Chief Legal Ofcer, or designees of such persons in advance of efectng any transacton in the Company’s securites and obtain his/her prior approval of the transacton. The pre-clearance policy applies to these individuals (as well as their family members, household members and controlled enttes) even if they are initatng a transacton while the Window Period is open. All requests must be submited </w:t>
      </w:r>
      <w:r>
        <w:rPr>
          <w:rFonts w:ascii="Calibri" w:cs="Calibri" w:eastAsia="Calibri" w:hAnsi="Calibri"/>
          <w:sz w:val="22"/>
          <w:szCs w:val="22"/>
          <w:u w:val="single" w:color="auto"/>
          <w:color w:val="auto"/>
        </w:rPr>
        <w:t>at least forty-eight (48) hours prior to making any transacton</w:t>
      </w:r>
      <w:r>
        <w:rPr>
          <w:rFonts w:ascii="Calibri" w:cs="Calibri" w:eastAsia="Calibri" w:hAnsi="Calibri"/>
          <w:sz w:val="22"/>
          <w:szCs w:val="22"/>
          <w:color w:val="auto"/>
        </w:rPr>
        <w:t xml:space="preserve"> (purchase or sale) involving the Company’s securites. The CFO and the Chief Legal Ofcer, or designees of such persons will then determine whether the transacton may proceed. If the transacton is approved, the transacton must be executed within fve business days afer approval is obtained, but regardless may not be executed if you acquire material nonpublic informaton concerning the Company prior to the transacton’s executon. If a transacton is not completed within the period described above, the transacton must be approved again before it may be executed. If a proposed transacton is not approved under the pre-clearance policy, you (or your family member, household member or controlled entty) should refrain from initatng any transacton in Company securites, and you should not inform anyone within or outside the Company of the restricton.</w:t>
      </w:r>
    </w:p>
    <w:p>
      <w:pPr>
        <w:spacing w:after="0" w:line="289" w:lineRule="exact"/>
        <w:rPr>
          <w:sz w:val="20"/>
          <w:szCs w:val="20"/>
          <w:color w:val="auto"/>
        </w:rPr>
      </w:pPr>
    </w:p>
    <w:p>
      <w:pPr>
        <w:ind w:right="20"/>
        <w:spacing w:after="0" w:line="239" w:lineRule="auto"/>
        <w:rPr>
          <w:sz w:val="20"/>
          <w:szCs w:val="20"/>
          <w:color w:val="auto"/>
        </w:rPr>
      </w:pPr>
      <w:r>
        <w:rPr>
          <w:rFonts w:ascii="Calibri" w:cs="Calibri" w:eastAsia="Calibri" w:hAnsi="Calibri"/>
          <w:sz w:val="22"/>
          <w:szCs w:val="22"/>
          <w:i w:val="1"/>
          <w:iCs w:val="1"/>
          <w:color w:val="auto"/>
        </w:rPr>
        <w:t xml:space="preserve">Secton 16 Reportng. </w:t>
      </w:r>
      <w:r>
        <w:rPr>
          <w:rFonts w:ascii="Calibri" w:cs="Calibri" w:eastAsia="Calibri" w:hAnsi="Calibri"/>
          <w:sz w:val="22"/>
          <w:szCs w:val="22"/>
          <w:color w:val="auto"/>
        </w:rPr>
        <w:t>For directors and Secton 16 Executve Ofcers, if the Company pre-clears the transacton and you</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proceed with it, the Company will assist you in complying with your reportng obligatons under Secton 16 of the Exchange Act (“</w:t>
      </w:r>
      <w:r>
        <w:rPr>
          <w:rFonts w:ascii="Calibri" w:cs="Calibri" w:eastAsia="Calibri" w:hAnsi="Calibri"/>
          <w:sz w:val="22"/>
          <w:szCs w:val="22"/>
          <w:u w:val="single" w:color="auto"/>
          <w:color w:val="auto"/>
        </w:rPr>
        <w:t>Secton 16</w:t>
      </w:r>
      <w:r>
        <w:rPr>
          <w:rFonts w:ascii="Calibri" w:cs="Calibri" w:eastAsia="Calibri" w:hAnsi="Calibri"/>
          <w:sz w:val="22"/>
          <w:szCs w:val="22"/>
          <w:color w:val="auto"/>
        </w:rPr>
        <w:t>”). Under Secton 16, directors and Secton 16 Executve Ofcers are required to a fle a Form 4 within two business days afer certain changes in benefcial ownership occur (including the exercise of optons or other derivatve securites and gifs of securites). Form 4 requires that you provide detailed informaton relatng to any purchase, sale, or exercise, including the price of the shares acquired or disposed, the transacton date, and the amount of securites benefcially owned following the transacton. As such, you should promptly report the details of any transacton that you engage in to the CFO or the Chief Legal Ofcer.</w:t>
      </w:r>
    </w:p>
    <w:p>
      <w:pPr>
        <w:spacing w:after="0" w:line="291" w:lineRule="exact"/>
        <w:rPr>
          <w:sz w:val="20"/>
          <w:szCs w:val="20"/>
          <w:color w:val="auto"/>
        </w:rPr>
      </w:pPr>
    </w:p>
    <w:p>
      <w:pPr>
        <w:spacing w:after="0" w:line="239" w:lineRule="auto"/>
        <w:rPr>
          <w:sz w:val="20"/>
          <w:szCs w:val="20"/>
          <w:color w:val="auto"/>
        </w:rPr>
      </w:pPr>
      <w:r>
        <w:rPr>
          <w:rFonts w:ascii="Calibri" w:cs="Calibri" w:eastAsia="Calibri" w:hAnsi="Calibri"/>
          <w:sz w:val="22"/>
          <w:szCs w:val="22"/>
          <w:i w:val="1"/>
          <w:iCs w:val="1"/>
          <w:color w:val="auto"/>
        </w:rPr>
        <w:t xml:space="preserve">Rule 144. </w:t>
      </w:r>
      <w:r>
        <w:rPr>
          <w:rFonts w:ascii="Calibri" w:cs="Calibri" w:eastAsia="Calibri" w:hAnsi="Calibri"/>
          <w:sz w:val="22"/>
          <w:szCs w:val="22"/>
          <w:color w:val="auto"/>
        </w:rPr>
        <w:t>If you are a director or Secton 16 Executve Ofcer, you may be deemed to be an “afliate” of the Company.</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Consequently, shares of Company common stock held by you may be considered to be “restricted securites” or “control securites,” the sale of which are subject to compliance with Rule 144 under the Securites Act of 1933, as amended (or any other applicable exempton under the federal securites laws). If this is the case, note that Rule 144 places limits on the number of shares you may be able to sell and provides that certain procedures must be followed before you can sell shares of Company stock. Contact the Chief Legal Ofcer for more informaton on Rule 144.</w:t>
      </w:r>
    </w:p>
    <w:p>
      <w:pPr>
        <w:spacing w:after="0" w:line="275"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color w:val="auto"/>
        </w:rPr>
        <w:t>ADDITIONAL GUIDANCE</w:t>
      </w:r>
    </w:p>
    <w:p>
      <w:pPr>
        <w:spacing w:after="0" w:line="2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7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2" w:name="page213"/>
    <w:bookmarkEnd w:id="212"/>
    <w:p>
      <w:pPr>
        <w:spacing w:after="0" w:line="251" w:lineRule="exact"/>
        <w:rPr>
          <w:sz w:val="20"/>
          <w:szCs w:val="20"/>
          <w:color w:val="auto"/>
        </w:rPr>
      </w:pPr>
    </w:p>
    <w:p>
      <w:pPr>
        <w:ind w:right="20"/>
        <w:spacing w:after="0" w:line="238" w:lineRule="auto"/>
        <w:rPr>
          <w:sz w:val="20"/>
          <w:szCs w:val="20"/>
          <w:color w:val="auto"/>
        </w:rPr>
      </w:pPr>
      <w:r>
        <w:rPr>
          <w:rFonts w:ascii="Calibri" w:cs="Calibri" w:eastAsia="Calibri" w:hAnsi="Calibri"/>
          <w:sz w:val="22"/>
          <w:szCs w:val="22"/>
          <w:color w:val="auto"/>
        </w:rPr>
        <w:t>The Company considers it improper and inappropriate for those employed by or associated with the Company to engage in short term or speculatve transactons in the Company’s securites or in other transactons in the Company’s securites that may lead to inadvertent violatons of the insider trading laws. Accordingly, trading in Company securites is subject to the following additonal guidance.</w:t>
      </w:r>
    </w:p>
    <w:p>
      <w:pPr>
        <w:spacing w:after="0" w:line="285" w:lineRule="exact"/>
        <w:rPr>
          <w:sz w:val="20"/>
          <w:szCs w:val="20"/>
          <w:color w:val="auto"/>
        </w:rPr>
      </w:pPr>
    </w:p>
    <w:p>
      <w:pPr>
        <w:ind w:right="960"/>
        <w:spacing w:after="0" w:line="235" w:lineRule="auto"/>
        <w:rPr>
          <w:sz w:val="20"/>
          <w:szCs w:val="20"/>
          <w:color w:val="auto"/>
        </w:rPr>
      </w:pPr>
      <w:r>
        <w:rPr>
          <w:rFonts w:ascii="Calibri" w:cs="Calibri" w:eastAsia="Calibri" w:hAnsi="Calibri"/>
          <w:sz w:val="22"/>
          <w:szCs w:val="22"/>
          <w:i w:val="1"/>
          <w:iCs w:val="1"/>
          <w:color w:val="auto"/>
        </w:rPr>
        <w:t xml:space="preserve">Short-term Trading. </w:t>
      </w:r>
      <w:r>
        <w:rPr>
          <w:rFonts w:ascii="Calibri" w:cs="Calibri" w:eastAsia="Calibri" w:hAnsi="Calibri"/>
          <w:sz w:val="22"/>
          <w:szCs w:val="22"/>
          <w:color w:val="auto"/>
        </w:rPr>
        <w:t>Any person or entty covered by this Policy may not sell Company securites within six months of</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purchasing Company securites.</w:t>
      </w:r>
    </w:p>
    <w:p>
      <w:pPr>
        <w:spacing w:after="0" w:line="284" w:lineRule="exact"/>
        <w:rPr>
          <w:sz w:val="20"/>
          <w:szCs w:val="20"/>
          <w:color w:val="auto"/>
        </w:rPr>
      </w:pPr>
    </w:p>
    <w:p>
      <w:pPr>
        <w:ind w:right="460"/>
        <w:spacing w:after="0" w:line="235" w:lineRule="auto"/>
        <w:rPr>
          <w:sz w:val="20"/>
          <w:szCs w:val="20"/>
          <w:color w:val="auto"/>
        </w:rPr>
      </w:pPr>
      <w:r>
        <w:rPr>
          <w:rFonts w:ascii="Calibri" w:cs="Calibri" w:eastAsia="Calibri" w:hAnsi="Calibri"/>
          <w:sz w:val="22"/>
          <w:szCs w:val="22"/>
          <w:i w:val="1"/>
          <w:iCs w:val="1"/>
          <w:color w:val="auto"/>
        </w:rPr>
        <w:t xml:space="preserve">Short Sales. </w:t>
      </w:r>
      <w:r>
        <w:rPr>
          <w:rFonts w:ascii="Calibri" w:cs="Calibri" w:eastAsia="Calibri" w:hAnsi="Calibri"/>
          <w:sz w:val="22"/>
          <w:szCs w:val="22"/>
          <w:color w:val="auto"/>
        </w:rPr>
        <w:t>Any person or entty covered by this Policy may not engage in short sales of the Company’s securites (sales of</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securites that are not then owned), including any “sales against the box” (a sale with delayed delivery).</w:t>
      </w:r>
    </w:p>
    <w:p>
      <w:pPr>
        <w:spacing w:after="0" w:line="284" w:lineRule="exact"/>
        <w:rPr>
          <w:sz w:val="20"/>
          <w:szCs w:val="20"/>
          <w:color w:val="auto"/>
        </w:rPr>
      </w:pPr>
    </w:p>
    <w:p>
      <w:pPr>
        <w:spacing w:after="0" w:line="239" w:lineRule="auto"/>
        <w:rPr>
          <w:sz w:val="20"/>
          <w:szCs w:val="20"/>
          <w:color w:val="auto"/>
        </w:rPr>
      </w:pPr>
      <w:r>
        <w:rPr>
          <w:rFonts w:ascii="Calibri" w:cs="Calibri" w:eastAsia="Calibri" w:hAnsi="Calibri"/>
          <w:sz w:val="22"/>
          <w:szCs w:val="22"/>
          <w:i w:val="1"/>
          <w:iCs w:val="1"/>
          <w:color w:val="auto"/>
        </w:rPr>
        <w:t xml:space="preserve">Hedging Transactons. </w:t>
      </w:r>
      <w:r>
        <w:rPr>
          <w:rFonts w:ascii="Calibri" w:cs="Calibri" w:eastAsia="Calibri" w:hAnsi="Calibri"/>
          <w:sz w:val="22"/>
          <w:szCs w:val="22"/>
          <w:color w:val="auto"/>
        </w:rPr>
        <w:t>The Company prohibits purchasing “hedge” instruments and engaging in other hedging, ofsetng and</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monetzaton transactons that are designed to hedge, ofset or transfer, with respect to equity compensaton received by a director, ofcer, or employee or other equity securites held (directly or indirectly) by a director, ofcer or employee, all or a porton of the risk of a decline in the market price of shares of Company securites. Instruments that would be considered to be a “hedge” include prepaid variable forward contracts, equity swaps, collars, and exchange funds. For the avoidance of doubt, 10b5-1 Plans providing for future sales or purchases of securites are not prohibited by this Policy.</w:t>
      </w:r>
    </w:p>
    <w:p>
      <w:pPr>
        <w:spacing w:after="0" w:line="285" w:lineRule="exact"/>
        <w:rPr>
          <w:sz w:val="20"/>
          <w:szCs w:val="20"/>
          <w:color w:val="auto"/>
        </w:rPr>
      </w:pPr>
    </w:p>
    <w:p>
      <w:pPr>
        <w:jc w:val="both"/>
        <w:ind w:right="800"/>
        <w:spacing w:after="0" w:line="237" w:lineRule="auto"/>
        <w:rPr>
          <w:sz w:val="20"/>
          <w:szCs w:val="20"/>
          <w:color w:val="auto"/>
        </w:rPr>
      </w:pPr>
      <w:r>
        <w:rPr>
          <w:rFonts w:ascii="Calibri" w:cs="Calibri" w:eastAsia="Calibri" w:hAnsi="Calibri"/>
          <w:sz w:val="22"/>
          <w:szCs w:val="22"/>
          <w:i w:val="1"/>
          <w:iCs w:val="1"/>
          <w:color w:val="auto"/>
        </w:rPr>
        <w:t>Publicly Traded Optons and Other Derivatve Securites</w:t>
      </w:r>
      <w:r>
        <w:rPr>
          <w:rFonts w:ascii="Calibri" w:cs="Calibri" w:eastAsia="Calibri" w:hAnsi="Calibri"/>
          <w:sz w:val="22"/>
          <w:szCs w:val="22"/>
          <w:color w:val="auto"/>
        </w:rPr>
        <w:t>. Any person or entty covered by this Policy may not engage in</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transactons in publicly traded optons on Company securites, such as puts, calls, and other derivatve securites, on an exchange or in any other organized market.</w:t>
      </w:r>
    </w:p>
    <w:p>
      <w:pPr>
        <w:spacing w:after="0" w:line="284" w:lineRule="exact"/>
        <w:rPr>
          <w:sz w:val="20"/>
          <w:szCs w:val="20"/>
          <w:color w:val="auto"/>
        </w:rPr>
      </w:pPr>
    </w:p>
    <w:p>
      <w:pPr>
        <w:ind w:right="120"/>
        <w:spacing w:after="0" w:line="238" w:lineRule="auto"/>
        <w:rPr>
          <w:sz w:val="20"/>
          <w:szCs w:val="20"/>
          <w:color w:val="auto"/>
        </w:rPr>
      </w:pPr>
      <w:r>
        <w:rPr>
          <w:rFonts w:ascii="Calibri" w:cs="Calibri" w:eastAsia="Calibri" w:hAnsi="Calibri"/>
          <w:sz w:val="22"/>
          <w:szCs w:val="22"/>
          <w:i w:val="1"/>
          <w:iCs w:val="1"/>
          <w:color w:val="auto"/>
        </w:rPr>
        <w:t>Standing Orders</w:t>
      </w:r>
      <w:r>
        <w:rPr>
          <w:rFonts w:ascii="Calibri" w:cs="Calibri" w:eastAsia="Calibri" w:hAnsi="Calibri"/>
          <w:sz w:val="22"/>
          <w:szCs w:val="22"/>
          <w:color w:val="auto"/>
        </w:rPr>
        <w:t>. Standing orders should be used only for a very brief period of tme. A standing order placed with a broker to</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sell or purchase stock at a specifed price leaves you without control over the tming of the transacton. A standing order transacton executed by the broker when you (or your family member, household member or controlled entty) are aware of material nonpublic informaton may result in unlawful insider trading.</w:t>
      </w:r>
    </w:p>
    <w:p>
      <w:pPr>
        <w:spacing w:after="0" w:line="285" w:lineRule="exact"/>
        <w:rPr>
          <w:sz w:val="20"/>
          <w:szCs w:val="20"/>
          <w:color w:val="auto"/>
        </w:rPr>
      </w:pPr>
    </w:p>
    <w:p>
      <w:pPr>
        <w:ind w:right="60"/>
        <w:spacing w:after="0" w:line="239" w:lineRule="auto"/>
        <w:rPr>
          <w:sz w:val="20"/>
          <w:szCs w:val="20"/>
          <w:color w:val="auto"/>
        </w:rPr>
      </w:pPr>
      <w:r>
        <w:rPr>
          <w:rFonts w:ascii="Calibri" w:cs="Calibri" w:eastAsia="Calibri" w:hAnsi="Calibri"/>
          <w:sz w:val="22"/>
          <w:szCs w:val="22"/>
          <w:i w:val="1"/>
          <w:iCs w:val="1"/>
          <w:color w:val="auto"/>
        </w:rPr>
        <w:t>Margin Accounts and Pledges</w:t>
      </w:r>
      <w:r>
        <w:rPr>
          <w:rFonts w:ascii="Calibri" w:cs="Calibri" w:eastAsia="Calibri" w:hAnsi="Calibri"/>
          <w:sz w:val="22"/>
          <w:szCs w:val="22"/>
          <w:color w:val="auto"/>
        </w:rPr>
        <w:t>. Securites held in a margin account or pledged as collateral for a loan may be sold without your</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consent by the broker if you fail to meet a margin call or by the lender in foreclosure if you default on the loan. A margin or foreclosure sale that occurs when an insider is aware of material nonpublic informaton may, under some circumstances, result in unlawful insider trading. Because of this danger, you are prohibited from holding Company securites in a margin account or pledging Company securites as collateral for a loan.</w:t>
      </w:r>
    </w:p>
    <w:p>
      <w:pPr>
        <w:spacing w:after="0" w:line="272" w:lineRule="exact"/>
        <w:rPr>
          <w:sz w:val="20"/>
          <w:szCs w:val="20"/>
          <w:color w:val="auto"/>
        </w:rPr>
      </w:pPr>
    </w:p>
    <w:p>
      <w:pPr>
        <w:jc w:val="center"/>
        <w:ind w:right="-39"/>
        <w:spacing w:after="0"/>
        <w:rPr>
          <w:sz w:val="20"/>
          <w:szCs w:val="20"/>
          <w:color w:val="auto"/>
        </w:rPr>
      </w:pPr>
      <w:r>
        <w:rPr>
          <w:rFonts w:ascii="Calibri" w:cs="Calibri" w:eastAsia="Calibri" w:hAnsi="Calibri"/>
          <w:sz w:val="22"/>
          <w:szCs w:val="22"/>
          <w:color w:val="auto"/>
        </w:rPr>
        <w:t>POST-TERMINATION TRANSACTIONS</w:t>
      </w:r>
    </w:p>
    <w:p>
      <w:pPr>
        <w:spacing w:after="0" w:line="282" w:lineRule="exact"/>
        <w:rPr>
          <w:sz w:val="20"/>
          <w:szCs w:val="20"/>
          <w:color w:val="auto"/>
        </w:rPr>
      </w:pPr>
    </w:p>
    <w:p>
      <w:pPr>
        <w:ind w:right="80"/>
        <w:spacing w:after="0" w:line="235" w:lineRule="auto"/>
        <w:rPr>
          <w:sz w:val="20"/>
          <w:szCs w:val="20"/>
          <w:color w:val="auto"/>
        </w:rPr>
      </w:pPr>
      <w:r>
        <w:rPr>
          <w:rFonts w:ascii="Calibri" w:cs="Calibri" w:eastAsia="Calibri" w:hAnsi="Calibri"/>
          <w:sz w:val="22"/>
          <w:szCs w:val="22"/>
          <w:color w:val="auto"/>
        </w:rPr>
        <w:t>This Policy contnues to apply to your transactons in Company securites even afer you have terminated employment or other services to the Company or a subsidiary as follows: if you are</w:t>
      </w:r>
    </w:p>
    <w:p>
      <w:pPr>
        <w:spacing w:after="0" w:line="2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7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3" w:name="page214"/>
    <w:bookmarkEnd w:id="213"/>
    <w:p>
      <w:pPr>
        <w:ind w:right="520"/>
        <w:spacing w:after="0" w:line="235" w:lineRule="auto"/>
        <w:rPr>
          <w:sz w:val="20"/>
          <w:szCs w:val="20"/>
          <w:color w:val="auto"/>
        </w:rPr>
      </w:pPr>
      <w:r>
        <w:rPr>
          <w:rFonts w:ascii="Calibri" w:cs="Calibri" w:eastAsia="Calibri" w:hAnsi="Calibri"/>
          <w:sz w:val="22"/>
          <w:szCs w:val="22"/>
          <w:color w:val="auto"/>
        </w:rPr>
        <w:t>aware of material nonpublic informaton when your employment or service relatonship terminates, you may not trade in Company securites untl that informaton has become public or is no longer material.</w:t>
      </w:r>
    </w:p>
    <w:p>
      <w:pPr>
        <w:spacing w:after="0" w:line="274" w:lineRule="exact"/>
        <w:rPr>
          <w:sz w:val="20"/>
          <w:szCs w:val="20"/>
          <w:color w:val="auto"/>
        </w:rPr>
      </w:pPr>
    </w:p>
    <w:p>
      <w:pPr>
        <w:jc w:val="center"/>
        <w:ind w:right="-79"/>
        <w:spacing w:after="0"/>
        <w:rPr>
          <w:sz w:val="20"/>
          <w:szCs w:val="20"/>
          <w:color w:val="auto"/>
        </w:rPr>
      </w:pPr>
      <w:r>
        <w:rPr>
          <w:rFonts w:ascii="Calibri" w:cs="Calibri" w:eastAsia="Calibri" w:hAnsi="Calibri"/>
          <w:sz w:val="22"/>
          <w:szCs w:val="22"/>
          <w:color w:val="auto"/>
        </w:rPr>
        <w:t>UNAUTHORIZED DISCLOSURE</w:t>
      </w:r>
    </w:p>
    <w:p>
      <w:pPr>
        <w:spacing w:after="0" w:line="282" w:lineRule="exact"/>
        <w:rPr>
          <w:sz w:val="20"/>
          <w:szCs w:val="20"/>
          <w:color w:val="auto"/>
        </w:rPr>
      </w:pPr>
    </w:p>
    <w:p>
      <w:pPr>
        <w:jc w:val="both"/>
        <w:ind w:right="260"/>
        <w:spacing w:after="0" w:line="238" w:lineRule="auto"/>
        <w:rPr>
          <w:sz w:val="20"/>
          <w:szCs w:val="20"/>
          <w:color w:val="auto"/>
        </w:rPr>
      </w:pPr>
      <w:r>
        <w:rPr>
          <w:rFonts w:ascii="Calibri" w:cs="Calibri" w:eastAsia="Calibri" w:hAnsi="Calibri"/>
          <w:sz w:val="22"/>
          <w:szCs w:val="22"/>
          <w:color w:val="auto"/>
        </w:rPr>
        <w:t>Maintaining the confdentality of Company informaton is essental for compettve, security, and other business reasons, as well as to comply with securites laws. You should treat all informaton you learn about the Company or its business plans in connecton with your employment as confdental and proprietary to the Company. Inadvertent disclosure of confdental or material nonpublic informaton may expose the Company and you to signifcant risk of investgaton and litgaton.</w:t>
      </w:r>
    </w:p>
    <w:p>
      <w:pPr>
        <w:spacing w:after="0" w:line="285" w:lineRule="exact"/>
        <w:rPr>
          <w:sz w:val="20"/>
          <w:szCs w:val="20"/>
          <w:color w:val="auto"/>
        </w:rPr>
      </w:pPr>
    </w:p>
    <w:p>
      <w:pPr>
        <w:ind w:right="20"/>
        <w:spacing w:after="0" w:line="238" w:lineRule="auto"/>
        <w:rPr>
          <w:sz w:val="20"/>
          <w:szCs w:val="20"/>
          <w:color w:val="auto"/>
        </w:rPr>
      </w:pPr>
      <w:r>
        <w:rPr>
          <w:rFonts w:ascii="Calibri" w:cs="Calibri" w:eastAsia="Calibri" w:hAnsi="Calibri"/>
          <w:sz w:val="22"/>
          <w:szCs w:val="22"/>
          <w:color w:val="auto"/>
        </w:rPr>
        <w:t>The tming and nature of the Company’s disclosure of material informaton to outsiders is subject to legal rules, the breach of which could result in substantal liability to you, the Company, and its management. Accordingly, it is important that responses to inquiries about the Company by the press, investment analysts, or others in the fnancial community be made on the Company’s behalf only through authorized individuals. If you receive inquiries of this nature, refer them to the CFO and the Chief Legal Ofcer.</w:t>
      </w:r>
    </w:p>
    <w:p>
      <w:pPr>
        <w:spacing w:after="0" w:line="278" w:lineRule="exact"/>
        <w:rPr>
          <w:sz w:val="20"/>
          <w:szCs w:val="20"/>
          <w:color w:val="auto"/>
        </w:rPr>
      </w:pPr>
    </w:p>
    <w:p>
      <w:pPr>
        <w:jc w:val="center"/>
        <w:ind w:right="-79"/>
        <w:spacing w:after="0"/>
        <w:rPr>
          <w:sz w:val="20"/>
          <w:szCs w:val="20"/>
          <w:color w:val="auto"/>
        </w:rPr>
      </w:pPr>
      <w:r>
        <w:rPr>
          <w:rFonts w:ascii="Calibri" w:cs="Calibri" w:eastAsia="Calibri" w:hAnsi="Calibri"/>
          <w:sz w:val="22"/>
          <w:szCs w:val="22"/>
          <w:color w:val="auto"/>
        </w:rPr>
        <w:t>PERSONAL RESPONSIBILITY</w:t>
      </w:r>
    </w:p>
    <w:p>
      <w:pPr>
        <w:spacing w:after="0" w:line="282" w:lineRule="exact"/>
        <w:rPr>
          <w:sz w:val="20"/>
          <w:szCs w:val="20"/>
          <w:color w:val="auto"/>
        </w:rPr>
      </w:pPr>
    </w:p>
    <w:p>
      <w:pPr>
        <w:spacing w:after="0"/>
        <w:rPr>
          <w:sz w:val="20"/>
          <w:szCs w:val="20"/>
          <w:color w:val="auto"/>
        </w:rPr>
      </w:pPr>
      <w:r>
        <w:rPr>
          <w:rFonts w:ascii="Calibri" w:cs="Calibri" w:eastAsia="Calibri" w:hAnsi="Calibri"/>
          <w:sz w:val="21"/>
          <w:szCs w:val="21"/>
          <w:color w:val="auto"/>
        </w:rPr>
        <w:t>You should remember that the ultmate responsibility for adhering to this Policy and avoiding improper trading rests with you.</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If you violate this Policy, the Company may take disciplinary acton, including dismissal for cause.</w:t>
      </w:r>
    </w:p>
    <w:p>
      <w:pPr>
        <w:spacing w:after="0" w:line="271" w:lineRule="exact"/>
        <w:rPr>
          <w:sz w:val="20"/>
          <w:szCs w:val="20"/>
          <w:color w:val="auto"/>
        </w:rPr>
      </w:pPr>
    </w:p>
    <w:p>
      <w:pPr>
        <w:jc w:val="center"/>
        <w:ind w:right="-79"/>
        <w:spacing w:after="0"/>
        <w:rPr>
          <w:sz w:val="20"/>
          <w:szCs w:val="20"/>
          <w:color w:val="auto"/>
        </w:rPr>
      </w:pPr>
      <w:r>
        <w:rPr>
          <w:rFonts w:ascii="Calibri" w:cs="Calibri" w:eastAsia="Calibri" w:hAnsi="Calibri"/>
          <w:sz w:val="22"/>
          <w:szCs w:val="22"/>
          <w:color w:val="auto"/>
        </w:rPr>
        <w:t>COMPANY ASSISTANCE</w:t>
      </w:r>
    </w:p>
    <w:p>
      <w:pPr>
        <w:spacing w:after="0" w:line="284" w:lineRule="exact"/>
        <w:rPr>
          <w:sz w:val="20"/>
          <w:szCs w:val="20"/>
          <w:color w:val="auto"/>
        </w:rPr>
      </w:pPr>
    </w:p>
    <w:p>
      <w:pPr>
        <w:spacing w:after="0" w:line="239" w:lineRule="auto"/>
        <w:rPr>
          <w:sz w:val="20"/>
          <w:szCs w:val="20"/>
          <w:color w:val="auto"/>
        </w:rPr>
      </w:pPr>
      <w:r>
        <w:rPr>
          <w:rFonts w:ascii="Calibri" w:cs="Calibri" w:eastAsia="Calibri" w:hAnsi="Calibri"/>
          <w:sz w:val="22"/>
          <w:szCs w:val="22"/>
          <w:color w:val="auto"/>
        </w:rPr>
        <w:t>Your compliance with this Policy is of the utmost importance both for you and for the Company. If you have any questons about this Policy or its applicaton to any proposed transacton, you may obtain additonal guidance from the CFO and the Chief Legal Ofcer. Do not try to resolve uncertaintes on your own, as the rules relatng to insider trading are ofen complex, not always intuitve, and carry severe consequences. On an annual basis, you must certfy that you have read and understood this Policy.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7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21" w:right="399" w:bottom="1440" w:gutter="0" w:footer="0" w:header="0"/>
        </w:sectPr>
      </w:pPr>
    </w:p>
    <w:bookmarkStart w:id="214" w:name="page215"/>
    <w:bookmarkEnd w:id="214"/>
    <w:p>
      <w:pPr>
        <w:ind w:left="10260"/>
        <w:spacing w:after="0"/>
        <w:rPr>
          <w:sz w:val="20"/>
          <w:szCs w:val="20"/>
          <w:color w:val="auto"/>
        </w:rPr>
      </w:pPr>
      <w:r>
        <w:rPr>
          <w:rFonts w:ascii="Calibri" w:cs="Calibri" w:eastAsia="Calibri" w:hAnsi="Calibri"/>
          <w:sz w:val="20"/>
          <w:szCs w:val="20"/>
          <w:b w:val="1"/>
          <w:bCs w:val="1"/>
          <w:color w:val="auto"/>
        </w:rPr>
        <w:t>Exhibit 21.1</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Signifcant Subsidiaries of Ultragenyx Pharmaceutcal Inc.</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300" w:type="dxa"/>
            <w:vAlign w:val="bottom"/>
          </w:tcPr>
          <w:p>
            <w:pPr>
              <w:spacing w:after="0"/>
              <w:rPr>
                <w:sz w:val="19"/>
                <w:szCs w:val="19"/>
                <w:color w:val="auto"/>
              </w:rPr>
            </w:pPr>
          </w:p>
        </w:tc>
        <w:tc>
          <w:tcPr>
            <w:tcW w:w="4100" w:type="dxa"/>
            <w:vAlign w:val="bottom"/>
          </w:tcPr>
          <w:p>
            <w:pPr>
              <w:ind w:left="1340"/>
              <w:spacing w:after="0"/>
              <w:rPr>
                <w:sz w:val="20"/>
                <w:szCs w:val="20"/>
                <w:color w:val="auto"/>
              </w:rPr>
            </w:pPr>
            <w:r>
              <w:rPr>
                <w:rFonts w:ascii="Calibri" w:cs="Calibri" w:eastAsia="Calibri" w:hAnsi="Calibri"/>
                <w:sz w:val="18"/>
                <w:szCs w:val="18"/>
                <w:b w:val="1"/>
                <w:bCs w:val="1"/>
                <w:color w:val="auto"/>
              </w:rPr>
              <w:t>Name of Subsidiary</w:t>
            </w:r>
          </w:p>
        </w:tc>
        <w:tc>
          <w:tcPr>
            <w:tcW w:w="720" w:type="dxa"/>
            <w:vAlign w:val="bottom"/>
          </w:tcPr>
          <w:p>
            <w:pPr>
              <w:spacing w:after="0"/>
              <w:rPr>
                <w:sz w:val="19"/>
                <w:szCs w:val="19"/>
                <w:color w:val="auto"/>
              </w:rPr>
            </w:pPr>
          </w:p>
        </w:tc>
        <w:tc>
          <w:tcPr>
            <w:tcW w:w="3820" w:type="dxa"/>
            <w:vAlign w:val="bottom"/>
          </w:tcPr>
          <w:p>
            <w:pPr>
              <w:jc w:val="center"/>
              <w:spacing w:after="0"/>
              <w:rPr>
                <w:sz w:val="20"/>
                <w:szCs w:val="20"/>
                <w:color w:val="auto"/>
              </w:rPr>
            </w:pPr>
            <w:r>
              <w:rPr>
                <w:rFonts w:ascii="Calibri" w:cs="Calibri" w:eastAsia="Calibri" w:hAnsi="Calibri"/>
                <w:sz w:val="18"/>
                <w:szCs w:val="18"/>
                <w:b w:val="1"/>
                <w:bCs w:val="1"/>
                <w:color w:val="auto"/>
              </w:rPr>
              <w:t>Jurisdicton of Incorporaton</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720" w:type="dxa"/>
            <w:vAlign w:val="bottom"/>
            <w:vMerge w:val="restart"/>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4100" w:type="dxa"/>
            <w:vAlign w:val="bottom"/>
          </w:tcPr>
          <w:p>
            <w:pPr>
              <w:ind w:left="100"/>
              <w:spacing w:after="0" w:line="187" w:lineRule="exact"/>
              <w:rPr>
                <w:sz w:val="20"/>
                <w:szCs w:val="20"/>
                <w:color w:val="auto"/>
              </w:rPr>
            </w:pPr>
            <w:r>
              <w:rPr>
                <w:rFonts w:ascii="Calibri" w:cs="Calibri" w:eastAsia="Calibri" w:hAnsi="Calibri"/>
                <w:sz w:val="18"/>
                <w:szCs w:val="18"/>
                <w:color w:val="auto"/>
              </w:rPr>
              <w:t>Ultragenyx Holdco LLC</w:t>
            </w:r>
          </w:p>
        </w:tc>
        <w:tc>
          <w:tcPr>
            <w:tcW w:w="720" w:type="dxa"/>
            <w:vAlign w:val="bottom"/>
            <w:vMerge w:val="continue"/>
          </w:tcPr>
          <w:p>
            <w:pPr>
              <w:spacing w:after="0"/>
              <w:rPr>
                <w:sz w:val="16"/>
                <w:szCs w:val="16"/>
                <w:color w:val="auto"/>
              </w:rPr>
            </w:pPr>
          </w:p>
        </w:tc>
        <w:tc>
          <w:tcPr>
            <w:tcW w:w="3820" w:type="dxa"/>
            <w:vAlign w:val="bottom"/>
          </w:tcPr>
          <w:p>
            <w:pPr>
              <w:jc w:val="center"/>
              <w:spacing w:after="0" w:line="187" w:lineRule="exact"/>
              <w:rPr>
                <w:sz w:val="20"/>
                <w:szCs w:val="20"/>
                <w:color w:val="auto"/>
              </w:rPr>
            </w:pPr>
            <w:r>
              <w:rPr>
                <w:rFonts w:ascii="Calibri" w:cs="Calibri" w:eastAsia="Calibri" w:hAnsi="Calibri"/>
                <w:sz w:val="18"/>
                <w:szCs w:val="18"/>
                <w:color w:val="auto"/>
                <w:w w:val="97"/>
              </w:rPr>
              <w:t>Delaware</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4100" w:type="dxa"/>
            <w:vAlign w:val="bottom"/>
          </w:tcPr>
          <w:p>
            <w:pPr>
              <w:ind w:left="100"/>
              <w:spacing w:after="0" w:line="215" w:lineRule="exact"/>
              <w:rPr>
                <w:sz w:val="20"/>
                <w:szCs w:val="20"/>
                <w:color w:val="auto"/>
              </w:rPr>
            </w:pPr>
            <w:r>
              <w:rPr>
                <w:rFonts w:ascii="Calibri" w:cs="Calibri" w:eastAsia="Calibri" w:hAnsi="Calibri"/>
                <w:sz w:val="18"/>
                <w:szCs w:val="18"/>
                <w:color w:val="auto"/>
              </w:rPr>
              <w:t>Rare Delaware Inc.</w:t>
            </w:r>
          </w:p>
        </w:tc>
        <w:tc>
          <w:tcPr>
            <w:tcW w:w="720" w:type="dxa"/>
            <w:vAlign w:val="bottom"/>
          </w:tcPr>
          <w:p>
            <w:pPr>
              <w:spacing w:after="0"/>
              <w:rPr>
                <w:sz w:val="18"/>
                <w:szCs w:val="18"/>
                <w:color w:val="auto"/>
              </w:rPr>
            </w:pPr>
          </w:p>
        </w:tc>
        <w:tc>
          <w:tcPr>
            <w:tcW w:w="3820" w:type="dxa"/>
            <w:vAlign w:val="bottom"/>
          </w:tcPr>
          <w:p>
            <w:pPr>
              <w:jc w:val="center"/>
              <w:spacing w:after="0" w:line="215" w:lineRule="exact"/>
              <w:rPr>
                <w:sz w:val="20"/>
                <w:szCs w:val="20"/>
                <w:color w:val="auto"/>
              </w:rPr>
            </w:pPr>
            <w:r>
              <w:rPr>
                <w:rFonts w:ascii="Calibri" w:cs="Calibri" w:eastAsia="Calibri" w:hAnsi="Calibri"/>
                <w:sz w:val="18"/>
                <w:szCs w:val="18"/>
                <w:color w:val="auto"/>
                <w:w w:val="97"/>
              </w:rPr>
              <w:t>Delaware</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100" w:type="dxa"/>
            <w:vAlign w:val="bottom"/>
          </w:tcPr>
          <w:p>
            <w:pPr>
              <w:ind w:left="100"/>
              <w:spacing w:after="0" w:line="216" w:lineRule="exact"/>
              <w:rPr>
                <w:sz w:val="20"/>
                <w:szCs w:val="20"/>
                <w:color w:val="auto"/>
              </w:rPr>
            </w:pPr>
            <w:r>
              <w:rPr>
                <w:rFonts w:ascii="Calibri" w:cs="Calibri" w:eastAsia="Calibri" w:hAnsi="Calibri"/>
                <w:sz w:val="18"/>
                <w:szCs w:val="18"/>
                <w:color w:val="auto"/>
              </w:rPr>
              <w:t>Amlogenyx Inc.</w:t>
            </w:r>
          </w:p>
        </w:tc>
        <w:tc>
          <w:tcPr>
            <w:tcW w:w="720" w:type="dxa"/>
            <w:vAlign w:val="bottom"/>
          </w:tcPr>
          <w:p>
            <w:pPr>
              <w:spacing w:after="0"/>
              <w:rPr>
                <w:sz w:val="18"/>
                <w:szCs w:val="18"/>
                <w:color w:val="auto"/>
              </w:rPr>
            </w:pPr>
          </w:p>
        </w:tc>
        <w:tc>
          <w:tcPr>
            <w:tcW w:w="382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Delaware</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100" w:type="dxa"/>
            <w:vAlign w:val="bottom"/>
          </w:tcPr>
          <w:p>
            <w:pPr>
              <w:ind w:left="100"/>
              <w:spacing w:after="0" w:line="216" w:lineRule="exact"/>
              <w:rPr>
                <w:sz w:val="20"/>
                <w:szCs w:val="20"/>
                <w:color w:val="auto"/>
              </w:rPr>
            </w:pPr>
            <w:r>
              <w:rPr>
                <w:rFonts w:ascii="Calibri" w:cs="Calibri" w:eastAsia="Calibri" w:hAnsi="Calibri"/>
                <w:sz w:val="18"/>
                <w:szCs w:val="18"/>
                <w:color w:val="auto"/>
              </w:rPr>
              <w:t>Ultragenyx UK Ltd</w:t>
            </w:r>
          </w:p>
        </w:tc>
        <w:tc>
          <w:tcPr>
            <w:tcW w:w="720" w:type="dxa"/>
            <w:vAlign w:val="bottom"/>
          </w:tcPr>
          <w:p>
            <w:pPr>
              <w:spacing w:after="0"/>
              <w:rPr>
                <w:sz w:val="18"/>
                <w:szCs w:val="18"/>
                <w:color w:val="auto"/>
              </w:rPr>
            </w:pPr>
          </w:p>
        </w:tc>
        <w:tc>
          <w:tcPr>
            <w:tcW w:w="382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United Kingdom</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100" w:type="dxa"/>
            <w:vAlign w:val="bottom"/>
          </w:tcPr>
          <w:p>
            <w:pPr>
              <w:ind w:left="100"/>
              <w:spacing w:after="0" w:line="216" w:lineRule="exact"/>
              <w:rPr>
                <w:sz w:val="20"/>
                <w:szCs w:val="20"/>
                <w:color w:val="auto"/>
              </w:rPr>
            </w:pPr>
            <w:r>
              <w:rPr>
                <w:rFonts w:ascii="Calibri" w:cs="Calibri" w:eastAsia="Calibri" w:hAnsi="Calibri"/>
                <w:sz w:val="18"/>
                <w:szCs w:val="18"/>
                <w:color w:val="auto"/>
              </w:rPr>
              <w:t>Ultragenyx Europe GmbH</w:t>
            </w:r>
          </w:p>
        </w:tc>
        <w:tc>
          <w:tcPr>
            <w:tcW w:w="720" w:type="dxa"/>
            <w:vAlign w:val="bottom"/>
          </w:tcPr>
          <w:p>
            <w:pPr>
              <w:spacing w:after="0"/>
              <w:rPr>
                <w:sz w:val="18"/>
                <w:szCs w:val="18"/>
                <w:color w:val="auto"/>
              </w:rPr>
            </w:pPr>
          </w:p>
        </w:tc>
        <w:tc>
          <w:tcPr>
            <w:tcW w:w="3820" w:type="dxa"/>
            <w:vAlign w:val="bottom"/>
          </w:tcPr>
          <w:p>
            <w:pPr>
              <w:jc w:val="center"/>
              <w:spacing w:after="0" w:line="216" w:lineRule="exact"/>
              <w:rPr>
                <w:sz w:val="20"/>
                <w:szCs w:val="20"/>
                <w:color w:val="auto"/>
              </w:rPr>
            </w:pPr>
            <w:r>
              <w:rPr>
                <w:rFonts w:ascii="Calibri" w:cs="Calibri" w:eastAsia="Calibri" w:hAnsi="Calibri"/>
                <w:sz w:val="18"/>
                <w:szCs w:val="18"/>
                <w:color w:val="auto"/>
                <w:w w:val="98"/>
              </w:rPr>
              <w:t>Switzerland</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100" w:type="dxa"/>
            <w:vAlign w:val="bottom"/>
          </w:tcPr>
          <w:p>
            <w:pPr>
              <w:ind w:left="100"/>
              <w:spacing w:after="0" w:line="216" w:lineRule="exact"/>
              <w:rPr>
                <w:sz w:val="20"/>
                <w:szCs w:val="20"/>
                <w:color w:val="auto"/>
              </w:rPr>
            </w:pPr>
            <w:r>
              <w:rPr>
                <w:rFonts w:ascii="Calibri" w:cs="Calibri" w:eastAsia="Calibri" w:hAnsi="Calibri"/>
                <w:sz w:val="18"/>
                <w:szCs w:val="18"/>
                <w:color w:val="auto"/>
              </w:rPr>
              <w:t>Ultragenyx Germany GmbH</w:t>
            </w:r>
          </w:p>
        </w:tc>
        <w:tc>
          <w:tcPr>
            <w:tcW w:w="720" w:type="dxa"/>
            <w:vAlign w:val="bottom"/>
          </w:tcPr>
          <w:p>
            <w:pPr>
              <w:spacing w:after="0"/>
              <w:rPr>
                <w:sz w:val="18"/>
                <w:szCs w:val="18"/>
                <w:color w:val="auto"/>
              </w:rPr>
            </w:pPr>
          </w:p>
        </w:tc>
        <w:tc>
          <w:tcPr>
            <w:tcW w:w="3820" w:type="dxa"/>
            <w:vAlign w:val="bottom"/>
          </w:tcPr>
          <w:p>
            <w:pPr>
              <w:jc w:val="center"/>
              <w:spacing w:after="0" w:line="216" w:lineRule="exact"/>
              <w:rPr>
                <w:sz w:val="20"/>
                <w:szCs w:val="20"/>
                <w:color w:val="auto"/>
              </w:rPr>
            </w:pPr>
            <w:r>
              <w:rPr>
                <w:rFonts w:ascii="Calibri" w:cs="Calibri" w:eastAsia="Calibri" w:hAnsi="Calibri"/>
                <w:sz w:val="18"/>
                <w:szCs w:val="18"/>
                <w:color w:val="auto"/>
                <w:w w:val="98"/>
              </w:rPr>
              <w:t>Germany</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100" w:type="dxa"/>
            <w:vAlign w:val="bottom"/>
          </w:tcPr>
          <w:p>
            <w:pPr>
              <w:ind w:left="100"/>
              <w:spacing w:after="0" w:line="216" w:lineRule="exact"/>
              <w:rPr>
                <w:sz w:val="20"/>
                <w:szCs w:val="20"/>
                <w:color w:val="auto"/>
              </w:rPr>
            </w:pPr>
            <w:r>
              <w:rPr>
                <w:rFonts w:ascii="Calibri" w:cs="Calibri" w:eastAsia="Calibri" w:hAnsi="Calibri"/>
                <w:sz w:val="18"/>
                <w:szCs w:val="18"/>
                <w:color w:val="auto"/>
              </w:rPr>
              <w:t>Ultragenyx Brasil Farmacêutca Ltda</w:t>
            </w:r>
          </w:p>
        </w:tc>
        <w:tc>
          <w:tcPr>
            <w:tcW w:w="720" w:type="dxa"/>
            <w:vAlign w:val="bottom"/>
          </w:tcPr>
          <w:p>
            <w:pPr>
              <w:spacing w:after="0"/>
              <w:rPr>
                <w:sz w:val="18"/>
                <w:szCs w:val="18"/>
                <w:color w:val="auto"/>
              </w:rPr>
            </w:pPr>
          </w:p>
        </w:tc>
        <w:tc>
          <w:tcPr>
            <w:tcW w:w="3820" w:type="dxa"/>
            <w:vAlign w:val="bottom"/>
          </w:tcPr>
          <w:p>
            <w:pPr>
              <w:jc w:val="center"/>
              <w:spacing w:after="0" w:line="216" w:lineRule="exact"/>
              <w:rPr>
                <w:sz w:val="20"/>
                <w:szCs w:val="20"/>
                <w:color w:val="auto"/>
              </w:rPr>
            </w:pPr>
            <w:r>
              <w:rPr>
                <w:rFonts w:ascii="Calibri" w:cs="Calibri" w:eastAsia="Calibri" w:hAnsi="Calibri"/>
                <w:sz w:val="18"/>
                <w:szCs w:val="18"/>
                <w:color w:val="auto"/>
                <w:w w:val="99"/>
              </w:rPr>
              <w:t>Brazil</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100" w:type="dxa"/>
            <w:vAlign w:val="bottom"/>
          </w:tcPr>
          <w:p>
            <w:pPr>
              <w:ind w:left="100"/>
              <w:spacing w:after="0" w:line="216" w:lineRule="exact"/>
              <w:rPr>
                <w:sz w:val="20"/>
                <w:szCs w:val="20"/>
                <w:color w:val="auto"/>
              </w:rPr>
            </w:pPr>
            <w:r>
              <w:rPr>
                <w:rFonts w:ascii="Calibri" w:cs="Calibri" w:eastAsia="Calibri" w:hAnsi="Calibri"/>
                <w:sz w:val="18"/>
                <w:szCs w:val="18"/>
                <w:color w:val="auto"/>
              </w:rPr>
              <w:t>Ultragenyx Argentna SRL</w:t>
            </w:r>
          </w:p>
        </w:tc>
        <w:tc>
          <w:tcPr>
            <w:tcW w:w="720" w:type="dxa"/>
            <w:vAlign w:val="bottom"/>
          </w:tcPr>
          <w:p>
            <w:pPr>
              <w:spacing w:after="0"/>
              <w:rPr>
                <w:sz w:val="18"/>
                <w:szCs w:val="18"/>
                <w:color w:val="auto"/>
              </w:rPr>
            </w:pPr>
          </w:p>
        </w:tc>
        <w:tc>
          <w:tcPr>
            <w:tcW w:w="3820" w:type="dxa"/>
            <w:vAlign w:val="bottom"/>
          </w:tcPr>
          <w:p>
            <w:pPr>
              <w:jc w:val="center"/>
              <w:spacing w:after="0" w:line="216" w:lineRule="exact"/>
              <w:rPr>
                <w:sz w:val="20"/>
                <w:szCs w:val="20"/>
                <w:color w:val="auto"/>
              </w:rPr>
            </w:pPr>
            <w:r>
              <w:rPr>
                <w:rFonts w:ascii="Calibri" w:cs="Calibri" w:eastAsia="Calibri" w:hAnsi="Calibri"/>
                <w:sz w:val="18"/>
                <w:szCs w:val="18"/>
                <w:color w:val="auto"/>
              </w:rPr>
              <w:t>Argentna</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100" w:type="dxa"/>
            <w:vAlign w:val="bottom"/>
          </w:tcPr>
          <w:p>
            <w:pPr>
              <w:ind w:left="100"/>
              <w:spacing w:after="0" w:line="216" w:lineRule="exact"/>
              <w:rPr>
                <w:sz w:val="20"/>
                <w:szCs w:val="20"/>
                <w:color w:val="auto"/>
              </w:rPr>
            </w:pPr>
            <w:r>
              <w:rPr>
                <w:rFonts w:ascii="Calibri" w:cs="Calibri" w:eastAsia="Calibri" w:hAnsi="Calibri"/>
                <w:sz w:val="18"/>
                <w:szCs w:val="18"/>
                <w:color w:val="auto"/>
              </w:rPr>
              <w:t>Ultragenyx Netherlands B.V.</w:t>
            </w:r>
          </w:p>
        </w:tc>
        <w:tc>
          <w:tcPr>
            <w:tcW w:w="720" w:type="dxa"/>
            <w:vAlign w:val="bottom"/>
          </w:tcPr>
          <w:p>
            <w:pPr>
              <w:spacing w:after="0"/>
              <w:rPr>
                <w:sz w:val="18"/>
                <w:szCs w:val="18"/>
                <w:color w:val="auto"/>
              </w:rPr>
            </w:pPr>
          </w:p>
        </w:tc>
        <w:tc>
          <w:tcPr>
            <w:tcW w:w="382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Netherlands</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100" w:type="dxa"/>
            <w:vAlign w:val="bottom"/>
          </w:tcPr>
          <w:p>
            <w:pPr>
              <w:ind w:left="100"/>
              <w:spacing w:after="0" w:line="216" w:lineRule="exact"/>
              <w:rPr>
                <w:sz w:val="20"/>
                <w:szCs w:val="20"/>
                <w:color w:val="auto"/>
              </w:rPr>
            </w:pPr>
            <w:r>
              <w:rPr>
                <w:rFonts w:ascii="Calibri" w:cs="Calibri" w:eastAsia="Calibri" w:hAnsi="Calibri"/>
                <w:sz w:val="18"/>
                <w:szCs w:val="18"/>
                <w:color w:val="auto"/>
              </w:rPr>
              <w:t>Ultragenyx France SAS</w:t>
            </w:r>
          </w:p>
        </w:tc>
        <w:tc>
          <w:tcPr>
            <w:tcW w:w="720" w:type="dxa"/>
            <w:vAlign w:val="bottom"/>
          </w:tcPr>
          <w:p>
            <w:pPr>
              <w:spacing w:after="0"/>
              <w:rPr>
                <w:sz w:val="18"/>
                <w:szCs w:val="18"/>
                <w:color w:val="auto"/>
              </w:rPr>
            </w:pPr>
          </w:p>
        </w:tc>
        <w:tc>
          <w:tcPr>
            <w:tcW w:w="382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France</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100" w:type="dxa"/>
            <w:vAlign w:val="bottom"/>
          </w:tcPr>
          <w:p>
            <w:pPr>
              <w:ind w:left="100"/>
              <w:spacing w:after="0" w:line="216" w:lineRule="exact"/>
              <w:rPr>
                <w:sz w:val="20"/>
                <w:szCs w:val="20"/>
                <w:color w:val="auto"/>
              </w:rPr>
            </w:pPr>
            <w:r>
              <w:rPr>
                <w:rFonts w:ascii="Calibri" w:cs="Calibri" w:eastAsia="Calibri" w:hAnsi="Calibri"/>
                <w:sz w:val="18"/>
                <w:szCs w:val="18"/>
                <w:color w:val="auto"/>
              </w:rPr>
              <w:t>Ultragenyx Colombia SAS</w:t>
            </w:r>
          </w:p>
        </w:tc>
        <w:tc>
          <w:tcPr>
            <w:tcW w:w="720" w:type="dxa"/>
            <w:vAlign w:val="bottom"/>
          </w:tcPr>
          <w:p>
            <w:pPr>
              <w:spacing w:after="0"/>
              <w:rPr>
                <w:sz w:val="18"/>
                <w:szCs w:val="18"/>
                <w:color w:val="auto"/>
              </w:rPr>
            </w:pPr>
          </w:p>
        </w:tc>
        <w:tc>
          <w:tcPr>
            <w:tcW w:w="3820" w:type="dxa"/>
            <w:vAlign w:val="bottom"/>
          </w:tcPr>
          <w:p>
            <w:pPr>
              <w:jc w:val="center"/>
              <w:spacing w:after="0" w:line="216" w:lineRule="exact"/>
              <w:rPr>
                <w:sz w:val="20"/>
                <w:szCs w:val="20"/>
                <w:color w:val="auto"/>
              </w:rPr>
            </w:pPr>
            <w:r>
              <w:rPr>
                <w:rFonts w:ascii="Calibri" w:cs="Calibri" w:eastAsia="Calibri" w:hAnsi="Calibri"/>
                <w:sz w:val="18"/>
                <w:szCs w:val="18"/>
                <w:color w:val="auto"/>
                <w:w w:val="98"/>
              </w:rPr>
              <w:t>Colombia</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100" w:type="dxa"/>
            <w:vAlign w:val="bottom"/>
          </w:tcPr>
          <w:p>
            <w:pPr>
              <w:ind w:left="100"/>
              <w:spacing w:after="0" w:line="216" w:lineRule="exact"/>
              <w:rPr>
                <w:sz w:val="20"/>
                <w:szCs w:val="20"/>
                <w:color w:val="auto"/>
              </w:rPr>
            </w:pPr>
            <w:r>
              <w:rPr>
                <w:rFonts w:ascii="Calibri" w:cs="Calibri" w:eastAsia="Calibri" w:hAnsi="Calibri"/>
                <w:sz w:val="18"/>
                <w:szCs w:val="18"/>
                <w:color w:val="auto"/>
              </w:rPr>
              <w:t>Ultragenyx Canada Inc.</w:t>
            </w:r>
          </w:p>
        </w:tc>
        <w:tc>
          <w:tcPr>
            <w:tcW w:w="720" w:type="dxa"/>
            <w:vAlign w:val="bottom"/>
          </w:tcPr>
          <w:p>
            <w:pPr>
              <w:spacing w:after="0"/>
              <w:rPr>
                <w:sz w:val="18"/>
                <w:szCs w:val="18"/>
                <w:color w:val="auto"/>
              </w:rPr>
            </w:pPr>
          </w:p>
        </w:tc>
        <w:tc>
          <w:tcPr>
            <w:tcW w:w="3820" w:type="dxa"/>
            <w:vAlign w:val="bottom"/>
          </w:tcPr>
          <w:p>
            <w:pPr>
              <w:jc w:val="center"/>
              <w:spacing w:after="0" w:line="216" w:lineRule="exact"/>
              <w:rPr>
                <w:sz w:val="20"/>
                <w:szCs w:val="20"/>
                <w:color w:val="auto"/>
              </w:rPr>
            </w:pPr>
            <w:r>
              <w:rPr>
                <w:rFonts w:ascii="Calibri" w:cs="Calibri" w:eastAsia="Calibri" w:hAnsi="Calibri"/>
                <w:sz w:val="18"/>
                <w:szCs w:val="18"/>
                <w:color w:val="auto"/>
                <w:w w:val="99"/>
              </w:rPr>
              <w:t>Canada</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100" w:type="dxa"/>
            <w:vAlign w:val="bottom"/>
          </w:tcPr>
          <w:p>
            <w:pPr>
              <w:ind w:left="100"/>
              <w:spacing w:after="0" w:line="216" w:lineRule="exact"/>
              <w:rPr>
                <w:sz w:val="20"/>
                <w:szCs w:val="20"/>
                <w:color w:val="auto"/>
              </w:rPr>
            </w:pPr>
            <w:r>
              <w:rPr>
                <w:rFonts w:ascii="Calibri" w:cs="Calibri" w:eastAsia="Calibri" w:hAnsi="Calibri"/>
                <w:sz w:val="18"/>
                <w:szCs w:val="18"/>
                <w:color w:val="auto"/>
              </w:rPr>
              <w:t>Ultragenyx México, S. de R.L. de C.V.</w:t>
            </w:r>
          </w:p>
        </w:tc>
        <w:tc>
          <w:tcPr>
            <w:tcW w:w="720" w:type="dxa"/>
            <w:vAlign w:val="bottom"/>
          </w:tcPr>
          <w:p>
            <w:pPr>
              <w:spacing w:after="0"/>
              <w:rPr>
                <w:sz w:val="18"/>
                <w:szCs w:val="18"/>
                <w:color w:val="auto"/>
              </w:rPr>
            </w:pPr>
          </w:p>
        </w:tc>
        <w:tc>
          <w:tcPr>
            <w:tcW w:w="3820" w:type="dxa"/>
            <w:vAlign w:val="bottom"/>
          </w:tcPr>
          <w:p>
            <w:pPr>
              <w:jc w:val="center"/>
              <w:spacing w:after="0" w:line="216" w:lineRule="exact"/>
              <w:rPr>
                <w:sz w:val="20"/>
                <w:szCs w:val="20"/>
                <w:color w:val="auto"/>
              </w:rPr>
            </w:pPr>
            <w:r>
              <w:rPr>
                <w:rFonts w:ascii="Calibri" w:cs="Calibri" w:eastAsia="Calibri" w:hAnsi="Calibri"/>
                <w:sz w:val="18"/>
                <w:szCs w:val="18"/>
                <w:color w:val="auto"/>
                <w:w w:val="97"/>
              </w:rPr>
              <w:t>Mexico</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100" w:type="dxa"/>
            <w:vAlign w:val="bottom"/>
          </w:tcPr>
          <w:p>
            <w:pPr>
              <w:ind w:left="100"/>
              <w:spacing w:after="0" w:line="216" w:lineRule="exact"/>
              <w:rPr>
                <w:sz w:val="20"/>
                <w:szCs w:val="20"/>
                <w:color w:val="auto"/>
              </w:rPr>
            </w:pPr>
            <w:r>
              <w:rPr>
                <w:rFonts w:ascii="Calibri" w:cs="Calibri" w:eastAsia="Calibri" w:hAnsi="Calibri"/>
                <w:sz w:val="18"/>
                <w:szCs w:val="18"/>
                <w:color w:val="auto"/>
              </w:rPr>
              <w:t>Ultragenyx Japan K.K.</w:t>
            </w:r>
          </w:p>
        </w:tc>
        <w:tc>
          <w:tcPr>
            <w:tcW w:w="720" w:type="dxa"/>
            <w:vAlign w:val="bottom"/>
          </w:tcPr>
          <w:p>
            <w:pPr>
              <w:spacing w:after="0"/>
              <w:rPr>
                <w:sz w:val="18"/>
                <w:szCs w:val="18"/>
                <w:color w:val="auto"/>
              </w:rPr>
            </w:pPr>
          </w:p>
        </w:tc>
        <w:tc>
          <w:tcPr>
            <w:tcW w:w="3820" w:type="dxa"/>
            <w:vAlign w:val="bottom"/>
          </w:tcPr>
          <w:p>
            <w:pPr>
              <w:jc w:val="center"/>
              <w:spacing w:after="0" w:line="216" w:lineRule="exact"/>
              <w:rPr>
                <w:sz w:val="20"/>
                <w:szCs w:val="20"/>
                <w:color w:val="auto"/>
              </w:rPr>
            </w:pPr>
            <w:r>
              <w:rPr>
                <w:rFonts w:ascii="Calibri" w:cs="Calibri" w:eastAsia="Calibri" w:hAnsi="Calibri"/>
                <w:sz w:val="18"/>
                <w:szCs w:val="18"/>
                <w:color w:val="auto"/>
              </w:rPr>
              <w:t>Japan</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4100" w:type="dxa"/>
            <w:vAlign w:val="bottom"/>
          </w:tcPr>
          <w:p>
            <w:pPr>
              <w:ind w:left="100"/>
              <w:spacing w:after="0" w:line="216" w:lineRule="exact"/>
              <w:rPr>
                <w:sz w:val="20"/>
                <w:szCs w:val="20"/>
                <w:color w:val="auto"/>
              </w:rPr>
            </w:pPr>
            <w:r>
              <w:rPr>
                <w:rFonts w:ascii="Calibri" w:cs="Calibri" w:eastAsia="Calibri" w:hAnsi="Calibri"/>
                <w:sz w:val="18"/>
                <w:szCs w:val="18"/>
                <w:color w:val="auto"/>
              </w:rPr>
              <w:t>Ultragenyx Chile Limitada</w:t>
            </w:r>
          </w:p>
        </w:tc>
        <w:tc>
          <w:tcPr>
            <w:tcW w:w="720" w:type="dxa"/>
            <w:vAlign w:val="bottom"/>
          </w:tcPr>
          <w:p>
            <w:pPr>
              <w:spacing w:after="0"/>
              <w:rPr>
                <w:sz w:val="18"/>
                <w:szCs w:val="18"/>
                <w:color w:val="auto"/>
              </w:rPr>
            </w:pPr>
          </w:p>
        </w:tc>
        <w:tc>
          <w:tcPr>
            <w:tcW w:w="3820" w:type="dxa"/>
            <w:vAlign w:val="bottom"/>
          </w:tcPr>
          <w:p>
            <w:pPr>
              <w:jc w:val="center"/>
              <w:spacing w:after="0" w:line="216" w:lineRule="exact"/>
              <w:rPr>
                <w:sz w:val="20"/>
                <w:szCs w:val="20"/>
                <w:color w:val="auto"/>
              </w:rPr>
            </w:pPr>
            <w:r>
              <w:rPr>
                <w:rFonts w:ascii="Calibri" w:cs="Calibri" w:eastAsia="Calibri" w:hAnsi="Calibri"/>
                <w:sz w:val="18"/>
                <w:szCs w:val="18"/>
                <w:color w:val="auto"/>
                <w:w w:val="99"/>
              </w:rPr>
              <w:t>Chile</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2"/>
        </w:trPr>
        <w:tc>
          <w:tcPr>
            <w:tcW w:w="130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7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7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215" w:name="page216"/>
    <w:bookmarkEnd w:id="215"/>
    <w:p>
      <w:pPr>
        <w:jc w:val="right"/>
        <w:spacing w:after="0"/>
        <w:rPr>
          <w:sz w:val="20"/>
          <w:szCs w:val="20"/>
          <w:color w:val="auto"/>
        </w:rPr>
      </w:pPr>
      <w:r>
        <w:rPr>
          <w:rFonts w:ascii="Calibri" w:cs="Calibri" w:eastAsia="Calibri" w:hAnsi="Calibri"/>
          <w:sz w:val="18"/>
          <w:szCs w:val="18"/>
          <w:b w:val="1"/>
          <w:bCs w:val="1"/>
          <w:color w:val="auto"/>
        </w:rPr>
        <w:t>Exhibit 23.1</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CONSENT OF INDEPENDENT REGISTERED PUBLIC ACCOUNTING FIRM</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We consent to the incorporaton by reference in the following Registraton Statements:</w:t>
      </w:r>
    </w:p>
    <w:p>
      <w:pPr>
        <w:spacing w:after="0" w:line="217" w:lineRule="exact"/>
        <w:rPr>
          <w:sz w:val="20"/>
          <w:szCs w:val="20"/>
          <w:color w:val="auto"/>
        </w:rPr>
      </w:pPr>
    </w:p>
    <w:p>
      <w:pPr>
        <w:ind w:left="580" w:right="240" w:hanging="572"/>
        <w:spacing w:after="0" w:line="235" w:lineRule="auto"/>
        <w:tabs>
          <w:tab w:leader="none" w:pos="328" w:val="left"/>
        </w:tabs>
        <w:numPr>
          <w:ilvl w:val="0"/>
          <w:numId w:val="182"/>
        </w:numPr>
        <w:rPr>
          <w:rFonts w:ascii="Calibri" w:cs="Calibri" w:eastAsia="Calibri" w:hAnsi="Calibri"/>
          <w:sz w:val="18"/>
          <w:szCs w:val="18"/>
          <w:color w:val="auto"/>
        </w:rPr>
      </w:pPr>
      <w:r>
        <w:rPr>
          <w:rFonts w:ascii="Calibri" w:cs="Calibri" w:eastAsia="Calibri" w:hAnsi="Calibri"/>
          <w:sz w:val="18"/>
          <w:szCs w:val="18"/>
          <w:color w:val="auto"/>
        </w:rPr>
        <w:t>Registraton Statements (Form S-8 Nos. 333-194773, 333-201843, 333-209729, 333-216110, 333-223124, 333-229746, 333-236428, 333-253007, 333-262751, 333-269840, 333-272518, and 333-280776) pertaining to the 2011 Equity Incentve Plan, as amended, 2014 Incentve Plan, as amended, 2014 Employee Stock Purchase Plan, as amended and restated, 2023 Incentve Plan, as amended and restated, and Employee Inducement Plan, as amended of Ultragenyx Pharmaceutcal Inc.,</w:t>
      </w:r>
    </w:p>
    <w:p>
      <w:pPr>
        <w:spacing w:after="0" w:line="178" w:lineRule="exact"/>
        <w:rPr>
          <w:rFonts w:ascii="Calibri" w:cs="Calibri" w:eastAsia="Calibri" w:hAnsi="Calibri"/>
          <w:sz w:val="18"/>
          <w:szCs w:val="18"/>
          <w:color w:val="auto"/>
        </w:rPr>
      </w:pPr>
    </w:p>
    <w:p>
      <w:pPr>
        <w:ind w:left="560" w:right="660" w:hanging="552"/>
        <w:spacing w:after="0" w:line="235" w:lineRule="auto"/>
        <w:tabs>
          <w:tab w:leader="none" w:pos="316" w:val="left"/>
        </w:tabs>
        <w:numPr>
          <w:ilvl w:val="0"/>
          <w:numId w:val="182"/>
        </w:numPr>
        <w:rPr>
          <w:rFonts w:ascii="Calibri" w:cs="Calibri" w:eastAsia="Calibri" w:hAnsi="Calibri"/>
          <w:sz w:val="18"/>
          <w:szCs w:val="18"/>
          <w:color w:val="auto"/>
        </w:rPr>
      </w:pPr>
      <w:r>
        <w:rPr>
          <w:rFonts w:ascii="Calibri" w:cs="Calibri" w:eastAsia="Calibri" w:hAnsi="Calibri"/>
          <w:sz w:val="18"/>
          <w:szCs w:val="18"/>
          <w:color w:val="auto"/>
        </w:rPr>
        <w:t>Registraton Statement (Form S-8 No. 333-221381) pertaining to the Dimension Therapeutcs, Inc. 2015 Stock Opton and Incentve Plan and the Dimension Therapeutcs, Inc. 2013 Stock Plan, both as assumed by Ultragenyx Pharmaceutcal Inc., and</w:t>
      </w:r>
    </w:p>
    <w:p>
      <w:pPr>
        <w:spacing w:after="0" w:line="217" w:lineRule="exact"/>
        <w:rPr>
          <w:rFonts w:ascii="Calibri" w:cs="Calibri" w:eastAsia="Calibri" w:hAnsi="Calibri"/>
          <w:sz w:val="18"/>
          <w:szCs w:val="18"/>
          <w:color w:val="auto"/>
        </w:rPr>
      </w:pPr>
    </w:p>
    <w:p>
      <w:pPr>
        <w:ind w:left="560" w:right="460" w:hanging="552"/>
        <w:spacing w:after="0" w:line="235" w:lineRule="auto"/>
        <w:tabs>
          <w:tab w:leader="none" w:pos="316" w:val="left"/>
        </w:tabs>
        <w:numPr>
          <w:ilvl w:val="0"/>
          <w:numId w:val="182"/>
        </w:numPr>
        <w:rPr>
          <w:rFonts w:ascii="Calibri" w:cs="Calibri" w:eastAsia="Calibri" w:hAnsi="Calibri"/>
          <w:sz w:val="18"/>
          <w:szCs w:val="18"/>
          <w:color w:val="auto"/>
        </w:rPr>
      </w:pPr>
      <w:r>
        <w:rPr>
          <w:rFonts w:ascii="Calibri" w:cs="Calibri" w:eastAsia="Calibri" w:hAnsi="Calibri"/>
          <w:sz w:val="18"/>
          <w:szCs w:val="18"/>
          <w:color w:val="auto"/>
        </w:rPr>
        <w:t>Registraton Statement (Form S-3 No. 333-277226) and related Prospectus of Ultragenyx Pharmaceutcal Inc. for the registraton of common stock, preferred stock, debt securites, warrants and units;</w:t>
      </w:r>
    </w:p>
    <w:p>
      <w:pPr>
        <w:spacing w:after="0" w:line="19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of our reports dated February 19, 2025, with respect to the consolidated fnancial statements of Ultragenyx Pharmaceutcal Inc. and the efectveness of internal control over fnancial reportng of Ultragenyx Pharmaceutcal Inc. included in this Annual Report (Form 10-K) of Ultragenyx Pharmaceutcal Inc. for the year ended December 31, 2024.</w:t>
      </w:r>
    </w:p>
    <w:p>
      <w:pPr>
        <w:spacing w:after="0" w:line="389" w:lineRule="exact"/>
        <w:rPr>
          <w:sz w:val="20"/>
          <w:szCs w:val="20"/>
          <w:color w:val="auto"/>
        </w:rPr>
      </w:pPr>
    </w:p>
    <w:p>
      <w:pPr>
        <w:spacing w:after="0"/>
        <w:rPr>
          <w:sz w:val="20"/>
          <w:szCs w:val="20"/>
          <w:color w:val="auto"/>
        </w:rPr>
      </w:pPr>
      <w:r>
        <w:rPr>
          <w:rFonts w:ascii="Calibri" w:cs="Calibri" w:eastAsia="Calibri" w:hAnsi="Calibri"/>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San Mateo, California</w:t>
      </w:r>
    </w:p>
    <w:p>
      <w:pPr>
        <w:spacing w:after="0" w:line="235" w:lineRule="auto"/>
        <w:rPr>
          <w:sz w:val="20"/>
          <w:szCs w:val="20"/>
          <w:color w:val="auto"/>
        </w:rPr>
      </w:pPr>
      <w:r>
        <w:rPr>
          <w:rFonts w:ascii="Calibri" w:cs="Calibri" w:eastAsia="Calibri" w:hAnsi="Calibri"/>
          <w:sz w:val="18"/>
          <w:szCs w:val="18"/>
          <w:color w:val="auto"/>
        </w:rPr>
        <w:t>February 19,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1040130</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7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16" w:name="page217"/>
    <w:bookmarkEnd w:id="216"/>
    <w:p>
      <w:pPr>
        <w:jc w:val="right"/>
        <w:spacing w:after="0"/>
        <w:rPr>
          <w:sz w:val="20"/>
          <w:szCs w:val="20"/>
          <w:color w:val="auto"/>
        </w:rPr>
      </w:pPr>
      <w:r>
        <w:rPr>
          <w:rFonts w:ascii="Calibri" w:cs="Calibri" w:eastAsia="Calibri" w:hAnsi="Calibri"/>
          <w:sz w:val="18"/>
          <w:szCs w:val="18"/>
          <w:b w:val="1"/>
          <w:bCs w:val="1"/>
          <w:color w:val="auto"/>
        </w:rPr>
        <w:t>Exhibit 31.1</w:t>
      </w:r>
    </w:p>
    <w:p>
      <w:pPr>
        <w:spacing w:after="0" w:line="212"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auto"/>
        </w:rPr>
        <w:t>CERTIFICATION PURSUANT TO SECTION 302 OF THE SARBANES-OXLEY ACT OF 2002</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I, Emil D. Kakkis, certfy that:</w:t>
      </w:r>
    </w:p>
    <w:p>
      <w:pPr>
        <w:spacing w:after="0" w:line="118" w:lineRule="exact"/>
        <w:rPr>
          <w:sz w:val="20"/>
          <w:szCs w:val="20"/>
          <w:color w:val="auto"/>
        </w:rPr>
      </w:pPr>
    </w:p>
    <w:p>
      <w:pPr>
        <w:ind w:left="520" w:hanging="512"/>
        <w:spacing w:after="0"/>
        <w:tabs>
          <w:tab w:leader="none" w:pos="520" w:val="left"/>
        </w:tabs>
        <w:numPr>
          <w:ilvl w:val="0"/>
          <w:numId w:val="183"/>
        </w:numPr>
        <w:rPr>
          <w:rFonts w:ascii="Times New Roman" w:cs="Times New Roman" w:eastAsia="Times New Roman" w:hAnsi="Times New Roman"/>
          <w:sz w:val="18"/>
          <w:szCs w:val="18"/>
          <w:color w:val="auto"/>
        </w:rPr>
      </w:pPr>
      <w:r>
        <w:rPr>
          <w:rFonts w:ascii="Calibri" w:cs="Calibri" w:eastAsia="Calibri" w:hAnsi="Calibri"/>
          <w:sz w:val="18"/>
          <w:szCs w:val="18"/>
          <w:color w:val="auto"/>
        </w:rPr>
        <w:t>I have reviewed this Annual Report on Form 10-K of Ultragenyx Pharmaceutcal Inc.;</w:t>
      </w:r>
    </w:p>
    <w:p>
      <w:pPr>
        <w:spacing w:after="0" w:line="122" w:lineRule="exact"/>
        <w:rPr>
          <w:rFonts w:ascii="Times New Roman" w:cs="Times New Roman" w:eastAsia="Times New Roman" w:hAnsi="Times New Roman"/>
          <w:sz w:val="18"/>
          <w:szCs w:val="18"/>
          <w:color w:val="auto"/>
        </w:rPr>
      </w:pPr>
    </w:p>
    <w:p>
      <w:pPr>
        <w:jc w:val="both"/>
        <w:ind w:left="520" w:right="200" w:hanging="512"/>
        <w:spacing w:after="0" w:line="235" w:lineRule="auto"/>
        <w:tabs>
          <w:tab w:leader="none" w:pos="520" w:val="left"/>
        </w:tabs>
        <w:numPr>
          <w:ilvl w:val="0"/>
          <w:numId w:val="183"/>
        </w:numPr>
        <w:rPr>
          <w:rFonts w:ascii="Times New Roman" w:cs="Times New Roman" w:eastAsia="Times New Roman" w:hAnsi="Times New Roman"/>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8"/>
          <w:szCs w:val="18"/>
          <w:color w:val="auto"/>
        </w:rPr>
      </w:pPr>
    </w:p>
    <w:p>
      <w:pPr>
        <w:ind w:left="520" w:right="300" w:hanging="512"/>
        <w:spacing w:after="0" w:line="235" w:lineRule="auto"/>
        <w:tabs>
          <w:tab w:leader="none" w:pos="520" w:val="left"/>
        </w:tabs>
        <w:numPr>
          <w:ilvl w:val="0"/>
          <w:numId w:val="183"/>
        </w:numPr>
        <w:rPr>
          <w:rFonts w:ascii="Times New Roman" w:cs="Times New Roman" w:eastAsia="Times New Roman" w:hAnsi="Times New Roman"/>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123" w:lineRule="exact"/>
        <w:rPr>
          <w:rFonts w:ascii="Times New Roman" w:cs="Times New Roman" w:eastAsia="Times New Roman" w:hAnsi="Times New Roman"/>
          <w:sz w:val="18"/>
          <w:szCs w:val="18"/>
          <w:color w:val="auto"/>
        </w:rPr>
      </w:pPr>
    </w:p>
    <w:p>
      <w:pPr>
        <w:ind w:left="520" w:right="140" w:hanging="512"/>
        <w:spacing w:after="0" w:line="235" w:lineRule="auto"/>
        <w:tabs>
          <w:tab w:leader="none" w:pos="520" w:val="left"/>
        </w:tabs>
        <w:numPr>
          <w:ilvl w:val="0"/>
          <w:numId w:val="183"/>
        </w:numPr>
        <w:rPr>
          <w:rFonts w:ascii="Times New Roman" w:cs="Times New Roman" w:eastAsia="Times New Roman" w:hAnsi="Times New Roman"/>
          <w:sz w:val="18"/>
          <w:szCs w:val="18"/>
          <w:color w:val="auto"/>
        </w:rPr>
      </w:pPr>
      <w:r>
        <w:rPr>
          <w:rFonts w:ascii="Calibri" w:cs="Calibri" w:eastAsia="Calibri" w:hAnsi="Calibri"/>
          <w:sz w:val="18"/>
          <w:szCs w:val="18"/>
          <w:color w:val="auto"/>
        </w:rPr>
        <w:t>I am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123" w:lineRule="exact"/>
        <w:rPr>
          <w:rFonts w:ascii="Times New Roman" w:cs="Times New Roman" w:eastAsia="Times New Roman" w:hAnsi="Times New Roman"/>
          <w:sz w:val="18"/>
          <w:szCs w:val="18"/>
          <w:color w:val="auto"/>
        </w:rPr>
      </w:pPr>
    </w:p>
    <w:p>
      <w:pPr>
        <w:ind w:left="1020" w:right="40" w:hanging="503"/>
        <w:spacing w:after="0" w:line="235" w:lineRule="auto"/>
        <w:tabs>
          <w:tab w:leader="none" w:pos="1020" w:val="left"/>
        </w:tabs>
        <w:numPr>
          <w:ilvl w:val="1"/>
          <w:numId w:val="183"/>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ind w:left="1020" w:right="380" w:hanging="503"/>
        <w:spacing w:after="0" w:line="235" w:lineRule="auto"/>
        <w:tabs>
          <w:tab w:leader="none" w:pos="1020" w:val="left"/>
        </w:tabs>
        <w:numPr>
          <w:ilvl w:val="1"/>
          <w:numId w:val="183"/>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24" w:lineRule="exact"/>
        <w:rPr>
          <w:rFonts w:ascii="Times New Roman" w:cs="Times New Roman" w:eastAsia="Times New Roman" w:hAnsi="Times New Roman"/>
          <w:sz w:val="18"/>
          <w:szCs w:val="18"/>
          <w:color w:val="auto"/>
        </w:rPr>
      </w:pPr>
    </w:p>
    <w:p>
      <w:pPr>
        <w:jc w:val="both"/>
        <w:ind w:left="1020" w:right="480" w:hanging="503"/>
        <w:spacing w:after="0" w:line="258" w:lineRule="auto"/>
        <w:tabs>
          <w:tab w:leader="none" w:pos="1020" w:val="left"/>
        </w:tabs>
        <w:numPr>
          <w:ilvl w:val="1"/>
          <w:numId w:val="183"/>
        </w:numPr>
        <w:rPr>
          <w:rFonts w:ascii="Times New Roman" w:cs="Times New Roman" w:eastAsia="Times New Roman" w:hAnsi="Times New Roman"/>
          <w:sz w:val="17"/>
          <w:szCs w:val="17"/>
          <w:color w:val="auto"/>
        </w:rPr>
      </w:pPr>
      <w:r>
        <w:rPr>
          <w:rFonts w:ascii="Calibri" w:cs="Calibri" w:eastAsia="Calibri" w:hAnsi="Calibri"/>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107" w:lineRule="exact"/>
        <w:rPr>
          <w:rFonts w:ascii="Times New Roman" w:cs="Times New Roman" w:eastAsia="Times New Roman" w:hAnsi="Times New Roman"/>
          <w:sz w:val="17"/>
          <w:szCs w:val="17"/>
          <w:color w:val="auto"/>
        </w:rPr>
      </w:pPr>
    </w:p>
    <w:p>
      <w:pPr>
        <w:ind w:left="1020" w:right="40" w:hanging="503"/>
        <w:spacing w:after="0" w:line="235" w:lineRule="auto"/>
        <w:tabs>
          <w:tab w:leader="none" w:pos="1020" w:val="left"/>
        </w:tabs>
        <w:numPr>
          <w:ilvl w:val="1"/>
          <w:numId w:val="183"/>
        </w:numPr>
        <w:rPr>
          <w:rFonts w:ascii="Times New Roman" w:cs="Times New Roman" w:eastAsia="Times New Roman" w:hAnsi="Times New Roman"/>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124" w:lineRule="exact"/>
        <w:rPr>
          <w:rFonts w:ascii="Times New Roman" w:cs="Times New Roman" w:eastAsia="Times New Roman" w:hAnsi="Times New Roman"/>
          <w:sz w:val="18"/>
          <w:szCs w:val="18"/>
          <w:color w:val="auto"/>
        </w:rPr>
      </w:pPr>
    </w:p>
    <w:p>
      <w:pPr>
        <w:ind w:left="520" w:right="60" w:hanging="512"/>
        <w:spacing w:after="0" w:line="235" w:lineRule="auto"/>
        <w:tabs>
          <w:tab w:leader="none" w:pos="520" w:val="left"/>
        </w:tabs>
        <w:numPr>
          <w:ilvl w:val="0"/>
          <w:numId w:val="183"/>
        </w:numPr>
        <w:rPr>
          <w:rFonts w:ascii="Times New Roman" w:cs="Times New Roman" w:eastAsia="Times New Roman" w:hAnsi="Times New Roman"/>
          <w:sz w:val="18"/>
          <w:szCs w:val="18"/>
          <w:color w:val="auto"/>
        </w:rPr>
      </w:pPr>
      <w:r>
        <w:rPr>
          <w:rFonts w:ascii="Calibri" w:cs="Calibri" w:eastAsia="Calibri" w:hAnsi="Calibri"/>
          <w:sz w:val="18"/>
          <w:szCs w:val="18"/>
          <w:color w:val="auto"/>
        </w:rPr>
        <w:t>I have disclosed, based on our most recent evaluaton of internal control over fnancial reportng, to the registrant’s auditors and the audit commitee of the registrant’s board of directors (or persons performing the equivalent functons):</w:t>
      </w:r>
    </w:p>
    <w:p>
      <w:pPr>
        <w:spacing w:after="0" w:line="123" w:lineRule="exact"/>
        <w:rPr>
          <w:rFonts w:ascii="Times New Roman" w:cs="Times New Roman" w:eastAsia="Times New Roman" w:hAnsi="Times New Roman"/>
          <w:sz w:val="18"/>
          <w:szCs w:val="18"/>
          <w:color w:val="auto"/>
        </w:rPr>
      </w:pPr>
    </w:p>
    <w:p>
      <w:pPr>
        <w:ind w:left="1020" w:right="60" w:hanging="503"/>
        <w:spacing w:after="0" w:line="235" w:lineRule="auto"/>
        <w:tabs>
          <w:tab w:leader="none" w:pos="1020" w:val="left"/>
        </w:tabs>
        <w:numPr>
          <w:ilvl w:val="1"/>
          <w:numId w:val="183"/>
        </w:numPr>
        <w:rPr>
          <w:rFonts w:ascii="Times New Roman" w:cs="Times New Roman" w:eastAsia="Times New Roman" w:hAnsi="Times New Roman"/>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123" w:lineRule="exact"/>
        <w:rPr>
          <w:rFonts w:ascii="Times New Roman" w:cs="Times New Roman" w:eastAsia="Times New Roman" w:hAnsi="Times New Roman"/>
          <w:sz w:val="18"/>
          <w:szCs w:val="18"/>
          <w:color w:val="auto"/>
        </w:rPr>
      </w:pPr>
    </w:p>
    <w:p>
      <w:pPr>
        <w:ind w:left="1020" w:right="460" w:hanging="503"/>
        <w:spacing w:after="0" w:line="235" w:lineRule="auto"/>
        <w:tabs>
          <w:tab w:leader="none" w:pos="1020" w:val="left"/>
        </w:tabs>
        <w:numPr>
          <w:ilvl w:val="1"/>
          <w:numId w:val="183"/>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760" w:type="dxa"/>
            <w:vAlign w:val="bottom"/>
          </w:tcPr>
          <w:p>
            <w:pPr>
              <w:ind w:left="20"/>
              <w:spacing w:after="0"/>
              <w:rPr>
                <w:sz w:val="20"/>
                <w:szCs w:val="20"/>
                <w:color w:val="auto"/>
              </w:rPr>
            </w:pPr>
            <w:r>
              <w:rPr>
                <w:rFonts w:ascii="Calibri" w:cs="Calibri" w:eastAsia="Calibri" w:hAnsi="Calibri"/>
                <w:sz w:val="18"/>
                <w:szCs w:val="18"/>
                <w:color w:val="auto"/>
              </w:rPr>
              <w:t>Dated: February 19, 2025</w:t>
            </w:r>
          </w:p>
        </w:tc>
        <w:tc>
          <w:tcPr>
            <w:tcW w:w="4480" w:type="dxa"/>
            <w:vAlign w:val="bottom"/>
          </w:tcPr>
          <w:p>
            <w:pPr>
              <w:ind w:left="20"/>
              <w:spacing w:after="0"/>
              <w:rPr>
                <w:sz w:val="20"/>
                <w:szCs w:val="20"/>
                <w:color w:val="auto"/>
              </w:rPr>
            </w:pPr>
            <w:r>
              <w:rPr>
                <w:rFonts w:ascii="Calibri" w:cs="Calibri" w:eastAsia="Calibri" w:hAnsi="Calibri"/>
                <w:sz w:val="18"/>
                <w:szCs w:val="18"/>
                <w:color w:val="auto"/>
              </w:rPr>
              <w:t>/s/ Emil D. Kakkis</w:t>
            </w:r>
          </w:p>
        </w:tc>
      </w:tr>
      <w:tr>
        <w:trPr>
          <w:trHeight w:val="23"/>
        </w:trPr>
        <w:tc>
          <w:tcPr>
            <w:tcW w:w="676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187"/>
        </w:trPr>
        <w:tc>
          <w:tcPr>
            <w:tcW w:w="6760" w:type="dxa"/>
            <w:vAlign w:val="bottom"/>
          </w:tcPr>
          <w:p>
            <w:pPr>
              <w:spacing w:after="0"/>
              <w:rPr>
                <w:sz w:val="16"/>
                <w:szCs w:val="16"/>
                <w:color w:val="auto"/>
              </w:rPr>
            </w:pPr>
          </w:p>
        </w:tc>
        <w:tc>
          <w:tcPr>
            <w:tcW w:w="4480" w:type="dxa"/>
            <w:vAlign w:val="bottom"/>
          </w:tcPr>
          <w:p>
            <w:pPr>
              <w:ind w:left="20"/>
              <w:spacing w:after="0" w:line="187" w:lineRule="exact"/>
              <w:rPr>
                <w:sz w:val="20"/>
                <w:szCs w:val="20"/>
                <w:color w:val="auto"/>
              </w:rPr>
            </w:pPr>
            <w:r>
              <w:rPr>
                <w:rFonts w:ascii="Calibri" w:cs="Calibri" w:eastAsia="Calibri" w:hAnsi="Calibri"/>
                <w:sz w:val="18"/>
                <w:szCs w:val="18"/>
                <w:color w:val="auto"/>
              </w:rPr>
              <w:t>Emil D. Kakkis, M.D., Ph.D.</w:t>
            </w:r>
          </w:p>
        </w:tc>
      </w:tr>
      <w:tr>
        <w:trPr>
          <w:trHeight w:val="215"/>
        </w:trPr>
        <w:tc>
          <w:tcPr>
            <w:tcW w:w="6760" w:type="dxa"/>
            <w:vAlign w:val="bottom"/>
          </w:tcPr>
          <w:p>
            <w:pPr>
              <w:spacing w:after="0"/>
              <w:rPr>
                <w:sz w:val="18"/>
                <w:szCs w:val="18"/>
                <w:color w:val="auto"/>
              </w:rPr>
            </w:pPr>
          </w:p>
        </w:tc>
        <w:tc>
          <w:tcPr>
            <w:tcW w:w="4480" w:type="dxa"/>
            <w:vAlign w:val="bottom"/>
          </w:tcPr>
          <w:p>
            <w:pPr>
              <w:ind w:left="20"/>
              <w:spacing w:after="0" w:line="215" w:lineRule="exact"/>
              <w:rPr>
                <w:sz w:val="20"/>
                <w:szCs w:val="20"/>
                <w:color w:val="auto"/>
              </w:rPr>
            </w:pPr>
            <w:r>
              <w:rPr>
                <w:rFonts w:ascii="Calibri" w:cs="Calibri" w:eastAsia="Calibri" w:hAnsi="Calibri"/>
                <w:sz w:val="18"/>
                <w:szCs w:val="18"/>
                <w:color w:val="auto"/>
              </w:rPr>
              <w:t>President and Chief Executve Ofcer</w:t>
            </w:r>
          </w:p>
        </w:tc>
      </w:tr>
      <w:tr>
        <w:trPr>
          <w:trHeight w:val="216"/>
        </w:trPr>
        <w:tc>
          <w:tcPr>
            <w:tcW w:w="6760" w:type="dxa"/>
            <w:vAlign w:val="bottom"/>
          </w:tcPr>
          <w:p>
            <w:pPr>
              <w:spacing w:after="0"/>
              <w:rPr>
                <w:sz w:val="18"/>
                <w:szCs w:val="18"/>
                <w:color w:val="auto"/>
              </w:rPr>
            </w:pPr>
          </w:p>
        </w:tc>
        <w:tc>
          <w:tcPr>
            <w:tcW w:w="4480" w:type="dxa"/>
            <w:vAlign w:val="bottom"/>
          </w:tcPr>
          <w:p>
            <w:pPr>
              <w:ind w:left="20"/>
              <w:spacing w:after="0" w:line="216" w:lineRule="exact"/>
              <w:rPr>
                <w:sz w:val="20"/>
                <w:szCs w:val="20"/>
                <w:color w:val="auto"/>
              </w:rPr>
            </w:pPr>
            <w:r>
              <w:rPr>
                <w:rFonts w:ascii="Calibri" w:cs="Calibri" w:eastAsia="Calibri" w:hAnsi="Calibri"/>
                <w:sz w:val="18"/>
                <w:szCs w:val="18"/>
                <w:color w:val="auto"/>
              </w:rPr>
              <w:t>(Principal Executve Ofcer)</w:t>
            </w:r>
          </w:p>
        </w:tc>
      </w:tr>
      <w:tr>
        <w:trPr>
          <w:trHeight w:val="1218"/>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7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7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0"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auto"/>
        </w:rPr>
        <w:t>CERTIFICATION PURSUANT TO SECTION 302 OF THE SARBANES-OXLEY ACT OF 2002</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I, Howard Horn, certfy that:</w:t>
      </w:r>
    </w:p>
    <w:p>
      <w:pPr>
        <w:spacing w:after="0" w:line="118" w:lineRule="exact"/>
        <w:rPr>
          <w:sz w:val="20"/>
          <w:szCs w:val="20"/>
          <w:color w:val="auto"/>
        </w:rPr>
      </w:pPr>
    </w:p>
    <w:p>
      <w:pPr>
        <w:ind w:left="520" w:hanging="512"/>
        <w:spacing w:after="0"/>
        <w:tabs>
          <w:tab w:leader="none" w:pos="520" w:val="left"/>
        </w:tabs>
        <w:numPr>
          <w:ilvl w:val="0"/>
          <w:numId w:val="184"/>
        </w:numPr>
        <w:rPr>
          <w:rFonts w:ascii="Times New Roman" w:cs="Times New Roman" w:eastAsia="Times New Roman" w:hAnsi="Times New Roman"/>
          <w:sz w:val="18"/>
          <w:szCs w:val="18"/>
          <w:color w:val="auto"/>
        </w:rPr>
      </w:pPr>
      <w:r>
        <w:rPr>
          <w:rFonts w:ascii="Calibri" w:cs="Calibri" w:eastAsia="Calibri" w:hAnsi="Calibri"/>
          <w:sz w:val="18"/>
          <w:szCs w:val="18"/>
          <w:color w:val="auto"/>
        </w:rPr>
        <w:t>I have reviewed this Annual Report on Form 10-K of Ultragenyx Pharmaceutcal Inc.;</w:t>
      </w:r>
    </w:p>
    <w:p>
      <w:pPr>
        <w:spacing w:after="0" w:line="122" w:lineRule="exact"/>
        <w:rPr>
          <w:rFonts w:ascii="Times New Roman" w:cs="Times New Roman" w:eastAsia="Times New Roman" w:hAnsi="Times New Roman"/>
          <w:sz w:val="18"/>
          <w:szCs w:val="18"/>
          <w:color w:val="auto"/>
        </w:rPr>
      </w:pPr>
    </w:p>
    <w:p>
      <w:pPr>
        <w:jc w:val="both"/>
        <w:ind w:left="520" w:right="200" w:hanging="512"/>
        <w:spacing w:after="0" w:line="235" w:lineRule="auto"/>
        <w:tabs>
          <w:tab w:leader="none" w:pos="520" w:val="left"/>
        </w:tabs>
        <w:numPr>
          <w:ilvl w:val="0"/>
          <w:numId w:val="184"/>
        </w:numPr>
        <w:rPr>
          <w:rFonts w:ascii="Times New Roman" w:cs="Times New Roman" w:eastAsia="Times New Roman" w:hAnsi="Times New Roman"/>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8"/>
          <w:szCs w:val="18"/>
          <w:color w:val="auto"/>
        </w:rPr>
      </w:pPr>
    </w:p>
    <w:p>
      <w:pPr>
        <w:ind w:left="520" w:right="300" w:hanging="512"/>
        <w:spacing w:after="0" w:line="235" w:lineRule="auto"/>
        <w:tabs>
          <w:tab w:leader="none" w:pos="520" w:val="left"/>
        </w:tabs>
        <w:numPr>
          <w:ilvl w:val="0"/>
          <w:numId w:val="184"/>
        </w:numPr>
        <w:rPr>
          <w:rFonts w:ascii="Times New Roman" w:cs="Times New Roman" w:eastAsia="Times New Roman" w:hAnsi="Times New Roman"/>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123" w:lineRule="exact"/>
        <w:rPr>
          <w:rFonts w:ascii="Times New Roman" w:cs="Times New Roman" w:eastAsia="Times New Roman" w:hAnsi="Times New Roman"/>
          <w:sz w:val="18"/>
          <w:szCs w:val="18"/>
          <w:color w:val="auto"/>
        </w:rPr>
      </w:pPr>
    </w:p>
    <w:p>
      <w:pPr>
        <w:ind w:left="520" w:right="140" w:hanging="512"/>
        <w:spacing w:after="0" w:line="235" w:lineRule="auto"/>
        <w:tabs>
          <w:tab w:leader="none" w:pos="520" w:val="left"/>
        </w:tabs>
        <w:numPr>
          <w:ilvl w:val="0"/>
          <w:numId w:val="184"/>
        </w:numPr>
        <w:rPr>
          <w:rFonts w:ascii="Times New Roman" w:cs="Times New Roman" w:eastAsia="Times New Roman" w:hAnsi="Times New Roman"/>
          <w:sz w:val="18"/>
          <w:szCs w:val="18"/>
          <w:color w:val="auto"/>
        </w:rPr>
      </w:pPr>
      <w:r>
        <w:rPr>
          <w:rFonts w:ascii="Calibri" w:cs="Calibri" w:eastAsia="Calibri" w:hAnsi="Calibri"/>
          <w:sz w:val="18"/>
          <w:szCs w:val="18"/>
          <w:color w:val="auto"/>
        </w:rPr>
        <w:t>I am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123" w:lineRule="exact"/>
        <w:rPr>
          <w:rFonts w:ascii="Times New Roman" w:cs="Times New Roman" w:eastAsia="Times New Roman" w:hAnsi="Times New Roman"/>
          <w:sz w:val="18"/>
          <w:szCs w:val="18"/>
          <w:color w:val="auto"/>
        </w:rPr>
      </w:pPr>
    </w:p>
    <w:p>
      <w:pPr>
        <w:ind w:left="1020" w:right="40" w:hanging="503"/>
        <w:spacing w:after="0" w:line="235" w:lineRule="auto"/>
        <w:tabs>
          <w:tab w:leader="none" w:pos="1020" w:val="left"/>
        </w:tabs>
        <w:numPr>
          <w:ilvl w:val="1"/>
          <w:numId w:val="184"/>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ind w:left="1020" w:right="380" w:hanging="503"/>
        <w:spacing w:after="0" w:line="235" w:lineRule="auto"/>
        <w:tabs>
          <w:tab w:leader="none" w:pos="1020" w:val="left"/>
        </w:tabs>
        <w:numPr>
          <w:ilvl w:val="1"/>
          <w:numId w:val="184"/>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24" w:lineRule="exact"/>
        <w:rPr>
          <w:rFonts w:ascii="Times New Roman" w:cs="Times New Roman" w:eastAsia="Times New Roman" w:hAnsi="Times New Roman"/>
          <w:sz w:val="18"/>
          <w:szCs w:val="18"/>
          <w:color w:val="auto"/>
        </w:rPr>
      </w:pPr>
    </w:p>
    <w:p>
      <w:pPr>
        <w:jc w:val="both"/>
        <w:ind w:left="1020" w:right="480" w:hanging="503"/>
        <w:spacing w:after="0" w:line="258" w:lineRule="auto"/>
        <w:tabs>
          <w:tab w:leader="none" w:pos="1020" w:val="left"/>
        </w:tabs>
        <w:numPr>
          <w:ilvl w:val="1"/>
          <w:numId w:val="184"/>
        </w:numPr>
        <w:rPr>
          <w:rFonts w:ascii="Times New Roman" w:cs="Times New Roman" w:eastAsia="Times New Roman" w:hAnsi="Times New Roman"/>
          <w:sz w:val="17"/>
          <w:szCs w:val="17"/>
          <w:color w:val="auto"/>
        </w:rPr>
      </w:pPr>
      <w:r>
        <w:rPr>
          <w:rFonts w:ascii="Calibri" w:cs="Calibri" w:eastAsia="Calibri" w:hAnsi="Calibri"/>
          <w:sz w:val="17"/>
          <w:szCs w:val="17"/>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107" w:lineRule="exact"/>
        <w:rPr>
          <w:rFonts w:ascii="Times New Roman" w:cs="Times New Roman" w:eastAsia="Times New Roman" w:hAnsi="Times New Roman"/>
          <w:sz w:val="17"/>
          <w:szCs w:val="17"/>
          <w:color w:val="auto"/>
        </w:rPr>
      </w:pPr>
    </w:p>
    <w:p>
      <w:pPr>
        <w:ind w:left="1020" w:right="40" w:hanging="503"/>
        <w:spacing w:after="0" w:line="235" w:lineRule="auto"/>
        <w:tabs>
          <w:tab w:leader="none" w:pos="1020" w:val="left"/>
        </w:tabs>
        <w:numPr>
          <w:ilvl w:val="1"/>
          <w:numId w:val="184"/>
        </w:numPr>
        <w:rPr>
          <w:rFonts w:ascii="Times New Roman" w:cs="Times New Roman" w:eastAsia="Times New Roman" w:hAnsi="Times New Roman"/>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124" w:lineRule="exact"/>
        <w:rPr>
          <w:rFonts w:ascii="Times New Roman" w:cs="Times New Roman" w:eastAsia="Times New Roman" w:hAnsi="Times New Roman"/>
          <w:sz w:val="18"/>
          <w:szCs w:val="18"/>
          <w:color w:val="auto"/>
        </w:rPr>
      </w:pPr>
    </w:p>
    <w:p>
      <w:pPr>
        <w:ind w:left="520" w:right="60" w:hanging="512"/>
        <w:spacing w:after="0" w:line="235" w:lineRule="auto"/>
        <w:tabs>
          <w:tab w:leader="none" w:pos="520" w:val="left"/>
        </w:tabs>
        <w:numPr>
          <w:ilvl w:val="0"/>
          <w:numId w:val="184"/>
        </w:numPr>
        <w:rPr>
          <w:rFonts w:ascii="Times New Roman" w:cs="Times New Roman" w:eastAsia="Times New Roman" w:hAnsi="Times New Roman"/>
          <w:sz w:val="18"/>
          <w:szCs w:val="18"/>
          <w:color w:val="auto"/>
        </w:rPr>
      </w:pPr>
      <w:r>
        <w:rPr>
          <w:rFonts w:ascii="Calibri" w:cs="Calibri" w:eastAsia="Calibri" w:hAnsi="Calibri"/>
          <w:sz w:val="18"/>
          <w:szCs w:val="18"/>
          <w:color w:val="auto"/>
        </w:rPr>
        <w:t>I have disclosed, based on our most recent evaluaton of internal control over fnancial reportng, to the registrant’s auditors and the audit commitee of the registrant’s board of directors (or persons performing the equivalent functons):</w:t>
      </w:r>
    </w:p>
    <w:p>
      <w:pPr>
        <w:spacing w:after="0" w:line="123" w:lineRule="exact"/>
        <w:rPr>
          <w:rFonts w:ascii="Times New Roman" w:cs="Times New Roman" w:eastAsia="Times New Roman" w:hAnsi="Times New Roman"/>
          <w:sz w:val="18"/>
          <w:szCs w:val="18"/>
          <w:color w:val="auto"/>
        </w:rPr>
      </w:pPr>
    </w:p>
    <w:p>
      <w:pPr>
        <w:ind w:left="1020" w:right="60" w:hanging="503"/>
        <w:spacing w:after="0" w:line="235" w:lineRule="auto"/>
        <w:tabs>
          <w:tab w:leader="none" w:pos="1020" w:val="left"/>
        </w:tabs>
        <w:numPr>
          <w:ilvl w:val="1"/>
          <w:numId w:val="184"/>
        </w:numPr>
        <w:rPr>
          <w:rFonts w:ascii="Times New Roman" w:cs="Times New Roman" w:eastAsia="Times New Roman" w:hAnsi="Times New Roman"/>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123" w:lineRule="exact"/>
        <w:rPr>
          <w:rFonts w:ascii="Times New Roman" w:cs="Times New Roman" w:eastAsia="Times New Roman" w:hAnsi="Times New Roman"/>
          <w:sz w:val="18"/>
          <w:szCs w:val="18"/>
          <w:color w:val="auto"/>
        </w:rPr>
      </w:pPr>
    </w:p>
    <w:p>
      <w:pPr>
        <w:ind w:left="1020" w:right="460" w:hanging="503"/>
        <w:spacing w:after="0" w:line="235" w:lineRule="auto"/>
        <w:tabs>
          <w:tab w:leader="none" w:pos="1020" w:val="left"/>
        </w:tabs>
        <w:numPr>
          <w:ilvl w:val="1"/>
          <w:numId w:val="184"/>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760" w:type="dxa"/>
            <w:vAlign w:val="bottom"/>
          </w:tcPr>
          <w:p>
            <w:pPr>
              <w:ind w:left="20"/>
              <w:spacing w:after="0"/>
              <w:rPr>
                <w:sz w:val="20"/>
                <w:szCs w:val="20"/>
                <w:color w:val="auto"/>
              </w:rPr>
            </w:pPr>
            <w:r>
              <w:rPr>
                <w:rFonts w:ascii="Calibri" w:cs="Calibri" w:eastAsia="Calibri" w:hAnsi="Calibri"/>
                <w:sz w:val="18"/>
                <w:szCs w:val="18"/>
                <w:color w:val="auto"/>
              </w:rPr>
              <w:t>Dated: February 19, 2025</w:t>
            </w:r>
          </w:p>
        </w:tc>
        <w:tc>
          <w:tcPr>
            <w:tcW w:w="4480" w:type="dxa"/>
            <w:vAlign w:val="bottom"/>
          </w:tcPr>
          <w:p>
            <w:pPr>
              <w:ind w:left="20"/>
              <w:spacing w:after="0"/>
              <w:rPr>
                <w:sz w:val="20"/>
                <w:szCs w:val="20"/>
                <w:color w:val="auto"/>
              </w:rPr>
            </w:pPr>
            <w:r>
              <w:rPr>
                <w:rFonts w:ascii="Calibri" w:cs="Calibri" w:eastAsia="Calibri" w:hAnsi="Calibri"/>
                <w:sz w:val="18"/>
                <w:szCs w:val="18"/>
                <w:color w:val="auto"/>
              </w:rPr>
              <w:t>/s/ Howard Horn</w:t>
            </w:r>
          </w:p>
        </w:tc>
      </w:tr>
      <w:tr>
        <w:trPr>
          <w:trHeight w:val="23"/>
        </w:trPr>
        <w:tc>
          <w:tcPr>
            <w:tcW w:w="676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187"/>
        </w:trPr>
        <w:tc>
          <w:tcPr>
            <w:tcW w:w="6760" w:type="dxa"/>
            <w:vAlign w:val="bottom"/>
          </w:tcPr>
          <w:p>
            <w:pPr>
              <w:spacing w:after="0"/>
              <w:rPr>
                <w:sz w:val="16"/>
                <w:szCs w:val="16"/>
                <w:color w:val="auto"/>
              </w:rPr>
            </w:pPr>
          </w:p>
        </w:tc>
        <w:tc>
          <w:tcPr>
            <w:tcW w:w="4480" w:type="dxa"/>
            <w:vAlign w:val="bottom"/>
          </w:tcPr>
          <w:p>
            <w:pPr>
              <w:ind w:left="20"/>
              <w:spacing w:after="0" w:line="187" w:lineRule="exact"/>
              <w:rPr>
                <w:sz w:val="20"/>
                <w:szCs w:val="20"/>
                <w:color w:val="auto"/>
              </w:rPr>
            </w:pPr>
            <w:r>
              <w:rPr>
                <w:rFonts w:ascii="Calibri" w:cs="Calibri" w:eastAsia="Calibri" w:hAnsi="Calibri"/>
                <w:sz w:val="18"/>
                <w:szCs w:val="18"/>
                <w:color w:val="auto"/>
              </w:rPr>
              <w:t>Howard Horn</w:t>
            </w:r>
          </w:p>
        </w:tc>
      </w:tr>
      <w:tr>
        <w:trPr>
          <w:trHeight w:val="215"/>
        </w:trPr>
        <w:tc>
          <w:tcPr>
            <w:tcW w:w="6760" w:type="dxa"/>
            <w:vAlign w:val="bottom"/>
          </w:tcPr>
          <w:p>
            <w:pPr>
              <w:spacing w:after="0"/>
              <w:rPr>
                <w:sz w:val="18"/>
                <w:szCs w:val="18"/>
                <w:color w:val="auto"/>
              </w:rPr>
            </w:pPr>
          </w:p>
        </w:tc>
        <w:tc>
          <w:tcPr>
            <w:tcW w:w="4480" w:type="dxa"/>
            <w:vAlign w:val="bottom"/>
          </w:tcPr>
          <w:p>
            <w:pPr>
              <w:ind w:left="20"/>
              <w:spacing w:after="0" w:line="215" w:lineRule="exact"/>
              <w:rPr>
                <w:sz w:val="20"/>
                <w:szCs w:val="20"/>
                <w:color w:val="auto"/>
              </w:rPr>
            </w:pPr>
            <w:r>
              <w:rPr>
                <w:rFonts w:ascii="Calibri" w:cs="Calibri" w:eastAsia="Calibri" w:hAnsi="Calibri"/>
                <w:sz w:val="18"/>
                <w:szCs w:val="18"/>
                <w:color w:val="auto"/>
              </w:rPr>
              <w:t>Executve Vice President, Chief Financial Ofcer, Corporate</w:t>
            </w:r>
          </w:p>
        </w:tc>
      </w:tr>
      <w:tr>
        <w:trPr>
          <w:trHeight w:val="216"/>
        </w:trPr>
        <w:tc>
          <w:tcPr>
            <w:tcW w:w="6760" w:type="dxa"/>
            <w:vAlign w:val="bottom"/>
          </w:tcPr>
          <w:p>
            <w:pPr>
              <w:spacing w:after="0"/>
              <w:rPr>
                <w:sz w:val="18"/>
                <w:szCs w:val="18"/>
                <w:color w:val="auto"/>
              </w:rPr>
            </w:pPr>
          </w:p>
        </w:tc>
        <w:tc>
          <w:tcPr>
            <w:tcW w:w="4480" w:type="dxa"/>
            <w:vAlign w:val="bottom"/>
          </w:tcPr>
          <w:p>
            <w:pPr>
              <w:ind w:left="20"/>
              <w:spacing w:after="0" w:line="216" w:lineRule="exact"/>
              <w:rPr>
                <w:sz w:val="20"/>
                <w:szCs w:val="20"/>
                <w:color w:val="auto"/>
              </w:rPr>
            </w:pPr>
            <w:r>
              <w:rPr>
                <w:rFonts w:ascii="Calibri" w:cs="Calibri" w:eastAsia="Calibri" w:hAnsi="Calibri"/>
                <w:sz w:val="18"/>
                <w:szCs w:val="18"/>
                <w:color w:val="auto"/>
              </w:rPr>
              <w:t>Strategy (Principal Financial Ofcer)</w:t>
            </w:r>
          </w:p>
        </w:tc>
      </w:tr>
      <w:tr>
        <w:trPr>
          <w:trHeight w:val="1218"/>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7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7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auto"/>
        </w:rPr>
        <w:t>CERTIFICATION PURSUANT TO SECTION 906 OF</w:t>
      </w:r>
    </w:p>
    <w:p>
      <w:pPr>
        <w:jc w:val="center"/>
        <w:ind w:right="40"/>
        <w:spacing w:after="0" w:line="235" w:lineRule="auto"/>
        <w:rPr>
          <w:sz w:val="20"/>
          <w:szCs w:val="20"/>
          <w:color w:val="auto"/>
        </w:rPr>
      </w:pPr>
      <w:r>
        <w:rPr>
          <w:rFonts w:ascii="Calibri" w:cs="Calibri" w:eastAsia="Calibri" w:hAnsi="Calibri"/>
          <w:sz w:val="18"/>
          <w:szCs w:val="18"/>
          <w:b w:val="1"/>
          <w:bCs w:val="1"/>
          <w:color w:val="auto"/>
        </w:rPr>
        <w:t>THE SARBANES-OXLEY ACT OF 2002 (18 U.S.C. SECTION 1350)</w:t>
      </w:r>
    </w:p>
    <w:p>
      <w:pPr>
        <w:spacing w:after="0" w:line="218" w:lineRule="exact"/>
        <w:rPr>
          <w:sz w:val="20"/>
          <w:szCs w:val="20"/>
          <w:color w:val="auto"/>
        </w:rPr>
      </w:pPr>
    </w:p>
    <w:p>
      <w:pPr>
        <w:ind w:right="80" w:firstLine="578"/>
        <w:spacing w:after="0" w:line="235" w:lineRule="auto"/>
        <w:rPr>
          <w:sz w:val="20"/>
          <w:szCs w:val="20"/>
          <w:color w:val="auto"/>
        </w:rPr>
      </w:pPr>
      <w:r>
        <w:rPr>
          <w:rFonts w:ascii="Calibri" w:cs="Calibri" w:eastAsia="Calibri" w:hAnsi="Calibri"/>
          <w:sz w:val="18"/>
          <w:szCs w:val="18"/>
          <w:color w:val="auto"/>
        </w:rPr>
        <w:t>In connecton with the accompanying Annual Report of Ultragenyx Pharmaceutcal Inc. (the “Company”) on Form 10-K for the year ended December 31, 2024 (the “Report”), I, Emil D. Kakkis, M.D., Ph.D., as President and Chief Executve Ofcer of the Company, and Howard Horn, as Executve Vice President, Chief Financial Ofcer, Corporate Strategy of the Company, certfy, pursuant to 18 U.S.C. Secton 1350, as adopted pursuant to Secton 906 of the Sarbanes-Oxley Act of 2002, that:</w:t>
      </w:r>
    </w:p>
    <w:p>
      <w:pPr>
        <w:spacing w:after="0" w:line="107" w:lineRule="exact"/>
        <w:rPr>
          <w:sz w:val="20"/>
          <w:szCs w:val="20"/>
          <w:color w:val="auto"/>
        </w:rPr>
      </w:pPr>
    </w:p>
    <w:p>
      <w:pPr>
        <w:ind w:left="240" w:hanging="232"/>
        <w:spacing w:after="0"/>
        <w:tabs>
          <w:tab w:leader="none" w:pos="240" w:val="left"/>
        </w:tabs>
        <w:numPr>
          <w:ilvl w:val="0"/>
          <w:numId w:val="185"/>
        </w:numPr>
        <w:rPr>
          <w:rFonts w:ascii="Calibri" w:cs="Calibri" w:eastAsia="Calibri" w:hAnsi="Calibri"/>
          <w:sz w:val="18"/>
          <w:szCs w:val="18"/>
          <w:color w:val="auto"/>
        </w:rPr>
      </w:pPr>
      <w:r>
        <w:rPr>
          <w:rFonts w:ascii="Calibri" w:cs="Calibri" w:eastAsia="Calibri" w:hAnsi="Calibri"/>
          <w:sz w:val="18"/>
          <w:szCs w:val="18"/>
          <w:color w:val="auto"/>
        </w:rPr>
        <w:t>The Report fully complies with the requirements of Secton 13(a) or 15(d) of the Securites Exchange Act of 1934; and</w:t>
      </w:r>
    </w:p>
    <w:p>
      <w:pPr>
        <w:spacing w:after="0" w:line="104" w:lineRule="exact"/>
        <w:rPr>
          <w:rFonts w:ascii="Calibri" w:cs="Calibri" w:eastAsia="Calibri" w:hAnsi="Calibri"/>
          <w:sz w:val="18"/>
          <w:szCs w:val="18"/>
          <w:color w:val="auto"/>
        </w:rPr>
      </w:pPr>
    </w:p>
    <w:p>
      <w:pPr>
        <w:ind w:left="240" w:hanging="232"/>
        <w:spacing w:after="0"/>
        <w:tabs>
          <w:tab w:leader="none" w:pos="240" w:val="left"/>
        </w:tabs>
        <w:numPr>
          <w:ilvl w:val="0"/>
          <w:numId w:val="185"/>
        </w:numPr>
        <w:rPr>
          <w:rFonts w:ascii="Calibri" w:cs="Calibri" w:eastAsia="Calibri" w:hAnsi="Calibri"/>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results of operatons of the Company.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980" w:type="dxa"/>
            <w:vAlign w:val="bottom"/>
          </w:tcPr>
          <w:p>
            <w:pPr>
              <w:ind w:left="20"/>
              <w:spacing w:after="0"/>
              <w:rPr>
                <w:sz w:val="20"/>
                <w:szCs w:val="20"/>
                <w:color w:val="auto"/>
              </w:rPr>
            </w:pPr>
            <w:r>
              <w:rPr>
                <w:rFonts w:ascii="Calibri" w:cs="Calibri" w:eastAsia="Calibri" w:hAnsi="Calibri"/>
                <w:sz w:val="18"/>
                <w:szCs w:val="18"/>
                <w:color w:val="auto"/>
              </w:rPr>
              <w:t>Dated: February 19, 2025</w:t>
            </w:r>
          </w:p>
        </w:tc>
        <w:tc>
          <w:tcPr>
            <w:tcW w:w="4260" w:type="dxa"/>
            <w:vAlign w:val="bottom"/>
          </w:tcPr>
          <w:p>
            <w:pPr>
              <w:spacing w:after="0"/>
              <w:rPr>
                <w:sz w:val="20"/>
                <w:szCs w:val="20"/>
                <w:color w:val="auto"/>
              </w:rPr>
            </w:pPr>
            <w:r>
              <w:rPr>
                <w:rFonts w:ascii="Calibri" w:cs="Calibri" w:eastAsia="Calibri" w:hAnsi="Calibri"/>
                <w:sz w:val="18"/>
                <w:szCs w:val="18"/>
                <w:color w:val="auto"/>
              </w:rPr>
              <w:t>/s/ Emil D. Kakkis</w:t>
            </w:r>
          </w:p>
        </w:tc>
      </w:tr>
      <w:tr>
        <w:trPr>
          <w:trHeight w:val="23"/>
        </w:trPr>
        <w:tc>
          <w:tcPr>
            <w:tcW w:w="6980" w:type="dxa"/>
            <w:vAlign w:val="bottom"/>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r>
      <w:tr>
        <w:trPr>
          <w:trHeight w:val="187"/>
        </w:trPr>
        <w:tc>
          <w:tcPr>
            <w:tcW w:w="6980" w:type="dxa"/>
            <w:vAlign w:val="bottom"/>
          </w:tcPr>
          <w:p>
            <w:pPr>
              <w:spacing w:after="0"/>
              <w:rPr>
                <w:sz w:val="16"/>
                <w:szCs w:val="16"/>
                <w:color w:val="auto"/>
              </w:rPr>
            </w:pPr>
          </w:p>
        </w:tc>
        <w:tc>
          <w:tcPr>
            <w:tcW w:w="4260" w:type="dxa"/>
            <w:vAlign w:val="bottom"/>
          </w:tcPr>
          <w:p>
            <w:pPr>
              <w:spacing w:after="0" w:line="187" w:lineRule="exact"/>
              <w:rPr>
                <w:sz w:val="20"/>
                <w:szCs w:val="20"/>
                <w:color w:val="auto"/>
              </w:rPr>
            </w:pPr>
            <w:r>
              <w:rPr>
                <w:rFonts w:ascii="Calibri" w:cs="Calibri" w:eastAsia="Calibri" w:hAnsi="Calibri"/>
                <w:sz w:val="18"/>
                <w:szCs w:val="18"/>
                <w:color w:val="auto"/>
              </w:rPr>
              <w:t>Emil D. Kakkis, M.D., Ph.D.</w:t>
            </w:r>
          </w:p>
        </w:tc>
      </w:tr>
      <w:tr>
        <w:trPr>
          <w:trHeight w:val="215"/>
        </w:trPr>
        <w:tc>
          <w:tcPr>
            <w:tcW w:w="6980" w:type="dxa"/>
            <w:vAlign w:val="bottom"/>
          </w:tcPr>
          <w:p>
            <w:pPr>
              <w:spacing w:after="0"/>
              <w:rPr>
                <w:sz w:val="18"/>
                <w:szCs w:val="18"/>
                <w:color w:val="auto"/>
              </w:rPr>
            </w:pPr>
          </w:p>
        </w:tc>
        <w:tc>
          <w:tcPr>
            <w:tcW w:w="4260" w:type="dxa"/>
            <w:vAlign w:val="bottom"/>
          </w:tcPr>
          <w:p>
            <w:pPr>
              <w:spacing w:after="0" w:line="215" w:lineRule="exact"/>
              <w:rPr>
                <w:sz w:val="20"/>
                <w:szCs w:val="20"/>
                <w:color w:val="auto"/>
              </w:rPr>
            </w:pPr>
            <w:r>
              <w:rPr>
                <w:rFonts w:ascii="Calibri" w:cs="Calibri" w:eastAsia="Calibri" w:hAnsi="Calibri"/>
                <w:sz w:val="18"/>
                <w:szCs w:val="18"/>
                <w:color w:val="auto"/>
              </w:rPr>
              <w:t>President and Chief Executve Ofcer</w:t>
            </w:r>
          </w:p>
        </w:tc>
      </w:tr>
      <w:tr>
        <w:trPr>
          <w:trHeight w:val="216"/>
        </w:trPr>
        <w:tc>
          <w:tcPr>
            <w:tcW w:w="6980" w:type="dxa"/>
            <w:vAlign w:val="bottom"/>
          </w:tcPr>
          <w:p>
            <w:pPr>
              <w:spacing w:after="0"/>
              <w:rPr>
                <w:sz w:val="18"/>
                <w:szCs w:val="18"/>
                <w:color w:val="auto"/>
              </w:rPr>
            </w:pPr>
          </w:p>
        </w:tc>
        <w:tc>
          <w:tcPr>
            <w:tcW w:w="4260" w:type="dxa"/>
            <w:vAlign w:val="bottom"/>
          </w:tcPr>
          <w:p>
            <w:pPr>
              <w:spacing w:after="0" w:line="216" w:lineRule="exact"/>
              <w:rPr>
                <w:sz w:val="20"/>
                <w:szCs w:val="20"/>
                <w:color w:val="auto"/>
              </w:rPr>
            </w:pPr>
            <w:r>
              <w:rPr>
                <w:rFonts w:ascii="Calibri" w:cs="Calibri" w:eastAsia="Calibri" w:hAnsi="Calibri"/>
                <w:sz w:val="18"/>
                <w:szCs w:val="18"/>
                <w:color w:val="auto"/>
              </w:rPr>
              <w:t>(Principal Executve Ofcer)</w:t>
            </w:r>
          </w:p>
        </w:tc>
      </w:tr>
      <w:tr>
        <w:trPr>
          <w:trHeight w:val="648"/>
        </w:trPr>
        <w:tc>
          <w:tcPr>
            <w:tcW w:w="6980" w:type="dxa"/>
            <w:vAlign w:val="bottom"/>
          </w:tcPr>
          <w:p>
            <w:pPr>
              <w:ind w:left="20"/>
              <w:spacing w:after="0"/>
              <w:rPr>
                <w:sz w:val="20"/>
                <w:szCs w:val="20"/>
                <w:color w:val="auto"/>
              </w:rPr>
            </w:pPr>
            <w:r>
              <w:rPr>
                <w:rFonts w:ascii="Calibri" w:cs="Calibri" w:eastAsia="Calibri" w:hAnsi="Calibri"/>
                <w:sz w:val="18"/>
                <w:szCs w:val="18"/>
                <w:color w:val="auto"/>
              </w:rPr>
              <w:t>Dated: February 19, 2025</w:t>
            </w:r>
          </w:p>
        </w:tc>
        <w:tc>
          <w:tcPr>
            <w:tcW w:w="4260" w:type="dxa"/>
            <w:vAlign w:val="bottom"/>
          </w:tcPr>
          <w:p>
            <w:pPr>
              <w:spacing w:after="0"/>
              <w:rPr>
                <w:sz w:val="20"/>
                <w:szCs w:val="20"/>
                <w:color w:val="auto"/>
              </w:rPr>
            </w:pPr>
            <w:r>
              <w:rPr>
                <w:rFonts w:ascii="Calibri" w:cs="Calibri" w:eastAsia="Calibri" w:hAnsi="Calibri"/>
                <w:sz w:val="18"/>
                <w:szCs w:val="18"/>
                <w:color w:val="auto"/>
              </w:rPr>
              <w:t>/s/ Howard Horn</w:t>
            </w:r>
          </w:p>
        </w:tc>
      </w:tr>
      <w:tr>
        <w:trPr>
          <w:trHeight w:val="23"/>
        </w:trPr>
        <w:tc>
          <w:tcPr>
            <w:tcW w:w="6980" w:type="dxa"/>
            <w:vAlign w:val="bottom"/>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r>
      <w:tr>
        <w:trPr>
          <w:trHeight w:val="187"/>
        </w:trPr>
        <w:tc>
          <w:tcPr>
            <w:tcW w:w="6980" w:type="dxa"/>
            <w:vAlign w:val="bottom"/>
          </w:tcPr>
          <w:p>
            <w:pPr>
              <w:spacing w:after="0"/>
              <w:rPr>
                <w:sz w:val="16"/>
                <w:szCs w:val="16"/>
                <w:color w:val="auto"/>
              </w:rPr>
            </w:pPr>
          </w:p>
        </w:tc>
        <w:tc>
          <w:tcPr>
            <w:tcW w:w="4260" w:type="dxa"/>
            <w:vAlign w:val="bottom"/>
          </w:tcPr>
          <w:p>
            <w:pPr>
              <w:spacing w:after="0" w:line="187" w:lineRule="exact"/>
              <w:rPr>
                <w:sz w:val="20"/>
                <w:szCs w:val="20"/>
                <w:color w:val="auto"/>
              </w:rPr>
            </w:pPr>
            <w:r>
              <w:rPr>
                <w:rFonts w:ascii="Calibri" w:cs="Calibri" w:eastAsia="Calibri" w:hAnsi="Calibri"/>
                <w:sz w:val="18"/>
                <w:szCs w:val="18"/>
                <w:color w:val="auto"/>
              </w:rPr>
              <w:t>Howard Horn</w:t>
            </w:r>
          </w:p>
        </w:tc>
      </w:tr>
      <w:tr>
        <w:trPr>
          <w:trHeight w:val="215"/>
        </w:trPr>
        <w:tc>
          <w:tcPr>
            <w:tcW w:w="6980" w:type="dxa"/>
            <w:vAlign w:val="bottom"/>
          </w:tcPr>
          <w:p>
            <w:pPr>
              <w:spacing w:after="0"/>
              <w:rPr>
                <w:sz w:val="18"/>
                <w:szCs w:val="18"/>
                <w:color w:val="auto"/>
              </w:rPr>
            </w:pPr>
          </w:p>
        </w:tc>
        <w:tc>
          <w:tcPr>
            <w:tcW w:w="4260" w:type="dxa"/>
            <w:vAlign w:val="bottom"/>
          </w:tcPr>
          <w:p>
            <w:pPr>
              <w:spacing w:after="0" w:line="215" w:lineRule="exact"/>
              <w:rPr>
                <w:sz w:val="20"/>
                <w:szCs w:val="20"/>
                <w:color w:val="auto"/>
              </w:rPr>
            </w:pPr>
            <w:r>
              <w:rPr>
                <w:rFonts w:ascii="Calibri" w:cs="Calibri" w:eastAsia="Calibri" w:hAnsi="Calibri"/>
                <w:sz w:val="18"/>
                <w:szCs w:val="18"/>
                <w:color w:val="auto"/>
              </w:rPr>
              <w:t>Executve Vice President, Chief Financial Ofcer, Corporate</w:t>
            </w:r>
          </w:p>
        </w:tc>
      </w:tr>
      <w:tr>
        <w:trPr>
          <w:trHeight w:val="216"/>
        </w:trPr>
        <w:tc>
          <w:tcPr>
            <w:tcW w:w="6980" w:type="dxa"/>
            <w:vAlign w:val="bottom"/>
          </w:tcPr>
          <w:p>
            <w:pPr>
              <w:spacing w:after="0"/>
              <w:rPr>
                <w:sz w:val="18"/>
                <w:szCs w:val="18"/>
                <w:color w:val="auto"/>
              </w:rPr>
            </w:pPr>
          </w:p>
        </w:tc>
        <w:tc>
          <w:tcPr>
            <w:tcW w:w="4260" w:type="dxa"/>
            <w:vAlign w:val="bottom"/>
          </w:tcPr>
          <w:p>
            <w:pPr>
              <w:spacing w:after="0" w:line="216" w:lineRule="exact"/>
              <w:rPr>
                <w:sz w:val="20"/>
                <w:szCs w:val="20"/>
                <w:color w:val="auto"/>
              </w:rPr>
            </w:pPr>
            <w:r>
              <w:rPr>
                <w:rFonts w:ascii="Calibri" w:cs="Calibri" w:eastAsia="Calibri" w:hAnsi="Calibri"/>
                <w:sz w:val="18"/>
                <w:szCs w:val="18"/>
                <w:color w:val="auto"/>
              </w:rPr>
              <w:t>Strategy (Principal Financial Ofcer)</w:t>
            </w:r>
          </w:p>
        </w:tc>
      </w:tr>
      <w:tr>
        <w:trPr>
          <w:trHeight w:val="1650"/>
        </w:trPr>
        <w:tc>
          <w:tcPr>
            <w:tcW w:w="698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7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7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9" w:name="page220"/>
    <w:bookmarkEnd w:id="21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CC1016F"/>
    <w:multiLevelType w:val="hybridMultilevel"/>
    <w:lvl w:ilvl="0">
      <w:lvlJc w:val="left"/>
      <w:lvlText w:val="☑"/>
      <w:numFmt w:val="bullet"/>
      <w:start w:val="1"/>
    </w:lvl>
  </w:abstractNum>
  <w:abstractNum w:abstractNumId="1">
    <w:nsid w:val="43F18422"/>
    <w:multiLevelType w:val="hybridMultilevel"/>
    <w:lvl w:ilvl="0">
      <w:lvlJc w:val="left"/>
      <w:lvlText w:val="☐"/>
      <w:numFmt w:val="bullet"/>
      <w:start w:val="1"/>
    </w:lvl>
  </w:abstractNum>
  <w:abstractNum w:abstractNumId="2">
    <w:nsid w:val="60EF0119"/>
    <w:multiLevelType w:val="hybridMultilevel"/>
    <w:lvl w:ilvl="0">
      <w:lvlJc w:val="left"/>
      <w:lvlText w:val="•"/>
      <w:numFmt w:val="bullet"/>
      <w:start w:val="1"/>
    </w:lvl>
  </w:abstractNum>
  <w:abstractNum w:abstractNumId="3">
    <w:nsid w:val="26F324BA"/>
    <w:multiLevelType w:val="hybridMultilevel"/>
    <w:lvl w:ilvl="0">
      <w:lvlJc w:val="left"/>
      <w:lvlText w:val="•"/>
      <w:numFmt w:val="bullet"/>
      <w:start w:val="1"/>
    </w:lvl>
  </w:abstractNum>
  <w:abstractNum w:abstractNumId="4">
    <w:nsid w:val="7F01579B"/>
    <w:multiLevelType w:val="hybridMultilevel"/>
    <w:lvl w:ilvl="0">
      <w:lvlJc w:val="left"/>
      <w:lvlText w:val="•"/>
      <w:numFmt w:val="bullet"/>
      <w:start w:val="1"/>
    </w:lvl>
  </w:abstractNum>
  <w:abstractNum w:abstractNumId="5">
    <w:nsid w:val="49DA307D"/>
    <w:multiLevelType w:val="hybridMultilevel"/>
    <w:lvl w:ilvl="0">
      <w:lvlJc w:val="left"/>
      <w:lvlText w:val="•"/>
      <w:numFmt w:val="bullet"/>
      <w:start w:val="1"/>
    </w:lvl>
  </w:abstractNum>
  <w:abstractNum w:abstractNumId="6">
    <w:nsid w:val="7055A5F5"/>
    <w:multiLevelType w:val="hybridMultilevel"/>
    <w:lvl w:ilvl="0">
      <w:lvlJc w:val="left"/>
      <w:lvlText w:val="•"/>
      <w:numFmt w:val="bullet"/>
      <w:start w:val="1"/>
    </w:lvl>
  </w:abstractNum>
  <w:abstractNum w:abstractNumId="7">
    <w:nsid w:val="5FB8370B"/>
    <w:multiLevelType w:val="hybridMultilevel"/>
    <w:lvl w:ilvl="0">
      <w:lvlJc w:val="left"/>
      <w:lvlText w:val="•"/>
      <w:numFmt w:val="bullet"/>
      <w:start w:val="1"/>
    </w:lvl>
  </w:abstractNum>
  <w:abstractNum w:abstractNumId="8">
    <w:nsid w:val="50801EE1"/>
    <w:multiLevelType w:val="hybridMultilevel"/>
    <w:lvl w:ilvl="0">
      <w:lvlJc w:val="left"/>
      <w:lvlText w:val="•"/>
      <w:numFmt w:val="bullet"/>
      <w:start w:val="1"/>
    </w:lvl>
  </w:abstractNum>
  <w:abstractNum w:abstractNumId="9">
    <w:nsid w:val="488AC1A"/>
    <w:multiLevelType w:val="hybridMultilevel"/>
    <w:lvl w:ilvl="0">
      <w:lvlJc w:val="left"/>
      <w:lvlText w:val="•"/>
      <w:numFmt w:val="bullet"/>
      <w:start w:val="1"/>
    </w:lvl>
  </w:abstractNum>
  <w:abstractNum w:abstractNumId="10">
    <w:nsid w:val="5FB8011C"/>
    <w:multiLevelType w:val="hybridMultilevel"/>
    <w:lvl w:ilvl="0">
      <w:lvlJc w:val="left"/>
      <w:lvlText w:val="•"/>
      <w:numFmt w:val="bullet"/>
      <w:start w:val="1"/>
    </w:lvl>
  </w:abstractNum>
  <w:abstractNum w:abstractNumId="11">
    <w:nsid w:val="6AA78F7F"/>
    <w:multiLevelType w:val="hybridMultilevel"/>
    <w:lvl w:ilvl="0">
      <w:lvlJc w:val="left"/>
      <w:lvlText w:val="•"/>
      <w:numFmt w:val="bullet"/>
      <w:start w:val="1"/>
    </w:lvl>
  </w:abstractNum>
  <w:abstractNum w:abstractNumId="12">
    <w:nsid w:val="7672BD23"/>
    <w:multiLevelType w:val="hybridMultilevel"/>
    <w:lvl w:ilvl="0">
      <w:lvlJc w:val="left"/>
      <w:lvlText w:val="•"/>
      <w:numFmt w:val="bullet"/>
      <w:start w:val="1"/>
    </w:lvl>
  </w:abstractNum>
  <w:abstractNum w:abstractNumId="13">
    <w:nsid w:val="6FC75AF8"/>
    <w:multiLevelType w:val="hybridMultilevel"/>
    <w:lvl w:ilvl="0">
      <w:lvlJc w:val="left"/>
      <w:lvlText w:val="•"/>
      <w:numFmt w:val="bullet"/>
      <w:start w:val="1"/>
    </w:lvl>
  </w:abstractNum>
  <w:abstractNum w:abstractNumId="14">
    <w:nsid w:val="6A5F7029"/>
    <w:multiLevelType w:val="hybridMultilevel"/>
    <w:lvl w:ilvl="0">
      <w:lvlJc w:val="left"/>
      <w:lvlText w:val="•"/>
      <w:numFmt w:val="bullet"/>
      <w:start w:val="1"/>
    </w:lvl>
  </w:abstractNum>
  <w:abstractNum w:abstractNumId="15">
    <w:nsid w:val="7D5E18F8"/>
    <w:multiLevelType w:val="hybridMultilevel"/>
    <w:lvl w:ilvl="0">
      <w:lvlJc w:val="left"/>
      <w:lvlText w:val="•"/>
      <w:numFmt w:val="bullet"/>
      <w:start w:val="1"/>
    </w:lvl>
  </w:abstractNum>
  <w:abstractNum w:abstractNumId="16">
    <w:nsid w:val="5F3534A4"/>
    <w:multiLevelType w:val="hybridMultilevel"/>
    <w:lvl w:ilvl="0">
      <w:lvlJc w:val="left"/>
      <w:lvlText w:val="•"/>
      <w:numFmt w:val="bullet"/>
      <w:start w:val="1"/>
    </w:lvl>
  </w:abstractNum>
  <w:abstractNum w:abstractNumId="17">
    <w:nsid w:val="73A1821B"/>
    <w:multiLevelType w:val="hybridMultilevel"/>
    <w:lvl w:ilvl="0">
      <w:lvlJc w:val="left"/>
      <w:lvlText w:val="•"/>
      <w:numFmt w:val="bullet"/>
      <w:start w:val="1"/>
    </w:lvl>
  </w:abstractNum>
  <w:abstractNum w:abstractNumId="18">
    <w:nsid w:val="7DE67713"/>
    <w:multiLevelType w:val="hybridMultilevel"/>
    <w:lvl w:ilvl="0">
      <w:lvlJc w:val="left"/>
      <w:lvlText w:val="•"/>
      <w:numFmt w:val="bullet"/>
      <w:start w:val="1"/>
    </w:lvl>
  </w:abstractNum>
  <w:abstractNum w:abstractNumId="19">
    <w:nsid w:val="555C55B5"/>
    <w:multiLevelType w:val="hybridMultilevel"/>
    <w:lvl w:ilvl="0">
      <w:lvlJc w:val="left"/>
      <w:lvlText w:val="•"/>
      <w:numFmt w:val="bullet"/>
      <w:start w:val="1"/>
    </w:lvl>
  </w:abstractNum>
  <w:abstractNum w:abstractNumId="20">
    <w:nsid w:val="3FA62ACA"/>
    <w:multiLevelType w:val="hybridMultilevel"/>
    <w:lvl w:ilvl="0">
      <w:lvlJc w:val="left"/>
      <w:lvlText w:val="•"/>
      <w:numFmt w:val="bullet"/>
      <w:start w:val="1"/>
    </w:lvl>
  </w:abstractNum>
  <w:abstractNum w:abstractNumId="21">
    <w:nsid w:val="14FCE74E"/>
    <w:multiLevelType w:val="hybridMultilevel"/>
    <w:lvl w:ilvl="0">
      <w:lvlJc w:val="left"/>
      <w:lvlText w:val="•"/>
      <w:numFmt w:val="bullet"/>
      <w:start w:val="1"/>
    </w:lvl>
  </w:abstractNum>
  <w:abstractNum w:abstractNumId="22">
    <w:nsid w:val="6A3DD3E8"/>
    <w:multiLevelType w:val="hybridMultilevel"/>
    <w:lvl w:ilvl="0">
      <w:lvlJc w:val="left"/>
      <w:lvlText w:val="•"/>
      <w:numFmt w:val="bullet"/>
      <w:start w:val="1"/>
    </w:lvl>
  </w:abstractNum>
  <w:abstractNum w:abstractNumId="23">
    <w:nsid w:val="71C91298"/>
    <w:multiLevelType w:val="hybridMultilevel"/>
    <w:lvl w:ilvl="0">
      <w:lvlJc w:val="left"/>
      <w:lvlText w:val="•"/>
      <w:numFmt w:val="bullet"/>
      <w:start w:val="1"/>
    </w:lvl>
  </w:abstractNum>
  <w:abstractNum w:abstractNumId="24">
    <w:nsid w:val="9DAF632"/>
    <w:multiLevelType w:val="hybridMultilevel"/>
    <w:lvl w:ilvl="0">
      <w:lvlJc w:val="left"/>
      <w:lvlText w:val="•"/>
      <w:numFmt w:val="bullet"/>
      <w:start w:val="1"/>
    </w:lvl>
  </w:abstractNum>
  <w:abstractNum w:abstractNumId="25">
    <w:nsid w:val="53299938"/>
    <w:multiLevelType w:val="hybridMultilevel"/>
    <w:lvl w:ilvl="0">
      <w:lvlJc w:val="left"/>
      <w:lvlText w:val="•"/>
      <w:numFmt w:val="bullet"/>
      <w:start w:val="1"/>
    </w:lvl>
  </w:abstractNum>
  <w:abstractNum w:abstractNumId="26">
    <w:nsid w:val="1FBFE8E0"/>
    <w:multiLevelType w:val="hybridMultilevel"/>
    <w:lvl w:ilvl="0">
      <w:lvlJc w:val="left"/>
      <w:lvlText w:val="•"/>
      <w:numFmt w:val="bullet"/>
      <w:start w:val="1"/>
    </w:lvl>
  </w:abstractNum>
  <w:abstractNum w:abstractNumId="27">
    <w:nsid w:val="5092CA79"/>
    <w:multiLevelType w:val="hybridMultilevel"/>
    <w:lvl w:ilvl="0">
      <w:lvlJc w:val="left"/>
      <w:lvlText w:val="•"/>
      <w:numFmt w:val="bullet"/>
      <w:start w:val="1"/>
    </w:lvl>
  </w:abstractNum>
  <w:abstractNum w:abstractNumId="28">
    <w:nsid w:val="1D545C4D"/>
    <w:multiLevelType w:val="hybridMultilevel"/>
    <w:lvl w:ilvl="0">
      <w:lvlJc w:val="left"/>
      <w:lvlText w:val="•"/>
      <w:numFmt w:val="bullet"/>
      <w:start w:val="1"/>
    </w:lvl>
  </w:abstractNum>
  <w:abstractNum w:abstractNumId="29">
    <w:nsid w:val="59ADEA3D"/>
    <w:multiLevelType w:val="hybridMultilevel"/>
    <w:lvl w:ilvl="0">
      <w:lvlJc w:val="left"/>
      <w:lvlText w:val="•"/>
      <w:numFmt w:val="bullet"/>
      <w:start w:val="1"/>
    </w:lvl>
  </w:abstractNum>
  <w:abstractNum w:abstractNumId="30">
    <w:nsid w:val="288F1A34"/>
    <w:multiLevelType w:val="hybridMultilevel"/>
    <w:lvl w:ilvl="0">
      <w:lvlJc w:val="left"/>
      <w:lvlText w:val="•"/>
      <w:numFmt w:val="bullet"/>
      <w:start w:val="1"/>
    </w:lvl>
  </w:abstractNum>
  <w:abstractNum w:abstractNumId="31">
    <w:nsid w:val="2A155DBC"/>
    <w:multiLevelType w:val="hybridMultilevel"/>
    <w:lvl w:ilvl="0">
      <w:lvlJc w:val="left"/>
      <w:lvlText w:val="•"/>
      <w:numFmt w:val="bullet"/>
      <w:start w:val="1"/>
    </w:lvl>
  </w:abstractNum>
  <w:abstractNum w:abstractNumId="32">
    <w:nsid w:val="1D9F6E5F"/>
    <w:multiLevelType w:val="hybridMultilevel"/>
    <w:lvl w:ilvl="0">
      <w:lvlJc w:val="left"/>
      <w:lvlText w:val="•"/>
      <w:numFmt w:val="bullet"/>
      <w:start w:val="1"/>
    </w:lvl>
  </w:abstractNum>
  <w:abstractNum w:abstractNumId="33">
    <w:nsid w:val="97E1B4E"/>
    <w:multiLevelType w:val="hybridMultilevel"/>
    <w:lvl w:ilvl="0">
      <w:lvlJc w:val="left"/>
      <w:lvlText w:val="•"/>
      <w:numFmt w:val="bullet"/>
      <w:start w:val="1"/>
    </w:lvl>
  </w:abstractNum>
  <w:abstractNum w:abstractNumId="34">
    <w:nsid w:val="51088277"/>
    <w:multiLevelType w:val="hybridMultilevel"/>
    <w:lvl w:ilvl="0">
      <w:lvlJc w:val="left"/>
      <w:lvlText w:val="•"/>
      <w:numFmt w:val="bullet"/>
      <w:start w:val="1"/>
    </w:lvl>
  </w:abstractNum>
  <w:abstractNum w:abstractNumId="35">
    <w:nsid w:val="1CA0C5FA"/>
    <w:multiLevelType w:val="hybridMultilevel"/>
    <w:lvl w:ilvl="0">
      <w:lvlJc w:val="left"/>
      <w:lvlText w:val="(%1)"/>
      <w:numFmt w:val="lowerLetter"/>
      <w:start w:val="1"/>
    </w:lvl>
    <w:lvl w:ilvl="1">
      <w:lvlJc w:val="left"/>
      <w:lvlText w:val="(%2)"/>
      <w:numFmt w:val="decimal"/>
      <w:start w:val="1"/>
    </w:lvl>
  </w:abstractNum>
  <w:abstractNum w:abstractNumId="36">
    <w:nsid w:val="53584BCB"/>
    <w:multiLevelType w:val="hybridMultilevel"/>
    <w:lvl w:ilvl="0">
      <w:lvlJc w:val="left"/>
      <w:lvlText w:val="*"/>
      <w:numFmt w:val="bullet"/>
      <w:start w:val="1"/>
    </w:lvl>
  </w:abstractNum>
  <w:abstractNum w:abstractNumId="37">
    <w:nsid w:val="415E286C"/>
    <w:multiLevelType w:val="hybridMultilevel"/>
    <w:lvl w:ilvl="0">
      <w:lvlJc w:val="left"/>
      <w:lvlText w:val="§"/>
      <w:numFmt w:val="bullet"/>
      <w:start w:val="1"/>
    </w:lvl>
  </w:abstractNum>
  <w:abstractNum w:abstractNumId="38">
    <w:nsid w:val="7C58FD05"/>
    <w:multiLevelType w:val="hybridMultilevel"/>
    <w:lvl w:ilvl="0">
      <w:lvlJc w:val="left"/>
      <w:lvlText w:val="(%1)"/>
      <w:numFmt w:val="decimal"/>
      <w:start w:val="1"/>
    </w:lvl>
  </w:abstractNum>
  <w:abstractNum w:abstractNumId="39">
    <w:nsid w:val="23D86AAC"/>
    <w:multiLevelType w:val="hybridMultilevel"/>
    <w:lvl w:ilvl="0">
      <w:lvlJc w:val="left"/>
      <w:lvlText w:val="%1."/>
      <w:numFmt w:val="decimal"/>
      <w:start w:val="1"/>
    </w:lvl>
  </w:abstractNum>
  <w:abstractNum w:abstractNumId="40">
    <w:nsid w:val="45E6D486"/>
    <w:multiLevelType w:val="hybridMultilevel"/>
    <w:lvl w:ilvl="0">
      <w:lvlJc w:val="left"/>
      <w:lvlText w:val="•"/>
      <w:numFmt w:val="bullet"/>
      <w:start w:val="1"/>
    </w:lvl>
  </w:abstractNum>
  <w:abstractNum w:abstractNumId="41">
    <w:nsid w:val="5C10FE21"/>
    <w:multiLevelType w:val="hybridMultilevel"/>
    <w:lvl w:ilvl="0">
      <w:lvlJc w:val="left"/>
      <w:lvlText w:val="%1."/>
      <w:numFmt w:val="decimal"/>
      <w:start w:val="2"/>
    </w:lvl>
  </w:abstractNum>
  <w:abstractNum w:abstractNumId="42">
    <w:nsid w:val="E7FFA2B"/>
    <w:multiLevelType w:val="hybridMultilevel"/>
    <w:lvl w:ilvl="0">
      <w:lvlJc w:val="left"/>
      <w:lvlText w:val="%1."/>
      <w:numFmt w:val="decimal"/>
      <w:start w:val="3"/>
    </w:lvl>
  </w:abstractNum>
  <w:abstractNum w:abstractNumId="43">
    <w:nsid w:val="3C5991AA"/>
    <w:multiLevelType w:val="hybridMultilevel"/>
    <w:lvl w:ilvl="0">
      <w:lvlJc w:val="left"/>
      <w:lvlText w:val="%1."/>
      <w:numFmt w:val="decimal"/>
      <w:start w:val="4"/>
    </w:lvl>
  </w:abstractNum>
  <w:abstractNum w:abstractNumId="44">
    <w:nsid w:val="4BD8591A"/>
    <w:multiLevelType w:val="hybridMultilevel"/>
    <w:lvl w:ilvl="0">
      <w:lvlJc w:val="left"/>
      <w:lvlText w:val="%1."/>
      <w:numFmt w:val="decimal"/>
      <w:start w:val="6"/>
    </w:lvl>
  </w:abstractNum>
  <w:abstractNum w:abstractNumId="45">
    <w:nsid w:val="78DF6A55"/>
    <w:multiLevelType w:val="hybridMultilevel"/>
    <w:lvl w:ilvl="0">
      <w:lvlJc w:val="left"/>
      <w:lvlText w:val="%1."/>
      <w:numFmt w:val="decimal"/>
      <w:start w:val="7"/>
    </w:lvl>
  </w:abstractNum>
  <w:abstractNum w:abstractNumId="46">
    <w:nsid w:val="39B7AAA2"/>
    <w:multiLevelType w:val="hybridMultilevel"/>
    <w:lvl w:ilvl="0">
      <w:lvlJc w:val="left"/>
      <w:lvlText w:val="%1."/>
      <w:numFmt w:val="decimal"/>
      <w:start w:val="8"/>
    </w:lvl>
  </w:abstractNum>
  <w:abstractNum w:abstractNumId="47">
    <w:nsid w:val="2B0D8DBE"/>
    <w:multiLevelType w:val="hybridMultilevel"/>
    <w:lvl w:ilvl="0">
      <w:lvlJc w:val="left"/>
      <w:lvlText w:val="%1."/>
      <w:numFmt w:val="decimal"/>
      <w:start w:val="9"/>
    </w:lvl>
  </w:abstractNum>
  <w:abstractNum w:abstractNumId="48">
    <w:nsid w:val="6C80EC70"/>
    <w:multiLevelType w:val="hybridMultilevel"/>
    <w:lvl w:ilvl="0">
      <w:lvlJc w:val="left"/>
      <w:lvlText w:val="%1."/>
      <w:numFmt w:val="decimal"/>
      <w:start w:val="10"/>
    </w:lvl>
  </w:abstractNum>
  <w:abstractNum w:abstractNumId="49">
    <w:nsid w:val="379E21B5"/>
    <w:multiLevelType w:val="hybridMultilevel"/>
    <w:lvl w:ilvl="0">
      <w:lvlJc w:val="left"/>
      <w:lvlText w:val="%1."/>
      <w:numFmt w:val="decimal"/>
      <w:start w:val="11"/>
    </w:lvl>
  </w:abstractNum>
  <w:abstractNum w:abstractNumId="50">
    <w:nsid w:val="69E373"/>
    <w:multiLevelType w:val="hybridMultilevel"/>
    <w:lvl w:ilvl="0">
      <w:lvlJc w:val="left"/>
      <w:lvlText w:val="%1."/>
      <w:numFmt w:val="decimal"/>
      <w:start w:val="12"/>
    </w:lvl>
  </w:abstractNum>
  <w:abstractNum w:abstractNumId="51">
    <w:nsid w:val="2C27173B"/>
    <w:multiLevelType w:val="hybridMultilevel"/>
    <w:lvl w:ilvl="0">
      <w:lvlJc w:val="left"/>
      <w:lvlText w:val="%1."/>
      <w:numFmt w:val="decimal"/>
      <w:start w:val="13"/>
    </w:lvl>
  </w:abstractNum>
  <w:abstractNum w:abstractNumId="52">
    <w:nsid w:val="4C9B0904"/>
    <w:multiLevelType w:val="hybridMultilevel"/>
    <w:lvl w:ilvl="0">
      <w:lvlJc w:val="left"/>
      <w:lvlText w:val="(%1)"/>
      <w:numFmt w:val="decimal"/>
      <w:start w:val="1"/>
    </w:lvl>
  </w:abstractNum>
  <w:abstractNum w:abstractNumId="53">
    <w:nsid w:val="6AA7B75C"/>
    <w:multiLevelType w:val="hybridMultilevel"/>
    <w:lvl w:ilvl="0">
      <w:lvlJc w:val="left"/>
      <w:lvlText w:val="%1."/>
      <w:numFmt w:val="decimal"/>
      <w:start w:val="14"/>
    </w:lvl>
  </w:abstractNum>
  <w:abstractNum w:abstractNumId="54">
    <w:nsid w:val="1DF029D3"/>
    <w:multiLevelType w:val="hybridMultilevel"/>
    <w:lvl w:ilvl="0">
      <w:lvlJc w:val="left"/>
      <w:lvlText w:val="%1."/>
      <w:numFmt w:val="decimal"/>
      <w:start w:val="15"/>
    </w:lvl>
  </w:abstractNum>
  <w:abstractNum w:abstractNumId="55">
    <w:nsid w:val="5675FF36"/>
    <w:multiLevelType w:val="hybridMultilevel"/>
    <w:lvl w:ilvl="0">
      <w:lvlJc w:val="left"/>
      <w:lvlText w:val="%1."/>
      <w:numFmt w:val="decimal"/>
      <w:start w:val="16"/>
    </w:lvl>
  </w:abstractNum>
  <w:abstractNum w:abstractNumId="56">
    <w:nsid w:val="3DD15094"/>
    <w:multiLevelType w:val="hybridMultilevel"/>
    <w:lvl w:ilvl="0">
      <w:lvlJc w:val="left"/>
      <w:lvlText w:val="%1."/>
      <w:numFmt w:val="decimal"/>
      <w:start w:val="17"/>
    </w:lvl>
  </w:abstractNum>
  <w:abstractNum w:abstractNumId="57">
    <w:nsid w:val="3DB012B3"/>
    <w:multiLevelType w:val="hybridMultilevel"/>
    <w:lvl w:ilvl="0">
      <w:lvlJc w:val="left"/>
      <w:lvlText w:val="%1."/>
      <w:numFmt w:val="decimal"/>
      <w:start w:val="18"/>
    </w:lvl>
  </w:abstractNum>
  <w:abstractNum w:abstractNumId="58">
    <w:nsid w:val="2708C9AF"/>
    <w:multiLevelType w:val="hybridMultilevel"/>
    <w:lvl w:ilvl="0">
      <w:lvlJc w:val="left"/>
      <w:lvlText w:val="%1."/>
      <w:numFmt w:val="decimal"/>
      <w:start w:val="19"/>
    </w:lvl>
  </w:abstractNum>
  <w:abstractNum w:abstractNumId="59">
    <w:nsid w:val="5B25ACE2"/>
    <w:multiLevelType w:val="hybridMultilevel"/>
    <w:lvl w:ilvl="0">
      <w:lvlJc w:val="left"/>
      <w:lvlText w:val="[***]"/>
      <w:numFmt w:val="bullet"/>
      <w:start w:val="1"/>
    </w:lvl>
  </w:abstractNum>
  <w:abstractNum w:abstractNumId="60">
    <w:nsid w:val="175DFCF0"/>
    <w:multiLevelType w:val="hybridMultilevel"/>
    <w:lvl w:ilvl="0">
      <w:lvlJc w:val="left"/>
      <w:lvlText w:val="1"/>
      <w:numFmt w:val="bullet"/>
      <w:start w:val="1"/>
    </w:lvl>
  </w:abstractNum>
  <w:abstractNum w:abstractNumId="61">
    <w:nsid w:val="4F97E3E4"/>
    <w:multiLevelType w:val="hybridMultilevel"/>
    <w:lvl w:ilvl="0">
      <w:lvlJc w:val="left"/>
      <w:lvlText w:val="2"/>
      <w:numFmt w:val="bullet"/>
      <w:start w:val="1"/>
    </w:lvl>
  </w:abstractNum>
  <w:abstractNum w:abstractNumId="62">
    <w:nsid w:val="53B0A9E"/>
    <w:multiLevelType w:val="hybridMultilevel"/>
    <w:lvl w:ilvl="0">
      <w:lvlJc w:val="left"/>
      <w:lvlText w:val="3"/>
      <w:numFmt w:val="bullet"/>
      <w:start w:val="1"/>
    </w:lvl>
  </w:abstractNum>
  <w:abstractNum w:abstractNumId="63">
    <w:nsid w:val="34FD6B4F"/>
    <w:multiLevelType w:val="hybridMultilevel"/>
    <w:lvl w:ilvl="0">
      <w:lvlJc w:val="left"/>
      <w:lvlText w:val="4"/>
      <w:numFmt w:val="bullet"/>
      <w:start w:val="1"/>
    </w:lvl>
  </w:abstractNum>
  <w:abstractNum w:abstractNumId="64">
    <w:nsid w:val="5915FF32"/>
    <w:multiLevelType w:val="hybridMultilevel"/>
    <w:lvl w:ilvl="0">
      <w:lvlJc w:val="left"/>
      <w:lvlText w:val="%1"/>
      <w:numFmt w:val="decimal"/>
      <w:start w:val="10"/>
    </w:lvl>
  </w:abstractNum>
  <w:abstractNum w:abstractNumId="65">
    <w:nsid w:val="56438D15"/>
    <w:multiLevelType w:val="hybridMultilevel"/>
    <w:lvl w:ilvl="0">
      <w:lvlJc w:val="left"/>
      <w:lvlText w:val="%1"/>
      <w:numFmt w:val="decimal"/>
      <w:start w:val="12"/>
    </w:lvl>
  </w:abstractNum>
  <w:abstractNum w:abstractNumId="66">
    <w:nsid w:val="519E3149"/>
    <w:multiLevelType w:val="hybridMultilevel"/>
    <w:lvl w:ilvl="0">
      <w:lvlJc w:val="left"/>
      <w:lvlText w:val="%1"/>
      <w:numFmt w:val="decimal"/>
      <w:start w:val="14"/>
    </w:lvl>
  </w:abstractNum>
  <w:abstractNum w:abstractNumId="67">
    <w:nsid w:val="2C6E4AFD"/>
    <w:multiLevelType w:val="hybridMultilevel"/>
    <w:lvl w:ilvl="0">
      <w:lvlJc w:val="left"/>
      <w:lvlText w:val="%1"/>
      <w:numFmt w:val="decimal"/>
      <w:start w:val="18"/>
    </w:lvl>
  </w:abstractNum>
  <w:abstractNum w:abstractNumId="68">
    <w:nsid w:val="17A1B582"/>
    <w:multiLevelType w:val="hybridMultilevel"/>
    <w:lvl w:ilvl="0">
      <w:lvlJc w:val="left"/>
      <w:lvlText w:val="%1"/>
      <w:numFmt w:val="decimal"/>
      <w:start w:val="25"/>
    </w:lvl>
  </w:abstractNum>
  <w:abstractNum w:abstractNumId="69">
    <w:nsid w:val="4DF72E4E"/>
    <w:multiLevelType w:val="hybridMultilevel"/>
    <w:lvl w:ilvl="0">
      <w:lvlJc w:val="left"/>
      <w:lvlText w:val="(%1)"/>
      <w:numFmt w:val="decimal"/>
      <w:start w:val="1"/>
    </w:lvl>
  </w:abstractNum>
  <w:abstractNum w:abstractNumId="70">
    <w:nsid w:val="5046B5A9"/>
    <w:multiLevelType w:val="hybridMultilevel"/>
    <w:lvl w:ilvl="0">
      <w:lvlJc w:val="left"/>
      <w:lvlText w:val="%1"/>
      <w:numFmt w:val="upperLetter"/>
      <w:start w:val="1"/>
    </w:lvl>
    <w:lvl w:ilvl="1">
      <w:lvlJc w:val="left"/>
      <w:lvlText w:val="(%2)"/>
      <w:numFmt w:val="upperLetter"/>
      <w:start w:val="1"/>
    </w:lvl>
  </w:abstractNum>
  <w:abstractNum w:abstractNumId="71">
    <w:nsid w:val="5D888A08"/>
    <w:multiLevelType w:val="hybridMultilevel"/>
    <w:lvl w:ilvl="0">
      <w:lvlJc w:val="left"/>
      <w:lvlText w:val="(%1)"/>
      <w:numFmt w:val="upperLetter"/>
      <w:start w:val="4"/>
    </w:lvl>
    <w:lvl w:ilvl="1">
      <w:lvlJc w:val="left"/>
      <w:lvlText w:val="%2"/>
      <w:numFmt w:val="upperLetter"/>
      <w:start w:val="1"/>
    </w:lvl>
  </w:abstractNum>
  <w:abstractNum w:abstractNumId="72">
    <w:nsid w:val="2A082C70"/>
    <w:multiLevelType w:val="hybridMultilevel"/>
    <w:lvl w:ilvl="0">
      <w:lvlJc w:val="left"/>
      <w:lvlText w:val="1"/>
      <w:numFmt w:val="bullet"/>
      <w:start w:val="1"/>
    </w:lvl>
  </w:abstractNum>
  <w:abstractNum w:abstractNumId="73">
    <w:nsid w:val="5EC6AFD4"/>
    <w:multiLevelType w:val="hybridMultilevel"/>
    <w:lvl w:ilvl="0">
      <w:lvlJc w:val="left"/>
      <w:lvlText w:val="(%1)"/>
      <w:numFmt w:val="lowerLetter"/>
      <w:start w:val="1"/>
    </w:lvl>
  </w:abstractNum>
  <w:abstractNum w:abstractNumId="74">
    <w:nsid w:val="19E21BB2"/>
    <w:multiLevelType w:val="hybridMultilevel"/>
    <w:lvl w:ilvl="0">
      <w:lvlJc w:val="left"/>
      <w:lvlText w:val="(%1)"/>
      <w:numFmt w:val="lowerLetter"/>
      <w:start w:val="1"/>
    </w:lvl>
  </w:abstractNum>
  <w:abstractNum w:abstractNumId="75">
    <w:nsid w:val="75E0858A"/>
    <w:multiLevelType w:val="hybridMultilevel"/>
    <w:lvl w:ilvl="0">
      <w:lvlJc w:val="left"/>
      <w:lvlText w:val="(%1)"/>
      <w:numFmt w:val="lowerLetter"/>
      <w:start w:val="4"/>
    </w:lvl>
  </w:abstractNum>
  <w:abstractNum w:abstractNumId="76">
    <w:nsid w:val="57A61A29"/>
    <w:multiLevelType w:val="hybridMultilevel"/>
    <w:lvl w:ilvl="0">
      <w:lvlJc w:val="left"/>
      <w:lvlText w:val="(%1)"/>
      <w:numFmt w:val="lowerLetter"/>
      <w:start w:val="1"/>
    </w:lvl>
  </w:abstractNum>
  <w:abstractNum w:abstractNumId="77">
    <w:nsid w:val="5399C654"/>
    <w:multiLevelType w:val="hybridMultilevel"/>
    <w:lvl w:ilvl="0">
      <w:lvlJc w:val="left"/>
      <w:lvlText w:val="2"/>
      <w:numFmt w:val="bullet"/>
      <w:start w:val="1"/>
    </w:lvl>
  </w:abstractNum>
  <w:abstractNum w:abstractNumId="78">
    <w:nsid w:val="20EE1348"/>
    <w:multiLevelType w:val="hybridMultilevel"/>
    <w:lvl w:ilvl="0">
      <w:lvlJc w:val="left"/>
      <w:lvlText w:val="3"/>
      <w:numFmt w:val="bullet"/>
      <w:start w:val="1"/>
    </w:lvl>
  </w:abstractNum>
  <w:abstractNum w:abstractNumId="79">
    <w:nsid w:val="4427069A"/>
    <w:multiLevelType w:val="hybridMultilevel"/>
    <w:lvl w:ilvl="0">
      <w:lvlJc w:val="left"/>
      <w:lvlText w:val="4"/>
      <w:numFmt w:val="bullet"/>
      <w:start w:val="1"/>
    </w:lvl>
  </w:abstractNum>
  <w:abstractNum w:abstractNumId="80">
    <w:nsid w:val="B37E80A"/>
    <w:multiLevelType w:val="hybridMultilevel"/>
    <w:lvl w:ilvl="0">
      <w:lvlJc w:val="left"/>
      <w:lvlText w:val="(%1)"/>
      <w:numFmt w:val="lowerLetter"/>
      <w:start w:val="1"/>
    </w:lvl>
  </w:abstractNum>
  <w:abstractNum w:abstractNumId="81">
    <w:nsid w:val="2157F6BC"/>
    <w:multiLevelType w:val="hybridMultilevel"/>
    <w:lvl w:ilvl="0">
      <w:lvlJc w:val="left"/>
      <w:lvlText w:val="5"/>
      <w:numFmt w:val="bullet"/>
      <w:start w:val="1"/>
    </w:lvl>
  </w:abstractNum>
  <w:abstractNum w:abstractNumId="82">
    <w:nsid w:val="704E1DD5"/>
    <w:multiLevelType w:val="hybridMultilevel"/>
    <w:lvl w:ilvl="0">
      <w:lvlJc w:val="left"/>
      <w:lvlText w:val="6"/>
      <w:numFmt w:val="bullet"/>
      <w:start w:val="1"/>
    </w:lvl>
  </w:abstractNum>
  <w:abstractNum w:abstractNumId="83">
    <w:nsid w:val="57D2F10E"/>
    <w:multiLevelType w:val="hybridMultilevel"/>
    <w:lvl w:ilvl="0">
      <w:lvlJc w:val="left"/>
      <w:lvlText w:val="(%1)"/>
      <w:numFmt w:val="lowerLetter"/>
      <w:start w:val="1"/>
    </w:lvl>
  </w:abstractNum>
  <w:abstractNum w:abstractNumId="84">
    <w:nsid w:val="BFFAE18"/>
    <w:multiLevelType w:val="hybridMultilevel"/>
    <w:lvl w:ilvl="0">
      <w:lvlJc w:val="left"/>
      <w:lvlText w:val="7"/>
      <w:numFmt w:val="bullet"/>
      <w:start w:val="1"/>
    </w:lvl>
  </w:abstractNum>
  <w:abstractNum w:abstractNumId="85">
    <w:nsid w:val="E3E47A8"/>
    <w:multiLevelType w:val="hybridMultilevel"/>
    <w:lvl w:ilvl="0">
      <w:lvlJc w:val="left"/>
      <w:lvlText w:val="8"/>
      <w:numFmt w:val="bullet"/>
      <w:start w:val="1"/>
    </w:lvl>
  </w:abstractNum>
  <w:abstractNum w:abstractNumId="86">
    <w:nsid w:val="2E48F044"/>
    <w:multiLevelType w:val="hybridMultilevel"/>
    <w:lvl w:ilvl="0">
      <w:lvlJc w:val="left"/>
      <w:lvlText w:val="9"/>
      <w:numFmt w:val="bullet"/>
      <w:start w:val="1"/>
    </w:lvl>
  </w:abstractNum>
  <w:abstractNum w:abstractNumId="87">
    <w:nsid w:val="49D0FEAC"/>
    <w:multiLevelType w:val="hybridMultilevel"/>
    <w:lvl w:ilvl="0">
      <w:lvlJc w:val="left"/>
      <w:lvlText w:val="(%1)"/>
      <w:numFmt w:val="lowerLetter"/>
      <w:start w:val="1"/>
    </w:lvl>
  </w:abstractNum>
  <w:abstractNum w:abstractNumId="88">
    <w:nsid w:val="4BEE5A5B"/>
    <w:multiLevelType w:val="hybridMultilevel"/>
    <w:lvl w:ilvl="0">
      <w:lvlJc w:val="left"/>
      <w:lvlText w:val="%1"/>
      <w:numFmt w:val="decimal"/>
      <w:start w:val="10"/>
    </w:lvl>
  </w:abstractNum>
  <w:abstractNum w:abstractNumId="89">
    <w:nsid w:val="5551B9F3"/>
    <w:multiLevelType w:val="hybridMultilevel"/>
    <w:lvl w:ilvl="0">
      <w:lvlJc w:val="left"/>
      <w:lvlText w:val="(%1)"/>
      <w:numFmt w:val="lowerLetter"/>
      <w:start w:val="1"/>
    </w:lvl>
  </w:abstractNum>
  <w:abstractNum w:abstractNumId="90">
    <w:nsid w:val="24F6AB8E"/>
    <w:multiLevelType w:val="hybridMultilevel"/>
    <w:lvl w:ilvl="0">
      <w:lvlJc w:val="left"/>
      <w:lvlText w:val="%1"/>
      <w:numFmt w:val="lowerLetter"/>
      <w:start w:val="1"/>
    </w:lvl>
    <w:lvl w:ilvl="1">
      <w:lvlJc w:val="left"/>
      <w:lvlText w:val="(%2)"/>
      <w:numFmt w:val="lowerLetter"/>
      <w:start w:val="1"/>
    </w:lvl>
  </w:abstractNum>
  <w:abstractNum w:abstractNumId="91">
    <w:nsid w:val="634C574C"/>
    <w:multiLevelType w:val="hybridMultilevel"/>
    <w:lvl w:ilvl="0">
      <w:lvlJc w:val="left"/>
      <w:lvlText w:val="(%1)"/>
      <w:numFmt w:val="lowerLetter"/>
      <w:start w:val="3"/>
    </w:lvl>
    <w:lvl w:ilvl="1">
      <w:lvlJc w:val="left"/>
      <w:lvlText w:val="%2"/>
      <w:numFmt w:val="lowerLetter"/>
      <w:start w:val="1"/>
    </w:lvl>
  </w:abstractNum>
  <w:abstractNum w:abstractNumId="92">
    <w:nsid w:val="24E99DD7"/>
    <w:multiLevelType w:val="hybridMultilevel"/>
    <w:lvl w:ilvl="0">
      <w:lvlJc w:val="left"/>
      <w:lvlText w:val="%1"/>
      <w:numFmt w:val="decimal"/>
      <w:start w:val="11"/>
    </w:lvl>
  </w:abstractNum>
  <w:abstractNum w:abstractNumId="93">
    <w:nsid w:val="2A31B62D"/>
    <w:multiLevelType w:val="hybridMultilevel"/>
    <w:lvl w:ilvl="0">
      <w:lvlJc w:val="left"/>
      <w:lvlText w:val="(%1)"/>
      <w:numFmt w:val="lowerLetter"/>
      <w:start w:val="1"/>
    </w:lvl>
  </w:abstractNum>
  <w:abstractNum w:abstractNumId="94">
    <w:nsid w:val="1849C29B"/>
    <w:multiLevelType w:val="hybridMultilevel"/>
    <w:lvl w:ilvl="0">
      <w:lvlJc w:val="left"/>
      <w:lvlText w:val="%1"/>
      <w:numFmt w:val="decimal"/>
      <w:start w:val="12"/>
    </w:lvl>
  </w:abstractNum>
  <w:abstractNum w:abstractNumId="95">
    <w:nsid w:val="7DFF9D09"/>
    <w:multiLevelType w:val="hybridMultilevel"/>
    <w:lvl w:ilvl="0">
      <w:lvlJc w:val="left"/>
      <w:lvlText w:val="(%1)"/>
      <w:numFmt w:val="lowerLetter"/>
      <w:start w:val="1"/>
    </w:lvl>
  </w:abstractNum>
  <w:abstractNum w:abstractNumId="96">
    <w:nsid w:val="754342"/>
    <w:multiLevelType w:val="hybridMultilevel"/>
    <w:lvl w:ilvl="0">
      <w:lvlJc w:val="left"/>
      <w:lvlText w:val="(%1)"/>
      <w:numFmt w:val="lowerRoman"/>
      <w:start w:val="1"/>
    </w:lvl>
  </w:abstractNum>
  <w:abstractNum w:abstractNumId="97">
    <w:nsid w:val="69E7F3E5"/>
    <w:multiLevelType w:val="hybridMultilevel"/>
    <w:lvl w:ilvl="0">
      <w:lvlJc w:val="left"/>
      <w:lvlText w:val="%1"/>
      <w:numFmt w:val="decimal"/>
      <w:start w:val="13"/>
    </w:lvl>
  </w:abstractNum>
  <w:abstractNum w:abstractNumId="98">
    <w:nsid w:val="2A6DE806"/>
    <w:multiLevelType w:val="hybridMultilevel"/>
    <w:lvl w:ilvl="0">
      <w:lvlJc w:val="left"/>
      <w:lvlText w:val="%1"/>
      <w:numFmt w:val="decimal"/>
      <w:start w:val="14"/>
    </w:lvl>
  </w:abstractNum>
  <w:abstractNum w:abstractNumId="99">
    <w:nsid w:val="1816F8C4"/>
    <w:multiLevelType w:val="hybridMultilevel"/>
    <w:lvl w:ilvl="0">
      <w:lvlJc w:val="left"/>
      <w:lvlText w:val="(%1)"/>
      <w:numFmt w:val="lowerLetter"/>
      <w:start w:val="1"/>
    </w:lvl>
  </w:abstractNum>
  <w:abstractNum w:abstractNumId="100">
    <w:nsid w:val="37DF2233"/>
    <w:multiLevelType w:val="hybridMultilevel"/>
    <w:lvl w:ilvl="0">
      <w:lvlJc w:val="left"/>
      <w:lvlText w:val="%1"/>
      <w:numFmt w:val="decimal"/>
      <w:start w:val="15"/>
    </w:lvl>
  </w:abstractNum>
  <w:abstractNum w:abstractNumId="101">
    <w:nsid w:val="7AB49DAF"/>
    <w:multiLevelType w:val="hybridMultilevel"/>
    <w:lvl w:ilvl="0">
      <w:lvlJc w:val="left"/>
      <w:lvlText w:val="(%1)"/>
      <w:numFmt w:val="lowerLetter"/>
      <w:start w:val="1"/>
    </w:lvl>
  </w:abstractNum>
  <w:abstractNum w:abstractNumId="102">
    <w:nsid w:val="759F82CD"/>
    <w:multiLevelType w:val="hybridMultilevel"/>
    <w:lvl w:ilvl="0">
      <w:lvlJc w:val="left"/>
      <w:lvlText w:val="%1"/>
      <w:numFmt w:val="decimal"/>
      <w:start w:val="16"/>
    </w:lvl>
  </w:abstractNum>
  <w:abstractNum w:abstractNumId="103">
    <w:nsid w:val="61E74EA3"/>
    <w:multiLevelType w:val="hybridMultilevel"/>
    <w:lvl w:ilvl="0">
      <w:lvlJc w:val="left"/>
      <w:lvlText w:val="%1"/>
      <w:numFmt w:val="decimal"/>
      <w:start w:val="17"/>
    </w:lvl>
  </w:abstractNum>
  <w:abstractNum w:abstractNumId="104">
    <w:nsid w:val="597B4D84"/>
    <w:multiLevelType w:val="hybridMultilevel"/>
    <w:lvl w:ilvl="0">
      <w:lvlJc w:val="left"/>
      <w:lvlText w:val="(%1)"/>
      <w:numFmt w:val="lowerLetter"/>
      <w:start w:val="1"/>
    </w:lvl>
  </w:abstractNum>
  <w:abstractNum w:abstractNumId="105">
    <w:nsid w:val="F819E7F"/>
    <w:multiLevelType w:val="hybridMultilevel"/>
    <w:lvl w:ilvl="0">
      <w:lvlJc w:val="left"/>
      <w:lvlText w:val="(%1)"/>
      <w:numFmt w:val="lowerLetter"/>
      <w:start w:val="1"/>
    </w:lvl>
    <w:lvl w:ilvl="1">
      <w:lvlJc w:val="left"/>
      <w:lvlText w:val="(%2)"/>
      <w:numFmt w:val="lowerRoman"/>
      <w:start w:val="1"/>
    </w:lvl>
  </w:abstractNum>
  <w:abstractNum w:abstractNumId="106">
    <w:nsid w:val="57C7D42D"/>
    <w:multiLevelType w:val="hybridMultilevel"/>
    <w:lvl w:ilvl="0">
      <w:lvlJc w:val="left"/>
      <w:lvlText w:val="%1"/>
      <w:numFmt w:val="decimal"/>
      <w:start w:val="18"/>
    </w:lvl>
  </w:abstractNum>
  <w:abstractNum w:abstractNumId="107">
    <w:nsid w:val="312167AD"/>
    <w:multiLevelType w:val="hybridMultilevel"/>
    <w:lvl w:ilvl="0">
      <w:lvlJc w:val="left"/>
      <w:lvlText w:val="%1"/>
      <w:numFmt w:val="decimal"/>
      <w:start w:val="19"/>
    </w:lvl>
  </w:abstractNum>
  <w:abstractNum w:abstractNumId="108">
    <w:nsid w:val="631B64D4"/>
    <w:multiLevelType w:val="hybridMultilevel"/>
    <w:lvl w:ilvl="0">
      <w:lvlJc w:val="left"/>
      <w:lvlText w:val="(%1)"/>
      <w:numFmt w:val="lowerLetter"/>
      <w:start w:val="1"/>
    </w:lvl>
  </w:abstractNum>
  <w:abstractNum w:abstractNumId="109">
    <w:nsid w:val="78B5E776"/>
    <w:multiLevelType w:val="hybridMultilevel"/>
    <w:lvl w:ilvl="0">
      <w:lvlJc w:val="left"/>
      <w:lvlText w:val="(%1)"/>
      <w:numFmt w:val="lowerLetter"/>
      <w:start w:val="1"/>
    </w:lvl>
  </w:abstractNum>
  <w:abstractNum w:abstractNumId="110">
    <w:nsid w:val="75486E47"/>
    <w:multiLevelType w:val="hybridMultilevel"/>
    <w:lvl w:ilvl="0">
      <w:lvlJc w:val="left"/>
      <w:lvlText w:val="%1"/>
      <w:numFmt w:val="decimal"/>
      <w:start w:val="20"/>
    </w:lvl>
  </w:abstractNum>
  <w:abstractNum w:abstractNumId="111">
    <w:nsid w:val="6E534CDE"/>
    <w:multiLevelType w:val="hybridMultilevel"/>
    <w:lvl w:ilvl="0">
      <w:lvlJc w:val="left"/>
      <w:lvlText w:val="(%1)"/>
      <w:numFmt w:val="lowerLetter"/>
      <w:start w:val="1"/>
    </w:lvl>
  </w:abstractNum>
  <w:abstractNum w:abstractNumId="112">
    <w:nsid w:val="1A0DDE32"/>
    <w:multiLevelType w:val="hybridMultilevel"/>
    <w:lvl w:ilvl="0">
      <w:lvlJc w:val="left"/>
      <w:lvlText w:val="(%1)"/>
      <w:numFmt w:val="lowerLetter"/>
      <w:start w:val="1"/>
    </w:lvl>
  </w:abstractNum>
  <w:abstractNum w:abstractNumId="113">
    <w:nsid w:val="65968C1C"/>
    <w:multiLevelType w:val="hybridMultilevel"/>
    <w:lvl w:ilvl="0">
      <w:lvlJc w:val="left"/>
      <w:lvlText w:val="%1"/>
      <w:numFmt w:val="decimal"/>
      <w:start w:val="21"/>
    </w:lvl>
  </w:abstractNum>
  <w:abstractNum w:abstractNumId="114">
    <w:nsid w:val="46263DEC"/>
    <w:multiLevelType w:val="hybridMultilevel"/>
    <w:lvl w:ilvl="0">
      <w:lvlJc w:val="left"/>
      <w:lvlText w:val="%1"/>
      <w:numFmt w:val="decimal"/>
      <w:start w:val="22"/>
    </w:lvl>
  </w:abstractNum>
  <w:abstractNum w:abstractNumId="115">
    <w:nsid w:val="260D8C4A"/>
    <w:multiLevelType w:val="hybridMultilevel"/>
    <w:lvl w:ilvl="0">
      <w:lvlJc w:val="left"/>
      <w:lvlText w:val="%1"/>
      <w:numFmt w:val="decimal"/>
      <w:start w:val="23"/>
    </w:lvl>
  </w:abstractNum>
  <w:abstractNum w:abstractNumId="116">
    <w:nsid w:val="73D4D3C4"/>
    <w:multiLevelType w:val="hybridMultilevel"/>
    <w:lvl w:ilvl="0">
      <w:lvlJc w:val="left"/>
      <w:lvlText w:val="%1"/>
      <w:numFmt w:val="lowerLetter"/>
      <w:start w:val="1"/>
    </w:lvl>
    <w:lvl w:ilvl="1">
      <w:lvlJc w:val="left"/>
      <w:lvlText w:val="(%2)"/>
      <w:numFmt w:val="lowerLetter"/>
      <w:start w:val="1"/>
    </w:lvl>
  </w:abstractNum>
  <w:abstractNum w:abstractNumId="117">
    <w:nsid w:val="746F2E30"/>
    <w:multiLevelType w:val="hybridMultilevel"/>
    <w:lvl w:ilvl="0">
      <w:lvlJc w:val="left"/>
      <w:lvlText w:val="(%1)"/>
      <w:numFmt w:val="lowerLetter"/>
      <w:start w:val="3"/>
    </w:lvl>
    <w:lvl w:ilvl="1">
      <w:lvlJc w:val="left"/>
      <w:lvlText w:val="%2"/>
      <w:numFmt w:val="lowerLetter"/>
      <w:start w:val="1"/>
    </w:lvl>
  </w:abstractNum>
  <w:abstractNum w:abstractNumId="118">
    <w:nsid w:val="6FDE8AF6"/>
    <w:multiLevelType w:val="hybridMultilevel"/>
    <w:lvl w:ilvl="0">
      <w:lvlJc w:val="left"/>
      <w:lvlText w:val="%1"/>
      <w:numFmt w:val="decimal"/>
      <w:start w:val="24"/>
    </w:lvl>
  </w:abstractNum>
  <w:abstractNum w:abstractNumId="119">
    <w:nsid w:val="3FC32E20"/>
    <w:multiLevelType w:val="hybridMultilevel"/>
    <w:lvl w:ilvl="0">
      <w:lvlJc w:val="left"/>
      <w:lvlText w:val="(%1)"/>
      <w:numFmt w:val="lowerLetter"/>
      <w:start w:val="1"/>
    </w:lvl>
  </w:abstractNum>
  <w:abstractNum w:abstractNumId="120">
    <w:nsid w:val="49C0E823"/>
    <w:multiLevelType w:val="hybridMultilevel"/>
    <w:lvl w:ilvl="0">
      <w:lvlJc w:val="left"/>
      <w:lvlText w:val="%1"/>
      <w:numFmt w:val="decimal"/>
      <w:start w:val="25"/>
    </w:lvl>
  </w:abstractNum>
  <w:abstractNum w:abstractNumId="121">
    <w:nsid w:val="14D53685"/>
    <w:multiLevelType w:val="hybridMultilevel"/>
    <w:lvl w:ilvl="0">
      <w:lvlJc w:val="left"/>
      <w:lvlText w:val="%1"/>
      <w:numFmt w:val="decimal"/>
      <w:start w:val="26"/>
    </w:lvl>
  </w:abstractNum>
  <w:abstractNum w:abstractNumId="122">
    <w:nsid w:val="230F856C"/>
    <w:multiLevelType w:val="hybridMultilevel"/>
    <w:lvl w:ilvl="0">
      <w:lvlJc w:val="left"/>
      <w:lvlText w:val="%1"/>
      <w:numFmt w:val="lowerLetter"/>
      <w:start w:val="1"/>
    </w:lvl>
    <w:lvl w:ilvl="1">
      <w:lvlJc w:val="left"/>
      <w:lvlText w:val="(%2)"/>
      <w:numFmt w:val="lowerLetter"/>
      <w:start w:val="1"/>
    </w:lvl>
  </w:abstractNum>
  <w:abstractNum w:abstractNumId="123">
    <w:nsid w:val="6EAA85FB"/>
    <w:multiLevelType w:val="hybridMultilevel"/>
    <w:lvl w:ilvl="0">
      <w:lvlJc w:val="left"/>
      <w:lvlText w:val="(%1)"/>
      <w:numFmt w:val="lowerLetter"/>
      <w:start w:val="2"/>
    </w:lvl>
    <w:lvl w:ilvl="1">
      <w:lvlJc w:val="left"/>
      <w:lvlText w:val="%2"/>
      <w:numFmt w:val="lowerLetter"/>
      <w:start w:val="1"/>
    </w:lvl>
  </w:abstractNum>
  <w:abstractNum w:abstractNumId="124">
    <w:nsid w:val="3F06ECB2"/>
    <w:multiLevelType w:val="hybridMultilevel"/>
    <w:lvl w:ilvl="0">
      <w:lvlJc w:val="left"/>
      <w:lvlText w:val="(%1)"/>
      <w:numFmt w:val="lowerLetter"/>
      <w:start w:val="1"/>
    </w:lvl>
    <w:lvl w:ilvl="1">
      <w:lvlJc w:val="left"/>
      <w:lvlText w:val="(%2)"/>
      <w:numFmt w:val="lowerRoman"/>
      <w:start w:val="1"/>
    </w:lvl>
  </w:abstractNum>
  <w:abstractNum w:abstractNumId="125">
    <w:nsid w:val="3B594807"/>
    <w:multiLevelType w:val="hybridMultilevel"/>
    <w:lvl w:ilvl="0">
      <w:lvlJc w:val="left"/>
      <w:lvlText w:val="%1"/>
      <w:numFmt w:val="lowerLetter"/>
      <w:start w:val="1"/>
    </w:lvl>
    <w:lvl w:ilvl="1">
      <w:lvlJc w:val="left"/>
      <w:lvlText w:val="(%2)"/>
      <w:numFmt w:val="lowerLetter"/>
      <w:start w:val="61"/>
    </w:lvl>
  </w:abstractNum>
  <w:abstractNum w:abstractNumId="126">
    <w:nsid w:val="6CAA2304"/>
    <w:multiLevelType w:val="hybridMultilevel"/>
    <w:lvl w:ilvl="0">
      <w:lvlJc w:val="left"/>
      <w:lvlText w:val="(%1)"/>
      <w:numFmt w:val="lowerLetter"/>
      <w:start w:val="2"/>
    </w:lvl>
    <w:lvl w:ilvl="1">
      <w:lvlJc w:val="left"/>
      <w:lvlText w:val="%2"/>
      <w:numFmt w:val="lowerLetter"/>
      <w:start w:val="1"/>
    </w:lvl>
  </w:abstractNum>
  <w:abstractNum w:abstractNumId="127">
    <w:nsid w:val="3F7C2FF4"/>
    <w:multiLevelType w:val="hybridMultilevel"/>
    <w:lvl w:ilvl="0">
      <w:lvlJc w:val="left"/>
      <w:lvlText w:val="%1"/>
      <w:numFmt w:val="decimal"/>
      <w:start w:val="27"/>
    </w:lvl>
  </w:abstractNum>
  <w:abstractNum w:abstractNumId="128">
    <w:nsid w:val="25413BEC"/>
    <w:multiLevelType w:val="hybridMultilevel"/>
    <w:lvl w:ilvl="0">
      <w:lvlJc w:val="left"/>
      <w:lvlText w:val="%1"/>
      <w:numFmt w:val="lowerLetter"/>
      <w:start w:val="1"/>
    </w:lvl>
    <w:lvl w:ilvl="1">
      <w:lvlJc w:val="left"/>
      <w:lvlText w:val="(%2)"/>
      <w:numFmt w:val="lowerLetter"/>
      <w:start w:val="1"/>
    </w:lvl>
  </w:abstractNum>
  <w:abstractNum w:abstractNumId="129">
    <w:nsid w:val="17180B0B"/>
    <w:multiLevelType w:val="hybridMultilevel"/>
    <w:lvl w:ilvl="0">
      <w:lvlJc w:val="left"/>
      <w:lvlText w:val="(%1)"/>
      <w:numFmt w:val="lowerLetter"/>
      <w:start w:val="2"/>
    </w:lvl>
    <w:lvl w:ilvl="1">
      <w:lvlJc w:val="left"/>
      <w:lvlText w:val="%2"/>
      <w:numFmt w:val="lowerLetter"/>
      <w:start w:val="1"/>
    </w:lvl>
  </w:abstractNum>
  <w:abstractNum w:abstractNumId="130">
    <w:nsid w:val="579328B9"/>
    <w:multiLevelType w:val="hybridMultilevel"/>
    <w:lvl w:ilvl="0">
      <w:lvlJc w:val="left"/>
      <w:lvlText w:val="(%1)"/>
      <w:numFmt w:val="lowerLetter"/>
      <w:start w:val="3"/>
    </w:lvl>
  </w:abstractNum>
  <w:abstractNum w:abstractNumId="131">
    <w:nsid w:val="5D205E20"/>
    <w:multiLevelType w:val="hybridMultilevel"/>
    <w:lvl w:ilvl="0">
      <w:lvlJc w:val="left"/>
      <w:lvlText w:val="%1"/>
      <w:numFmt w:val="decimal"/>
      <w:start w:val="28"/>
    </w:lvl>
  </w:abstractNum>
  <w:abstractNum w:abstractNumId="132">
    <w:nsid w:val="11CCA8BA"/>
    <w:multiLevelType w:val="hybridMultilevel"/>
    <w:lvl w:ilvl="0">
      <w:lvlJc w:val="left"/>
      <w:lvlText w:val="%1"/>
      <w:numFmt w:val="decimal"/>
      <w:start w:val="29"/>
    </w:lvl>
  </w:abstractNum>
  <w:abstractNum w:abstractNumId="133">
    <w:nsid w:val="4D32AB86"/>
    <w:multiLevelType w:val="hybridMultilevel"/>
    <w:lvl w:ilvl="0">
      <w:lvlJc w:val="left"/>
      <w:lvlText w:val="%1."/>
      <w:numFmt w:val="decimal"/>
      <w:start w:val="2"/>
    </w:lvl>
    <w:lvl w:ilvl="1">
      <w:lvlJc w:val="left"/>
      <w:lvlText w:val="(%2)"/>
      <w:numFmt w:val="lowerLetter"/>
      <w:start w:val="1"/>
    </w:lvl>
  </w:abstractNum>
  <w:abstractNum w:abstractNumId="134">
    <w:nsid w:val="3F07ACC3"/>
    <w:multiLevelType w:val="hybridMultilevel"/>
    <w:lvl w:ilvl="0">
      <w:lvlJc w:val="left"/>
      <w:lvlText w:val="(%1)"/>
      <w:numFmt w:val="lowerLetter"/>
      <w:start w:val="1"/>
    </w:lvl>
  </w:abstractNum>
  <w:abstractNum w:abstractNumId="135">
    <w:nsid w:val="6B47F63E"/>
    <w:multiLevelType w:val="hybridMultilevel"/>
    <w:lvl w:ilvl="0">
      <w:lvlJc w:val="left"/>
      <w:lvlText w:val="(%1)"/>
      <w:numFmt w:val="lowerLetter"/>
      <w:start w:val="1"/>
    </w:lvl>
  </w:abstractNum>
  <w:abstractNum w:abstractNumId="136">
    <w:nsid w:val="5CB44A05"/>
    <w:multiLevelType w:val="hybridMultilevel"/>
    <w:lvl w:ilvl="0">
      <w:lvlJc w:val="left"/>
      <w:lvlText w:val="%1."/>
      <w:numFmt w:val="decimal"/>
      <w:start w:val="4"/>
    </w:lvl>
  </w:abstractNum>
  <w:abstractNum w:abstractNumId="137">
    <w:nsid w:val="16CF80F1"/>
    <w:multiLevelType w:val="hybridMultilevel"/>
    <w:lvl w:ilvl="0">
      <w:lvlJc w:val="left"/>
      <w:lvlText w:val="%1."/>
      <w:numFmt w:val="decimal"/>
      <w:start w:val="5"/>
    </w:lvl>
  </w:abstractNum>
  <w:abstractNum w:abstractNumId="138">
    <w:nsid w:val="1C695DEC"/>
    <w:multiLevelType w:val="hybridMultilevel"/>
    <w:lvl w:ilvl="0">
      <w:lvlJc w:val="left"/>
      <w:lvlText w:val="%1"/>
      <w:numFmt w:val="decimal"/>
      <w:start w:val="1"/>
    </w:lvl>
    <w:lvl w:ilvl="1">
      <w:lvlJc w:val="left"/>
      <w:lvlText w:val="(%2)"/>
      <w:numFmt w:val="lowerLetter"/>
      <w:start w:val="1"/>
    </w:lvl>
  </w:abstractNum>
  <w:abstractNum w:abstractNumId="139">
    <w:nsid w:val="3FCFAED9"/>
    <w:multiLevelType w:val="hybridMultilevel"/>
    <w:lvl w:ilvl="0">
      <w:lvlJc w:val="left"/>
      <w:lvlText w:val="%1."/>
      <w:numFmt w:val="decimal"/>
      <w:start w:val="6"/>
    </w:lvl>
    <w:lvl w:ilvl="1">
      <w:lvlJc w:val="left"/>
      <w:lvlText w:val="%2"/>
      <w:numFmt w:val="lowerLetter"/>
      <w:start w:val="1"/>
    </w:lvl>
  </w:abstractNum>
  <w:abstractNum w:abstractNumId="140">
    <w:nsid w:val="F856867"/>
    <w:multiLevelType w:val="hybridMultilevel"/>
    <w:lvl w:ilvl="0">
      <w:lvlJc w:val="left"/>
      <w:lvlText w:val="[***]"/>
      <w:numFmt w:val="bullet"/>
      <w:start w:val="1"/>
    </w:lvl>
  </w:abstractNum>
  <w:abstractNum w:abstractNumId="141">
    <w:nsid w:val="11B1CC33"/>
    <w:multiLevelType w:val="hybridMultilevel"/>
    <w:lvl w:ilvl="0">
      <w:lvlJc w:val="left"/>
      <w:lvlText w:val="%1."/>
      <w:numFmt w:val="decimal"/>
      <w:start w:val="1"/>
    </w:lvl>
  </w:abstractNum>
  <w:abstractNum w:abstractNumId="142">
    <w:nsid w:val="2E22FBB7"/>
    <w:multiLevelType w:val="hybridMultilevel"/>
    <w:lvl w:ilvl="0">
      <w:lvlJc w:val="left"/>
      <w:lvlText w:val="%1."/>
      <w:numFmt w:val="decimal"/>
      <w:start w:val="4"/>
    </w:lvl>
  </w:abstractNum>
  <w:abstractNum w:abstractNumId="143">
    <w:nsid w:val="29934699"/>
    <w:multiLevelType w:val="hybridMultilevel"/>
    <w:lvl w:ilvl="0">
      <w:lvlJc w:val="left"/>
      <w:lvlText w:val="[***]"/>
      <w:numFmt w:val="bullet"/>
      <w:start w:val="1"/>
    </w:lvl>
  </w:abstractNum>
  <w:abstractNum w:abstractNumId="144">
    <w:nsid w:val="7748585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5">
    <w:nsid w:val="744939A3"/>
    <w:multiLevelType w:val="hybridMultilevel"/>
    <w:lvl w:ilvl="0">
      <w:lvlJc w:val="left"/>
      <w:lvlText w:val="(%1)"/>
      <w:numFmt w:val="lowerLetter"/>
      <w:start w:val="3"/>
    </w:lvl>
  </w:abstractNum>
  <w:abstractNum w:abstractNumId="146">
    <w:nsid w:val="4FA0D2E3"/>
    <w:multiLevelType w:val="hybridMultilevel"/>
    <w:lvl w:ilvl="0">
      <w:lvlJc w:val="left"/>
      <w:lvlText w:val="%1"/>
      <w:numFmt w:val="decimal"/>
      <w:start w:val="1"/>
    </w:lvl>
    <w:lvl w:ilvl="1">
      <w:lvlJc w:val="left"/>
      <w:lvlText w:val="(%2)"/>
      <w:numFmt w:val="lowerLetter"/>
      <w:start w:val="5"/>
    </w:lvl>
  </w:abstractNum>
  <w:abstractNum w:abstractNumId="147">
    <w:nsid w:val="6B1D2C14"/>
    <w:multiLevelType w:val="hybridMultilevel"/>
    <w:lvl w:ilvl="0">
      <w:lvlJc w:val="left"/>
      <w:lvlText w:val="%1."/>
      <w:numFmt w:val="decimal"/>
      <w:start w:val="4"/>
    </w:lvl>
    <w:lvl w:ilvl="1">
      <w:lvlJc w:val="left"/>
      <w:lvlText w:val="(%2)"/>
      <w:numFmt w:val="lowerLetter"/>
      <w:start w:val="1"/>
    </w:lvl>
  </w:abstractNum>
  <w:abstractNum w:abstractNumId="148">
    <w:nsid w:val="68B867D3"/>
    <w:multiLevelType w:val="hybridMultilevel"/>
    <w:lvl w:ilvl="0">
      <w:lvlJc w:val="left"/>
      <w:lvlText w:val="%1"/>
      <w:numFmt w:val="decimal"/>
      <w:start w:val="1"/>
    </w:lvl>
    <w:lvl w:ilvl="1">
      <w:lvlJc w:val="left"/>
      <w:lvlText w:val="(%2)"/>
      <w:numFmt w:val="lowerLetter"/>
      <w:start w:val="2"/>
    </w:lvl>
  </w:abstractNum>
  <w:abstractNum w:abstractNumId="149">
    <w:nsid w:val="3F7F5DD9"/>
    <w:multiLevelType w:val="hybridMultilevel"/>
    <w:lvl w:ilvl="0">
      <w:lvlJc w:val="left"/>
      <w:lvlText w:val="%1."/>
      <w:numFmt w:val="decimal"/>
      <w:start w:val="7"/>
    </w:lvl>
    <w:lvl w:ilvl="1">
      <w:lvlJc w:val="left"/>
      <w:lvlText w:val="(%2)"/>
      <w:numFmt w:val="lowerLetter"/>
      <w:start w:val="1"/>
    </w:lvl>
  </w:abstractNum>
  <w:abstractNum w:abstractNumId="150">
    <w:nsid w:val="2AE05A3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51">
    <w:nsid w:val="32794FF7"/>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152">
    <w:nsid w:val="5454945E"/>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abstractNum>
  <w:abstractNum w:abstractNumId="153">
    <w:nsid w:val="4DEFDFA0"/>
    <w:multiLevelType w:val="hybridMultilevel"/>
    <w:lvl w:ilvl="0">
      <w:lvlJc w:val="left"/>
      <w:lvlText w:val="(%1)"/>
      <w:numFmt w:val="decimal"/>
      <w:start w:val="1"/>
    </w:lvl>
  </w:abstractNum>
  <w:abstractNum w:abstractNumId="154">
    <w:nsid w:val="2123D5F2"/>
    <w:multiLevelType w:val="hybridMultilevel"/>
    <w:lvl w:ilvl="0">
      <w:lvlJc w:val="left"/>
      <w:lvlText w:val="(%1)"/>
      <w:numFmt w:val="decimal"/>
      <w:start w:val="1"/>
    </w:lvl>
  </w:abstractNum>
  <w:abstractNum w:abstractNumId="155">
    <w:nsid w:val="135B8110"/>
    <w:multiLevelType w:val="hybridMultilevel"/>
    <w:lvl w:ilvl="0">
      <w:lvlJc w:val="left"/>
      <w:lvlText w:val="%1."/>
      <w:numFmt w:val="decimal"/>
      <w:start w:val="112"/>
    </w:lvl>
  </w:abstractNum>
  <w:abstractNum w:abstractNumId="156">
    <w:nsid w:val="94927A8"/>
    <w:multiLevelType w:val="hybridMultilevel"/>
    <w:lvl w:ilvl="0">
      <w:lvlJc w:val="left"/>
      <w:lvlText w:val="%1."/>
      <w:numFmt w:val="decimal"/>
      <w:start w:val="116"/>
    </w:lvl>
  </w:abstractNum>
  <w:abstractNum w:abstractNumId="157">
    <w:nsid w:val="DCDF8F6"/>
    <w:multiLevelType w:val="hybridMultilevel"/>
    <w:lvl w:ilvl="0">
      <w:lvlJc w:val="left"/>
      <w:lvlText w:val="%1."/>
      <w:numFmt w:val="decimal"/>
      <w:start w:val="120"/>
    </w:lvl>
  </w:abstractNum>
  <w:abstractNum w:abstractNumId="158">
    <w:nsid w:val="52D7B105"/>
    <w:multiLevelType w:val="hybridMultilevel"/>
    <w:lvl w:ilvl="0">
      <w:lvlJc w:val="left"/>
      <w:lvlText w:val="(%1)"/>
      <w:numFmt w:val="lowerRoman"/>
      <w:start w:val="6"/>
    </w:lvl>
    <w:lvl w:ilvl="1">
      <w:lvlJc w:val="left"/>
      <w:lvlText w:val="%2."/>
      <w:numFmt w:val="upperLetter"/>
      <w:start w:val="2"/>
    </w:lvl>
  </w:abstractNum>
  <w:abstractNum w:abstractNumId="159">
    <w:nsid w:val="2E8A6394"/>
    <w:multiLevelType w:val="hybridMultilevel"/>
    <w:lvl w:ilvl="0">
      <w:lvlJc w:val="left"/>
      <w:lvlText w:val="%1."/>
      <w:numFmt w:val="decimal"/>
      <w:start w:val="1"/>
    </w:lvl>
  </w:abstractNum>
  <w:abstractNum w:abstractNumId="160">
    <w:nsid w:val="24E60401"/>
    <w:multiLevelType w:val="hybridMultilevel"/>
    <w:lvl w:ilvl="0">
      <w:lvlJc w:val="left"/>
      <w:lvlText w:val="%1."/>
      <w:numFmt w:val="decimal"/>
      <w:start w:val="3"/>
    </w:lvl>
  </w:abstractNum>
  <w:abstractNum w:abstractNumId="161">
    <w:nsid w:val="2A6AD9BE"/>
    <w:multiLevelType w:val="hybridMultilevel"/>
    <w:lvl w:ilvl="0">
      <w:lvlJc w:val="left"/>
      <w:lvlText w:val="%1."/>
      <w:numFmt w:val="decimal"/>
      <w:start w:val="4"/>
    </w:lvl>
    <w:lvl w:ilvl="1">
      <w:lvlJc w:val="left"/>
      <w:lvlText w:val="(%2)"/>
      <w:numFmt w:val="lowerLetter"/>
      <w:start w:val="1"/>
    </w:lvl>
  </w:abstractNum>
  <w:abstractNum w:abstractNumId="162">
    <w:nsid w:val="BAAC1B4"/>
    <w:multiLevelType w:val="hybridMultilevel"/>
    <w:lvl w:ilvl="0">
      <w:lvlJc w:val="left"/>
      <w:lvlText w:val="%1."/>
      <w:numFmt w:val="decimal"/>
      <w:start w:val="5"/>
    </w:lvl>
  </w:abstractNum>
  <w:abstractNum w:abstractNumId="163">
    <w:nsid w:val="36B2ACBC"/>
    <w:multiLevelType w:val="hybridMultilevel"/>
    <w:lvl w:ilvl="0">
      <w:lvlJc w:val="left"/>
      <w:lvlText w:val="%1."/>
      <w:numFmt w:val="decimal"/>
      <w:start w:val="7"/>
    </w:lvl>
  </w:abstractNum>
  <w:abstractNum w:abstractNumId="164">
    <w:nsid w:val="779D8544"/>
    <w:multiLevelType w:val="hybridMultilevel"/>
    <w:lvl w:ilvl="0">
      <w:lvlJc w:val="left"/>
      <w:lvlText w:val="%1."/>
      <w:numFmt w:val="decimal"/>
      <w:start w:val="9"/>
    </w:lvl>
  </w:abstractNum>
  <w:abstractNum w:abstractNumId="165">
    <w:nsid w:val="4AB26E78"/>
    <w:multiLevelType w:val="hybridMultilevel"/>
    <w:lvl w:ilvl="0">
      <w:lvlJc w:val="left"/>
      <w:lvlText w:val=","/>
      <w:numFmt w:val="bullet"/>
      <w:start w:val="1"/>
    </w:lvl>
  </w:abstractNum>
  <w:abstractNum w:abstractNumId="166">
    <w:nsid w:val="21FAA2FA"/>
    <w:multiLevelType w:val="hybridMultilevel"/>
    <w:lvl w:ilvl="0">
      <w:lvlJc w:val="left"/>
      <w:lvlText w:val=","/>
      <w:numFmt w:val="bullet"/>
      <w:start w:val="1"/>
    </w:lvl>
  </w:abstractNum>
  <w:abstractNum w:abstractNumId="167">
    <w:nsid w:val="5451CF49"/>
    <w:multiLevelType w:val="hybridMultilevel"/>
    <w:lvl w:ilvl="0">
      <w:lvlJc w:val="left"/>
      <w:lvlText w:val="%1."/>
      <w:numFmt w:val="upperLetter"/>
      <w:start w:val="1"/>
    </w:lvl>
  </w:abstractNum>
  <w:abstractNum w:abstractNumId="168">
    <w:nsid w:val="6181EF69"/>
    <w:multiLevelType w:val="hybridMultilevel"/>
    <w:lvl w:ilvl="0">
      <w:lvlJc w:val="left"/>
      <w:lvlText w:val="□"/>
      <w:numFmt w:val="bullet"/>
      <w:start w:val="1"/>
    </w:lvl>
  </w:abstractNum>
  <w:abstractNum w:abstractNumId="169">
    <w:nsid w:val="3E6400E6"/>
    <w:multiLevelType w:val="hybridMultilevel"/>
    <w:lvl w:ilvl="0">
      <w:lvlJc w:val="left"/>
      <w:lvlText w:val="□"/>
      <w:numFmt w:val="bullet"/>
      <w:start w:val="1"/>
    </w:lvl>
  </w:abstractNum>
  <w:abstractNum w:abstractNumId="170">
    <w:nsid w:val="14217E23"/>
    <w:multiLevelType w:val="hybridMultilevel"/>
    <w:lvl w:ilvl="0">
      <w:lvlJc w:val="left"/>
      <w:lvlText w:val="%1."/>
      <w:numFmt w:val="decimal"/>
      <w:start w:val="2"/>
    </w:lvl>
    <w:lvl w:ilvl="1">
      <w:lvlJc w:val="left"/>
      <w:lvlText w:val="(%2)"/>
      <w:numFmt w:val="lowerLetter"/>
      <w:start w:val="1"/>
    </w:lvl>
  </w:abstractNum>
  <w:abstractNum w:abstractNumId="171">
    <w:nsid w:val="710757D0"/>
    <w:multiLevelType w:val="hybridMultilevel"/>
    <w:lvl w:ilvl="0">
      <w:lvlJc w:val="left"/>
      <w:lvlText w:val="(%1)"/>
      <w:numFmt w:val="lowerLetter"/>
      <w:start w:val="3"/>
    </w:lvl>
  </w:abstractNum>
  <w:abstractNum w:abstractNumId="172">
    <w:nsid w:val="5015CD1A"/>
    <w:multiLevelType w:val="hybridMultilevel"/>
    <w:lvl w:ilvl="0">
      <w:lvlJc w:val="left"/>
      <w:lvlText w:val="(%1)"/>
      <w:numFmt w:val="decimal"/>
      <w:start w:val="2"/>
    </w:lvl>
  </w:abstractNum>
  <w:abstractNum w:abstractNumId="173">
    <w:nsid w:val="424479DA"/>
    <w:multiLevelType w:val="hybridMultilevel"/>
    <w:lvl w:ilvl="0">
      <w:lvlJc w:val="left"/>
      <w:lvlText w:val="(%1)"/>
      <w:numFmt w:val="lowerLetter"/>
      <w:start w:val="1"/>
    </w:lvl>
  </w:abstractNum>
  <w:abstractNum w:abstractNumId="174">
    <w:nsid w:val="1A9A9E69"/>
    <w:multiLevelType w:val="hybridMultilevel"/>
    <w:lvl w:ilvl="0">
      <w:lvlJc w:val="left"/>
      <w:lvlText w:val="1"/>
      <w:numFmt w:val="bullet"/>
      <w:start w:val="1"/>
    </w:lvl>
  </w:abstractNum>
  <w:abstractNum w:abstractNumId="175">
    <w:nsid w:val="475E256A"/>
    <w:multiLevelType w:val="hybridMultilevel"/>
    <w:lvl w:ilvl="0">
      <w:lvlJc w:val="left"/>
      <w:lvlText w:val="%1."/>
      <w:numFmt w:val="decimal"/>
      <w:start w:val="7"/>
    </w:lvl>
  </w:abstractNum>
  <w:abstractNum w:abstractNumId="176">
    <w:nsid w:val="368DB37E"/>
    <w:multiLevelType w:val="hybridMultilevel"/>
    <w:lvl w:ilvl="0">
      <w:lvlJc w:val="left"/>
      <w:lvlText w:val="(%1)"/>
      <w:numFmt w:val="decimal"/>
      <w:start w:val="1"/>
    </w:lvl>
  </w:abstractNum>
  <w:abstractNum w:abstractNumId="177">
    <w:nsid w:val="6A3B714C"/>
    <w:multiLevelType w:val="hybridMultilevel"/>
    <w:lvl w:ilvl="0">
      <w:lvlJc w:val="left"/>
      <w:lvlText w:val="•"/>
      <w:numFmt w:val="bullet"/>
      <w:start w:val="1"/>
    </w:lvl>
  </w:abstractNum>
  <w:abstractNum w:abstractNumId="178">
    <w:nsid w:val="327B517E"/>
    <w:multiLevelType w:val="hybridMultilevel"/>
    <w:lvl w:ilvl="0">
      <w:lvlJc w:val="left"/>
      <w:lvlText w:val="•"/>
      <w:numFmt w:val="bullet"/>
      <w:start w:val="1"/>
    </w:lvl>
  </w:abstractNum>
  <w:abstractNum w:abstractNumId="179">
    <w:nsid w:val="1F461B51"/>
    <w:multiLevelType w:val="hybridMultilevel"/>
    <w:lvl w:ilvl="0">
      <w:lvlJc w:val="left"/>
      <w:lvlText w:val="•"/>
      <w:numFmt w:val="bullet"/>
      <w:start w:val="1"/>
    </w:lvl>
  </w:abstractNum>
  <w:abstractNum w:abstractNumId="180">
    <w:nsid w:val="29BACF25"/>
    <w:multiLevelType w:val="hybridMultilevel"/>
    <w:lvl w:ilvl="0">
      <w:lvlJc w:val="left"/>
      <w:lvlText w:val="•"/>
      <w:numFmt w:val="bullet"/>
      <w:start w:val="1"/>
    </w:lvl>
  </w:abstractNum>
  <w:abstractNum w:abstractNumId="181">
    <w:nsid w:val="5D5BABB3"/>
    <w:multiLevelType w:val="hybridMultilevel"/>
    <w:lvl w:ilvl="0">
      <w:lvlJc w:val="left"/>
      <w:lvlText w:val="(%1)"/>
      <w:numFmt w:val="decimal"/>
      <w:start w:val="1"/>
    </w:lvl>
  </w:abstractNum>
  <w:abstractNum w:abstractNumId="182">
    <w:nsid w:val="51BF6B48"/>
    <w:multiLevelType w:val="hybridMultilevel"/>
    <w:lvl w:ilvl="0">
      <w:lvlJc w:val="left"/>
      <w:lvlText w:val="%1."/>
      <w:numFmt w:val="decimal"/>
      <w:start w:val="1"/>
    </w:lvl>
    <w:lvl w:ilvl="1">
      <w:lvlJc w:val="left"/>
      <w:lvlText w:val="%2)"/>
      <w:numFmt w:val="lowerLetter"/>
      <w:start w:val="1"/>
    </w:lvl>
  </w:abstractNum>
  <w:abstractNum w:abstractNumId="183">
    <w:nsid w:val="7E0F6384"/>
    <w:multiLevelType w:val="hybridMultilevel"/>
    <w:lvl w:ilvl="0">
      <w:lvlJc w:val="left"/>
      <w:lvlText w:val="%1."/>
      <w:numFmt w:val="decimal"/>
      <w:start w:val="1"/>
    </w:lvl>
    <w:lvl w:ilvl="1">
      <w:lvlJc w:val="left"/>
      <w:lvlText w:val="%2."/>
      <w:numFmt w:val="decimal"/>
      <w:start w:val="1"/>
    </w:lvl>
  </w:abstractNum>
  <w:abstractNum w:abstractNumId="184">
    <w:nsid w:val="2B4B8B5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33" Type="http://schemas.openxmlformats.org/officeDocument/2006/relationships/image" Target="media/image112.png"/><Relationship Id="rId134" Type="http://schemas.openxmlformats.org/officeDocument/2006/relationships/image" Target="media/image113.png"/><Relationship Id="rId151" Type="http://schemas.openxmlformats.org/officeDocument/2006/relationships/image" Target="media/image114.png"/><Relationship Id="rId153" Type="http://schemas.openxmlformats.org/officeDocument/2006/relationships/image" Target="media/image115.png"/><Relationship Id="rId154" Type="http://schemas.openxmlformats.org/officeDocument/2006/relationships/image" Target="media/image116.png"/><Relationship Id="rId156" Type="http://schemas.openxmlformats.org/officeDocument/2006/relationships/image" Target="media/image117.png"/><Relationship Id="rId157" Type="http://schemas.openxmlformats.org/officeDocument/2006/relationships/image" Target="media/image118.png"/><Relationship Id="rId159" Type="http://schemas.openxmlformats.org/officeDocument/2006/relationships/image" Target="media/image119.png"/><Relationship Id="rId161" Type="http://schemas.openxmlformats.org/officeDocument/2006/relationships/image" Target="media/image120.png"/><Relationship Id="rId163" Type="http://schemas.openxmlformats.org/officeDocument/2006/relationships/image" Target="media/image121.png"/><Relationship Id="rId164" Type="http://schemas.openxmlformats.org/officeDocument/2006/relationships/image" Target="media/image122.png"/><Relationship Id="rId167" Type="http://schemas.openxmlformats.org/officeDocument/2006/relationships/image" Target="media/image123.png"/><Relationship Id="rId168" Type="http://schemas.openxmlformats.org/officeDocument/2006/relationships/image" Target="media/image124.png"/><Relationship Id="rId169" Type="http://schemas.openxmlformats.org/officeDocument/2006/relationships/image" Target="media/image125.png"/><Relationship Id="rId171" Type="http://schemas.openxmlformats.org/officeDocument/2006/relationships/image" Target="media/image126.png"/><Relationship Id="rId172" Type="http://schemas.openxmlformats.org/officeDocument/2006/relationships/image" Target="media/image127.png"/><Relationship Id="rId174" Type="http://schemas.openxmlformats.org/officeDocument/2006/relationships/image" Target="media/image128.png"/><Relationship Id="rId175" Type="http://schemas.openxmlformats.org/officeDocument/2006/relationships/image" Target="media/image129.png"/><Relationship Id="rId177" Type="http://schemas.openxmlformats.org/officeDocument/2006/relationships/image" Target="media/image130.png"/><Relationship Id="rId178" Type="http://schemas.openxmlformats.org/officeDocument/2006/relationships/image" Target="media/image131.png"/><Relationship Id="rId180" Type="http://schemas.openxmlformats.org/officeDocument/2006/relationships/image" Target="media/image132.png"/><Relationship Id="rId182" Type="http://schemas.openxmlformats.org/officeDocument/2006/relationships/image" Target="media/image133.png"/><Relationship Id="rId183" Type="http://schemas.openxmlformats.org/officeDocument/2006/relationships/image" Target="media/image134.png"/><Relationship Id="rId185" Type="http://schemas.openxmlformats.org/officeDocument/2006/relationships/image" Target="media/image135.png"/><Relationship Id="rId187" Type="http://schemas.openxmlformats.org/officeDocument/2006/relationships/image" Target="media/image136.png"/><Relationship Id="rId189" Type="http://schemas.openxmlformats.org/officeDocument/2006/relationships/image" Target="media/image137.png"/><Relationship Id="rId191" Type="http://schemas.openxmlformats.org/officeDocument/2006/relationships/image" Target="media/image138.png"/><Relationship Id="rId193" Type="http://schemas.openxmlformats.org/officeDocument/2006/relationships/image" Target="media/image139.png"/><Relationship Id="rId195" Type="http://schemas.openxmlformats.org/officeDocument/2006/relationships/image" Target="media/image140.png"/><Relationship Id="rId197" Type="http://schemas.openxmlformats.org/officeDocument/2006/relationships/image" Target="media/image141.png"/><Relationship Id="rId198" Type="http://schemas.openxmlformats.org/officeDocument/2006/relationships/image" Target="media/image142.png"/><Relationship Id="rId200" Type="http://schemas.openxmlformats.org/officeDocument/2006/relationships/image" Target="media/image143.png"/><Relationship Id="rId202" Type="http://schemas.openxmlformats.org/officeDocument/2006/relationships/image" Target="media/image144.png"/><Relationship Id="rId204" Type="http://schemas.openxmlformats.org/officeDocument/2006/relationships/image" Target="media/image145.png"/><Relationship Id="rId206" Type="http://schemas.openxmlformats.org/officeDocument/2006/relationships/image" Target="media/image146.png"/><Relationship Id="rId207" Type="http://schemas.openxmlformats.org/officeDocument/2006/relationships/image" Target="media/image147.png"/><Relationship Id="rId209" Type="http://schemas.openxmlformats.org/officeDocument/2006/relationships/image" Target="media/image148.png"/><Relationship Id="rId210" Type="http://schemas.openxmlformats.org/officeDocument/2006/relationships/image" Target="media/image149.png"/><Relationship Id="rId211" Type="http://schemas.openxmlformats.org/officeDocument/2006/relationships/image" Target="media/image150.png"/><Relationship Id="rId213" Type="http://schemas.openxmlformats.org/officeDocument/2006/relationships/image" Target="media/image151.png"/><Relationship Id="rId214" Type="http://schemas.openxmlformats.org/officeDocument/2006/relationships/image" Target="media/image152.png"/><Relationship Id="rId215" Type="http://schemas.openxmlformats.org/officeDocument/2006/relationships/image" Target="media/image153.png"/><Relationship Id="rId216" Type="http://schemas.openxmlformats.org/officeDocument/2006/relationships/image" Target="media/image154.png"/><Relationship Id="rId218" Type="http://schemas.openxmlformats.org/officeDocument/2006/relationships/image" Target="media/image155.png"/><Relationship Id="rId219" Type="http://schemas.openxmlformats.org/officeDocument/2006/relationships/image" Target="media/image156.png"/><Relationship Id="rId220" Type="http://schemas.openxmlformats.org/officeDocument/2006/relationships/image" Target="media/image157.png"/><Relationship Id="rId222" Type="http://schemas.openxmlformats.org/officeDocument/2006/relationships/image" Target="media/image158.png"/><Relationship Id="rId223" Type="http://schemas.openxmlformats.org/officeDocument/2006/relationships/image" Target="media/image159.png"/><Relationship Id="rId225" Type="http://schemas.openxmlformats.org/officeDocument/2006/relationships/image" Target="media/image160.png"/><Relationship Id="rId226" Type="http://schemas.openxmlformats.org/officeDocument/2006/relationships/image" Target="media/image161.png"/><Relationship Id="rId228" Type="http://schemas.openxmlformats.org/officeDocument/2006/relationships/image" Target="media/image162.png"/><Relationship Id="rId229" Type="http://schemas.openxmlformats.org/officeDocument/2006/relationships/image" Target="media/image163.png"/><Relationship Id="rId231" Type="http://schemas.openxmlformats.org/officeDocument/2006/relationships/image" Target="media/image164.png"/><Relationship Id="rId232" Type="http://schemas.openxmlformats.org/officeDocument/2006/relationships/image" Target="media/image165.png"/><Relationship Id="rId234" Type="http://schemas.openxmlformats.org/officeDocument/2006/relationships/image" Target="media/image166.png"/><Relationship Id="rId235" Type="http://schemas.openxmlformats.org/officeDocument/2006/relationships/image" Target="media/image167.png"/><Relationship Id="rId237" Type="http://schemas.openxmlformats.org/officeDocument/2006/relationships/image" Target="media/image168.png"/><Relationship Id="rId238" Type="http://schemas.openxmlformats.org/officeDocument/2006/relationships/image" Target="media/image169.png"/><Relationship Id="rId240" Type="http://schemas.openxmlformats.org/officeDocument/2006/relationships/image" Target="media/image170.png"/><Relationship Id="rId241" Type="http://schemas.openxmlformats.org/officeDocument/2006/relationships/image" Target="media/image171.png"/><Relationship Id="rId243" Type="http://schemas.openxmlformats.org/officeDocument/2006/relationships/image" Target="media/image172.png"/><Relationship Id="rId244" Type="http://schemas.openxmlformats.org/officeDocument/2006/relationships/image" Target="media/image173.png"/><Relationship Id="rId246" Type="http://schemas.openxmlformats.org/officeDocument/2006/relationships/image" Target="media/image174.png"/><Relationship Id="rId247" Type="http://schemas.openxmlformats.org/officeDocument/2006/relationships/image" Target="media/image175.png"/><Relationship Id="rId249" Type="http://schemas.openxmlformats.org/officeDocument/2006/relationships/image" Target="media/image176.png"/><Relationship Id="rId250" Type="http://schemas.openxmlformats.org/officeDocument/2006/relationships/image" Target="media/image177.png"/><Relationship Id="rId252" Type="http://schemas.openxmlformats.org/officeDocument/2006/relationships/image" Target="media/image178.png"/><Relationship Id="rId253" Type="http://schemas.openxmlformats.org/officeDocument/2006/relationships/image" Target="media/image179.png"/><Relationship Id="rId255" Type="http://schemas.openxmlformats.org/officeDocument/2006/relationships/image" Target="media/image180.png"/><Relationship Id="rId256" Type="http://schemas.openxmlformats.org/officeDocument/2006/relationships/image" Target="media/image181.png"/><Relationship Id="rId258" Type="http://schemas.openxmlformats.org/officeDocument/2006/relationships/image" Target="media/image182.png"/><Relationship Id="rId259" Type="http://schemas.openxmlformats.org/officeDocument/2006/relationships/image" Target="media/image183.png"/><Relationship Id="rId261" Type="http://schemas.openxmlformats.org/officeDocument/2006/relationships/image" Target="media/image184.png"/><Relationship Id="rId262" Type="http://schemas.openxmlformats.org/officeDocument/2006/relationships/image" Target="media/image185.png"/><Relationship Id="rId264" Type="http://schemas.openxmlformats.org/officeDocument/2006/relationships/image" Target="media/image186.png"/><Relationship Id="rId265" Type="http://schemas.openxmlformats.org/officeDocument/2006/relationships/image" Target="media/image187.png"/><Relationship Id="rId267" Type="http://schemas.openxmlformats.org/officeDocument/2006/relationships/image" Target="media/image188.png"/><Relationship Id="rId268" Type="http://schemas.openxmlformats.org/officeDocument/2006/relationships/image" Target="media/image189.png"/><Relationship Id="rId270" Type="http://schemas.openxmlformats.org/officeDocument/2006/relationships/image" Target="media/image190.png"/><Relationship Id="rId272" Type="http://schemas.openxmlformats.org/officeDocument/2006/relationships/image" Target="media/image191.png"/><Relationship Id="rId273" Type="http://schemas.openxmlformats.org/officeDocument/2006/relationships/image" Target="media/image192.png"/><Relationship Id="rId274" Type="http://schemas.openxmlformats.org/officeDocument/2006/relationships/image" Target="media/image193.png"/><Relationship Id="rId289" Type="http://schemas.openxmlformats.org/officeDocument/2006/relationships/image" Target="media/image194.png"/><Relationship Id="rId290" Type="http://schemas.openxmlformats.org/officeDocument/2006/relationships/image" Target="media/image195.png"/><Relationship Id="rId297" Type="http://schemas.openxmlformats.org/officeDocument/2006/relationships/image" Target="media/image196.png"/><Relationship Id="rId298" Type="http://schemas.openxmlformats.org/officeDocument/2006/relationships/image" Target="media/image197.png"/><Relationship Id="rId299" Type="http://schemas.openxmlformats.org/officeDocument/2006/relationships/image" Target="media/image198.png"/><Relationship Id="rId300" Type="http://schemas.openxmlformats.org/officeDocument/2006/relationships/image" Target="media/image199.png"/><Relationship Id="rId301" Type="http://schemas.openxmlformats.org/officeDocument/2006/relationships/image" Target="media/image200.png"/><Relationship Id="rId302" Type="http://schemas.openxmlformats.org/officeDocument/2006/relationships/image" Target="media/image201.png"/><Relationship Id="rId303" Type="http://schemas.openxmlformats.org/officeDocument/2006/relationships/image" Target="media/image202.png"/><Relationship Id="rId304" Type="http://schemas.openxmlformats.org/officeDocument/2006/relationships/image" Target="media/image203.png"/><Relationship Id="rId305" Type="http://schemas.openxmlformats.org/officeDocument/2006/relationships/image" Target="media/image204.png"/><Relationship Id="rId306" Type="http://schemas.openxmlformats.org/officeDocument/2006/relationships/image" Target="media/image205.png"/><Relationship Id="rId307" Type="http://schemas.openxmlformats.org/officeDocument/2006/relationships/image" Target="media/image206.png"/><Relationship Id="rId308" Type="http://schemas.openxmlformats.org/officeDocument/2006/relationships/image" Target="media/image207.png"/><Relationship Id="rId309" Type="http://schemas.openxmlformats.org/officeDocument/2006/relationships/image" Target="media/image208.png"/><Relationship Id="rId310" Type="http://schemas.openxmlformats.org/officeDocument/2006/relationships/image" Target="media/image209.png"/><Relationship Id="rId311" Type="http://schemas.openxmlformats.org/officeDocument/2006/relationships/image" Target="media/image210.png"/><Relationship Id="rId312" Type="http://schemas.openxmlformats.org/officeDocument/2006/relationships/image" Target="media/image211.png"/><Relationship Id="rId313" Type="http://schemas.openxmlformats.org/officeDocument/2006/relationships/image" Target="media/image212.png"/><Relationship Id="rId314" Type="http://schemas.openxmlformats.org/officeDocument/2006/relationships/image" Target="media/image213.png"/><Relationship Id="rId315" Type="http://schemas.openxmlformats.org/officeDocument/2006/relationships/image" Target="media/image214.png"/><Relationship Id="rId316" Type="http://schemas.openxmlformats.org/officeDocument/2006/relationships/image" Target="media/image215.png"/><Relationship Id="rId317" Type="http://schemas.openxmlformats.org/officeDocument/2006/relationships/image" Target="media/image216.png"/><Relationship Id="rId318" Type="http://schemas.openxmlformats.org/officeDocument/2006/relationships/image" Target="media/image217.png"/><Relationship Id="rId319" Type="http://schemas.openxmlformats.org/officeDocument/2006/relationships/image" Target="media/image218.png"/><Relationship Id="rId320" Type="http://schemas.openxmlformats.org/officeDocument/2006/relationships/image" Target="media/image219.png"/><Relationship Id="rId321" Type="http://schemas.openxmlformats.org/officeDocument/2006/relationships/image" Target="media/image220.png"/><Relationship Id="rId322" Type="http://schemas.openxmlformats.org/officeDocument/2006/relationships/image" Target="media/image221.png"/><Relationship Id="rId323" Type="http://schemas.openxmlformats.org/officeDocument/2006/relationships/image" Target="media/image222.png"/><Relationship Id="rId324" Type="http://schemas.openxmlformats.org/officeDocument/2006/relationships/image" Target="media/image223.png"/><Relationship Id="rId325" Type="http://schemas.openxmlformats.org/officeDocument/2006/relationships/image" Target="media/image224.png"/><Relationship Id="rId326" Type="http://schemas.openxmlformats.org/officeDocument/2006/relationships/image" Target="media/image225.png"/><Relationship Id="rId327" Type="http://schemas.openxmlformats.org/officeDocument/2006/relationships/image" Target="media/image226.png"/><Relationship Id="rId328" Type="http://schemas.openxmlformats.org/officeDocument/2006/relationships/image" Target="media/image227.png"/><Relationship Id="rId329" Type="http://schemas.openxmlformats.org/officeDocument/2006/relationships/image" Target="media/image228.png"/><Relationship Id="rId330" Type="http://schemas.openxmlformats.org/officeDocument/2006/relationships/image" Target="media/image229.png"/><Relationship Id="rId331" Type="http://schemas.openxmlformats.org/officeDocument/2006/relationships/image" Target="media/image230.png"/><Relationship Id="rId332" Type="http://schemas.openxmlformats.org/officeDocument/2006/relationships/image" Target="media/image231.png"/><Relationship Id="rId333" Type="http://schemas.openxmlformats.org/officeDocument/2006/relationships/image" Target="media/image232.png"/><Relationship Id="rId334" Type="http://schemas.openxmlformats.org/officeDocument/2006/relationships/image" Target="media/image233.png"/><Relationship Id="rId335" Type="http://schemas.openxmlformats.org/officeDocument/2006/relationships/image" Target="media/image234.png"/><Relationship Id="rId336" Type="http://schemas.openxmlformats.org/officeDocument/2006/relationships/image" Target="media/image235.png"/><Relationship Id="rId337" Type="http://schemas.openxmlformats.org/officeDocument/2006/relationships/image" Target="media/image236.png"/><Relationship Id="rId338" Type="http://schemas.openxmlformats.org/officeDocument/2006/relationships/image" Target="media/image237.png"/><Relationship Id="rId339" Type="http://schemas.openxmlformats.org/officeDocument/2006/relationships/image" Target="media/image238.png"/><Relationship Id="rId340" Type="http://schemas.openxmlformats.org/officeDocument/2006/relationships/image" Target="media/image239.png"/><Relationship Id="rId341" Type="http://schemas.openxmlformats.org/officeDocument/2006/relationships/image" Target="media/image240.png"/><Relationship Id="rId342" Type="http://schemas.openxmlformats.org/officeDocument/2006/relationships/image" Target="media/image241.png"/><Relationship Id="rId343" Type="http://schemas.openxmlformats.org/officeDocument/2006/relationships/image" Target="media/image242.png"/><Relationship Id="rId344" Type="http://schemas.openxmlformats.org/officeDocument/2006/relationships/image" Target="media/image243.png"/><Relationship Id="rId345" Type="http://schemas.openxmlformats.org/officeDocument/2006/relationships/image" Target="media/image244.png"/><Relationship Id="rId346" Type="http://schemas.openxmlformats.org/officeDocument/2006/relationships/image" Target="media/image245.png"/><Relationship Id="rId347" Type="http://schemas.openxmlformats.org/officeDocument/2006/relationships/image" Target="media/image246.png"/><Relationship Id="rId348" Type="http://schemas.openxmlformats.org/officeDocument/2006/relationships/image" Target="media/image247.png"/><Relationship Id="rId349" Type="http://schemas.openxmlformats.org/officeDocument/2006/relationships/image" Target="media/image248.png"/><Relationship Id="rId350" Type="http://schemas.openxmlformats.org/officeDocument/2006/relationships/image" Target="media/image249.png"/><Relationship Id="rId351" Type="http://schemas.openxmlformats.org/officeDocument/2006/relationships/image" Target="media/image250.png"/><Relationship Id="rId352" Type="http://schemas.openxmlformats.org/officeDocument/2006/relationships/image" Target="media/image251.png"/><Relationship Id="rId353" Type="http://schemas.openxmlformats.org/officeDocument/2006/relationships/image" Target="media/image252.png"/><Relationship Id="rId354" Type="http://schemas.openxmlformats.org/officeDocument/2006/relationships/image" Target="media/image253.png"/><Relationship Id="rId355" Type="http://schemas.openxmlformats.org/officeDocument/2006/relationships/image" Target="media/image254.png"/><Relationship Id="rId356" Type="http://schemas.openxmlformats.org/officeDocument/2006/relationships/image" Target="media/image255.png"/><Relationship Id="rId357" Type="http://schemas.openxmlformats.org/officeDocument/2006/relationships/image" Target="media/image256.png"/><Relationship Id="rId358" Type="http://schemas.openxmlformats.org/officeDocument/2006/relationships/image" Target="media/image257.png"/><Relationship Id="rId359" Type="http://schemas.openxmlformats.org/officeDocument/2006/relationships/image" Target="media/image258.png"/><Relationship Id="rId360" Type="http://schemas.openxmlformats.org/officeDocument/2006/relationships/image" Target="media/image259.png"/><Relationship Id="rId361" Type="http://schemas.openxmlformats.org/officeDocument/2006/relationships/image" Target="media/image260.png"/><Relationship Id="rId362" Type="http://schemas.openxmlformats.org/officeDocument/2006/relationships/image" Target="media/image261.png"/><Relationship Id="rId363" Type="http://schemas.openxmlformats.org/officeDocument/2006/relationships/image" Target="media/image262.png"/><Relationship Id="rId364" Type="http://schemas.openxmlformats.org/officeDocument/2006/relationships/image" Target="media/image263.png"/><Relationship Id="rId365" Type="http://schemas.openxmlformats.org/officeDocument/2006/relationships/image" Target="media/image264.png"/><Relationship Id="rId366" Type="http://schemas.openxmlformats.org/officeDocument/2006/relationships/image" Target="media/image265.png"/><Relationship Id="rId367" Type="http://schemas.openxmlformats.org/officeDocument/2006/relationships/image" Target="media/image266.png"/><Relationship Id="rId368" Type="http://schemas.openxmlformats.org/officeDocument/2006/relationships/image" Target="media/image267.png"/><Relationship Id="rId369" Type="http://schemas.openxmlformats.org/officeDocument/2006/relationships/image" Target="media/image268.png"/><Relationship Id="rId370" Type="http://schemas.openxmlformats.org/officeDocument/2006/relationships/image" Target="media/image269.png"/><Relationship Id="rId371" Type="http://schemas.openxmlformats.org/officeDocument/2006/relationships/image" Target="media/image270.png"/><Relationship Id="rId372" Type="http://schemas.openxmlformats.org/officeDocument/2006/relationships/image" Target="media/image271.png"/><Relationship Id="rId373" Type="http://schemas.openxmlformats.org/officeDocument/2006/relationships/image" Target="media/image272.png"/><Relationship Id="rId374" Type="http://schemas.openxmlformats.org/officeDocument/2006/relationships/image" Target="media/image273.png"/><Relationship Id="rId375" Type="http://schemas.openxmlformats.org/officeDocument/2006/relationships/image" Target="media/image274.png"/><Relationship Id="rId376" Type="http://schemas.openxmlformats.org/officeDocument/2006/relationships/image" Target="media/image275.png"/><Relationship Id="rId377" Type="http://schemas.openxmlformats.org/officeDocument/2006/relationships/image" Target="media/image276.png"/><Relationship Id="rId378" Type="http://schemas.openxmlformats.org/officeDocument/2006/relationships/image" Target="media/image277.png"/><Relationship Id="rId379" Type="http://schemas.openxmlformats.org/officeDocument/2006/relationships/image" Target="media/image278.png"/><Relationship Id="rId380" Type="http://schemas.openxmlformats.org/officeDocument/2006/relationships/image" Target="media/image279.png"/><Relationship Id="rId381" Type="http://schemas.openxmlformats.org/officeDocument/2006/relationships/image" Target="media/image280.png"/><Relationship Id="rId382" Type="http://schemas.openxmlformats.org/officeDocument/2006/relationships/image" Target="media/image281.png"/><Relationship Id="rId383" Type="http://schemas.openxmlformats.org/officeDocument/2006/relationships/image" Target="media/image282.png"/><Relationship Id="rId384" Type="http://schemas.openxmlformats.org/officeDocument/2006/relationships/image" Target="media/image283.png"/><Relationship Id="rId385" Type="http://schemas.openxmlformats.org/officeDocument/2006/relationships/image" Target="media/image284.png"/><Relationship Id="rId386" Type="http://schemas.openxmlformats.org/officeDocument/2006/relationships/image" Target="media/image285.png"/><Relationship Id="rId387" Type="http://schemas.openxmlformats.org/officeDocument/2006/relationships/image" Target="media/image286.png"/><Relationship Id="rId388" Type="http://schemas.openxmlformats.org/officeDocument/2006/relationships/image" Target="media/image287.png"/><Relationship Id="rId389" Type="http://schemas.openxmlformats.org/officeDocument/2006/relationships/image" Target="media/image288.png"/><Relationship Id="rId390" Type="http://schemas.openxmlformats.org/officeDocument/2006/relationships/image" Target="media/image289.png"/><Relationship Id="rId391" Type="http://schemas.openxmlformats.org/officeDocument/2006/relationships/image" Target="media/image290.png"/><Relationship Id="rId392" Type="http://schemas.openxmlformats.org/officeDocument/2006/relationships/image" Target="media/image291.png"/><Relationship Id="rId393" Type="http://schemas.openxmlformats.org/officeDocument/2006/relationships/image" Target="media/image292.png"/><Relationship Id="rId394" Type="http://schemas.openxmlformats.org/officeDocument/2006/relationships/image" Target="media/image293.png"/><Relationship Id="rId395" Type="http://schemas.openxmlformats.org/officeDocument/2006/relationships/image" Target="media/image294.png"/><Relationship Id="rId396" Type="http://schemas.openxmlformats.org/officeDocument/2006/relationships/image" Target="media/image295.png"/><Relationship Id="rId397" Type="http://schemas.openxmlformats.org/officeDocument/2006/relationships/image" Target="media/image296.png"/><Relationship Id="rId398" Type="http://schemas.openxmlformats.org/officeDocument/2006/relationships/image" Target="media/image297.png"/><Relationship Id="rId399" Type="http://schemas.openxmlformats.org/officeDocument/2006/relationships/image" Target="media/image298.png"/><Relationship Id="rId400" Type="http://schemas.openxmlformats.org/officeDocument/2006/relationships/image" Target="media/image299.png"/><Relationship Id="rId401" Type="http://schemas.openxmlformats.org/officeDocument/2006/relationships/image" Target="media/image300.png"/><Relationship Id="rId402" Type="http://schemas.openxmlformats.org/officeDocument/2006/relationships/image" Target="media/image301.png"/><Relationship Id="rId403" Type="http://schemas.openxmlformats.org/officeDocument/2006/relationships/image" Target="media/image302.png"/><Relationship Id="rId404" Type="http://schemas.openxmlformats.org/officeDocument/2006/relationships/image" Target="media/image303.png"/><Relationship Id="rId405" Type="http://schemas.openxmlformats.org/officeDocument/2006/relationships/image" Target="media/image304.png"/><Relationship Id="rId406" Type="http://schemas.openxmlformats.org/officeDocument/2006/relationships/image" Target="media/image305.png"/><Relationship Id="rId407" Type="http://schemas.openxmlformats.org/officeDocument/2006/relationships/image" Target="media/image306.png"/><Relationship Id="rId408" Type="http://schemas.openxmlformats.org/officeDocument/2006/relationships/image" Target="media/image307.png"/><Relationship Id="rId409" Type="http://schemas.openxmlformats.org/officeDocument/2006/relationships/image" Target="media/image308.png"/><Relationship Id="rId410" Type="http://schemas.openxmlformats.org/officeDocument/2006/relationships/image" Target="media/image309.png"/><Relationship Id="rId411" Type="http://schemas.openxmlformats.org/officeDocument/2006/relationships/image" Target="media/image310.png"/><Relationship Id="rId412" Type="http://schemas.openxmlformats.org/officeDocument/2006/relationships/image" Target="media/image311.png"/><Relationship Id="rId413" Type="http://schemas.openxmlformats.org/officeDocument/2006/relationships/image" Target="media/image312.png"/><Relationship Id="rId414" Type="http://schemas.openxmlformats.org/officeDocument/2006/relationships/image" Target="media/image313.png"/><Relationship Id="rId415" Type="http://schemas.openxmlformats.org/officeDocument/2006/relationships/image" Target="media/image314.png"/><Relationship Id="rId416" Type="http://schemas.openxmlformats.org/officeDocument/2006/relationships/image" Target="media/image315.png"/><Relationship Id="rId417" Type="http://schemas.openxmlformats.org/officeDocument/2006/relationships/image" Target="media/image316.png"/><Relationship Id="rId418" Type="http://schemas.openxmlformats.org/officeDocument/2006/relationships/image" Target="media/image317.png"/><Relationship Id="rId419" Type="http://schemas.openxmlformats.org/officeDocument/2006/relationships/image" Target="media/image318.png"/><Relationship Id="rId420" Type="http://schemas.openxmlformats.org/officeDocument/2006/relationships/image" Target="media/image319.png"/><Relationship Id="rId421" Type="http://schemas.openxmlformats.org/officeDocument/2006/relationships/image" Target="media/image320.png"/><Relationship Id="rId422" Type="http://schemas.openxmlformats.org/officeDocument/2006/relationships/image" Target="media/image321.png"/><Relationship Id="rId423" Type="http://schemas.openxmlformats.org/officeDocument/2006/relationships/image" Target="media/image322.png"/><Relationship Id="rId424" Type="http://schemas.openxmlformats.org/officeDocument/2006/relationships/image" Target="media/image323.png"/><Relationship Id="rId425" Type="http://schemas.openxmlformats.org/officeDocument/2006/relationships/image" Target="media/image324.png"/><Relationship Id="rId426" Type="http://schemas.openxmlformats.org/officeDocument/2006/relationships/image" Target="media/image325.png"/><Relationship Id="rId427" Type="http://schemas.openxmlformats.org/officeDocument/2006/relationships/image" Target="media/image326.png"/><Relationship Id="rId428" Type="http://schemas.openxmlformats.org/officeDocument/2006/relationships/image" Target="media/image327.png"/><Relationship Id="rId429" Type="http://schemas.openxmlformats.org/officeDocument/2006/relationships/image" Target="media/image328.png"/><Relationship Id="rId430" Type="http://schemas.openxmlformats.org/officeDocument/2006/relationships/image" Target="media/image329.png"/><Relationship Id="rId431" Type="http://schemas.openxmlformats.org/officeDocument/2006/relationships/image" Target="media/image330.png"/><Relationship Id="rId432" Type="http://schemas.openxmlformats.org/officeDocument/2006/relationships/image" Target="media/image331.png"/><Relationship Id="rId433" Type="http://schemas.openxmlformats.org/officeDocument/2006/relationships/image" Target="media/image332.png"/><Relationship Id="rId434" Type="http://schemas.openxmlformats.org/officeDocument/2006/relationships/image" Target="media/image333.png"/><Relationship Id="rId435" Type="http://schemas.openxmlformats.org/officeDocument/2006/relationships/image" Target="media/image334.png"/><Relationship Id="rId436" Type="http://schemas.openxmlformats.org/officeDocument/2006/relationships/image" Target="media/image335.png"/><Relationship Id="rId437" Type="http://schemas.openxmlformats.org/officeDocument/2006/relationships/image" Target="media/image336.png"/><Relationship Id="rId438" Type="http://schemas.openxmlformats.org/officeDocument/2006/relationships/image" Target="media/image337.png"/><Relationship Id="rId439" Type="http://schemas.openxmlformats.org/officeDocument/2006/relationships/image" Target="media/image338.png"/><Relationship Id="rId440" Type="http://schemas.openxmlformats.org/officeDocument/2006/relationships/image" Target="media/image339.png"/><Relationship Id="rId441" Type="http://schemas.openxmlformats.org/officeDocument/2006/relationships/image" Target="media/image340.png"/><Relationship Id="rId442" Type="http://schemas.openxmlformats.org/officeDocument/2006/relationships/image" Target="media/image341.png"/><Relationship Id="rId443" Type="http://schemas.openxmlformats.org/officeDocument/2006/relationships/image" Target="media/image342.png"/><Relationship Id="rId444" Type="http://schemas.openxmlformats.org/officeDocument/2006/relationships/image" Target="media/image343.png"/><Relationship Id="rId445" Type="http://schemas.openxmlformats.org/officeDocument/2006/relationships/image" Target="media/image344.png"/><Relationship Id="rId446" Type="http://schemas.openxmlformats.org/officeDocument/2006/relationships/image" Target="media/image345.png"/><Relationship Id="rId447" Type="http://schemas.openxmlformats.org/officeDocument/2006/relationships/image" Target="media/image346.png"/><Relationship Id="rId448" Type="http://schemas.openxmlformats.org/officeDocument/2006/relationships/image" Target="media/image347.png"/><Relationship Id="rId449" Type="http://schemas.openxmlformats.org/officeDocument/2006/relationships/image" Target="media/image348.png"/><Relationship Id="rId450" Type="http://schemas.openxmlformats.org/officeDocument/2006/relationships/image" Target="media/image349.png"/><Relationship Id="rId451" Type="http://schemas.openxmlformats.org/officeDocument/2006/relationships/image" Target="media/image350.png"/><Relationship Id="rId452" Type="http://schemas.openxmlformats.org/officeDocument/2006/relationships/image" Target="media/image351.png"/><Relationship Id="rId453" Type="http://schemas.openxmlformats.org/officeDocument/2006/relationships/image" Target="media/image352.png"/><Relationship Id="rId454" Type="http://schemas.openxmlformats.org/officeDocument/2006/relationships/image" Target="media/image353.png"/><Relationship Id="rId455" Type="http://schemas.openxmlformats.org/officeDocument/2006/relationships/image" Target="media/image354.png"/><Relationship Id="rId456" Type="http://schemas.openxmlformats.org/officeDocument/2006/relationships/image" Target="media/image355.png"/><Relationship Id="rId457" Type="http://schemas.openxmlformats.org/officeDocument/2006/relationships/image" Target="media/image356.png"/><Relationship Id="rId458" Type="http://schemas.openxmlformats.org/officeDocument/2006/relationships/image" Target="media/image357.png"/><Relationship Id="rId459" Type="http://schemas.openxmlformats.org/officeDocument/2006/relationships/image" Target="media/image358.png"/><Relationship Id="rId460" Type="http://schemas.openxmlformats.org/officeDocument/2006/relationships/image" Target="media/image359.png"/><Relationship Id="rId461" Type="http://schemas.openxmlformats.org/officeDocument/2006/relationships/image" Target="media/image360.png"/><Relationship Id="rId462" Type="http://schemas.openxmlformats.org/officeDocument/2006/relationships/image" Target="media/image361.png"/><Relationship Id="rId463" Type="http://schemas.openxmlformats.org/officeDocument/2006/relationships/image" Target="media/image362.png"/><Relationship Id="rId464" Type="http://schemas.openxmlformats.org/officeDocument/2006/relationships/image" Target="media/image363.png"/><Relationship Id="rId465" Type="http://schemas.openxmlformats.org/officeDocument/2006/relationships/image" Target="media/image364.png"/><Relationship Id="rId466" Type="http://schemas.openxmlformats.org/officeDocument/2006/relationships/image" Target="media/image365.png"/><Relationship Id="rId467" Type="http://schemas.openxmlformats.org/officeDocument/2006/relationships/image" Target="media/image366.png"/><Relationship Id="rId468" Type="http://schemas.openxmlformats.org/officeDocument/2006/relationships/image" Target="media/image367.png"/><Relationship Id="rId469" Type="http://schemas.openxmlformats.org/officeDocument/2006/relationships/image" Target="media/image368.png"/><Relationship Id="rId470" Type="http://schemas.openxmlformats.org/officeDocument/2006/relationships/image" Target="media/image369.png"/><Relationship Id="rId471" Type="http://schemas.openxmlformats.org/officeDocument/2006/relationships/image" Target="media/image370.png"/><Relationship Id="rId472" Type="http://schemas.openxmlformats.org/officeDocument/2006/relationships/image" Target="media/image371.png"/><Relationship Id="rId473" Type="http://schemas.openxmlformats.org/officeDocument/2006/relationships/image" Target="media/image372.png"/><Relationship Id="rId474" Type="http://schemas.openxmlformats.org/officeDocument/2006/relationships/image" Target="media/image373.png"/><Relationship Id="rId475" Type="http://schemas.openxmlformats.org/officeDocument/2006/relationships/image" Target="media/image374.png"/><Relationship Id="rId476" Type="http://schemas.openxmlformats.org/officeDocument/2006/relationships/image" Target="media/image375.png"/><Relationship Id="rId477" Type="http://schemas.openxmlformats.org/officeDocument/2006/relationships/image" Target="media/image376.png"/><Relationship Id="rId478" Type="http://schemas.openxmlformats.org/officeDocument/2006/relationships/image" Target="media/image377.png"/><Relationship Id="rId479" Type="http://schemas.openxmlformats.org/officeDocument/2006/relationships/image" Target="media/image378.png"/><Relationship Id="rId480" Type="http://schemas.openxmlformats.org/officeDocument/2006/relationships/image" Target="media/image379.png"/><Relationship Id="rId481" Type="http://schemas.openxmlformats.org/officeDocument/2006/relationships/image" Target="media/image380.png"/><Relationship Id="rId482" Type="http://schemas.openxmlformats.org/officeDocument/2006/relationships/image" Target="media/image381.png"/><Relationship Id="rId483" Type="http://schemas.openxmlformats.org/officeDocument/2006/relationships/image" Target="media/image382.png"/><Relationship Id="rId484" Type="http://schemas.openxmlformats.org/officeDocument/2006/relationships/image" Target="media/image383.png"/><Relationship Id="rId485" Type="http://schemas.openxmlformats.org/officeDocument/2006/relationships/image" Target="media/image384.png"/><Relationship Id="rId486" Type="http://schemas.openxmlformats.org/officeDocument/2006/relationships/image" Target="media/image385.png"/><Relationship Id="rId487" Type="http://schemas.openxmlformats.org/officeDocument/2006/relationships/image" Target="media/image386.png"/><Relationship Id="rId488" Type="http://schemas.openxmlformats.org/officeDocument/2006/relationships/image" Target="media/image387.png"/><Relationship Id="rId489" Type="http://schemas.openxmlformats.org/officeDocument/2006/relationships/image" Target="media/image388.png"/><Relationship Id="rId490" Type="http://schemas.openxmlformats.org/officeDocument/2006/relationships/image" Target="media/image389.png"/><Relationship Id="rId491" Type="http://schemas.openxmlformats.org/officeDocument/2006/relationships/image" Target="media/image390.png"/><Relationship Id="rId492" Type="http://schemas.openxmlformats.org/officeDocument/2006/relationships/image" Target="media/image391.png"/><Relationship Id="rId493" Type="http://schemas.openxmlformats.org/officeDocument/2006/relationships/image" Target="media/image392.png"/><Relationship Id="rId494" Type="http://schemas.openxmlformats.org/officeDocument/2006/relationships/image" Target="media/image393.png"/><Relationship Id="rId495" Type="http://schemas.openxmlformats.org/officeDocument/2006/relationships/image" Target="media/image394.png"/><Relationship Id="rId496" Type="http://schemas.openxmlformats.org/officeDocument/2006/relationships/image" Target="media/image395.png"/><Relationship Id="rId497" Type="http://schemas.openxmlformats.org/officeDocument/2006/relationships/image" Target="media/image396.png"/><Relationship Id="rId498" Type="http://schemas.openxmlformats.org/officeDocument/2006/relationships/image" Target="media/image397.png"/><Relationship Id="rId499" Type="http://schemas.openxmlformats.org/officeDocument/2006/relationships/image" Target="media/image398.png"/><Relationship Id="rId500" Type="http://schemas.openxmlformats.org/officeDocument/2006/relationships/image" Target="media/image399.png"/><Relationship Id="rId501" Type="http://schemas.openxmlformats.org/officeDocument/2006/relationships/image" Target="media/image400.png"/><Relationship Id="rId502" Type="http://schemas.openxmlformats.org/officeDocument/2006/relationships/image" Target="media/image401.png"/><Relationship Id="rId503" Type="http://schemas.openxmlformats.org/officeDocument/2006/relationships/image" Target="media/image402.png"/><Relationship Id="rId504" Type="http://schemas.openxmlformats.org/officeDocument/2006/relationships/image" Target="media/image403.png"/><Relationship Id="rId505" Type="http://schemas.openxmlformats.org/officeDocument/2006/relationships/image" Target="media/image404.png"/><Relationship Id="rId506" Type="http://schemas.openxmlformats.org/officeDocument/2006/relationships/image" Target="media/image405.png"/><Relationship Id="rId507" Type="http://schemas.openxmlformats.org/officeDocument/2006/relationships/image" Target="media/image406.png"/><Relationship Id="rId508" Type="http://schemas.openxmlformats.org/officeDocument/2006/relationships/image" Target="media/image407.png"/><Relationship Id="rId509" Type="http://schemas.openxmlformats.org/officeDocument/2006/relationships/image" Target="media/image408.png"/><Relationship Id="rId510" Type="http://schemas.openxmlformats.org/officeDocument/2006/relationships/image" Target="media/image409.png"/><Relationship Id="rId511" Type="http://schemas.openxmlformats.org/officeDocument/2006/relationships/image" Target="media/image410.png"/><Relationship Id="rId512" Type="http://schemas.openxmlformats.org/officeDocument/2006/relationships/image" Target="media/image411.png"/><Relationship Id="rId513" Type="http://schemas.openxmlformats.org/officeDocument/2006/relationships/image" Target="media/image412.png"/><Relationship Id="rId514" Type="http://schemas.openxmlformats.org/officeDocument/2006/relationships/image" Target="media/image413.png"/><Relationship Id="rId515" Type="http://schemas.openxmlformats.org/officeDocument/2006/relationships/image" Target="media/image414.png"/><Relationship Id="rId516" Type="http://schemas.openxmlformats.org/officeDocument/2006/relationships/image" Target="media/image415.png"/><Relationship Id="rId517" Type="http://schemas.openxmlformats.org/officeDocument/2006/relationships/image" Target="media/image416.png"/><Relationship Id="rId518" Type="http://schemas.openxmlformats.org/officeDocument/2006/relationships/image" Target="media/image417.png"/><Relationship Id="rId519" Type="http://schemas.openxmlformats.org/officeDocument/2006/relationships/image" Target="media/image418.png"/><Relationship Id="rId520" Type="http://schemas.openxmlformats.org/officeDocument/2006/relationships/image" Target="media/image419.png"/><Relationship Id="rId521" Type="http://schemas.openxmlformats.org/officeDocument/2006/relationships/image" Target="media/image420.png"/><Relationship Id="rId522" Type="http://schemas.openxmlformats.org/officeDocument/2006/relationships/image" Target="media/image421.png"/><Relationship Id="rId523" Type="http://schemas.openxmlformats.org/officeDocument/2006/relationships/image" Target="media/image422.png"/><Relationship Id="rId524" Type="http://schemas.openxmlformats.org/officeDocument/2006/relationships/image" Target="media/image423.png"/><Relationship Id="rId525" Type="http://schemas.openxmlformats.org/officeDocument/2006/relationships/image" Target="media/image424.png"/><Relationship Id="rId526" Type="http://schemas.openxmlformats.org/officeDocument/2006/relationships/image" Target="media/image425.png"/><Relationship Id="rId527" Type="http://schemas.openxmlformats.org/officeDocument/2006/relationships/image" Target="media/image426.png"/><Relationship Id="rId528" Type="http://schemas.openxmlformats.org/officeDocument/2006/relationships/image" Target="media/image427.png"/><Relationship Id="rId529" Type="http://schemas.openxmlformats.org/officeDocument/2006/relationships/image" Target="media/image428.png"/><Relationship Id="rId530" Type="http://schemas.openxmlformats.org/officeDocument/2006/relationships/image" Target="media/image429.png"/><Relationship Id="rId531" Type="http://schemas.openxmlformats.org/officeDocument/2006/relationships/image" Target="media/image430.png"/><Relationship Id="rId532" Type="http://schemas.openxmlformats.org/officeDocument/2006/relationships/image" Target="media/image431.png"/><Relationship Id="rId533" Type="http://schemas.openxmlformats.org/officeDocument/2006/relationships/image" Target="media/image432.png"/><Relationship Id="rId534" Type="http://schemas.openxmlformats.org/officeDocument/2006/relationships/image" Target="media/image433.png"/><Relationship Id="rId535" Type="http://schemas.openxmlformats.org/officeDocument/2006/relationships/image" Target="media/image434.png"/><Relationship Id="rId536" Type="http://schemas.openxmlformats.org/officeDocument/2006/relationships/image" Target="media/image435.png"/><Relationship Id="rId537" Type="http://schemas.openxmlformats.org/officeDocument/2006/relationships/image" Target="media/image436.png"/><Relationship Id="rId538" Type="http://schemas.openxmlformats.org/officeDocument/2006/relationships/image" Target="media/image437.png"/><Relationship Id="rId539" Type="http://schemas.openxmlformats.org/officeDocument/2006/relationships/image" Target="media/image438.png"/><Relationship Id="rId540" Type="http://schemas.openxmlformats.org/officeDocument/2006/relationships/image" Target="media/image439.png"/><Relationship Id="rId541" Type="http://schemas.openxmlformats.org/officeDocument/2006/relationships/image" Target="media/image440.png"/><Relationship Id="rId542" Type="http://schemas.openxmlformats.org/officeDocument/2006/relationships/image" Target="media/image441.png"/><Relationship Id="rId543" Type="http://schemas.openxmlformats.org/officeDocument/2006/relationships/image" Target="media/image442.png"/><Relationship Id="rId544" Type="http://schemas.openxmlformats.org/officeDocument/2006/relationships/image" Target="media/image443.png"/><Relationship Id="rId545" Type="http://schemas.openxmlformats.org/officeDocument/2006/relationships/image" Target="media/image444.png"/><Relationship Id="rId546" Type="http://schemas.openxmlformats.org/officeDocument/2006/relationships/image" Target="media/image445.png"/><Relationship Id="rId547" Type="http://schemas.openxmlformats.org/officeDocument/2006/relationships/image" Target="media/image446.png"/><Relationship Id="rId548" Type="http://schemas.openxmlformats.org/officeDocument/2006/relationships/image" Target="media/image447.png"/><Relationship Id="rId549" Type="http://schemas.openxmlformats.org/officeDocument/2006/relationships/image" Target="media/image448.png"/><Relationship Id="rId550" Type="http://schemas.openxmlformats.org/officeDocument/2006/relationships/image" Target="media/image449.png"/><Relationship Id="rId551" Type="http://schemas.openxmlformats.org/officeDocument/2006/relationships/image" Target="media/image450.png"/><Relationship Id="rId552" Type="http://schemas.openxmlformats.org/officeDocument/2006/relationships/image" Target="media/image451.png"/><Relationship Id="rId553" Type="http://schemas.openxmlformats.org/officeDocument/2006/relationships/image" Target="media/image452.png"/><Relationship Id="rId554" Type="http://schemas.openxmlformats.org/officeDocument/2006/relationships/image" Target="media/image453.png"/><Relationship Id="rId555" Type="http://schemas.openxmlformats.org/officeDocument/2006/relationships/image" Target="media/image454.png"/><Relationship Id="rId556" Type="http://schemas.openxmlformats.org/officeDocument/2006/relationships/image" Target="media/image455.png"/><Relationship Id="rId557" Type="http://schemas.openxmlformats.org/officeDocument/2006/relationships/image" Target="media/image456.png"/><Relationship Id="rId558" Type="http://schemas.openxmlformats.org/officeDocument/2006/relationships/image" Target="media/image457.png"/><Relationship Id="rId559" Type="http://schemas.openxmlformats.org/officeDocument/2006/relationships/image" Target="media/image458.png"/><Relationship Id="rId560" Type="http://schemas.openxmlformats.org/officeDocument/2006/relationships/image" Target="media/image459.png"/><Relationship Id="rId561" Type="http://schemas.openxmlformats.org/officeDocument/2006/relationships/image" Target="media/image460.png"/><Relationship Id="rId562" Type="http://schemas.openxmlformats.org/officeDocument/2006/relationships/image" Target="media/image461.png"/><Relationship Id="rId563" Type="http://schemas.openxmlformats.org/officeDocument/2006/relationships/image" Target="media/image462.png"/><Relationship Id="rId564" Type="http://schemas.openxmlformats.org/officeDocument/2006/relationships/image" Target="media/image463.png"/><Relationship Id="rId565" Type="http://schemas.openxmlformats.org/officeDocument/2006/relationships/image" Target="media/image464.png"/><Relationship Id="rId566" Type="http://schemas.openxmlformats.org/officeDocument/2006/relationships/image" Target="media/image465.png"/><Relationship Id="rId567" Type="http://schemas.openxmlformats.org/officeDocument/2006/relationships/image" Target="media/image466.png"/><Relationship Id="rId568" Type="http://schemas.openxmlformats.org/officeDocument/2006/relationships/image" Target="media/image467.png"/><Relationship Id="rId569" Type="http://schemas.openxmlformats.org/officeDocument/2006/relationships/image" Target="media/image468.png"/><Relationship Id="rId570" Type="http://schemas.openxmlformats.org/officeDocument/2006/relationships/image" Target="media/image469.png"/><Relationship Id="rId571" Type="http://schemas.openxmlformats.org/officeDocument/2006/relationships/image" Target="media/image470.png"/><Relationship Id="rId572" Type="http://schemas.openxmlformats.org/officeDocument/2006/relationships/image" Target="media/image471.png"/><Relationship Id="rId573" Type="http://schemas.openxmlformats.org/officeDocument/2006/relationships/image" Target="media/image472.png"/><Relationship Id="rId574" Type="http://schemas.openxmlformats.org/officeDocument/2006/relationships/image" Target="media/image473.png"/><Relationship Id="rId575" Type="http://schemas.openxmlformats.org/officeDocument/2006/relationships/image" Target="media/image474.png"/><Relationship Id="rId576" Type="http://schemas.openxmlformats.org/officeDocument/2006/relationships/image" Target="media/image475.png"/><Relationship Id="rId577" Type="http://schemas.openxmlformats.org/officeDocument/2006/relationships/image" Target="media/image476.png"/><Relationship Id="rId578" Type="http://schemas.openxmlformats.org/officeDocument/2006/relationships/image" Target="media/image477.png"/><Relationship Id="rId579" Type="http://schemas.openxmlformats.org/officeDocument/2006/relationships/image" Target="media/image478.png"/><Relationship Id="rId580" Type="http://schemas.openxmlformats.org/officeDocument/2006/relationships/image" Target="media/image479.png"/><Relationship Id="rId581" Type="http://schemas.openxmlformats.org/officeDocument/2006/relationships/image" Target="media/image480.png"/><Relationship Id="rId582" Type="http://schemas.openxmlformats.org/officeDocument/2006/relationships/image" Target="media/image481.png"/><Relationship Id="rId583" Type="http://schemas.openxmlformats.org/officeDocument/2006/relationships/image" Target="media/image482.png"/><Relationship Id="rId584" Type="http://schemas.openxmlformats.org/officeDocument/2006/relationships/image" Target="media/image483.png"/><Relationship Id="rId585" Type="http://schemas.openxmlformats.org/officeDocument/2006/relationships/image" Target="media/image484.png"/><Relationship Id="rId586" Type="http://schemas.openxmlformats.org/officeDocument/2006/relationships/image" Target="media/image485.png"/><Relationship Id="rId587" Type="http://schemas.openxmlformats.org/officeDocument/2006/relationships/image" Target="media/image486.png"/><Relationship Id="rId588" Type="http://schemas.openxmlformats.org/officeDocument/2006/relationships/image" Target="media/image487.png"/><Relationship Id="rId589" Type="http://schemas.openxmlformats.org/officeDocument/2006/relationships/image" Target="media/image488.png"/><Relationship Id="rId590" Type="http://schemas.openxmlformats.org/officeDocument/2006/relationships/image" Target="media/image489.png"/><Relationship Id="rId591" Type="http://schemas.openxmlformats.org/officeDocument/2006/relationships/image" Target="media/image490.png"/><Relationship Id="rId592" Type="http://schemas.openxmlformats.org/officeDocument/2006/relationships/image" Target="media/image491.png"/><Relationship Id="rId593" Type="http://schemas.openxmlformats.org/officeDocument/2006/relationships/image" Target="media/image492.png"/><Relationship Id="rId594" Type="http://schemas.openxmlformats.org/officeDocument/2006/relationships/image" Target="media/image493.png"/><Relationship Id="rId595" Type="http://schemas.openxmlformats.org/officeDocument/2006/relationships/image" Target="media/image494.png"/><Relationship Id="rId596" Type="http://schemas.openxmlformats.org/officeDocument/2006/relationships/image" Target="media/image495.png"/><Relationship Id="rId597" Type="http://schemas.openxmlformats.org/officeDocument/2006/relationships/image" Target="media/image496.png"/><Relationship Id="rId598" Type="http://schemas.openxmlformats.org/officeDocument/2006/relationships/image" Target="media/image497.png"/><Relationship Id="rId599" Type="http://schemas.openxmlformats.org/officeDocument/2006/relationships/image" Target="media/image498.png"/><Relationship Id="rId600" Type="http://schemas.openxmlformats.org/officeDocument/2006/relationships/image" Target="media/image499.png"/><Relationship Id="rId601" Type="http://schemas.openxmlformats.org/officeDocument/2006/relationships/image" Target="media/image500.png"/><Relationship Id="rId602" Type="http://schemas.openxmlformats.org/officeDocument/2006/relationships/image" Target="media/image501.png"/><Relationship Id="rId603" Type="http://schemas.openxmlformats.org/officeDocument/2006/relationships/image" Target="media/image502.png"/><Relationship Id="rId604" Type="http://schemas.openxmlformats.org/officeDocument/2006/relationships/image" Target="media/image503.png"/><Relationship Id="rId605" Type="http://schemas.openxmlformats.org/officeDocument/2006/relationships/image" Target="media/image504.png"/><Relationship Id="rId606" Type="http://schemas.openxmlformats.org/officeDocument/2006/relationships/image" Target="media/image505.png"/><Relationship Id="rId607" Type="http://schemas.openxmlformats.org/officeDocument/2006/relationships/image" Target="media/image506.png"/><Relationship Id="rId608" Type="http://schemas.openxmlformats.org/officeDocument/2006/relationships/image" Target="media/image507.png"/><Relationship Id="rId609" Type="http://schemas.openxmlformats.org/officeDocument/2006/relationships/image" Target="media/image508.png"/><Relationship Id="rId610" Type="http://schemas.openxmlformats.org/officeDocument/2006/relationships/image" Target="media/image509.png"/><Relationship Id="rId611" Type="http://schemas.openxmlformats.org/officeDocument/2006/relationships/image" Target="media/image510.png"/><Relationship Id="rId612" Type="http://schemas.openxmlformats.org/officeDocument/2006/relationships/image" Target="media/image511.png"/><Relationship Id="rId613" Type="http://schemas.openxmlformats.org/officeDocument/2006/relationships/image" Target="media/image512.png"/><Relationship Id="rId614" Type="http://schemas.openxmlformats.org/officeDocument/2006/relationships/image" Target="media/image513.png"/><Relationship Id="rId615" Type="http://schemas.openxmlformats.org/officeDocument/2006/relationships/image" Target="media/image514.png"/><Relationship Id="rId616" Type="http://schemas.openxmlformats.org/officeDocument/2006/relationships/image" Target="media/image515.png"/><Relationship Id="rId617" Type="http://schemas.openxmlformats.org/officeDocument/2006/relationships/image" Target="media/image516.png"/><Relationship Id="rId618" Type="http://schemas.openxmlformats.org/officeDocument/2006/relationships/image" Target="media/image517.png"/><Relationship Id="rId619" Type="http://schemas.openxmlformats.org/officeDocument/2006/relationships/image" Target="media/image518.png"/><Relationship Id="rId620" Type="http://schemas.openxmlformats.org/officeDocument/2006/relationships/image" Target="media/image519.png"/><Relationship Id="rId621" Type="http://schemas.openxmlformats.org/officeDocument/2006/relationships/image" Target="media/image520.png"/><Relationship Id="rId622" Type="http://schemas.openxmlformats.org/officeDocument/2006/relationships/image" Target="media/image521.png"/><Relationship Id="rId623" Type="http://schemas.openxmlformats.org/officeDocument/2006/relationships/image" Target="media/image522.png"/><Relationship Id="rId624" Type="http://schemas.openxmlformats.org/officeDocument/2006/relationships/image" Target="media/image523.png"/><Relationship Id="rId625" Type="http://schemas.openxmlformats.org/officeDocument/2006/relationships/image" Target="media/image524.png"/><Relationship Id="rId626" Type="http://schemas.openxmlformats.org/officeDocument/2006/relationships/image" Target="media/image525.png"/><Relationship Id="rId627" Type="http://schemas.openxmlformats.org/officeDocument/2006/relationships/image" Target="media/image526.png"/><Relationship Id="rId628" Type="http://schemas.openxmlformats.org/officeDocument/2006/relationships/image" Target="media/image527.png"/><Relationship Id="rId629" Type="http://schemas.openxmlformats.org/officeDocument/2006/relationships/image" Target="media/image528.png"/><Relationship Id="rId630" Type="http://schemas.openxmlformats.org/officeDocument/2006/relationships/image" Target="media/image529.png"/><Relationship Id="rId631" Type="http://schemas.openxmlformats.org/officeDocument/2006/relationships/image" Target="media/image530.png"/><Relationship Id="rId632" Type="http://schemas.openxmlformats.org/officeDocument/2006/relationships/image" Target="media/image531.png"/><Relationship Id="rId633" Type="http://schemas.openxmlformats.org/officeDocument/2006/relationships/image" Target="media/image532.png"/><Relationship Id="rId634" Type="http://schemas.openxmlformats.org/officeDocument/2006/relationships/image" Target="media/image533.png"/><Relationship Id="rId635" Type="http://schemas.openxmlformats.org/officeDocument/2006/relationships/image" Target="media/image534.png"/><Relationship Id="rId636" Type="http://schemas.openxmlformats.org/officeDocument/2006/relationships/image" Target="media/image535.png"/><Relationship Id="rId637" Type="http://schemas.openxmlformats.org/officeDocument/2006/relationships/image" Target="media/image536.png"/><Relationship Id="rId638" Type="http://schemas.openxmlformats.org/officeDocument/2006/relationships/image" Target="media/image537.png"/><Relationship Id="rId639" Type="http://schemas.openxmlformats.org/officeDocument/2006/relationships/image" Target="media/image538.png"/><Relationship Id="rId640" Type="http://schemas.openxmlformats.org/officeDocument/2006/relationships/image" Target="media/image539.png"/><Relationship Id="rId641" Type="http://schemas.openxmlformats.org/officeDocument/2006/relationships/image" Target="media/image540.png"/><Relationship Id="rId642" Type="http://schemas.openxmlformats.org/officeDocument/2006/relationships/image" Target="media/image541.png"/><Relationship Id="rId643" Type="http://schemas.openxmlformats.org/officeDocument/2006/relationships/image" Target="media/image542.png"/><Relationship Id="rId644" Type="http://schemas.openxmlformats.org/officeDocument/2006/relationships/image" Target="media/image543.png"/><Relationship Id="rId645" Type="http://schemas.openxmlformats.org/officeDocument/2006/relationships/image" Target="media/image544.png"/><Relationship Id="rId646" Type="http://schemas.openxmlformats.org/officeDocument/2006/relationships/image" Target="media/image545.png"/><Relationship Id="rId647" Type="http://schemas.openxmlformats.org/officeDocument/2006/relationships/image" Target="media/image546.png"/><Relationship Id="rId648" Type="http://schemas.openxmlformats.org/officeDocument/2006/relationships/image" Target="media/image547.png"/><Relationship Id="rId649" Type="http://schemas.openxmlformats.org/officeDocument/2006/relationships/image" Target="media/image548.png"/><Relationship Id="rId650" Type="http://schemas.openxmlformats.org/officeDocument/2006/relationships/image" Target="media/image549.png"/><Relationship Id="rId651" Type="http://schemas.openxmlformats.org/officeDocument/2006/relationships/image" Target="media/image550.png"/><Relationship Id="rId652" Type="http://schemas.openxmlformats.org/officeDocument/2006/relationships/image" Target="media/image551.png"/><Relationship Id="rId653" Type="http://schemas.openxmlformats.org/officeDocument/2006/relationships/image" Target="media/image552.png"/><Relationship Id="rId654" Type="http://schemas.openxmlformats.org/officeDocument/2006/relationships/image" Target="media/image553.png"/><Relationship Id="rId655" Type="http://schemas.openxmlformats.org/officeDocument/2006/relationships/image" Target="media/image554.png"/><Relationship Id="rId656" Type="http://schemas.openxmlformats.org/officeDocument/2006/relationships/image" Target="media/image555.png"/><Relationship Id="rId657" Type="http://schemas.openxmlformats.org/officeDocument/2006/relationships/image" Target="media/image556.png"/><Relationship Id="rId658" Type="http://schemas.openxmlformats.org/officeDocument/2006/relationships/image" Target="media/image557.png"/><Relationship Id="rId659" Type="http://schemas.openxmlformats.org/officeDocument/2006/relationships/image" Target="media/image558.png"/><Relationship Id="rId660" Type="http://schemas.openxmlformats.org/officeDocument/2006/relationships/image" Target="media/image559.png"/><Relationship Id="rId661" Type="http://schemas.openxmlformats.org/officeDocument/2006/relationships/image" Target="media/image560.png"/><Relationship Id="rId662" Type="http://schemas.openxmlformats.org/officeDocument/2006/relationships/image" Target="media/image561.png"/><Relationship Id="rId663" Type="http://schemas.openxmlformats.org/officeDocument/2006/relationships/image" Target="media/image562.png"/><Relationship Id="rId664" Type="http://schemas.openxmlformats.org/officeDocument/2006/relationships/image" Target="media/image563.png"/><Relationship Id="rId665" Type="http://schemas.openxmlformats.org/officeDocument/2006/relationships/image" Target="media/image564.png"/><Relationship Id="rId666" Type="http://schemas.openxmlformats.org/officeDocument/2006/relationships/image" Target="media/image565.png"/><Relationship Id="rId667" Type="http://schemas.openxmlformats.org/officeDocument/2006/relationships/image" Target="media/image566.png"/><Relationship Id="rId668" Type="http://schemas.openxmlformats.org/officeDocument/2006/relationships/image" Target="media/image567.png"/><Relationship Id="rId669" Type="http://schemas.openxmlformats.org/officeDocument/2006/relationships/image" Target="media/image568.png"/><Relationship Id="rId670" Type="http://schemas.openxmlformats.org/officeDocument/2006/relationships/image" Target="media/image569.png"/><Relationship Id="rId671" Type="http://schemas.openxmlformats.org/officeDocument/2006/relationships/image" Target="media/image570.png"/><Relationship Id="rId672" Type="http://schemas.openxmlformats.org/officeDocument/2006/relationships/image" Target="media/image571.png"/><Relationship Id="rId673" Type="http://schemas.openxmlformats.org/officeDocument/2006/relationships/image" Target="media/image572.png"/><Relationship Id="rId674" Type="http://schemas.openxmlformats.org/officeDocument/2006/relationships/image" Target="media/image573.png"/><Relationship Id="rId675" Type="http://schemas.openxmlformats.org/officeDocument/2006/relationships/image" Target="media/image574.png"/><Relationship Id="rId676" Type="http://schemas.openxmlformats.org/officeDocument/2006/relationships/image" Target="media/image575.png"/><Relationship Id="rId677" Type="http://schemas.openxmlformats.org/officeDocument/2006/relationships/image" Target="media/image576.png"/><Relationship Id="rId678" Type="http://schemas.openxmlformats.org/officeDocument/2006/relationships/image" Target="media/image577.png"/><Relationship Id="rId679" Type="http://schemas.openxmlformats.org/officeDocument/2006/relationships/image" Target="media/image578.png"/><Relationship Id="rId680" Type="http://schemas.openxmlformats.org/officeDocument/2006/relationships/image" Target="media/image579.png"/><Relationship Id="rId681" Type="http://schemas.openxmlformats.org/officeDocument/2006/relationships/image" Target="media/image580.png"/><Relationship Id="rId682" Type="http://schemas.openxmlformats.org/officeDocument/2006/relationships/image" Target="media/image581.png"/><Relationship Id="rId683" Type="http://schemas.openxmlformats.org/officeDocument/2006/relationships/image" Target="media/image582.png"/><Relationship Id="rId684" Type="http://schemas.openxmlformats.org/officeDocument/2006/relationships/image" Target="media/image583.png"/><Relationship Id="rId685" Type="http://schemas.openxmlformats.org/officeDocument/2006/relationships/image" Target="media/image584.png"/><Relationship Id="rId686" Type="http://schemas.openxmlformats.org/officeDocument/2006/relationships/image" Target="media/image585.png"/><Relationship Id="rId687" Type="http://schemas.openxmlformats.org/officeDocument/2006/relationships/image" Target="media/image586.png"/><Relationship Id="rId688" Type="http://schemas.openxmlformats.org/officeDocument/2006/relationships/image" Target="media/image587.png"/><Relationship Id="rId689" Type="http://schemas.openxmlformats.org/officeDocument/2006/relationships/image" Target="media/image588.png"/><Relationship Id="rId690" Type="http://schemas.openxmlformats.org/officeDocument/2006/relationships/image" Target="media/image589.png"/><Relationship Id="rId691" Type="http://schemas.openxmlformats.org/officeDocument/2006/relationships/image" Target="media/image590.png"/><Relationship Id="rId692" Type="http://schemas.openxmlformats.org/officeDocument/2006/relationships/image" Target="media/image591.png"/><Relationship Id="rId693" Type="http://schemas.openxmlformats.org/officeDocument/2006/relationships/image" Target="media/image592.png"/><Relationship Id="rId694" Type="http://schemas.openxmlformats.org/officeDocument/2006/relationships/image" Target="media/image593.png"/><Relationship Id="rId695" Type="http://schemas.openxmlformats.org/officeDocument/2006/relationships/image" Target="media/image594.png"/><Relationship Id="rId696" Type="http://schemas.openxmlformats.org/officeDocument/2006/relationships/image" Target="media/image595.png"/><Relationship Id="rId697" Type="http://schemas.openxmlformats.org/officeDocument/2006/relationships/image" Target="media/image596.png"/><Relationship Id="rId698" Type="http://schemas.openxmlformats.org/officeDocument/2006/relationships/image" Target="media/image597.png"/><Relationship Id="rId699" Type="http://schemas.openxmlformats.org/officeDocument/2006/relationships/image" Target="media/image598.png"/><Relationship Id="rId700" Type="http://schemas.openxmlformats.org/officeDocument/2006/relationships/image" Target="media/image599.png"/><Relationship Id="rId701" Type="http://schemas.openxmlformats.org/officeDocument/2006/relationships/image" Target="media/image600.png"/><Relationship Id="rId702" Type="http://schemas.openxmlformats.org/officeDocument/2006/relationships/image" Target="media/image601.png"/><Relationship Id="rId703" Type="http://schemas.openxmlformats.org/officeDocument/2006/relationships/image" Target="media/image602.png"/><Relationship Id="rId704" Type="http://schemas.openxmlformats.org/officeDocument/2006/relationships/image" Target="media/image603.png"/><Relationship Id="rId705" Type="http://schemas.openxmlformats.org/officeDocument/2006/relationships/image" Target="media/image604.png"/><Relationship Id="rId706" Type="http://schemas.openxmlformats.org/officeDocument/2006/relationships/image" Target="media/image605.png"/><Relationship Id="rId707" Type="http://schemas.openxmlformats.org/officeDocument/2006/relationships/image" Target="media/image606.png"/><Relationship Id="rId708" Type="http://schemas.openxmlformats.org/officeDocument/2006/relationships/image" Target="media/image607.png"/><Relationship Id="rId709" Type="http://schemas.openxmlformats.org/officeDocument/2006/relationships/image" Target="media/image608.png"/><Relationship Id="rId710" Type="http://schemas.openxmlformats.org/officeDocument/2006/relationships/image" Target="media/image609.png"/><Relationship Id="rId711" Type="http://schemas.openxmlformats.org/officeDocument/2006/relationships/image" Target="media/image610.png"/><Relationship Id="rId712" Type="http://schemas.openxmlformats.org/officeDocument/2006/relationships/image" Target="media/image611.png"/><Relationship Id="rId713" Type="http://schemas.openxmlformats.org/officeDocument/2006/relationships/image" Target="media/image612.png"/><Relationship Id="rId714" Type="http://schemas.openxmlformats.org/officeDocument/2006/relationships/image" Target="media/image613.png"/><Relationship Id="rId715" Type="http://schemas.openxmlformats.org/officeDocument/2006/relationships/image" Target="media/image614.png"/><Relationship Id="rId716" Type="http://schemas.openxmlformats.org/officeDocument/2006/relationships/image" Target="media/image615.png"/><Relationship Id="rId717" Type="http://schemas.openxmlformats.org/officeDocument/2006/relationships/image" Target="media/image616.png"/><Relationship Id="rId718" Type="http://schemas.openxmlformats.org/officeDocument/2006/relationships/image" Target="media/image617.png"/><Relationship Id="rId719" Type="http://schemas.openxmlformats.org/officeDocument/2006/relationships/image" Target="media/image618.png"/><Relationship Id="rId720" Type="http://schemas.openxmlformats.org/officeDocument/2006/relationships/image" Target="media/image619.png"/><Relationship Id="rId721" Type="http://schemas.openxmlformats.org/officeDocument/2006/relationships/image" Target="media/image620.png"/><Relationship Id="rId722" Type="http://schemas.openxmlformats.org/officeDocument/2006/relationships/image" Target="media/image621.png"/><Relationship Id="rId723" Type="http://schemas.openxmlformats.org/officeDocument/2006/relationships/image" Target="media/image622.png"/><Relationship Id="rId724" Type="http://schemas.openxmlformats.org/officeDocument/2006/relationships/image" Target="media/image623.png"/><Relationship Id="rId725" Type="http://schemas.openxmlformats.org/officeDocument/2006/relationships/image" Target="media/image624.png"/><Relationship Id="rId726" Type="http://schemas.openxmlformats.org/officeDocument/2006/relationships/image" Target="media/image625.png"/><Relationship Id="rId727" Type="http://schemas.openxmlformats.org/officeDocument/2006/relationships/image" Target="media/image626.png"/><Relationship Id="rId728" Type="http://schemas.openxmlformats.org/officeDocument/2006/relationships/image" Target="media/image627.png"/><Relationship Id="rId729" Type="http://schemas.openxmlformats.org/officeDocument/2006/relationships/image" Target="media/image628.png"/><Relationship Id="rId730" Type="http://schemas.openxmlformats.org/officeDocument/2006/relationships/image" Target="media/image629.png"/><Relationship Id="rId731" Type="http://schemas.openxmlformats.org/officeDocument/2006/relationships/image" Target="media/image630.png"/><Relationship Id="rId732" Type="http://schemas.openxmlformats.org/officeDocument/2006/relationships/image" Target="media/image631.png"/><Relationship Id="rId733" Type="http://schemas.openxmlformats.org/officeDocument/2006/relationships/image" Target="media/image632.png"/><Relationship Id="rId734" Type="http://schemas.openxmlformats.org/officeDocument/2006/relationships/image" Target="media/image633.png"/><Relationship Id="rId735" Type="http://schemas.openxmlformats.org/officeDocument/2006/relationships/image" Target="media/image634.png"/><Relationship Id="rId736" Type="http://schemas.openxmlformats.org/officeDocument/2006/relationships/image" Target="media/image635.png"/><Relationship Id="rId737" Type="http://schemas.openxmlformats.org/officeDocument/2006/relationships/image" Target="media/image636.png"/><Relationship Id="rId738" Type="http://schemas.openxmlformats.org/officeDocument/2006/relationships/image" Target="media/image637.png"/><Relationship Id="rId739" Type="http://schemas.openxmlformats.org/officeDocument/2006/relationships/image" Target="media/image638.png"/><Relationship Id="rId740" Type="http://schemas.openxmlformats.org/officeDocument/2006/relationships/image" Target="media/image639.png"/><Relationship Id="rId741" Type="http://schemas.openxmlformats.org/officeDocument/2006/relationships/image" Target="media/image640.png"/><Relationship Id="rId742" Type="http://schemas.openxmlformats.org/officeDocument/2006/relationships/image" Target="media/image641.png"/><Relationship Id="rId743" Type="http://schemas.openxmlformats.org/officeDocument/2006/relationships/image" Target="media/image642.png"/><Relationship Id="rId744" Type="http://schemas.openxmlformats.org/officeDocument/2006/relationships/image" Target="media/image643.png"/><Relationship Id="rId745" Type="http://schemas.openxmlformats.org/officeDocument/2006/relationships/image" Target="media/image644.png"/><Relationship Id="rId746" Type="http://schemas.openxmlformats.org/officeDocument/2006/relationships/image" Target="media/image645.png"/><Relationship Id="rId747" Type="http://schemas.openxmlformats.org/officeDocument/2006/relationships/image" Target="media/image646.png"/><Relationship Id="rId748" Type="http://schemas.openxmlformats.org/officeDocument/2006/relationships/image" Target="media/image647.png"/><Relationship Id="rId749" Type="http://schemas.openxmlformats.org/officeDocument/2006/relationships/image" Target="media/image648.png"/><Relationship Id="rId750" Type="http://schemas.openxmlformats.org/officeDocument/2006/relationships/image" Target="media/image649.png"/><Relationship Id="rId751" Type="http://schemas.openxmlformats.org/officeDocument/2006/relationships/image" Target="media/image650.png"/><Relationship Id="rId752" Type="http://schemas.openxmlformats.org/officeDocument/2006/relationships/image" Target="media/image651.png"/><Relationship Id="rId119" Type="http://schemas.openxmlformats.org/officeDocument/2006/relationships/hyperlink" Target="https://www.sec.gov/Archives/edgar/data/1515673/000119312514036944/d670959dex31.htm" TargetMode="External"/><Relationship Id="rId120" Type="http://schemas.openxmlformats.org/officeDocument/2006/relationships/hyperlink" Target="https://www.sec.gov/Archives/edgar/data/1515673/000095017023072192/rare-ex3_1.htm" TargetMode="External"/><Relationship Id="rId121" Type="http://schemas.openxmlformats.org/officeDocument/2006/relationships/hyperlink" Target="https://www.sec.gov/Archives/edgar/data/1515673/000119312513435507/d601113dex42.htm" TargetMode="External"/><Relationship Id="rId122" Type="http://schemas.openxmlformats.org/officeDocument/2006/relationships/hyperlink" Target="https://www.sec.gov/Archives/edgar/data/1515673/000119312524041577/d790860dex42.htm" TargetMode="External"/><Relationship Id="rId123" Type="http://schemas.openxmlformats.org/officeDocument/2006/relationships/hyperlink" Target="https://www.sec.gov/Archives/edgar/data/1515673/000119312523260305/d524225dex41.htm" TargetMode="External"/><Relationship Id="rId124" Type="http://schemas.openxmlformats.org/officeDocument/2006/relationships/hyperlink" Target="https://www.sec.gov/Archives/edgar/data/1515673/000119312524162003/d785247dex41.htm" TargetMode="External"/><Relationship Id="rId125" Type="http://schemas.openxmlformats.org/officeDocument/2006/relationships/hyperlink" Target="https://www.sec.gov/Archives/edgar/data/1515673/000156459020004667/rare-ex43_731.htm" TargetMode="External"/><Relationship Id="rId126" Type="http://schemas.openxmlformats.org/officeDocument/2006/relationships/hyperlink" Target="https://www.sec.gov/Archives/edgar/data/1515673/000119312513482988/d601113dex101.htm" TargetMode="External"/><Relationship Id="rId127" Type="http://schemas.openxmlformats.org/officeDocument/2006/relationships/hyperlink" Target="https://www.sec.gov/Archives/edgar/data/1515673/000156459015010240/rare-ex102_413.htm" TargetMode="External"/><Relationship Id="rId128" Type="http://schemas.openxmlformats.org/officeDocument/2006/relationships/hyperlink" Target="https://www.sec.gov/Archives/edgar/data/1515673/000156459018002535/rare-ex103_423.htm" TargetMode="External"/><Relationship Id="rId129" Type="http://schemas.openxmlformats.org/officeDocument/2006/relationships/hyperlink" Target="https://www.sec.gov/Archives/edgar/data/1515673/000156459018002535/rare-ex104_871.htm" TargetMode="External"/><Relationship Id="rId130" Type="http://schemas.openxmlformats.org/officeDocument/2006/relationships/hyperlink" Target="https://www.sec.gov/Archives/edgar/data/1515673/000156459018002535/rare-ex105_868.htm" TargetMode="External"/><Relationship Id="rId131" Type="http://schemas.openxmlformats.org/officeDocument/2006/relationships/hyperlink" Target="https://www.sec.gov/Archives/edgar/data/1515673/000156459018018979/rare-ex101_204.htm" TargetMode="External"/><Relationship Id="rId132" Type="http://schemas.openxmlformats.org/officeDocument/2006/relationships/hyperlink" Target="https://www.sec.gov/Archives/edgar/data/1515673/000156459019016079/rare-ex102_270.htm" TargetMode="External"/><Relationship Id="rId135" Type="http://schemas.openxmlformats.org/officeDocument/2006/relationships/hyperlink" Target="https://www.sec.gov/Archives/edgar/data/1515673/000156459019016079/rare-ex103_268.htm" TargetMode="External"/><Relationship Id="rId136" Type="http://schemas.openxmlformats.org/officeDocument/2006/relationships/hyperlink" Target="https://www.sec.gov/Archives/edgar/data/1515673/000156459019028087/rare-ex101_236.htm" TargetMode="External"/><Relationship Id="rId137" Type="http://schemas.openxmlformats.org/officeDocument/2006/relationships/hyperlink" Target="https://www.sec.gov/Archives/edgar/data/1515673/000156459020004667/rare-ex1010_646.htm" TargetMode="External"/><Relationship Id="rId138" Type="http://schemas.openxmlformats.org/officeDocument/2006/relationships/hyperlink" Target="https://www.sec.gov/Archives/edgar/data/1515673/000156459020022136/rare-ex102_357.htm" TargetMode="External"/><Relationship Id="rId139" Type="http://schemas.openxmlformats.org/officeDocument/2006/relationships/hyperlink" Target="https://www.sec.gov/Archives/edgar/data/1515673/000095017022001284/rare-ex10_13.htm" TargetMode="External"/><Relationship Id="rId140" Type="http://schemas.openxmlformats.org/officeDocument/2006/relationships/hyperlink" Target="https://www.sec.gov/Archives/edgar/data/1515673/000095017022021366/rare-ex10_1.htm" TargetMode="External"/><Relationship Id="rId141" Type="http://schemas.openxmlformats.org/officeDocument/2006/relationships/hyperlink" Target="https://www.sec.gov/Archives/edgar/data/1515673/000095017023038173/rare-ex10_1.htm" TargetMode="External"/><Relationship Id="rId142" Type="http://schemas.openxmlformats.org/officeDocument/2006/relationships/hyperlink" Target="https://www.sec.gov/Archives/edgar/data/1515673/000095017022013411/rare-ex10_2.htm" TargetMode="External"/><Relationship Id="rId143" Type="http://schemas.openxmlformats.org/officeDocument/2006/relationships/hyperlink" Target="https://www.sec.gov/Archives/edgar/data/1515673/000156459020004667/rare-ex1025_647.htm" TargetMode="External"/><Relationship Id="rId144" Type="http://schemas.openxmlformats.org/officeDocument/2006/relationships/hyperlink" Target="https://www.sec.gov/Archives/edgar/data/1515673/000095017022013411/rare-ex10_1.htm" TargetMode="External"/><Relationship Id="rId145" Type="http://schemas.openxmlformats.org/officeDocument/2006/relationships/hyperlink" Target="https://www.sec.gov/Archives/edgar/data/1515673/000156459017001714/rare-ex1020_605.htm" TargetMode="External"/><Relationship Id="rId146" Type="http://schemas.openxmlformats.org/officeDocument/2006/relationships/hyperlink" Target="https://www.sec.gov/Archives/edgar/data/1515673/000119312514014673/d601113dex1014.htm" TargetMode="External"/><Relationship Id="rId147" Type="http://schemas.openxmlformats.org/officeDocument/2006/relationships/hyperlink" Target="https://www.sec.gov/Archives/edgar/data/1515673/000119312514014673/d601113dex1015.htm" TargetMode="External"/><Relationship Id="rId148" Type="http://schemas.openxmlformats.org/officeDocument/2006/relationships/hyperlink" Target="https://www.sec.gov/Archives/edgar/data/1515673/000156459016018694/rare-ex101_11.htm" TargetMode="External"/><Relationship Id="rId149" Type="http://schemas.openxmlformats.org/officeDocument/2006/relationships/hyperlink" Target="https://www.sec.gov/Archives/edgar/data/0001515673/000156459021039879/rare-ex102_375.htm" TargetMode="External"/><Relationship Id="rId150" Type="http://schemas.openxmlformats.org/officeDocument/2006/relationships/hyperlink" Target="https://www.sec.gov/Archives/edgar/data/0001515673/000156459021039879/rare-ex103_373.htm" TargetMode="External"/><Relationship Id="rId152" Type="http://schemas.openxmlformats.org/officeDocument/2006/relationships/hyperlink" Target="https://www.sec.gov/Archives/edgar/data/0001515673/000156459021039879/rare-ex104_374.htm" TargetMode="External"/><Relationship Id="rId155" Type="http://schemas.openxmlformats.org/officeDocument/2006/relationships/hyperlink" Target="https://www.sec.gov/Archives/edgar/data/0001515673/000156459021039879/rare-ex105_372.htm" TargetMode="External"/><Relationship Id="rId158" Type="http://schemas.openxmlformats.org/officeDocument/2006/relationships/hyperlink" Target="https://www.sec.gov/Archives/edgar/data/1515673/000095017024083195/rare-ex4_4.htm" TargetMode="External"/><Relationship Id="rId160" Type="http://schemas.openxmlformats.org/officeDocument/2006/relationships/hyperlink" Target="https://www.sec.gov/Archives/edgar/data/1515673/000095017024017879/rare-ex10_30.htm" TargetMode="External"/><Relationship Id="rId162" Type="http://schemas.openxmlformats.org/officeDocument/2006/relationships/hyperlink" Target="https://www.sec.gov/Archives/edgar/data/1515673/000095017024017879/rare-ex10_31.htm" TargetMode="External"/><Relationship Id="rId165" Type="http://schemas.openxmlformats.org/officeDocument/2006/relationships/hyperlink" Target="https://www.sec.gov/Archives/edgar/data/1515673/000095017024017879/rare-ex10_32.htm" TargetMode="External"/><Relationship Id="rId166" Type="http://schemas.openxmlformats.org/officeDocument/2006/relationships/hyperlink" Target="https://www.sec.gov/Archives/edgar/data/1515673/000095017024017879/rare-ex10_33.htm" TargetMode="External"/><Relationship Id="rId170" Type="http://schemas.openxmlformats.org/officeDocument/2006/relationships/hyperlink" Target="https://www.sec.gov/Archives/edgar/data/1515673/000095017024017879/rare-ex10_34.htm" TargetMode="External"/><Relationship Id="rId173" Type="http://schemas.openxmlformats.org/officeDocument/2006/relationships/hyperlink" Target="https://www.sec.gov/Archives/edgar/data/1515673/000095017024017879/rare-ex10_35.htm" TargetMode="External"/><Relationship Id="rId176" Type="http://schemas.openxmlformats.org/officeDocument/2006/relationships/hyperlink" Target="https://www.sec.gov/Archives/edgar/data/1515673/000095017024017879/rare-ex10_36.htm" TargetMode="External"/><Relationship Id="rId179" Type="http://schemas.openxmlformats.org/officeDocument/2006/relationships/hyperlink" Target="https://www.sec.gov/Archives/edgar/data/1515673/000095017022007940/rare-ex10_1.htm" TargetMode="External"/><Relationship Id="rId181" Type="http://schemas.openxmlformats.org/officeDocument/2006/relationships/hyperlink" Target="https://www.sec.gov/Archives/edgar/data/1515673/000095017023018017/rare-ex10_1.htm" TargetMode="External"/><Relationship Id="rId184" Type="http://schemas.openxmlformats.org/officeDocument/2006/relationships/hyperlink" Target="https://www.sec.gov/Archives/edgar/data/1515673/000095017023027029/rare-ex4_5.htm" TargetMode="External"/><Relationship Id="rId186" Type="http://schemas.openxmlformats.org/officeDocument/2006/relationships/hyperlink" Target="https://www.sec.gov/Archives/edgar/data/1515673/000119312514014673/d601113dex1027.htm" TargetMode="External"/><Relationship Id="rId188" Type="http://schemas.openxmlformats.org/officeDocument/2006/relationships/hyperlink" Target="https://www.sec.gov/Archives/edgar/data/0001515673/000156459021005610/rare-ex1043_602.htm" TargetMode="External"/><Relationship Id="rId190" Type="http://schemas.openxmlformats.org/officeDocument/2006/relationships/hyperlink" Target="https://www.sec.gov/Archives/edgar/data/1515673/000095017023027029/rare-ex4_7.htm" TargetMode="External"/><Relationship Id="rId192" Type="http://schemas.openxmlformats.org/officeDocument/2006/relationships/hyperlink" Target="https://www.sec.gov/Archives/edgar/data/1515673/000095017024083195/rare-ex4_7.htm" TargetMode="External"/><Relationship Id="rId194" Type="http://schemas.openxmlformats.org/officeDocument/2006/relationships/hyperlink" Target="https://www.sec.gov/Archives/edgar/data/0001515673/000156459021005610/rare-ex1044_601.htm" TargetMode="External"/><Relationship Id="rId196" Type="http://schemas.openxmlformats.org/officeDocument/2006/relationships/hyperlink" Target="https://www.sec.gov/Archives/edgar/data/0001515673/000156459021005610/rare-ex1045_600.htm" TargetMode="External"/><Relationship Id="rId199" Type="http://schemas.openxmlformats.org/officeDocument/2006/relationships/hyperlink" Target="https://www.sec.gov/Archives/edgar/data/0001515673/000156459021005610/rare-ex1046_599.htm" TargetMode="External"/><Relationship Id="rId201" Type="http://schemas.openxmlformats.org/officeDocument/2006/relationships/hyperlink" Target="https://www.sec.gov/Archives/edgar/data/0001515673/000156459021005610/rare-ex1047_598.htm" TargetMode="External"/><Relationship Id="rId203" Type="http://schemas.openxmlformats.org/officeDocument/2006/relationships/hyperlink" Target="https://www.sec.gov/Archives/edgar/data/0001515673/000156459021039879/rare-ex101_371.htm" TargetMode="External"/><Relationship Id="rId205" Type="http://schemas.openxmlformats.org/officeDocument/2006/relationships/hyperlink" Target="https://www.sec.gov/Archives/edgar/data/0001515673/000095017021002687/rare-ex10_1.htm" TargetMode="External"/><Relationship Id="rId208" Type="http://schemas.openxmlformats.org/officeDocument/2006/relationships/hyperlink" Target="https://www.sec.gov/Archives/edgar/data/1515673/000119312513435507/d601113dex1018.htm" TargetMode="External"/><Relationship Id="rId212" Type="http://schemas.openxmlformats.org/officeDocument/2006/relationships/hyperlink" Target="https://www.sec.gov/Archives/edgar/data/1515673/000156459014003472/rare-ex102_20140630238.htm" TargetMode="External"/><Relationship Id="rId217" Type="http://schemas.openxmlformats.org/officeDocument/2006/relationships/hyperlink" Target="https://www.sec.gov/Archives/edgar/data/1515673/000095017022021366/rare-ex10_2.htm" TargetMode="External"/><Relationship Id="rId221" Type="http://schemas.openxmlformats.org/officeDocument/2006/relationships/hyperlink" Target="https://www.sec.gov/Archives/edgar/data/1515673/000119312513435507/d601113dex1019.htm" TargetMode="External"/><Relationship Id="rId224" Type="http://schemas.openxmlformats.org/officeDocument/2006/relationships/hyperlink" Target="https://www.sec.gov/Archives/edgar/data/1515673/000156459014003472/rare-ex103_20140630239.htm" TargetMode="External"/><Relationship Id="rId227" Type="http://schemas.openxmlformats.org/officeDocument/2006/relationships/hyperlink" Target="https://www.sec.gov/Archives/edgar/data/1515673/000095017022021366/rare-ex10_5.htm" TargetMode="External"/><Relationship Id="rId230" Type="http://schemas.openxmlformats.org/officeDocument/2006/relationships/hyperlink" Target="https://www.sec.gov/Archives/edgar/data/1515673/000156459016023403/rare-ex103_584.htm" TargetMode="External"/><Relationship Id="rId233" Type="http://schemas.openxmlformats.org/officeDocument/2006/relationships/hyperlink" Target="https://www.sec.gov/Archives/edgar/data/1515673/000095017022021366/rare-ex10_6.htm" TargetMode="External"/><Relationship Id="rId236" Type="http://schemas.openxmlformats.org/officeDocument/2006/relationships/hyperlink" Target="https://www.sec.gov/Archives/edgar/data/1515673/000156459017001714/rare-ex1036_615.htm" TargetMode="External"/><Relationship Id="rId239" Type="http://schemas.openxmlformats.org/officeDocument/2006/relationships/hyperlink" Target="https://www.sec.gov/Archives/edgar/data/1515673/000095017022021366/rare-ex10_7.htm" TargetMode="External"/><Relationship Id="rId242" Type="http://schemas.openxmlformats.org/officeDocument/2006/relationships/hyperlink" Target="https://www.sec.gov/Archives/edgar/data/1515673/000156459017001714/rare-ex1037_613.htm" TargetMode="External"/><Relationship Id="rId245" Type="http://schemas.openxmlformats.org/officeDocument/2006/relationships/hyperlink" Target="https://www.sec.gov/Archives/edgar/data/1515673/000095017022021366/rare-ex10_9.htm" TargetMode="External"/><Relationship Id="rId248" Type="http://schemas.openxmlformats.org/officeDocument/2006/relationships/hyperlink" Target="https://www.sec.gov/Archives/edgar/data/1515673/000095017023018017/rare-ex10_2.htm" TargetMode="External"/><Relationship Id="rId251" Type="http://schemas.openxmlformats.org/officeDocument/2006/relationships/hyperlink" Target="https://www.sec.gov/Archives/edgar/data/1515673/000095017023032604/rare-ex10_1.htm" TargetMode="External"/><Relationship Id="rId254" Type="http://schemas.openxmlformats.org/officeDocument/2006/relationships/hyperlink" Target="https://www.sec.gov/Archives/edgar/data/1515673/000095017023047138/rare-ex10_1.htm" TargetMode="External"/><Relationship Id="rId257" Type="http://schemas.openxmlformats.org/officeDocument/2006/relationships/hyperlink" Target="https://www.sec.gov/Archives/edgar/data/1515673/000156459019028087/rare-ex104_233.htm" TargetMode="External"/><Relationship Id="rId260" Type="http://schemas.openxmlformats.org/officeDocument/2006/relationships/hyperlink" Target="https://www.sec.gov/Archives/edgar/data/1515673/000156459019028087/rare-ex105_232.htm" TargetMode="External"/><Relationship Id="rId263" Type="http://schemas.openxmlformats.org/officeDocument/2006/relationships/hyperlink" Target="https://www.sec.gov/Archives/edgar/data/1515673/000156459019028087/rare-ex106_231.htm" TargetMode="External"/><Relationship Id="rId266" Type="http://schemas.openxmlformats.org/officeDocument/2006/relationships/hyperlink" Target="https://www.sec.gov/Archives/edgar/data/1515673/000095017022021366/rare-ex10_8.htm" TargetMode="External"/><Relationship Id="rId269" Type="http://schemas.openxmlformats.org/officeDocument/2006/relationships/hyperlink" Target="https://www.sec.gov/Archives/edgar/data/1515673/000156459014000963/rare-ex10_20131231221.htm" TargetMode="External"/><Relationship Id="rId271" Type="http://schemas.openxmlformats.org/officeDocument/2006/relationships/hyperlink" Target="https://www.sec.gov/Archives/edgar/data/1515673/000119312513435507/d601113dex1022.htm" TargetMode="External"/><Relationship Id="rId275" Type="http://schemas.openxmlformats.org/officeDocument/2006/relationships/hyperlink" Target="https://www.sec.gov/Archives/edgar/data/1515673/000156459016013430/rare-ex1034_795.htm" TargetMode="External"/><Relationship Id="rId276" Type="http://schemas.openxmlformats.org/officeDocument/2006/relationships/hyperlink" Target="https://www.sec.gov/Archives/edgar/data/1515673/000156459016013430/rare-ex1035_796.htm" TargetMode="External"/><Relationship Id="rId277" Type="http://schemas.openxmlformats.org/officeDocument/2006/relationships/hyperlink" Target="https://www.sec.gov/Archives/edgar/data/1515673/000119312514065417/d678450dex101.htm" TargetMode="External"/><Relationship Id="rId278" Type="http://schemas.openxmlformats.org/officeDocument/2006/relationships/hyperlink" Target="https://www.sec.gov/Archives/edgar/data/1515673/000119312515091341/d891976dex101.htm" TargetMode="External"/><Relationship Id="rId279" Type="http://schemas.openxmlformats.org/officeDocument/2006/relationships/hyperlink" Target="https://www.sec.gov/Archives/edgar/data/1515673/000156459016013430/rare-ex1038_797.htm" TargetMode="External"/><Relationship Id="rId280" Type="http://schemas.openxmlformats.org/officeDocument/2006/relationships/hyperlink" Target="https://www.sec.gov/Archives/edgar/data/1515673/000156459019028087/rare-ex103_234.htm" TargetMode="External"/><Relationship Id="rId281" Type="http://schemas.openxmlformats.org/officeDocument/2006/relationships/hyperlink" Target="https://www.sec.gov/Archives/edgar/data/1515673/000156459016013430/rare-ex1043_799.htm" TargetMode="External"/><Relationship Id="rId282" Type="http://schemas.openxmlformats.org/officeDocument/2006/relationships/hyperlink" Target="https://www.sec.gov/Archives/edgar/data/1515673/000156459018002535/rare-ex1066_411.htm" TargetMode="External"/><Relationship Id="rId283" Type="http://schemas.openxmlformats.org/officeDocument/2006/relationships/hyperlink" Target="https://www.sec.gov/Archives/edgar/data/1515673/000156459018011341/rare-ex106_201.htm" TargetMode="External"/><Relationship Id="rId284" Type="http://schemas.openxmlformats.org/officeDocument/2006/relationships/hyperlink" Target="https://www.sec.gov/Archives/edgar/data/1515673/000156459018018979/rare-ex103_202.htm" TargetMode="External"/><Relationship Id="rId285" Type="http://schemas.openxmlformats.org/officeDocument/2006/relationships/hyperlink" Target="https://www.sec.gov/Archives/edgar/data/1515673/000156459020035082/rare-ex102_378.htm" TargetMode="External"/><Relationship Id="rId286" Type="http://schemas.openxmlformats.org/officeDocument/2006/relationships/hyperlink" Target="https://www.sec.gov/Archives/edgar/data/1515673/000156459020047991/rare-ex105_443.htm" TargetMode="External"/><Relationship Id="rId287" Type="http://schemas.openxmlformats.org/officeDocument/2006/relationships/hyperlink" Target="https://www.sec.gov/Archives/edgar/data/0001515673/000156459021005610/rare-ex1081_605.htm" TargetMode="External"/><Relationship Id="rId288" Type="http://schemas.openxmlformats.org/officeDocument/2006/relationships/hyperlink" Target="https://www.sec.gov/Archives/edgar/data/0001515673/000156459021005610/rare-ex1082_596.htm" TargetMode="External"/><Relationship Id="rId291" Type="http://schemas.openxmlformats.org/officeDocument/2006/relationships/hyperlink" Target="https://www.sec.gov/Archives/edgar/data/0001515673/000156459021005610/rare-ex1083_597.htm" TargetMode="External"/><Relationship Id="rId292" Type="http://schemas.openxmlformats.org/officeDocument/2006/relationships/hyperlink" Target="https://www.sec.gov/Archives/edgar/data/1515673/000095017023003096/rare-ex10_92.htm" TargetMode="External"/><Relationship Id="rId293" Type="http://schemas.openxmlformats.org/officeDocument/2006/relationships/hyperlink" Target="https://www.sec.gov/Archives/edgar/data/1515673/000156459020004667/rare-ex1070_645.htm" TargetMode="External"/><Relationship Id="rId294" Type="http://schemas.openxmlformats.org/officeDocument/2006/relationships/hyperlink" Target="https://www.sec.gov/Archives/edgar/data/1515673/000156459020004667/rare-ex1071_644.htm" TargetMode="External"/><Relationship Id="rId295" Type="http://schemas.openxmlformats.org/officeDocument/2006/relationships/hyperlink" Target="https://www.sec.gov/Archives/edgar/data/1515673/000095017023003096/rare-ex10_95.htm" TargetMode="External"/><Relationship Id="rId296" Type="http://schemas.openxmlformats.org/officeDocument/2006/relationships/hyperlink" Target="https://www.sec.gov/Archives/edgar/data/1515673/000095017024017879/rare-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2025-02-19T16:23:03Z</dcterms:created>
  <dcterms:modified xsi:type="dcterms:W3CDTF">2025-02-19T16:23:03Z</dcterms:modified>
</cp:coreProperties>
</file>