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520" w:hanging="512"/>
        <w:spacing w:after="0" w:line="182" w:lineRule="auto"/>
        <w:tabs>
          <w:tab w:leader="none" w:pos="52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200" w:lineRule="exact"/>
        <w:rPr>
          <w:sz w:val="24"/>
          <w:szCs w:val="24"/>
          <w:color w:val="auto"/>
        </w:rPr>
      </w:pPr>
    </w:p>
    <w:p>
      <w:pPr>
        <w:spacing w:after="0" w:line="384"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3460" w:type="dxa"/>
        <w:tblCellMar>
          <w:top w:w="0" w:type="dxa"/>
          <w:left w:w="0" w:type="dxa"/>
          <w:bottom w:w="0" w:type="dxa"/>
          <w:right w:w="0" w:type="dxa"/>
        </w:tblCellMar>
      </w:tblPr>
      <w:tr>
        <w:trPr>
          <w:trHeight w:val="207"/>
        </w:trPr>
        <w:tc>
          <w:tcPr>
            <w:tcW w:w="2360" w:type="dxa"/>
            <w:vAlign w:val="bottom"/>
          </w:tcPr>
          <w:p>
            <w:pPr>
              <w:jc w:val="right"/>
              <w:spacing w:after="0"/>
              <w:rPr>
                <w:sz w:val="20"/>
                <w:szCs w:val="20"/>
                <w:color w:val="auto"/>
              </w:rPr>
            </w:pPr>
            <w:r>
              <w:rPr>
                <w:rFonts w:ascii="Arial" w:cs="Arial" w:eastAsia="Arial" w:hAnsi="Arial"/>
                <w:sz w:val="18"/>
                <w:szCs w:val="18"/>
                <w:b w:val="1"/>
                <w:bCs w:val="1"/>
                <w:color w:val="auto"/>
                <w:w w:val="90"/>
              </w:rPr>
              <w:t>For the transition period from</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3"/>
              </w:rPr>
              <w:t>to</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Commission File</w:t>
            </w: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No. 001-36276</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ULTRAGENYX PHARMACEUTICAL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3"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630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right"/>
              <w:ind w:right="539"/>
              <w:spacing w:after="0"/>
              <w:rPr>
                <w:sz w:val="20"/>
                <w:szCs w:val="20"/>
                <w:color w:val="auto"/>
              </w:rPr>
            </w:pPr>
            <w:r>
              <w:rPr>
                <w:rFonts w:ascii="Arial" w:cs="Arial" w:eastAsia="Arial" w:hAnsi="Arial"/>
                <w:sz w:val="18"/>
                <w:szCs w:val="18"/>
                <w:b w:val="1"/>
                <w:bCs w:val="1"/>
                <w:color w:val="auto"/>
              </w:rPr>
              <w:t>27-2546083</w:t>
            </w:r>
          </w:p>
        </w:tc>
      </w:tr>
      <w:tr>
        <w:trPr>
          <w:trHeight w:val="182"/>
        </w:trPr>
        <w:tc>
          <w:tcPr>
            <w:tcW w:w="6300" w:type="dxa"/>
            <w:vAlign w:val="bottom"/>
            <w:gridSpan w:val="3"/>
          </w:tcPr>
          <w:p>
            <w:pPr>
              <w:jc w:val="center"/>
              <w:ind w:right="28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300" w:type="dxa"/>
            <w:vAlign w:val="bottom"/>
          </w:tcPr>
          <w:p>
            <w:pPr>
              <w:jc w:val="center"/>
              <w:ind w:left="119"/>
              <w:spacing w:after="0"/>
              <w:rPr>
                <w:sz w:val="20"/>
                <w:szCs w:val="20"/>
                <w:color w:val="auto"/>
              </w:rPr>
            </w:pPr>
            <w:r>
              <w:rPr>
                <w:rFonts w:ascii="Arial" w:cs="Arial" w:eastAsia="Arial" w:hAnsi="Arial"/>
                <w:sz w:val="14"/>
                <w:szCs w:val="14"/>
                <w:color w:val="auto"/>
                <w:w w:val="97"/>
              </w:rPr>
              <w:t>(I.R.S. Employer Identification No.)</w:t>
            </w:r>
          </w:p>
        </w:tc>
      </w:tr>
      <w:tr>
        <w:trPr>
          <w:trHeight w:val="299"/>
        </w:trPr>
        <w:tc>
          <w:tcPr>
            <w:tcW w:w="6300" w:type="dxa"/>
            <w:vAlign w:val="bottom"/>
            <w:gridSpan w:val="3"/>
          </w:tcPr>
          <w:p>
            <w:pPr>
              <w:jc w:val="center"/>
              <w:ind w:right="2800"/>
              <w:spacing w:after="0"/>
              <w:rPr>
                <w:sz w:val="20"/>
                <w:szCs w:val="20"/>
                <w:color w:val="auto"/>
              </w:rPr>
            </w:pPr>
            <w:r>
              <w:rPr>
                <w:rFonts w:ascii="Arial" w:cs="Arial" w:eastAsia="Arial" w:hAnsi="Arial"/>
                <w:sz w:val="18"/>
                <w:szCs w:val="18"/>
                <w:b w:val="1"/>
                <w:bCs w:val="1"/>
                <w:color w:val="auto"/>
                <w:w w:val="92"/>
              </w:rPr>
              <w:t>60 Leveroni Court</w:t>
            </w:r>
          </w:p>
        </w:tc>
        <w:tc>
          <w:tcPr>
            <w:tcW w:w="2300" w:type="dxa"/>
            <w:vAlign w:val="bottom"/>
          </w:tcPr>
          <w:p>
            <w:pPr>
              <w:spacing w:after="0"/>
              <w:rPr>
                <w:sz w:val="24"/>
                <w:szCs w:val="24"/>
                <w:color w:val="auto"/>
              </w:rPr>
            </w:pPr>
          </w:p>
        </w:tc>
      </w:tr>
      <w:tr>
        <w:trPr>
          <w:trHeight w:val="216"/>
        </w:trPr>
        <w:tc>
          <w:tcPr>
            <w:tcW w:w="6300" w:type="dxa"/>
            <w:vAlign w:val="bottom"/>
            <w:gridSpan w:val="3"/>
          </w:tcPr>
          <w:p>
            <w:pPr>
              <w:jc w:val="center"/>
              <w:ind w:right="2800"/>
              <w:spacing w:after="0"/>
              <w:rPr>
                <w:sz w:val="20"/>
                <w:szCs w:val="20"/>
                <w:color w:val="auto"/>
              </w:rPr>
            </w:pPr>
            <w:r>
              <w:rPr>
                <w:rFonts w:ascii="Arial" w:cs="Arial" w:eastAsia="Arial" w:hAnsi="Arial"/>
                <w:sz w:val="18"/>
                <w:szCs w:val="18"/>
                <w:b w:val="1"/>
                <w:bCs w:val="1"/>
                <w:color w:val="auto"/>
                <w:w w:val="92"/>
              </w:rPr>
              <w:t>Novato, California</w:t>
            </w:r>
          </w:p>
        </w:tc>
        <w:tc>
          <w:tcPr>
            <w:tcW w:w="2300" w:type="dxa"/>
            <w:vAlign w:val="bottom"/>
          </w:tcPr>
          <w:p>
            <w:pPr>
              <w:jc w:val="right"/>
              <w:ind w:right="779"/>
              <w:spacing w:after="0"/>
              <w:rPr>
                <w:sz w:val="20"/>
                <w:szCs w:val="20"/>
                <w:color w:val="auto"/>
              </w:rPr>
            </w:pPr>
            <w:r>
              <w:rPr>
                <w:rFonts w:ascii="Arial" w:cs="Arial" w:eastAsia="Arial" w:hAnsi="Arial"/>
                <w:sz w:val="18"/>
                <w:szCs w:val="18"/>
                <w:b w:val="1"/>
                <w:bCs w:val="1"/>
                <w:color w:val="auto"/>
              </w:rPr>
              <w:t>94949</w:t>
            </w:r>
          </w:p>
        </w:tc>
      </w:tr>
      <w:tr>
        <w:trPr>
          <w:trHeight w:val="182"/>
        </w:trPr>
        <w:tc>
          <w:tcPr>
            <w:tcW w:w="6300" w:type="dxa"/>
            <w:vAlign w:val="bottom"/>
            <w:gridSpan w:val="3"/>
          </w:tcPr>
          <w:p>
            <w:pPr>
              <w:jc w:val="center"/>
              <w:ind w:right="2800"/>
              <w:spacing w:after="0"/>
              <w:rPr>
                <w:sz w:val="20"/>
                <w:szCs w:val="20"/>
                <w:color w:val="auto"/>
              </w:rPr>
            </w:pPr>
            <w:r>
              <w:rPr>
                <w:rFonts w:ascii="Arial" w:cs="Arial" w:eastAsia="Arial" w:hAnsi="Arial"/>
                <w:sz w:val="14"/>
                <w:szCs w:val="14"/>
                <w:color w:val="auto"/>
                <w:w w:val="95"/>
              </w:rPr>
              <w:t>(Address of principal executive offices)</w:t>
            </w:r>
          </w:p>
        </w:tc>
        <w:tc>
          <w:tcPr>
            <w:tcW w:w="2300" w:type="dxa"/>
            <w:vAlign w:val="bottom"/>
          </w:tcPr>
          <w:p>
            <w:pPr>
              <w:jc w:val="center"/>
              <w:ind w:left="59"/>
              <w:spacing w:after="0"/>
              <w:rPr>
                <w:sz w:val="20"/>
                <w:szCs w:val="20"/>
                <w:color w:val="auto"/>
              </w:rPr>
            </w:pPr>
            <w:r>
              <w:rPr>
                <w:rFonts w:ascii="Arial" w:cs="Arial" w:eastAsia="Arial" w:hAnsi="Arial"/>
                <w:sz w:val="14"/>
                <w:szCs w:val="14"/>
                <w:i w:val="1"/>
                <w:iCs w:val="1"/>
                <w:color w:val="auto"/>
                <w:w w:val="96"/>
              </w:rPr>
              <w:t>(Zip Code)</w:t>
            </w:r>
          </w:p>
        </w:tc>
      </w:tr>
      <w:tr>
        <w:trPr>
          <w:trHeight w:val="336"/>
        </w:trPr>
        <w:tc>
          <w:tcPr>
            <w:tcW w:w="5140" w:type="dxa"/>
            <w:vAlign w:val="bottom"/>
            <w:gridSpan w:val="2"/>
          </w:tcPr>
          <w:p>
            <w:pPr>
              <w:jc w:val="right"/>
              <w:spacing w:after="0"/>
              <w:rPr>
                <w:sz w:val="20"/>
                <w:szCs w:val="20"/>
                <w:color w:val="auto"/>
              </w:rPr>
            </w:pPr>
            <w:r>
              <w:rPr>
                <w:rFonts w:ascii="Arial" w:cs="Arial" w:eastAsia="Arial" w:hAnsi="Arial"/>
                <w:sz w:val="18"/>
                <w:szCs w:val="18"/>
                <w:b w:val="1"/>
                <w:bCs w:val="1"/>
                <w:color w:val="auto"/>
              </w:rPr>
              <w:t>(415) 483-8800</w:t>
            </w:r>
          </w:p>
        </w:tc>
        <w:tc>
          <w:tcPr>
            <w:tcW w:w="11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4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84"/>
        </w:trPr>
        <w:tc>
          <w:tcPr>
            <w:tcW w:w="6300" w:type="dxa"/>
            <w:vAlign w:val="bottom"/>
            <w:gridSpan w:val="3"/>
          </w:tcPr>
          <w:p>
            <w:pPr>
              <w:jc w:val="center"/>
              <w:ind w:left="2778"/>
              <w:spacing w:after="0"/>
              <w:rPr>
                <w:sz w:val="20"/>
                <w:szCs w:val="20"/>
                <w:color w:val="auto"/>
              </w:rPr>
            </w:pPr>
            <w:r>
              <w:rPr>
                <w:rFonts w:ascii="Arial" w:cs="Arial" w:eastAsia="Arial" w:hAnsi="Arial"/>
                <w:sz w:val="14"/>
                <w:szCs w:val="14"/>
                <w:color w:val="auto"/>
                <w:w w:val="92"/>
              </w:rPr>
              <w:t>(Registrant’s telephone number, including area code)</w:t>
            </w:r>
          </w:p>
        </w:tc>
        <w:tc>
          <w:tcPr>
            <w:tcW w:w="2300" w:type="dxa"/>
            <w:vAlign w:val="bottom"/>
          </w:tcPr>
          <w:p>
            <w:pPr>
              <w:spacing w:after="0"/>
              <w:rPr>
                <w:sz w:val="16"/>
                <w:szCs w:val="16"/>
                <w:color w:val="auto"/>
              </w:rPr>
            </w:pP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90805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670" w:type="dxa"/>
        <w:tblCellMar>
          <w:top w:w="0" w:type="dxa"/>
          <w:left w:w="0" w:type="dxa"/>
          <w:bottom w:w="0" w:type="dxa"/>
          <w:right w:w="0" w:type="dxa"/>
        </w:tblCellMar>
      </w:tblPr>
      <w:tr>
        <w:trPr>
          <w:trHeight w:val="24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28"/>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RARE</w:t>
            </w:r>
          </w:p>
        </w:tc>
        <w:tc>
          <w:tcPr>
            <w:tcW w:w="4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r>
      <w:tr>
        <w:trPr>
          <w:trHeight w:val="22"/>
        </w:trPr>
        <w:tc>
          <w:tcPr>
            <w:tcW w:w="4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4220" w:type="dxa"/>
            <w:vAlign w:val="bottom"/>
            <w:tcBorders>
              <w:bottom w:val="single" w:sz="8" w:color="auto"/>
              <w:right w:val="single" w:sz="8" w:color="auto"/>
            </w:tcBorders>
          </w:tcPr>
          <w:p>
            <w:pPr>
              <w:spacing w:after="0" w:line="20" w:lineRule="exact"/>
              <w:rPr>
                <w:sz w:val="1"/>
                <w:szCs w:val="1"/>
                <w:color w:val="auto"/>
              </w:rPr>
            </w:pPr>
          </w:p>
        </w:tc>
      </w:tr>
    </w:tbl>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2019, the registrant had 57,770,923 shares of common stock issued and outstanding.</w:t>
      </w:r>
    </w:p>
    <w:p>
      <w:pPr>
        <w:spacing w:after="0" w:line="36"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00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6"/>
        </w:trPr>
        <w:tc>
          <w:tcPr>
            <w:tcW w:w="2140" w:type="dxa"/>
            <w:vAlign w:val="bottom"/>
          </w:tcPr>
          <w:p>
            <w:pPr>
              <w:spacing w:after="0" w:line="176" w:lineRule="exact"/>
              <w:rPr>
                <w:sz w:val="20"/>
                <w:szCs w:val="20"/>
                <w:color w:val="auto"/>
              </w:rPr>
            </w:pPr>
            <w:r>
              <w:rPr>
                <w:rFonts w:ascii="Arial" w:cs="Arial" w:eastAsia="Arial" w:hAnsi="Arial"/>
                <w:sz w:val="18"/>
                <w:szCs w:val="18"/>
                <w:color w:val="auto"/>
              </w:rPr>
              <w:t>Non-accelerated filer</w:t>
            </w:r>
          </w:p>
        </w:tc>
        <w:tc>
          <w:tcPr>
            <w:tcW w:w="3320" w:type="dxa"/>
            <w:vAlign w:val="bottom"/>
          </w:tcPr>
          <w:p>
            <w:pPr>
              <w:ind w:left="500"/>
              <w:spacing w:after="0" w:line="176"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60"/>
              <w:spacing w:after="0" w:line="176" w:lineRule="exact"/>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76"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0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1"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380" w:val="left"/>
          <w:tab w:leader="none" w:pos="91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314325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87"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91"/>
        </w:trPr>
        <w:tc>
          <w:tcPr>
            <w:tcW w:w="612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NOTE REGARDING FORWARD-LOOKING STATEMENTS</w:t>
              </w:r>
            </w:hyperlink>
          </w:p>
        </w:tc>
        <w:tc>
          <w:tcPr>
            <w:tcW w:w="482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860" w:type="dxa"/>
            <w:vAlign w:val="bottom"/>
          </w:tcPr>
          <w:p>
            <w:pPr>
              <w:spacing w:after="0"/>
              <w:rPr>
                <w:sz w:val="20"/>
                <w:szCs w:val="20"/>
                <w:color w:val="auto"/>
              </w:rPr>
            </w:pPr>
            <w:r>
              <w:rPr>
                <w:rFonts w:ascii="Arial" w:cs="Arial" w:eastAsia="Arial" w:hAnsi="Arial"/>
                <w:sz w:val="18"/>
                <w:szCs w:val="18"/>
                <w:b w:val="1"/>
                <w:bCs w:val="1"/>
                <w:color w:val="auto"/>
              </w:rPr>
              <w:t>Part I –</w:t>
            </w:r>
          </w:p>
        </w:tc>
        <w:tc>
          <w:tcPr>
            <w:tcW w:w="1008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760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r>
      <w:tr>
        <w:trPr>
          <w:trHeight w:val="3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52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480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(Loss</w:t>
              </w:r>
            </w:hyperlink>
            <w:r>
              <w:rPr>
                <w:rFonts w:ascii="Arial" w:cs="Arial" w:eastAsia="Arial" w:hAnsi="Arial"/>
                <w:sz w:val="18"/>
                <w:szCs w:val="18"/>
                <w:u w:val="single" w:color="auto"/>
                <w:color w:val="000000"/>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w:t>
              </w:r>
            </w:hyperlink>
          </w:p>
        </w:tc>
        <w:tc>
          <w:tcPr>
            <w:tcW w:w="620" w:type="dxa"/>
            <w:vAlign w:val="bottom"/>
            <w:tcBorders>
              <w:top w:val="single" w:sz="8" w:color="0000EE"/>
            </w:tcBorders>
          </w:tcPr>
          <w:p>
            <w:pPr>
              <w:spacing w:after="0"/>
              <w:rPr>
                <w:sz w:val="24"/>
                <w:szCs w:val="24"/>
                <w:color w:val="auto"/>
              </w:rPr>
            </w:pPr>
          </w:p>
        </w:tc>
        <w:tc>
          <w:tcPr>
            <w:tcW w:w="344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w:t>
              </w:r>
            </w:hyperlink>
          </w:p>
        </w:tc>
        <w:tc>
          <w:tcPr>
            <w:tcW w:w="47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446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474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18"/>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 –</w:t>
            </w:r>
          </w:p>
        </w:tc>
        <w:tc>
          <w:tcPr>
            <w:tcW w:w="10080" w:type="dxa"/>
            <w:vAlign w:val="bottom"/>
            <w:gridSpan w:val="2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4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0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78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Unregistered Sales of Equity Securities and Use of Proceeds</w:t>
              </w:r>
            </w:hyperlink>
          </w:p>
        </w:tc>
        <w:tc>
          <w:tcPr>
            <w:tcW w:w="476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Defaults Upon Senior Securities</w:t>
              </w:r>
            </w:hyperlink>
          </w:p>
        </w:tc>
        <w:tc>
          <w:tcPr>
            <w:tcW w:w="678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734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7800" w:type="dxa"/>
            <w:vAlign w:val="bottom"/>
            <w:gridSpan w:val="1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860" w:type="dxa"/>
            <w:vAlign w:val="bottom"/>
          </w:tcPr>
          <w:p>
            <w:pPr>
              <w:spacing w:after="0"/>
              <w:rPr>
                <w:sz w:val="24"/>
                <w:szCs w:val="24"/>
                <w:color w:val="auto"/>
              </w:rPr>
            </w:pPr>
          </w:p>
        </w:tc>
        <w:tc>
          <w:tcPr>
            <w:tcW w:w="980" w:type="dxa"/>
            <w:vAlign w:val="bottom"/>
            <w:gridSpan w:val="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243"/>
        </w:trPr>
        <w:tc>
          <w:tcPr>
            <w:tcW w:w="860" w:type="dxa"/>
            <w:vAlign w:val="bottom"/>
            <w:tcBorders>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This Quarterly Report on Form 10-Q (the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“anticipate,” “believe,” “contemplate,” “continue,” “could,” “estimate,” “expect,” “forecast,” “intend,” “may,” “plan,” “potential,” “predict,” “project,” “seek,” “should,” “target,” “will,” “would,” or the negative of these words, or other comparable terminology. These forward-looking statements include, but are not limited to, statements about:</w:t>
      </w:r>
    </w:p>
    <w:p>
      <w:pPr>
        <w:spacing w:after="0" w:line="30" w:lineRule="exact"/>
        <w:rPr>
          <w:sz w:val="20"/>
          <w:szCs w:val="20"/>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of clinical study commencements and reporting results from same;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likelihood of regulatory approvals for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indications for our product candidates, if approved;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market opportunities for commercializing our products and product candidates;</w:t>
      </w:r>
    </w:p>
    <w:p>
      <w:pPr>
        <w:spacing w:after="0" w:line="76" w:lineRule="exact"/>
        <w:rPr>
          <w:rFonts w:ascii="Arial" w:cs="Arial" w:eastAsia="Arial" w:hAnsi="Arial"/>
          <w:sz w:val="18"/>
          <w:szCs w:val="18"/>
          <w:color w:val="auto"/>
        </w:rPr>
      </w:pPr>
    </w:p>
    <w:p>
      <w:pPr>
        <w:ind w:left="900" w:right="18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products and product candidates, if approved for commercial use;</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revenue, capital requirements, and our needs for additional financing;</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studies;</w:t>
      </w:r>
    </w:p>
    <w:p>
      <w:pPr>
        <w:spacing w:after="0" w:line="76" w:lineRule="exact"/>
        <w:rPr>
          <w:rFonts w:ascii="Arial" w:cs="Arial" w:eastAsia="Arial" w:hAnsi="Arial"/>
          <w:sz w:val="18"/>
          <w:szCs w:val="18"/>
          <w:color w:val="auto"/>
        </w:rPr>
      </w:pPr>
    </w:p>
    <w:p>
      <w:pPr>
        <w:ind w:left="900" w:right="78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and product candidates and the integration and performance of any businesses we have acquired or may acquire;</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timing, progress, and results of ongoing and future preclinical and clinical studies, and our research and development programs;</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products and product candidates;</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strategic relationships or obtain additional funding;</w:t>
      </w:r>
    </w:p>
    <w:p>
      <w:pPr>
        <w:spacing w:after="0" w:line="76" w:lineRule="exact"/>
        <w:rPr>
          <w:rFonts w:ascii="Arial" w:cs="Arial" w:eastAsia="Arial" w:hAnsi="Arial"/>
          <w:sz w:val="18"/>
          <w:szCs w:val="18"/>
          <w:color w:val="auto"/>
        </w:rPr>
      </w:pPr>
    </w:p>
    <w:p>
      <w:pPr>
        <w:ind w:left="900" w:right="102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relationships with third parties, such as contract research organizations, contract manufacturing organizations, suppliers, and distributors;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 the expansion of our organization;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supply of our products and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7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discussed under Part II, Item 1A. Risk Factors and discussed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30"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15"/>
        </w:trPr>
        <w:tc>
          <w:tcPr>
            <w:tcW w:w="77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122,577</w:t>
            </w:r>
          </w:p>
        </w:tc>
        <w:tc>
          <w:tcPr>
            <w:tcW w:w="1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404,481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680" w:type="dxa"/>
            <w:vAlign w:val="bottom"/>
            <w:shd w:val="clear" w:color="auto" w:fill="CCEE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23,121</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12,740</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49,169</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42,858</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613,486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CFF"/>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31,877</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20,046</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Investment in Arcturus equity securities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CECFF"/>
          </w:tcPr>
          <w:p>
            <w:pPr>
              <w:spacing w:after="0"/>
              <w:rPr>
                <w:sz w:val="20"/>
                <w:szCs w:val="20"/>
                <w:color w:val="auto"/>
              </w:rPr>
            </w:pPr>
            <w:r>
              <w:rPr>
                <w:rFonts w:ascii="Arial" w:cs="Arial" w:eastAsia="Arial" w:hAnsi="Arial"/>
                <w:sz w:val="18"/>
                <w:szCs w:val="18"/>
                <w:color w:val="auto"/>
              </w:rPr>
              <w:t>Intangible assets, net</w:t>
            </w:r>
          </w:p>
        </w:tc>
        <w:tc>
          <w:tcPr>
            <w:tcW w:w="6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129,020</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129,223</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CFF"/>
          </w:tcPr>
          <w:p>
            <w:pPr>
              <w:spacing w:after="0"/>
              <w:rPr>
                <w:sz w:val="20"/>
                <w:szCs w:val="20"/>
                <w:color w:val="auto"/>
              </w:rPr>
            </w:pPr>
            <w:r>
              <w:rPr>
                <w:rFonts w:ascii="Arial" w:cs="Arial" w:eastAsia="Arial" w:hAnsi="Arial"/>
                <w:sz w:val="18"/>
                <w:szCs w:val="18"/>
                <w:color w:val="auto"/>
              </w:rPr>
              <w:t>Right-of-use assets</w:t>
            </w:r>
          </w:p>
        </w:tc>
        <w:tc>
          <w:tcPr>
            <w:tcW w:w="6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31,711</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Other assets</w:t>
            </w:r>
          </w:p>
        </w:tc>
        <w:tc>
          <w:tcPr>
            <w:tcW w:w="6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160" w:type="dxa"/>
            <w:vAlign w:val="bottom"/>
            <w:tcBorders>
              <w:bottom w:val="single" w:sz="8" w:color="CCECFF"/>
            </w:tcBorders>
          </w:tcPr>
          <w:p>
            <w:pPr>
              <w:spacing w:after="0"/>
              <w:rPr>
                <w:sz w:val="19"/>
                <w:szCs w:val="19"/>
                <w:color w:val="auto"/>
              </w:rPr>
            </w:pPr>
          </w:p>
        </w:tc>
        <w:tc>
          <w:tcPr>
            <w:tcW w:w="12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assets</w:t>
            </w:r>
          </w:p>
        </w:tc>
        <w:tc>
          <w:tcPr>
            <w:tcW w:w="68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879,944</w:t>
            </w:r>
          </w:p>
        </w:tc>
        <w:tc>
          <w:tcPr>
            <w:tcW w:w="16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719,558</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C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13,460</w:t>
            </w:r>
          </w:p>
        </w:tc>
        <w:tc>
          <w:tcPr>
            <w:tcW w:w="160" w:type="dxa"/>
            <w:vAlign w:val="bottom"/>
          </w:tcPr>
          <w:p>
            <w:pPr>
              <w:spacing w:after="0"/>
              <w:rPr>
                <w:sz w:val="19"/>
                <w:szCs w:val="19"/>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Accrued liabilities</w:t>
            </w:r>
          </w:p>
        </w:tc>
        <w:tc>
          <w:tcPr>
            <w:tcW w:w="6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69,557</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62,450</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Short-term lease liabilities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CECFF"/>
            </w:tcBorders>
            <w:shd w:val="clear" w:color="auto" w:fill="CCECFF"/>
          </w:tcPr>
          <w:p>
            <w:pPr>
              <w:ind w:left="500"/>
              <w:spacing w:after="0"/>
              <w:rPr>
                <w:sz w:val="20"/>
                <w:szCs w:val="20"/>
                <w:color w:val="auto"/>
              </w:rPr>
            </w:pPr>
            <w:r>
              <w:rPr>
                <w:rFonts w:ascii="Arial" w:cs="Arial" w:eastAsia="Arial" w:hAnsi="Arial"/>
                <w:sz w:val="18"/>
                <w:szCs w:val="18"/>
                <w:color w:val="auto"/>
              </w:rPr>
              <w:t>Total current liabilities</w:t>
            </w:r>
          </w:p>
        </w:tc>
        <w:tc>
          <w:tcPr>
            <w:tcW w:w="68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19"/>
                <w:szCs w:val="19"/>
                <w:color w:val="auto"/>
              </w:rPr>
            </w:pPr>
          </w:p>
        </w:tc>
        <w:tc>
          <w:tcPr>
            <w:tcW w:w="1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90,307</w:t>
            </w:r>
          </w:p>
        </w:tc>
        <w:tc>
          <w:tcPr>
            <w:tcW w:w="1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19"/>
                <w:szCs w:val="19"/>
                <w:color w:val="auto"/>
              </w:rPr>
            </w:pPr>
          </w:p>
        </w:tc>
        <w:tc>
          <w:tcPr>
            <w:tcW w:w="1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74,725</w:t>
            </w:r>
          </w:p>
        </w:tc>
        <w:tc>
          <w:tcPr>
            <w:tcW w:w="100" w:type="dxa"/>
            <w:vAlign w:val="bottom"/>
            <w:tcBorders>
              <w:top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CFF"/>
          </w:tcPr>
          <w:p>
            <w:pPr>
              <w:spacing w:after="0"/>
              <w:rPr>
                <w:sz w:val="20"/>
                <w:szCs w:val="20"/>
                <w:color w:val="auto"/>
              </w:rPr>
            </w:pPr>
            <w:r>
              <w:rPr>
                <w:rFonts w:ascii="Arial" w:cs="Arial" w:eastAsia="Arial" w:hAnsi="Arial"/>
                <w:sz w:val="18"/>
                <w:szCs w:val="18"/>
                <w:color w:val="auto"/>
              </w:rPr>
              <w:t>Long-term lease liabilities</w:t>
            </w:r>
          </w:p>
        </w:tc>
        <w:tc>
          <w:tcPr>
            <w:tcW w:w="6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31,206</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Other liabilities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liabilities</w:t>
            </w:r>
          </w:p>
        </w:tc>
        <w:tc>
          <w:tcPr>
            <w:tcW w:w="68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spacing w:after="0"/>
              <w:rPr>
                <w:sz w:val="19"/>
                <w:szCs w:val="19"/>
                <w:color w:val="auto"/>
              </w:rPr>
            </w:pP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152,679</w:t>
            </w:r>
          </w:p>
        </w:tc>
        <w:tc>
          <w:tcPr>
            <w:tcW w:w="1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spacing w:after="0"/>
              <w:rPr>
                <w:sz w:val="19"/>
                <w:szCs w:val="19"/>
                <w:color w:val="auto"/>
              </w:rPr>
            </w:pP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110,650</w:t>
            </w:r>
          </w:p>
        </w:tc>
        <w:tc>
          <w:tcPr>
            <w:tcW w:w="100" w:type="dxa"/>
            <w:vAlign w:val="bottom"/>
            <w:tcBorders>
              <w:top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CECFF"/>
          </w:tcPr>
          <w:p>
            <w:pPr>
              <w:ind w:left="260"/>
              <w:spacing w:after="0"/>
              <w:rPr>
                <w:sz w:val="20"/>
                <w:szCs w:val="20"/>
                <w:color w:val="auto"/>
              </w:rPr>
            </w:pPr>
            <w:r>
              <w:rPr>
                <w:rFonts w:ascii="Arial" w:cs="Arial" w:eastAsia="Arial" w:hAnsi="Arial"/>
                <w:sz w:val="18"/>
                <w:szCs w:val="18"/>
                <w:color w:val="auto"/>
                <w:w w:val="98"/>
              </w:rPr>
              <w:t>Preferred stock — 25,000,000 shares authorized; nil outstanding as of September 30, 2019 and</w:t>
            </w:r>
          </w:p>
        </w:tc>
        <w:tc>
          <w:tcPr>
            <w:tcW w:w="6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CFF"/>
          </w:tcPr>
          <w:p>
            <w:pPr>
              <w:ind w:left="380"/>
              <w:spacing w:after="0"/>
              <w:rPr>
                <w:sz w:val="20"/>
                <w:szCs w:val="20"/>
                <w:color w:val="auto"/>
              </w:rPr>
            </w:pPr>
            <w:r>
              <w:rPr>
                <w:rFonts w:ascii="Arial" w:cs="Arial" w:eastAsia="Arial" w:hAnsi="Arial"/>
                <w:sz w:val="18"/>
                <w:szCs w:val="18"/>
                <w:color w:val="auto"/>
              </w:rPr>
              <w:t>December 31, 2018</w:t>
            </w:r>
          </w:p>
        </w:tc>
        <w:tc>
          <w:tcPr>
            <w:tcW w:w="68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3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Common stock — 250,000,000 shares authorized; 57,749,890 and 50,860,588 shares issued</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and outstanding as of September 30, 2019 and December 31, 2018, respectively</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Additional paid-in capital</w:t>
            </w:r>
          </w:p>
        </w:tc>
        <w:tc>
          <w:tcPr>
            <w:tcW w:w="6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2,066,483</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1,639,773</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0"/>
        </w:trPr>
        <w:tc>
          <w:tcPr>
            <w:tcW w:w="77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(1,339,205)</w:t>
            </w: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(1,030,283)</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bottom w:val="single" w:sz="8" w:color="CCEC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727,265</w:t>
            </w:r>
          </w:p>
        </w:tc>
        <w:tc>
          <w:tcPr>
            <w:tcW w:w="160" w:type="dxa"/>
            <w:vAlign w:val="bottom"/>
            <w:tcBorders>
              <w:bottom w:val="single" w:sz="8" w:color="CCECFF"/>
            </w:tcBorders>
          </w:tcPr>
          <w:p>
            <w:pPr>
              <w:spacing w:after="0"/>
              <w:rPr>
                <w:sz w:val="19"/>
                <w:szCs w:val="19"/>
                <w:color w:val="auto"/>
              </w:rPr>
            </w:pPr>
          </w:p>
        </w:tc>
        <w:tc>
          <w:tcPr>
            <w:tcW w:w="120" w:type="dxa"/>
            <w:vAlign w:val="bottom"/>
            <w:tcBorders>
              <w:bottom w:val="single" w:sz="8" w:color="CCEC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608,908</w:t>
            </w:r>
          </w:p>
        </w:tc>
        <w:tc>
          <w:tcPr>
            <w:tcW w:w="10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879,944</w:t>
            </w:r>
          </w:p>
        </w:tc>
        <w:tc>
          <w:tcPr>
            <w:tcW w:w="16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719,558</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CFF"/>
            </w:tcBorders>
          </w:tcPr>
          <w:p>
            <w:pPr>
              <w:spacing w:after="0"/>
              <w:rPr>
                <w:sz w:val="19"/>
                <w:szCs w:val="19"/>
                <w:color w:val="auto"/>
              </w:rPr>
            </w:pPr>
          </w:p>
        </w:tc>
        <w:tc>
          <w:tcPr>
            <w:tcW w:w="520" w:type="dxa"/>
            <w:vAlign w:val="bottom"/>
            <w:tcBorders>
              <w:bottom w:val="single" w:sz="8" w:color="CCEC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CFF"/>
            </w:tcBorders>
          </w:tcPr>
          <w:p>
            <w:pPr>
              <w:spacing w:after="0"/>
              <w:rPr>
                <w:sz w:val="19"/>
                <w:szCs w:val="19"/>
                <w:color w:val="auto"/>
              </w:rPr>
            </w:pPr>
          </w:p>
        </w:tc>
        <w:tc>
          <w:tcPr>
            <w:tcW w:w="80" w:type="dxa"/>
            <w:vAlign w:val="bottom"/>
            <w:tcBorders>
              <w:top w:val="single" w:sz="8" w:color="auto"/>
              <w:bottom w:val="single" w:sz="8" w:color="CCEC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C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Collaboration and license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21,585</w:t>
            </w:r>
          </w:p>
        </w:tc>
        <w:tc>
          <w:tcPr>
            <w:tcW w:w="2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9,015</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55,070</w:t>
            </w:r>
          </w:p>
        </w:tc>
        <w:tc>
          <w:tcPr>
            <w:tcW w:w="16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28,896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Product sales</w:t>
            </w:r>
          </w:p>
        </w:tc>
        <w:tc>
          <w:tcPr>
            <w:tcW w:w="52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4,215</w:t>
            </w:r>
          </w:p>
        </w:tc>
        <w:tc>
          <w:tcPr>
            <w:tcW w:w="24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2,748</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13,051</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6,338</w:t>
            </w:r>
          </w:p>
        </w:tc>
        <w:tc>
          <w:tcPr>
            <w:tcW w:w="2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CFF"/>
            </w:tcBorders>
          </w:tcPr>
          <w:p>
            <w:pPr>
              <w:ind w:left="50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25,800</w:t>
            </w:r>
          </w:p>
        </w:tc>
        <w:tc>
          <w:tcPr>
            <w:tcW w:w="24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11,763</w:t>
            </w:r>
          </w:p>
        </w:tc>
        <w:tc>
          <w:tcPr>
            <w:tcW w:w="16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68,121</w:t>
            </w:r>
          </w:p>
        </w:tc>
        <w:tc>
          <w:tcPr>
            <w:tcW w:w="16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35,234</w:t>
            </w:r>
          </w:p>
        </w:tc>
        <w:tc>
          <w:tcPr>
            <w:tcW w:w="26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C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100,144</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70,041</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274,294</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222,380</w:t>
            </w:r>
          </w:p>
        </w:tc>
        <w:tc>
          <w:tcPr>
            <w:tcW w:w="2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CFF"/>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41,006</w:t>
            </w:r>
          </w:p>
        </w:tc>
        <w:tc>
          <w:tcPr>
            <w:tcW w:w="24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31,095</w:t>
            </w:r>
          </w:p>
        </w:tc>
        <w:tc>
          <w:tcPr>
            <w:tcW w:w="16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119,647</w:t>
            </w:r>
          </w:p>
        </w:tc>
        <w:tc>
          <w:tcPr>
            <w:tcW w:w="16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93,248</w:t>
            </w:r>
          </w:p>
        </w:tc>
        <w:tc>
          <w:tcPr>
            <w:tcW w:w="26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CFF"/>
          </w:tcPr>
          <w:p>
            <w:pPr>
              <w:ind w:left="500"/>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143,833</w:t>
            </w:r>
          </w:p>
        </w:tc>
        <w:tc>
          <w:tcPr>
            <w:tcW w:w="24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101,409</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397,842</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316,267</w:t>
            </w:r>
          </w:p>
        </w:tc>
        <w:tc>
          <w:tcPr>
            <w:tcW w:w="2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(118,033)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(89,646)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(329,721)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(281,033)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3,319</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2,730</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10,468</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6,915</w:t>
            </w:r>
          </w:p>
        </w:tc>
        <w:tc>
          <w:tcPr>
            <w:tcW w:w="2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Gain from sale of priority review vouchers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170,322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CFF"/>
          </w:tcPr>
          <w:p>
            <w:pPr>
              <w:spacing w:after="0"/>
              <w:rPr>
                <w:sz w:val="20"/>
                <w:szCs w:val="20"/>
                <w:color w:val="auto"/>
              </w:rPr>
            </w:pPr>
            <w:r>
              <w:rPr>
                <w:rFonts w:ascii="Arial" w:cs="Arial" w:eastAsia="Arial" w:hAnsi="Arial"/>
                <w:sz w:val="18"/>
                <w:szCs w:val="18"/>
                <w:color w:val="auto"/>
              </w:rPr>
              <w:t>Change in fair value of investment in Arcturus equity securities</w:t>
            </w:r>
          </w:p>
        </w:tc>
        <w:tc>
          <w:tcPr>
            <w:tcW w:w="5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2,166</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11,994</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24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Other expense</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Loss before income taxes</w:t>
            </w:r>
          </w:p>
        </w:tc>
        <w:tc>
          <w:tcPr>
            <w:tcW w:w="5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19"/>
                <w:szCs w:val="19"/>
                <w:color w:val="auto"/>
              </w:rPr>
            </w:pP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(112,701)</w:t>
            </w:r>
          </w:p>
        </w:tc>
        <w:tc>
          <w:tcPr>
            <w:tcW w:w="24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spacing w:after="0"/>
              <w:rPr>
                <w:sz w:val="19"/>
                <w:szCs w:val="19"/>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(87,063)</w:t>
            </w:r>
          </w:p>
        </w:tc>
        <w:tc>
          <w:tcPr>
            <w:tcW w:w="16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spacing w:after="0"/>
              <w:rPr>
                <w:sz w:val="19"/>
                <w:szCs w:val="19"/>
                <w:color w:val="auto"/>
              </w:rPr>
            </w:pP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(308,200)</w:t>
            </w:r>
          </w:p>
        </w:tc>
        <w:tc>
          <w:tcPr>
            <w:tcW w:w="16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spacing w:after="0"/>
              <w:rPr>
                <w:sz w:val="19"/>
                <w:szCs w:val="19"/>
                <w:color w:val="auto"/>
              </w:rPr>
            </w:pP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(109,397)</w:t>
            </w:r>
          </w:p>
        </w:tc>
        <w:tc>
          <w:tcPr>
            <w:tcW w:w="260" w:type="dxa"/>
            <w:vAlign w:val="bottom"/>
            <w:tcBorders>
              <w:top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(112,994)</w:t>
            </w: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(87,310)</w:t>
            </w: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(308,922)</w:t>
            </w: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(109,785)</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6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CFF"/>
            </w:tcBorders>
            <w:vMerge w:val="continue"/>
          </w:tcPr>
          <w:p>
            <w:pPr>
              <w:spacing w:after="0"/>
              <w:rPr>
                <w:sz w:val="21"/>
                <w:szCs w:val="21"/>
                <w:color w:val="auto"/>
              </w:rPr>
            </w:pPr>
          </w:p>
        </w:tc>
        <w:tc>
          <w:tcPr>
            <w:tcW w:w="520" w:type="dxa"/>
            <w:vAlign w:val="bottom"/>
            <w:tcBorders>
              <w:bottom w:val="single" w:sz="8" w:color="CCEC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CCEC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bottom w:val="single" w:sz="8" w:color="CCECFF"/>
            </w:tcBorders>
          </w:tcPr>
          <w:p>
            <w:pPr>
              <w:spacing w:after="0"/>
              <w:rPr>
                <w:sz w:val="21"/>
                <w:szCs w:val="21"/>
                <w:color w:val="auto"/>
              </w:rPr>
            </w:pPr>
          </w:p>
        </w:tc>
        <w:tc>
          <w:tcPr>
            <w:tcW w:w="80" w:type="dxa"/>
            <w:vAlign w:val="bottom"/>
            <w:tcBorders>
              <w:bottom w:val="single" w:sz="8" w:color="CCEC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Borders>
              <w:bottom w:val="single" w:sz="8" w:color="CCECFF"/>
            </w:tcBorders>
          </w:tcPr>
          <w:p>
            <w:pPr>
              <w:spacing w:after="0"/>
              <w:rPr>
                <w:sz w:val="21"/>
                <w:szCs w:val="21"/>
                <w:color w:val="auto"/>
              </w:rPr>
            </w:pPr>
          </w:p>
        </w:tc>
        <w:tc>
          <w:tcPr>
            <w:tcW w:w="80" w:type="dxa"/>
            <w:vAlign w:val="bottom"/>
            <w:tcBorders>
              <w:bottom w:val="single" w:sz="8" w:color="CCEC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Borders>
              <w:bottom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CFF"/>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5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57,707,694</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50,319,772</w:t>
            </w:r>
          </w:p>
        </w:tc>
        <w:tc>
          <w:tcPr>
            <w:tcW w:w="16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56,161,996</w:t>
            </w:r>
          </w:p>
        </w:tc>
        <w:tc>
          <w:tcPr>
            <w:tcW w:w="16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49,447,889</w:t>
            </w:r>
          </w:p>
        </w:tc>
        <w:tc>
          <w:tcPr>
            <w:tcW w:w="2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23"/>
        </w:trPr>
        <w:tc>
          <w:tcPr>
            <w:tcW w:w="53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23"/>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(112,994)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(308,922)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(109,785)</w:t>
            </w:r>
          </w:p>
        </w:tc>
        <w:tc>
          <w:tcPr>
            <w:tcW w:w="100" w:type="dxa"/>
            <w:vAlign w:val="bottom"/>
            <w:shd w:val="clear" w:color="auto" w:fill="CCEEFF"/>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28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w:t>
            </w:r>
          </w:p>
        </w:tc>
      </w:tr>
      <w:tr>
        <w:trPr>
          <w:trHeight w:val="215"/>
        </w:trPr>
        <w:tc>
          <w:tcPr>
            <w:tcW w:w="5360" w:type="dxa"/>
            <w:vAlign w:val="bottom"/>
          </w:tcPr>
          <w:p>
            <w:pPr>
              <w:ind w:left="260"/>
              <w:spacing w:after="0"/>
              <w:rPr>
                <w:sz w:val="20"/>
                <w:szCs w:val="20"/>
                <w:color w:val="auto"/>
              </w:rPr>
            </w:pPr>
            <w:r>
              <w:rPr>
                <w:rFonts w:ascii="Arial" w:cs="Arial" w:eastAsia="Arial" w:hAnsi="Arial"/>
                <w:sz w:val="18"/>
                <w:szCs w:val="18"/>
                <w:color w:val="auto"/>
              </w:rPr>
              <w:t>Transfer of cumulative translation adjustment for the substantial</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60" w:type="dxa"/>
            <w:vAlign w:val="bottom"/>
          </w:tcPr>
          <w:p>
            <w:pPr>
              <w:ind w:left="440"/>
              <w:spacing w:after="0"/>
              <w:rPr>
                <w:sz w:val="20"/>
                <w:szCs w:val="20"/>
                <w:color w:val="auto"/>
              </w:rPr>
            </w:pPr>
            <w:r>
              <w:rPr>
                <w:rFonts w:ascii="Arial" w:cs="Arial" w:eastAsia="Arial" w:hAnsi="Arial"/>
                <w:sz w:val="18"/>
                <w:szCs w:val="18"/>
                <w:color w:val="auto"/>
              </w:rPr>
              <w:t>liquidation of foreign subsidiaries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20"/>
                <w:szCs w:val="20"/>
                <w:color w:val="auto"/>
              </w:rPr>
            </w:pPr>
          </w:p>
        </w:tc>
      </w:tr>
      <w:tr>
        <w:trPr>
          <w:trHeight w:val="230"/>
        </w:trPr>
        <w:tc>
          <w:tcPr>
            <w:tcW w:w="53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Unrealized gain (loss) on available-for-sale securities</w:t>
            </w:r>
          </w:p>
        </w:tc>
        <w:tc>
          <w:tcPr>
            <w:tcW w:w="48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28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CFF"/>
          </w:tcPr>
          <w:p>
            <w:pPr>
              <w:spacing w:after="0"/>
              <w:rPr>
                <w:sz w:val="19"/>
                <w:szCs w:val="19"/>
                <w:color w:val="auto"/>
              </w:rPr>
            </w:pPr>
          </w:p>
        </w:tc>
      </w:tr>
      <w:tr>
        <w:trPr>
          <w:trHeight w:val="223"/>
        </w:trPr>
        <w:tc>
          <w:tcPr>
            <w:tcW w:w="5360" w:type="dxa"/>
            <w:vAlign w:val="bottom"/>
            <w:tcBorders>
              <w:bottom w:val="single" w:sz="8" w:color="CCECFF"/>
            </w:tcBorders>
          </w:tcPr>
          <w:p>
            <w:pPr>
              <w:ind w:left="500"/>
              <w:spacing w:after="0"/>
              <w:rPr>
                <w:sz w:val="20"/>
                <w:szCs w:val="20"/>
                <w:color w:val="auto"/>
              </w:rPr>
            </w:pPr>
            <w:r>
              <w:rPr>
                <w:rFonts w:ascii="Arial" w:cs="Arial" w:eastAsia="Arial" w:hAnsi="Arial"/>
                <w:sz w:val="18"/>
                <w:szCs w:val="18"/>
                <w:color w:val="auto"/>
              </w:rPr>
              <w:t>Other comprehensive income (loss)</w:t>
            </w:r>
          </w:p>
        </w:tc>
        <w:tc>
          <w:tcPr>
            <w:tcW w:w="480" w:type="dxa"/>
            <w:vAlign w:val="bottom"/>
            <w:tcBorders>
              <w:bottom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Borders>
              <w:bottom w:val="single" w:sz="8" w:color="CCEC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Borders>
              <w:bottom w:val="single" w:sz="8" w:color="CCEC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Borders>
              <w:bottom w:val="single" w:sz="8" w:color="CCEC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CFF"/>
            </w:tcBorders>
          </w:tcPr>
          <w:p>
            <w:pPr>
              <w:spacing w:after="0"/>
              <w:rPr>
                <w:sz w:val="19"/>
                <w:szCs w:val="19"/>
                <w:color w:val="auto"/>
              </w:rPr>
            </w:pPr>
          </w:p>
        </w:tc>
      </w:tr>
      <w:tr>
        <w:trPr>
          <w:trHeight w:val="223"/>
        </w:trPr>
        <w:tc>
          <w:tcPr>
            <w:tcW w:w="53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comprehensive loss</w:t>
            </w:r>
          </w:p>
        </w:tc>
        <w:tc>
          <w:tcPr>
            <w:tcW w:w="48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(113,320)</w:t>
            </w:r>
          </w:p>
        </w:tc>
        <w:tc>
          <w:tcPr>
            <w:tcW w:w="24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(87,066)</w:t>
            </w:r>
          </w:p>
        </w:tc>
        <w:tc>
          <w:tcPr>
            <w:tcW w:w="26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(308,360)</w:t>
            </w:r>
          </w:p>
        </w:tc>
        <w:tc>
          <w:tcPr>
            <w:tcW w:w="2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(104,515)</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6"/>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4"/>
                <w:szCs w:val="14"/>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9"/>
                <w:szCs w:val="19"/>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Balance as of June 30, 2019</w:t>
            </w:r>
          </w:p>
        </w:tc>
        <w:tc>
          <w:tcPr>
            <w:tcW w:w="92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w w:val="97"/>
              </w:rPr>
              <w:t>57,665,375</w:t>
            </w:r>
          </w:p>
        </w:tc>
        <w:tc>
          <w:tcPr>
            <w:tcW w:w="2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CCECFF"/>
            </w:tcBorders>
            <w:shd w:val="clear" w:color="auto" w:fill="CCECFF"/>
          </w:tcPr>
          <w:p>
            <w:pPr>
              <w:spacing w:after="0"/>
              <w:rPr>
                <w:sz w:val="19"/>
                <w:szCs w:val="19"/>
                <w:color w:val="auto"/>
              </w:rPr>
            </w:pPr>
          </w:p>
        </w:tc>
        <w:tc>
          <w:tcPr>
            <w:tcW w:w="1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CCECFF"/>
            </w:tcBorders>
            <w:shd w:val="clear" w:color="auto" w:fill="CCECFF"/>
          </w:tcPr>
          <w:p>
            <w:pPr>
              <w:spacing w:after="0"/>
              <w:rPr>
                <w:sz w:val="19"/>
                <w:szCs w:val="19"/>
                <w:color w:val="auto"/>
              </w:rPr>
            </w:pPr>
          </w:p>
        </w:tc>
        <w:tc>
          <w:tcPr>
            <w:tcW w:w="84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w w:val="86"/>
              </w:rPr>
              <w:t>$ 2,045,685</w:t>
            </w:r>
          </w:p>
        </w:tc>
        <w:tc>
          <w:tcPr>
            <w:tcW w:w="4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255</w:t>
            </w:r>
          </w:p>
        </w:tc>
        <w:tc>
          <w:tcPr>
            <w:tcW w:w="4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920" w:type="dxa"/>
            <w:vAlign w:val="bottom"/>
            <w:tcBorders>
              <w:top w:val="single" w:sz="8" w:color="auto"/>
            </w:tcBorders>
            <w:gridSpan w:val="4"/>
            <w:shd w:val="clear" w:color="auto" w:fill="CCECFF"/>
          </w:tcPr>
          <w:p>
            <w:pPr>
              <w:jc w:val="right"/>
              <w:spacing w:after="0"/>
              <w:rPr>
                <w:sz w:val="20"/>
                <w:szCs w:val="20"/>
                <w:color w:val="auto"/>
              </w:rPr>
            </w:pPr>
            <w:r>
              <w:rPr>
                <w:rFonts w:ascii="Arial" w:cs="Arial" w:eastAsia="Arial" w:hAnsi="Arial"/>
                <w:sz w:val="18"/>
                <w:szCs w:val="18"/>
                <w:color w:val="auto"/>
                <w:w w:val="84"/>
              </w:rPr>
              <w:t>$ (1,226,211)</w:t>
            </w:r>
          </w:p>
        </w:tc>
        <w:tc>
          <w:tcPr>
            <w:tcW w:w="12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819,787</w:t>
            </w:r>
          </w:p>
        </w:tc>
        <w:tc>
          <w:tcPr>
            <w:tcW w:w="220" w:type="dxa"/>
            <w:vAlign w:val="bottom"/>
            <w:tcBorders>
              <w:top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Employee stock-based compensation</w:t>
            </w:r>
          </w:p>
        </w:tc>
        <w:tc>
          <w:tcPr>
            <w:tcW w:w="2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19,894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19,894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Issuance of common stock under equity plan</w:t>
            </w:r>
          </w:p>
        </w:tc>
        <w:tc>
          <w:tcPr>
            <w:tcW w:w="2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CFF"/>
          </w:tcPr>
          <w:p>
            <w:pPr>
              <w:ind w:left="440"/>
              <w:spacing w:after="0"/>
              <w:rPr>
                <w:sz w:val="20"/>
                <w:szCs w:val="20"/>
                <w:color w:val="auto"/>
              </w:rPr>
            </w:pPr>
            <w:r>
              <w:rPr>
                <w:rFonts w:ascii="Arial" w:cs="Arial" w:eastAsia="Arial" w:hAnsi="Arial"/>
                <w:sz w:val="18"/>
                <w:szCs w:val="18"/>
                <w:color w:val="auto"/>
              </w:rPr>
              <w:t>awards, net of tax</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84,515</w:t>
            </w:r>
          </w:p>
        </w:tc>
        <w:tc>
          <w:tcPr>
            <w:tcW w:w="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94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904</w:t>
            </w:r>
          </w:p>
        </w:tc>
        <w:tc>
          <w:tcPr>
            <w:tcW w:w="4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200" w:type="dxa"/>
            <w:vAlign w:val="bottom"/>
            <w:gridSpan w:val="3"/>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860" w:type="dxa"/>
            <w:vAlign w:val="bottom"/>
            <w:gridSpan w:val="3"/>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44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CFF"/>
          </w:tcPr>
          <w:p>
            <w:pPr>
              <w:spacing w:after="0"/>
              <w:rPr>
                <w:sz w:val="19"/>
                <w:szCs w:val="19"/>
                <w:color w:val="auto"/>
              </w:rPr>
            </w:pPr>
          </w:p>
        </w:tc>
        <w:tc>
          <w:tcPr>
            <w:tcW w:w="1140" w:type="dxa"/>
            <w:vAlign w:val="bottom"/>
            <w:gridSpan w:val="3"/>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4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106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200" w:type="dxa"/>
            <w:vAlign w:val="bottom"/>
            <w:gridSpan w:val="3"/>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6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(112,994)</w:t>
            </w:r>
          </w:p>
        </w:tc>
        <w:tc>
          <w:tcPr>
            <w:tcW w:w="8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w w:val="98"/>
              </w:rPr>
              <w:t>(112,994)</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Balance as of September 30, 2019</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57,749,890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$ 2,066,483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 (1,339,205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727,265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6"/>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4"/>
                <w:szCs w:val="14"/>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9"/>
                <w:szCs w:val="19"/>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Balance as of December 31, 2018</w:t>
            </w:r>
          </w:p>
        </w:tc>
        <w:tc>
          <w:tcPr>
            <w:tcW w:w="92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w w:val="97"/>
              </w:rPr>
              <w:t>50,860,588</w:t>
            </w:r>
          </w:p>
        </w:tc>
        <w:tc>
          <w:tcPr>
            <w:tcW w:w="2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CCECFF"/>
            </w:tcBorders>
            <w:shd w:val="clear" w:color="auto" w:fill="CCECFF"/>
          </w:tcPr>
          <w:p>
            <w:pPr>
              <w:spacing w:after="0"/>
              <w:rPr>
                <w:sz w:val="19"/>
                <w:szCs w:val="19"/>
                <w:color w:val="auto"/>
              </w:rPr>
            </w:pPr>
          </w:p>
        </w:tc>
        <w:tc>
          <w:tcPr>
            <w:tcW w:w="1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CCECFF"/>
            </w:tcBorders>
            <w:shd w:val="clear" w:color="auto" w:fill="CCECFF"/>
          </w:tcPr>
          <w:p>
            <w:pPr>
              <w:spacing w:after="0"/>
              <w:rPr>
                <w:sz w:val="19"/>
                <w:szCs w:val="19"/>
                <w:color w:val="auto"/>
              </w:rPr>
            </w:pPr>
          </w:p>
        </w:tc>
        <w:tc>
          <w:tcPr>
            <w:tcW w:w="84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w w:val="86"/>
              </w:rPr>
              <w:t>$ 1,639,773</w:t>
            </w:r>
          </w:p>
        </w:tc>
        <w:tc>
          <w:tcPr>
            <w:tcW w:w="4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(633)</w:t>
            </w:r>
          </w:p>
        </w:tc>
        <w:tc>
          <w:tcPr>
            <w:tcW w:w="4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920" w:type="dxa"/>
            <w:vAlign w:val="bottom"/>
            <w:tcBorders>
              <w:top w:val="single" w:sz="8" w:color="auto"/>
            </w:tcBorders>
            <w:gridSpan w:val="4"/>
            <w:shd w:val="clear" w:color="auto" w:fill="CCECFF"/>
          </w:tcPr>
          <w:p>
            <w:pPr>
              <w:jc w:val="right"/>
              <w:spacing w:after="0"/>
              <w:rPr>
                <w:sz w:val="20"/>
                <w:szCs w:val="20"/>
                <w:color w:val="auto"/>
              </w:rPr>
            </w:pPr>
            <w:r>
              <w:rPr>
                <w:rFonts w:ascii="Arial" w:cs="Arial" w:eastAsia="Arial" w:hAnsi="Arial"/>
                <w:sz w:val="18"/>
                <w:szCs w:val="18"/>
                <w:color w:val="auto"/>
                <w:w w:val="84"/>
              </w:rPr>
              <w:t>$ (1,030,283)</w:t>
            </w:r>
          </w:p>
        </w:tc>
        <w:tc>
          <w:tcPr>
            <w:tcW w:w="12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608,908</w:t>
            </w:r>
          </w:p>
        </w:tc>
        <w:tc>
          <w:tcPr>
            <w:tcW w:w="220" w:type="dxa"/>
            <w:vAlign w:val="bottom"/>
            <w:tcBorders>
              <w:top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60"/>
              <w:spacing w:after="0"/>
              <w:rPr>
                <w:sz w:val="20"/>
                <w:szCs w:val="20"/>
                <w:color w:val="auto"/>
              </w:rPr>
            </w:pPr>
            <w:r>
              <w:rPr>
                <w:rFonts w:ascii="Arial" w:cs="Arial" w:eastAsia="Arial" w:hAnsi="Arial"/>
                <w:sz w:val="18"/>
                <w:szCs w:val="18"/>
                <w:color w:val="auto"/>
              </w:rPr>
              <w:t>Issuance of common stock in connection with</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underwritten public offering, net of</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issuance costs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5,833,333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330,409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330,415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Issuance of common stock in connection with</w:t>
            </w:r>
          </w:p>
        </w:tc>
        <w:tc>
          <w:tcPr>
            <w:tcW w:w="2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CFF"/>
          </w:tcPr>
          <w:p>
            <w:pPr>
              <w:ind w:left="440"/>
              <w:spacing w:after="0"/>
              <w:rPr>
                <w:sz w:val="20"/>
                <w:szCs w:val="20"/>
                <w:color w:val="auto"/>
              </w:rPr>
            </w:pPr>
            <w:r>
              <w:rPr>
                <w:rFonts w:ascii="Arial" w:cs="Arial" w:eastAsia="Arial" w:hAnsi="Arial"/>
                <w:sz w:val="18"/>
                <w:szCs w:val="18"/>
                <w:color w:val="auto"/>
              </w:rPr>
              <w:t>at-the-market offering, net of issuance costs</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468,685</w:t>
            </w:r>
          </w:p>
        </w:tc>
        <w:tc>
          <w:tcPr>
            <w:tcW w:w="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94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24,828</w:t>
            </w:r>
          </w:p>
        </w:tc>
        <w:tc>
          <w:tcPr>
            <w:tcW w:w="4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200" w:type="dxa"/>
            <w:vAlign w:val="bottom"/>
            <w:gridSpan w:val="3"/>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860" w:type="dxa"/>
            <w:vAlign w:val="bottom"/>
            <w:gridSpan w:val="3"/>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24,828</w:t>
            </w:r>
          </w:p>
        </w:tc>
        <w:tc>
          <w:tcPr>
            <w:tcW w:w="2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Employee stock-based compensation</w:t>
            </w:r>
          </w:p>
        </w:tc>
        <w:tc>
          <w:tcPr>
            <w:tcW w:w="2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62,854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Issuance of common stock under equity plan</w:t>
            </w:r>
          </w:p>
        </w:tc>
        <w:tc>
          <w:tcPr>
            <w:tcW w:w="2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CFF"/>
          </w:tcPr>
          <w:p>
            <w:pPr>
              <w:ind w:left="440"/>
              <w:spacing w:after="0"/>
              <w:rPr>
                <w:sz w:val="20"/>
                <w:szCs w:val="20"/>
                <w:color w:val="auto"/>
              </w:rPr>
            </w:pPr>
            <w:r>
              <w:rPr>
                <w:rFonts w:ascii="Arial" w:cs="Arial" w:eastAsia="Arial" w:hAnsi="Arial"/>
                <w:sz w:val="18"/>
                <w:szCs w:val="18"/>
                <w:color w:val="auto"/>
              </w:rPr>
              <w:t>awards, net of tax</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587,284</w:t>
            </w:r>
          </w:p>
        </w:tc>
        <w:tc>
          <w:tcPr>
            <w:tcW w:w="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8,619</w:t>
            </w:r>
          </w:p>
        </w:tc>
        <w:tc>
          <w:tcPr>
            <w:tcW w:w="4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200" w:type="dxa"/>
            <w:vAlign w:val="bottom"/>
            <w:gridSpan w:val="3"/>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860" w:type="dxa"/>
            <w:vAlign w:val="bottom"/>
            <w:gridSpan w:val="3"/>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8,620</w:t>
            </w:r>
          </w:p>
        </w:tc>
        <w:tc>
          <w:tcPr>
            <w:tcW w:w="2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CFF"/>
          </w:tcPr>
          <w:p>
            <w:pPr>
              <w:spacing w:after="0"/>
              <w:rPr>
                <w:sz w:val="19"/>
                <w:szCs w:val="19"/>
                <w:color w:val="auto"/>
              </w:rPr>
            </w:pPr>
          </w:p>
        </w:tc>
        <w:tc>
          <w:tcPr>
            <w:tcW w:w="1140" w:type="dxa"/>
            <w:vAlign w:val="bottom"/>
            <w:gridSpan w:val="3"/>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4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106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200" w:type="dxa"/>
            <w:vAlign w:val="bottom"/>
            <w:gridSpan w:val="3"/>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6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(308,922)</w:t>
            </w:r>
          </w:p>
        </w:tc>
        <w:tc>
          <w:tcPr>
            <w:tcW w:w="8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w w:val="98"/>
              </w:rPr>
              <w:t>(308,922)</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Balance as of September 30, 2019</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57,749,890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$ 2,066,483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 (1,339,205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727,265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Borders>
              <w:bottom w:val="single" w:sz="8" w:color="auto"/>
            </w:tcBorders>
            <w:gridSpan w:val="7"/>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9"/>
                <w:szCs w:val="19"/>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Balance as of June 30, 2018</w:t>
            </w:r>
          </w:p>
        </w:tc>
        <w:tc>
          <w:tcPr>
            <w:tcW w:w="20" w:type="dxa"/>
            <w:vAlign w:val="bottom"/>
            <w:tcBorders>
              <w:top w:val="single" w:sz="8" w:color="CCECFF"/>
            </w:tcBorders>
            <w:shd w:val="clear" w:color="auto" w:fill="CCECFF"/>
          </w:tcPr>
          <w:p>
            <w:pPr>
              <w:spacing w:after="0"/>
              <w:rPr>
                <w:sz w:val="19"/>
                <w:szCs w:val="19"/>
                <w:color w:val="auto"/>
              </w:rPr>
            </w:pPr>
          </w:p>
        </w:tc>
        <w:tc>
          <w:tcPr>
            <w:tcW w:w="920" w:type="dxa"/>
            <w:vAlign w:val="bottom"/>
            <w:tcBorders>
              <w:top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w w:val="97"/>
              </w:rPr>
              <w:t>50,116,056</w:t>
            </w:r>
          </w:p>
        </w:tc>
        <w:tc>
          <w:tcPr>
            <w:tcW w:w="220" w:type="dxa"/>
            <w:vAlign w:val="bottom"/>
            <w:tcBorders>
              <w:top w:val="single" w:sz="8" w:color="CCECFF"/>
            </w:tcBorders>
            <w:shd w:val="clear" w:color="auto" w:fill="CCECFF"/>
          </w:tcPr>
          <w:p>
            <w:pPr>
              <w:spacing w:after="0"/>
              <w:rPr>
                <w:sz w:val="19"/>
                <w:szCs w:val="19"/>
                <w:color w:val="auto"/>
              </w:rPr>
            </w:pPr>
          </w:p>
        </w:tc>
        <w:tc>
          <w:tcPr>
            <w:tcW w:w="2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CECFF"/>
            </w:tcBorders>
            <w:shd w:val="clear" w:color="auto" w:fill="CCECFF"/>
          </w:tcPr>
          <w:p>
            <w:pPr>
              <w:spacing w:after="0"/>
              <w:rPr>
                <w:sz w:val="19"/>
                <w:szCs w:val="19"/>
                <w:color w:val="auto"/>
              </w:rPr>
            </w:pPr>
          </w:p>
        </w:tc>
        <w:tc>
          <w:tcPr>
            <w:tcW w:w="20" w:type="dxa"/>
            <w:vAlign w:val="bottom"/>
            <w:tcBorders>
              <w:top w:val="single" w:sz="8" w:color="CCECFF"/>
            </w:tcBorders>
            <w:shd w:val="clear" w:color="auto" w:fill="CCECFF"/>
          </w:tcPr>
          <w:p>
            <w:pPr>
              <w:spacing w:after="0"/>
              <w:rPr>
                <w:sz w:val="19"/>
                <w:szCs w:val="19"/>
                <w:color w:val="auto"/>
              </w:rPr>
            </w:pPr>
          </w:p>
        </w:tc>
        <w:tc>
          <w:tcPr>
            <w:tcW w:w="860" w:type="dxa"/>
            <w:vAlign w:val="bottom"/>
            <w:tcBorders>
              <w:top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w w:val="86"/>
              </w:rPr>
              <w:t>$ 1,559,722</w:t>
            </w:r>
          </w:p>
        </w:tc>
        <w:tc>
          <w:tcPr>
            <w:tcW w:w="200" w:type="dxa"/>
            <w:vAlign w:val="bottom"/>
            <w:tcBorders>
              <w:top w:val="single" w:sz="8" w:color="CCECFF"/>
            </w:tcBorders>
            <w:shd w:val="clear" w:color="auto" w:fill="CCECFF"/>
          </w:tcPr>
          <w:p>
            <w:pPr>
              <w:spacing w:after="0"/>
              <w:rPr>
                <w:sz w:val="19"/>
                <w:szCs w:val="19"/>
                <w:color w:val="auto"/>
              </w:rPr>
            </w:pPr>
          </w:p>
        </w:tc>
        <w:tc>
          <w:tcPr>
            <w:tcW w:w="2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CCECFF"/>
            </w:tcBorders>
            <w:gridSpan w:val="2"/>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8"/>
              </w:rPr>
              <w:t>(855,147)</w:t>
            </w:r>
          </w:p>
        </w:tc>
        <w:tc>
          <w:tcPr>
            <w:tcW w:w="160" w:type="dxa"/>
            <w:vAlign w:val="bottom"/>
            <w:tcBorders>
              <w:top w:val="single" w:sz="8" w:color="CCECFF"/>
            </w:tcBorders>
            <w:gridSpan w:val="2"/>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703,971</w:t>
            </w:r>
          </w:p>
        </w:tc>
        <w:tc>
          <w:tcPr>
            <w:tcW w:w="220" w:type="dxa"/>
            <w:vAlign w:val="bottom"/>
            <w:tcBorders>
              <w:top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60"/>
              <w:spacing w:after="0"/>
              <w:rPr>
                <w:sz w:val="20"/>
                <w:szCs w:val="20"/>
                <w:color w:val="auto"/>
              </w:rPr>
            </w:pPr>
            <w:r>
              <w:rPr>
                <w:rFonts w:ascii="Arial" w:cs="Arial" w:eastAsia="Arial" w:hAnsi="Arial"/>
                <w:sz w:val="18"/>
                <w:szCs w:val="18"/>
                <w:color w:val="auto"/>
              </w:rPr>
              <w:t>Issuance of common stock in connection with</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at-the-market offering, net of issuance costs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205,202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15,837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15,837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Employee stock-based compensation</w:t>
            </w:r>
          </w:p>
        </w:tc>
        <w:tc>
          <w:tcPr>
            <w:tcW w:w="20" w:type="dxa"/>
            <w:vAlign w:val="bottom"/>
            <w:shd w:val="clear" w:color="auto" w:fill="CCECFF"/>
          </w:tcPr>
          <w:p>
            <w:pPr>
              <w:spacing w:after="0"/>
              <w:rPr>
                <w:sz w:val="19"/>
                <w:szCs w:val="19"/>
                <w:color w:val="auto"/>
              </w:rPr>
            </w:pPr>
          </w:p>
        </w:tc>
        <w:tc>
          <w:tcPr>
            <w:tcW w:w="114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4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20,667</w:t>
            </w:r>
          </w:p>
        </w:tc>
        <w:tc>
          <w:tcPr>
            <w:tcW w:w="2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200" w:type="dxa"/>
            <w:vAlign w:val="bottom"/>
            <w:gridSpan w:val="3"/>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60" w:type="dxa"/>
            <w:vAlign w:val="bottom"/>
            <w:gridSpan w:val="3"/>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20,667</w:t>
            </w:r>
          </w:p>
        </w:tc>
        <w:tc>
          <w:tcPr>
            <w:tcW w:w="2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60"/>
              <w:spacing w:after="0"/>
              <w:rPr>
                <w:sz w:val="20"/>
                <w:szCs w:val="20"/>
                <w:color w:val="auto"/>
              </w:rPr>
            </w:pPr>
            <w:r>
              <w:rPr>
                <w:rFonts w:ascii="Arial" w:cs="Arial" w:eastAsia="Arial" w:hAnsi="Arial"/>
                <w:sz w:val="18"/>
                <w:szCs w:val="18"/>
                <w:color w:val="auto"/>
              </w:rPr>
              <w:t>Issuance of common stock under equity plan</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awards, net of tax</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211,812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9,186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CFF"/>
          </w:tcPr>
          <w:p>
            <w:pPr>
              <w:spacing w:after="0"/>
              <w:rPr>
                <w:sz w:val="19"/>
                <w:szCs w:val="19"/>
                <w:color w:val="auto"/>
              </w:rPr>
            </w:pPr>
          </w:p>
        </w:tc>
        <w:tc>
          <w:tcPr>
            <w:tcW w:w="114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4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1060" w:type="dxa"/>
            <w:vAlign w:val="bottom"/>
            <w:gridSpan w:val="3"/>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60" w:type="dxa"/>
            <w:vAlign w:val="bottom"/>
            <w:gridSpan w:val="3"/>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(87,310)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(87,310)</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Balance as of September 30, 2018</w:t>
            </w:r>
          </w:p>
        </w:tc>
        <w:tc>
          <w:tcPr>
            <w:tcW w:w="20" w:type="dxa"/>
            <w:vAlign w:val="bottom"/>
            <w:tcBorders>
              <w:top w:val="single" w:sz="8" w:color="CCECFF"/>
              <w:bottom w:val="single" w:sz="8" w:color="CCECFF"/>
            </w:tcBorders>
            <w:shd w:val="clear" w:color="auto" w:fill="CCEC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w w:val="97"/>
              </w:rPr>
              <w:t>50,533,070</w:t>
            </w:r>
          </w:p>
        </w:tc>
        <w:tc>
          <w:tcPr>
            <w:tcW w:w="220" w:type="dxa"/>
            <w:vAlign w:val="bottom"/>
            <w:tcBorders>
              <w:top w:val="single" w:sz="8" w:color="CCECFF"/>
              <w:bottom w:val="single" w:sz="8" w:color="CCECFF"/>
            </w:tcBorders>
            <w:shd w:val="clear" w:color="auto" w:fill="CCECFF"/>
          </w:tcPr>
          <w:p>
            <w:pPr>
              <w:spacing w:after="0"/>
              <w:rPr>
                <w:sz w:val="19"/>
                <w:szCs w:val="19"/>
                <w:color w:val="auto"/>
              </w:rPr>
            </w:pPr>
          </w:p>
        </w:tc>
        <w:tc>
          <w:tcPr>
            <w:tcW w:w="2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51</w:t>
            </w:r>
          </w:p>
        </w:tc>
        <w:tc>
          <w:tcPr>
            <w:tcW w:w="220" w:type="dxa"/>
            <w:vAlign w:val="bottom"/>
            <w:tcBorders>
              <w:top w:val="single" w:sz="8" w:color="CCECFF"/>
              <w:bottom w:val="single" w:sz="8" w:color="CCECFF"/>
            </w:tcBorders>
            <w:shd w:val="clear" w:color="auto" w:fill="CCECFF"/>
          </w:tcPr>
          <w:p>
            <w:pPr>
              <w:spacing w:after="0"/>
              <w:rPr>
                <w:sz w:val="19"/>
                <w:szCs w:val="19"/>
                <w:color w:val="auto"/>
              </w:rPr>
            </w:pPr>
          </w:p>
        </w:tc>
        <w:tc>
          <w:tcPr>
            <w:tcW w:w="20" w:type="dxa"/>
            <w:vAlign w:val="bottom"/>
            <w:tcBorders>
              <w:top w:val="single" w:sz="8" w:color="CCECFF"/>
              <w:bottom w:val="single" w:sz="8" w:color="CCECFF"/>
            </w:tcBorders>
            <w:shd w:val="clear" w:color="auto" w:fill="CCECFF"/>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w w:val="86"/>
              </w:rPr>
              <w:t>$ 1,605,412</w:t>
            </w:r>
          </w:p>
        </w:tc>
        <w:tc>
          <w:tcPr>
            <w:tcW w:w="200" w:type="dxa"/>
            <w:vAlign w:val="bottom"/>
            <w:tcBorders>
              <w:top w:val="single" w:sz="8" w:color="CCECFF"/>
              <w:bottom w:val="single" w:sz="8" w:color="CCECFF"/>
            </w:tcBorders>
            <w:shd w:val="clear" w:color="auto" w:fill="CCECFF"/>
          </w:tcPr>
          <w:p>
            <w:pPr>
              <w:spacing w:after="0"/>
              <w:rPr>
                <w:sz w:val="19"/>
                <w:szCs w:val="19"/>
                <w:color w:val="auto"/>
              </w:rPr>
            </w:pPr>
          </w:p>
        </w:tc>
        <w:tc>
          <w:tcPr>
            <w:tcW w:w="2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auto"/>
              <w:bottom w:val="single" w:sz="8" w:color="auto"/>
            </w:tcBorders>
            <w:shd w:val="clear" w:color="auto" w:fill="CCEC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CCECFF"/>
              <w:bottom w:val="single" w:sz="8" w:color="CCECFF"/>
            </w:tcBorders>
            <w:gridSpan w:val="2"/>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5"/>
              </w:rPr>
              <w:t>(942,457</w:t>
            </w:r>
          </w:p>
        </w:tc>
        <w:tc>
          <w:tcPr>
            <w:tcW w:w="160" w:type="dxa"/>
            <w:vAlign w:val="bottom"/>
            <w:tcBorders>
              <w:top w:val="single" w:sz="8" w:color="CCECFF"/>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C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662,596</w:t>
            </w:r>
          </w:p>
        </w:tc>
        <w:tc>
          <w:tcPr>
            <w:tcW w:w="22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5</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20" w:type="dxa"/>
            <w:vAlign w:val="bottom"/>
            <w:gridSpan w:val="4"/>
            <w:vMerge w:val="restart"/>
          </w:tcPr>
          <w:p>
            <w:pPr>
              <w:jc w:val="right"/>
              <w:ind w:right="45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Balance as of December 31, 2017</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44,167,071</w:t>
            </w:r>
          </w:p>
        </w:tc>
        <w:tc>
          <w:tcPr>
            <w:tcW w:w="220" w:type="dxa"/>
            <w:vAlign w:val="bottom"/>
            <w:tcBorders>
              <w:top w:val="single" w:sz="8" w:color="CCECFF"/>
            </w:tcBorders>
            <w:shd w:val="clear" w:color="auto" w:fill="CCECFF"/>
          </w:tcPr>
          <w:p>
            <w:pPr>
              <w:spacing w:after="0"/>
              <w:rPr>
                <w:sz w:val="19"/>
                <w:szCs w:val="19"/>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CFF"/>
            </w:tcBorders>
            <w:shd w:val="clear" w:color="auto" w:fill="CCECFF"/>
          </w:tcPr>
          <w:p>
            <w:pPr>
              <w:spacing w:after="0"/>
              <w:rPr>
                <w:sz w:val="19"/>
                <w:szCs w:val="19"/>
                <w:color w:val="auto"/>
              </w:rPr>
            </w:pP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8"/>
              </w:rPr>
              <w:t>$ 1,221,762</w:t>
            </w:r>
          </w:p>
        </w:tc>
        <w:tc>
          <w:tcPr>
            <w:tcW w:w="22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(5,680)</w:t>
            </w:r>
          </w:p>
        </w:tc>
        <w:tc>
          <w:tcPr>
            <w:tcW w:w="2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8"/>
              </w:rPr>
              <w:t>(832,672)</w:t>
            </w:r>
          </w:p>
        </w:tc>
        <w:tc>
          <w:tcPr>
            <w:tcW w:w="240" w:type="dxa"/>
            <w:vAlign w:val="bottom"/>
            <w:tcBorders>
              <w:top w:val="single" w:sz="8" w:color="CCECFF"/>
            </w:tcBorders>
            <w:shd w:val="clear" w:color="auto" w:fill="CCECFF"/>
          </w:tcPr>
          <w:p>
            <w:pPr>
              <w:spacing w:after="0"/>
              <w:rPr>
                <w:sz w:val="19"/>
                <w:szCs w:val="19"/>
                <w:color w:val="auto"/>
              </w:rPr>
            </w:pPr>
          </w:p>
        </w:tc>
        <w:tc>
          <w:tcPr>
            <w:tcW w:w="20" w:type="dxa"/>
            <w:vAlign w:val="bottom"/>
            <w:tcBorders>
              <w:top w:val="single" w:sz="8" w:color="CCECFF"/>
            </w:tcBorders>
            <w:shd w:val="clear" w:color="auto" w:fill="CCECFF"/>
          </w:tcPr>
          <w:p>
            <w:pPr>
              <w:spacing w:after="0"/>
              <w:rPr>
                <w:sz w:val="19"/>
                <w:szCs w:val="19"/>
                <w:color w:val="auto"/>
              </w:rPr>
            </w:pPr>
          </w:p>
        </w:tc>
        <w:tc>
          <w:tcPr>
            <w:tcW w:w="1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383,454</w:t>
            </w:r>
          </w:p>
        </w:tc>
        <w:tc>
          <w:tcPr>
            <w:tcW w:w="220" w:type="dxa"/>
            <w:vAlign w:val="bottom"/>
            <w:tcBorders>
              <w:top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60"/>
              <w:spacing w:after="0"/>
              <w:rPr>
                <w:sz w:val="20"/>
                <w:szCs w:val="20"/>
                <w:color w:val="auto"/>
              </w:rPr>
            </w:pPr>
            <w:r>
              <w:rPr>
                <w:rFonts w:ascii="Arial" w:cs="Arial" w:eastAsia="Arial" w:hAnsi="Arial"/>
                <w:sz w:val="18"/>
                <w:szCs w:val="18"/>
                <w:color w:val="auto"/>
              </w:rPr>
              <w:t>Issuance of common stock in connection with</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underwritten public offering, net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issuance costs</w:t>
            </w:r>
          </w:p>
        </w:tc>
        <w:tc>
          <w:tcPr>
            <w:tcW w:w="940" w:type="dxa"/>
            <w:vAlign w:val="bottom"/>
          </w:tcPr>
          <w:p>
            <w:pPr>
              <w:jc w:val="right"/>
              <w:spacing w:after="0"/>
              <w:rPr>
                <w:sz w:val="20"/>
                <w:szCs w:val="20"/>
                <w:color w:val="auto"/>
              </w:rPr>
            </w:pPr>
            <w:r>
              <w:rPr>
                <w:rFonts w:ascii="Arial" w:cs="Arial" w:eastAsia="Arial" w:hAnsi="Arial"/>
                <w:sz w:val="18"/>
                <w:szCs w:val="18"/>
                <w:color w:val="auto"/>
              </w:rPr>
              <w:t>5,043,860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270,964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270,969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Issuance of common stock in connection with</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CFF"/>
          </w:tcPr>
          <w:p>
            <w:pPr>
              <w:ind w:left="440"/>
              <w:spacing w:after="0"/>
              <w:rPr>
                <w:sz w:val="20"/>
                <w:szCs w:val="20"/>
                <w:color w:val="auto"/>
              </w:rPr>
            </w:pPr>
            <w:r>
              <w:rPr>
                <w:rFonts w:ascii="Arial" w:cs="Arial" w:eastAsia="Arial" w:hAnsi="Arial"/>
                <w:sz w:val="18"/>
                <w:szCs w:val="18"/>
                <w:color w:val="auto"/>
              </w:rPr>
              <w:t>at-the-market offering, net of issuance costs</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445,619</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27,644</w:t>
            </w:r>
          </w:p>
        </w:tc>
        <w:tc>
          <w:tcPr>
            <w:tcW w:w="2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3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20"/>
                <w:szCs w:val="20"/>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27,645</w:t>
            </w:r>
          </w:p>
        </w:tc>
        <w:tc>
          <w:tcPr>
            <w:tcW w:w="2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Employee 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59,027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Issuance of common stock under equity plan</w:t>
            </w: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CFF"/>
          </w:tcPr>
          <w:p>
            <w:pPr>
              <w:ind w:left="440"/>
              <w:spacing w:after="0"/>
              <w:rPr>
                <w:sz w:val="20"/>
                <w:szCs w:val="20"/>
                <w:color w:val="auto"/>
              </w:rPr>
            </w:pPr>
            <w:r>
              <w:rPr>
                <w:rFonts w:ascii="Arial" w:cs="Arial" w:eastAsia="Arial" w:hAnsi="Arial"/>
                <w:sz w:val="18"/>
                <w:szCs w:val="18"/>
                <w:color w:val="auto"/>
              </w:rPr>
              <w:t>awards, net of tax</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876,520</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26,015</w:t>
            </w:r>
          </w:p>
        </w:tc>
        <w:tc>
          <w:tcPr>
            <w:tcW w:w="2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3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20"/>
                <w:szCs w:val="20"/>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26,016</w:t>
            </w:r>
          </w:p>
        </w:tc>
        <w:tc>
          <w:tcPr>
            <w:tcW w:w="2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9"/>
                <w:szCs w:val="19"/>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w w:val="95"/>
              </w:rPr>
              <w:t>(109,785)</w:t>
            </w:r>
          </w:p>
        </w:tc>
        <w:tc>
          <w:tcPr>
            <w:tcW w:w="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(109,785)</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Balance as of September 30,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50,533,070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$ 1,605,412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(942,457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662,596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CFF"/>
            </w:tcBorders>
          </w:tcPr>
          <w:p>
            <w:pPr>
              <w:spacing w:after="0"/>
              <w:rPr>
                <w:sz w:val="19"/>
                <w:szCs w:val="19"/>
                <w:color w:val="auto"/>
              </w:rPr>
            </w:pPr>
          </w:p>
        </w:tc>
        <w:tc>
          <w:tcPr>
            <w:tcW w:w="820" w:type="dxa"/>
            <w:vAlign w:val="bottom"/>
            <w:tcBorders>
              <w:bottom w:val="single" w:sz="8" w:color="CCEC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C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Operating activities: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(308,922)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(109,785)</w:t>
            </w: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62,335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Amortization of discount on investment securities, net</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(4,931)</w:t>
            </w:r>
          </w:p>
        </w:tc>
        <w:tc>
          <w:tcPr>
            <w:tcW w:w="30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Foreign currency remeasurement loss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925</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5,853</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Change in fair value of investment in Arcturus equity securities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(11,994)</w:t>
            </w: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Gain from sale of priority review vouchers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(170,322)</w:t>
            </w: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(10,402)</w:t>
            </w: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Inventory</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(6,604)</w:t>
            </w:r>
          </w:p>
        </w:tc>
        <w:tc>
          <w:tcPr>
            <w:tcW w:w="30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(6,954)</w:t>
            </w: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(20,380)</w:t>
            </w: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Right-of-use assets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(15,581)</w:t>
            </w:r>
          </w:p>
        </w:tc>
        <w:tc>
          <w:tcPr>
            <w:tcW w:w="30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Lease liabilities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17,071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Accrued liabilities and other liabilities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3,777</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CFF"/>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Borders>
              <w:bottom w:val="single" w:sz="8" w:color="CCEC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(273,344)</w:t>
            </w:r>
          </w:p>
        </w:tc>
        <w:tc>
          <w:tcPr>
            <w:tcW w:w="260" w:type="dxa"/>
            <w:vAlign w:val="bottom"/>
            <w:tcBorders>
              <w:bottom w:val="single" w:sz="8" w:color="CCEC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(234,713)</w:t>
            </w:r>
          </w:p>
        </w:tc>
        <w:tc>
          <w:tcPr>
            <w:tcW w:w="12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Investing activities: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(13,332)</w:t>
            </w: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Purchase of investments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(610,267)</w:t>
            </w:r>
          </w:p>
        </w:tc>
        <w:tc>
          <w:tcPr>
            <w:tcW w:w="30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(500,049)</w:t>
            </w: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Purchase of investment in Arcturus equity securities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(14,339)</w:t>
            </w: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Proceeds from the sale of investments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35,100</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7,655</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Proceeds from maturities of investments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522,533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Proceeds from sale of priority review vouchers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170,322</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CFF"/>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Borders>
              <w:bottom w:val="single" w:sz="8" w:color="CCEC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(80,305)</w:t>
            </w:r>
          </w:p>
        </w:tc>
        <w:tc>
          <w:tcPr>
            <w:tcW w:w="260" w:type="dxa"/>
            <w:vAlign w:val="bottom"/>
            <w:tcBorders>
              <w:bottom w:val="single" w:sz="8" w:color="CCEC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(106,892)</w:t>
            </w:r>
          </w:p>
        </w:tc>
        <w:tc>
          <w:tcPr>
            <w:tcW w:w="12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Financing activities:</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60"/>
              <w:spacing w:after="0"/>
              <w:rPr>
                <w:sz w:val="20"/>
                <w:szCs w:val="20"/>
                <w:color w:val="auto"/>
              </w:rPr>
            </w:pPr>
            <w:r>
              <w:rPr>
                <w:rFonts w:ascii="Arial" w:cs="Arial" w:eastAsia="Arial" w:hAnsi="Arial"/>
                <w:sz w:val="18"/>
                <w:szCs w:val="18"/>
                <w:color w:val="auto"/>
              </w:rPr>
              <w:t>Proceeds from the issuance of common stock in connection with underwritten public</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440"/>
              <w:spacing w:after="0"/>
              <w:rPr>
                <w:sz w:val="20"/>
                <w:szCs w:val="20"/>
                <w:color w:val="auto"/>
              </w:rPr>
            </w:pPr>
            <w:r>
              <w:rPr>
                <w:rFonts w:ascii="Arial" w:cs="Arial" w:eastAsia="Arial" w:hAnsi="Arial"/>
                <w:sz w:val="18"/>
                <w:szCs w:val="18"/>
                <w:color w:val="auto"/>
              </w:rPr>
              <w:t>offerings, net</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330,415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270,969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Proceeds from the issuance of common stock in connection with at-the-market offering, net</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24,828</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27,626</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CFF"/>
            </w:tcBorders>
          </w:tcPr>
          <w:p>
            <w:pPr>
              <w:ind w:left="260"/>
              <w:spacing w:after="0"/>
              <w:rPr>
                <w:sz w:val="20"/>
                <w:szCs w:val="20"/>
                <w:color w:val="auto"/>
              </w:rPr>
            </w:pPr>
            <w:r>
              <w:rPr>
                <w:rFonts w:ascii="Arial" w:cs="Arial" w:eastAsia="Arial" w:hAnsi="Arial"/>
                <w:sz w:val="18"/>
                <w:szCs w:val="18"/>
                <w:color w:val="auto"/>
              </w:rPr>
              <w:t>Proceeds from the issuance of common stock from equity plan awards, net of tax</w:t>
            </w:r>
          </w:p>
        </w:tc>
        <w:tc>
          <w:tcPr>
            <w:tcW w:w="820" w:type="dxa"/>
            <w:vAlign w:val="bottom"/>
            <w:tcBorders>
              <w:bottom w:val="single" w:sz="8" w:color="CCEC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2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26,016</w:t>
            </w:r>
          </w:p>
        </w:tc>
        <w:tc>
          <w:tcPr>
            <w:tcW w:w="12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CFF"/>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363,863</w:t>
            </w:r>
          </w:p>
        </w:tc>
        <w:tc>
          <w:tcPr>
            <w:tcW w:w="260" w:type="dxa"/>
            <w:vAlign w:val="bottom"/>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324,611</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820" w:type="dxa"/>
            <w:vAlign w:val="bottom"/>
            <w:tcBorders>
              <w:bottom w:val="single" w:sz="8" w:color="CCEC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C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9,712</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(17,611)</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820" w:type="dxa"/>
            <w:vAlign w:val="bottom"/>
            <w:tcBorders>
              <w:bottom w:val="single" w:sz="8" w:color="CCEC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115,525</w:t>
            </w:r>
          </w:p>
        </w:tc>
        <w:tc>
          <w:tcPr>
            <w:tcW w:w="2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103,041</w:t>
            </w:r>
          </w:p>
        </w:tc>
        <w:tc>
          <w:tcPr>
            <w:tcW w:w="12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2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125,237</w:t>
            </w:r>
          </w:p>
        </w:tc>
        <w:tc>
          <w:tcPr>
            <w:tcW w:w="2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85,430</w:t>
            </w:r>
          </w:p>
        </w:tc>
        <w:tc>
          <w:tcPr>
            <w:tcW w:w="12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Acquired lease liabilities arising from obtaining right-of-use assets</w:t>
            </w:r>
          </w:p>
        </w:tc>
        <w:tc>
          <w:tcPr>
            <w:tcW w:w="1020" w:type="dxa"/>
            <w:vAlign w:val="bottom"/>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21,515</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tcBorders>
              <w:top w:val="single" w:sz="8" w:color="CCECFF"/>
              <w:bottom w:val="single" w:sz="8" w:color="CCECFF"/>
            </w:tcBorders>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82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2"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94"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Ultragenyx Pharmaceutical Inc. (the Company) is a biopharmaceutical company incorporated in California on April 22, 2010. The Company subsequently reincorporated in the state of Delaware in June 2011.</w:t>
      </w:r>
    </w:p>
    <w:p>
      <w:pPr>
        <w:spacing w:after="0" w:line="22"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The Company is focused on the identification, acquisition, development, and commercialization of novel products for the treatment of serious rare and ultra-rare genetic diseases. The Company has two approved therapies. Crysvita</w:t>
      </w:r>
      <w:r>
        <w:rPr>
          <w:rFonts w:ascii="Arial" w:cs="Arial" w:eastAsia="Arial" w:hAnsi="Arial"/>
          <w:sz w:val="21"/>
          <w:szCs w:val="21"/>
          <w:b w:val="1"/>
          <w:bCs w:val="1"/>
          <w:color w:val="auto"/>
        </w:rPr>
        <w:t>®</w:t>
      </w:r>
      <w:r>
        <w:rPr>
          <w:rFonts w:ascii="Arial" w:cs="Arial" w:eastAsia="Arial" w:hAnsi="Arial"/>
          <w:sz w:val="18"/>
          <w:szCs w:val="18"/>
          <w:color w:val="auto"/>
        </w:rPr>
        <w:t xml:space="preserve"> (burosumab) is approved in the United States by the U.S. Food and Drug Administration (FDA) and in Canada for the treatment of X-linked hypophosphatemia (XLH) in adult and pediatric patients one year of age and older, and has received European conditional marketing authorization for the treatment of XLH with radiographic evidence of bone disease in children one year of age and older and adolescents with growing skeletons. In Brazil, Crysvita is approved for treatment of XLH in adult and pediatric patients one year of age and older. The Company has also received FDA approval for Mepsevii™ (vestronidase alfa), the first medicine approved for the treatment of children and adults with mucopolysaccharidosis VII (MPS VII), also known as Sly syndrome. In the European Union, Mepsevii is approved under exceptional circumstances for patients of all ages for the treatment of non-neurological manifestations of MPS VII. In Brazil, Mepsevii is approved for the treatment of MPS VII for patients of all ages.</w:t>
      </w:r>
    </w:p>
    <w:p>
      <w:pPr>
        <w:spacing w:after="0" w:line="4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to the approved treatments for XLH and MPS VII, the Company has four ongoing clinical development programs. Crysvita is being studied for the treatment of tumor induced osteomalacia (TIO), a rare disease that impairs bone mineralization. UX007 is being studied in patients severely affected by long-chain fatty acid oxidation disorders (LC-FAOD), a genetic disorder in which the body is unable to convert long chain fatty acids into energy. The Company has two gene therapy pipeline candidates: DTX301 is an adeno-associated virus 8 (AAV8) gene therapy product candidate in development for the treatment of patients with ornithine transcarbamylase (OTC) deficiency, the most common urea cycle disorder; and DTX401 is an AAV8 gene therapy product candidate for the treatment of patients with glycogen storage disease type Ia (GSDIa). The Company operates as one reportable segment.</w:t>
      </w:r>
    </w:p>
    <w:p>
      <w:pPr>
        <w:spacing w:after="0" w:line="3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 Company has sustained operating losses and expects such annual losses to continue over the next several years. The Company’s ultimate success depends on the outcome of its research and development and commercialization activities, for which it expects to incur additional losses in the future. Management recognizes the need to raise additional capital to fully implement its business plan. Through September 30, 2019, the Company has relied primarily on the proceeds from equity offerings to finance its operations.</w:t>
      </w:r>
    </w:p>
    <w:p>
      <w:pPr>
        <w:spacing w:after="0" w:line="38" w:lineRule="exact"/>
        <w:rPr>
          <w:sz w:val="20"/>
          <w:szCs w:val="20"/>
          <w:color w:val="auto"/>
        </w:rPr>
      </w:pPr>
    </w:p>
    <w:p>
      <w:pPr>
        <w:ind w:right="560" w:firstLine="518"/>
        <w:spacing w:after="0" w:line="308" w:lineRule="auto"/>
        <w:rPr>
          <w:sz w:val="20"/>
          <w:szCs w:val="20"/>
          <w:color w:val="auto"/>
        </w:rPr>
      </w:pPr>
      <w:r>
        <w:rPr>
          <w:rFonts w:ascii="Arial" w:cs="Arial" w:eastAsia="Arial" w:hAnsi="Arial"/>
          <w:sz w:val="17"/>
          <w:szCs w:val="17"/>
          <w:color w:val="auto"/>
        </w:rPr>
        <w:t>The Company intends to raise additional capital through the issuance of equity, borrowings, strategic alliances with partner companies, or other transactions. However, if such financing is not available at adequate levels, the Company will need to reevaluate its operating plans.</w:t>
      </w:r>
    </w:p>
    <w:p>
      <w:pPr>
        <w:spacing w:after="0" w:line="197" w:lineRule="exact"/>
        <w:rPr>
          <w:sz w:val="20"/>
          <w:szCs w:val="20"/>
          <w:color w:val="auto"/>
        </w:rPr>
      </w:pPr>
    </w:p>
    <w:p>
      <w:pPr>
        <w:ind w:right="7520" w:firstLine="8"/>
        <w:spacing w:after="0" w:line="338" w:lineRule="auto"/>
        <w:tabs>
          <w:tab w:leader="none" w:pos="51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the Company and its wholly-owned subsidiaries and have been prepared in accordance with U.S. generally accepted accounting principles (GAAP) for interim financial information and in accordance with the instructions to Form 10-Q and Rule 10-01 of Regulation S-X. Accordingly, they do not include all of the information and footnotes required by GAAP for complete financial statements. The unaudited interim consolidated financial statements have been prepared on the same basis as the annual financial statements. In the opinion of management, the accompanying unaudited condensed consolidated financial statements reflect all adjustments (consisting only of normal recurring adjustments) considered necessary for a fair presentation. These financial statements should be read in conjunction with the audited financial statements and notes thereto for the preceding fiscal year contained in the Company’s Annual Report on Form 10-K filed on February 19, 2019 with the United States Securities and Exchange Commission (SEC).</w:t>
      </w:r>
    </w:p>
    <w:p>
      <w:pPr>
        <w:spacing w:after="0" w:line="30" w:lineRule="exact"/>
        <w:rPr>
          <w:sz w:val="20"/>
          <w:szCs w:val="20"/>
          <w:color w:val="auto"/>
        </w:rPr>
      </w:pPr>
    </w:p>
    <w:p>
      <w:pPr>
        <w:jc w:val="both"/>
        <w:ind w:right="240" w:firstLine="518"/>
        <w:spacing w:after="0" w:line="286" w:lineRule="auto"/>
        <w:rPr>
          <w:sz w:val="20"/>
          <w:szCs w:val="20"/>
          <w:color w:val="auto"/>
        </w:rPr>
      </w:pPr>
      <w:r>
        <w:rPr>
          <w:rFonts w:ascii="Arial" w:cs="Arial" w:eastAsia="Arial" w:hAnsi="Arial"/>
          <w:sz w:val="17"/>
          <w:szCs w:val="17"/>
          <w:color w:val="auto"/>
        </w:rPr>
        <w:t>The results of operations for the three and nine months ended September 30, 2019 are not necessarily indicative of the results to be expected for the year ending December 31, 2019. The condensed consolidated balance sheet as of December 31, 2018 has been derived from audited financial statements at that date, but does not include all of the information required by GAAP for complete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GAAP. The preparation of the consolidated financial statements in conformity with GAAP requires management to make estimates and assumptions that affect the reported amounts of assets and liabilities, disclosure of contingent liabilities and the reported amounts of expenses in the consolidated financial statements and the accompanying notes. On an ongoing basis, management evaluates its estimates, including those related to clinical trial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4" w:lineRule="exact"/>
        <w:rPr>
          <w:sz w:val="20"/>
          <w:szCs w:val="20"/>
          <w:color w:val="auto"/>
        </w:rPr>
      </w:pPr>
    </w:p>
    <w:p>
      <w:pPr>
        <w:jc w:val="both"/>
        <w:ind w:right="200" w:firstLine="471"/>
        <w:spacing w:after="0" w:line="264" w:lineRule="auto"/>
        <w:rPr>
          <w:sz w:val="20"/>
          <w:szCs w:val="20"/>
          <w:color w:val="auto"/>
        </w:rPr>
      </w:pPr>
      <w:r>
        <w:rPr>
          <w:rFonts w:ascii="Arial" w:cs="Arial" w:eastAsia="Arial" w:hAnsi="Arial"/>
          <w:sz w:val="18"/>
          <w:szCs w:val="18"/>
          <w:color w:val="auto"/>
        </w:rPr>
        <w:t>Restricted cash primarily consists of money market accounts as collateral for the Company’s obligations under its facility leases. The following table provides a reconciliation of cash, cash equivalents, and restricted cash reported within the consolidated balance sheets that sum to the total of the same such amounts shown in the consolidated statement of cash flows (in thousands):</w:t>
      </w:r>
    </w:p>
    <w:p>
      <w:pPr>
        <w:spacing w:after="0" w:line="14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300" w:type="dxa"/>
            <w:vAlign w:val="bottom"/>
            <w:tcBorders>
              <w:bottom w:val="single" w:sz="8" w:color="CCECFF"/>
            </w:tcBorders>
          </w:tcPr>
          <w:p>
            <w:pPr>
              <w:spacing w:after="0"/>
              <w:rPr>
                <w:sz w:val="19"/>
                <w:szCs w:val="19"/>
                <w:color w:val="auto"/>
              </w:rPr>
            </w:pPr>
          </w:p>
        </w:tc>
        <w:tc>
          <w:tcPr>
            <w:tcW w:w="36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CFF"/>
            </w:tcBorders>
          </w:tcPr>
          <w:p>
            <w:pPr>
              <w:spacing w:after="0"/>
              <w:rPr>
                <w:sz w:val="19"/>
                <w:szCs w:val="19"/>
                <w:color w:val="auto"/>
              </w:rPr>
            </w:pPr>
          </w:p>
        </w:tc>
        <w:tc>
          <w:tcPr>
            <w:tcW w:w="2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CFF"/>
            </w:tcBorders>
          </w:tcPr>
          <w:p>
            <w:pPr>
              <w:spacing w:after="0"/>
              <w:rPr>
                <w:sz w:val="19"/>
                <w:szCs w:val="19"/>
                <w:color w:val="auto"/>
              </w:rPr>
            </w:pPr>
          </w:p>
        </w:tc>
      </w:tr>
      <w:tr>
        <w:trPr>
          <w:trHeight w:val="223"/>
        </w:trPr>
        <w:tc>
          <w:tcPr>
            <w:tcW w:w="4300" w:type="dxa"/>
            <w:vAlign w:val="bottom"/>
            <w:shd w:val="clear" w:color="auto" w:fill="CCEC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122,577</w:t>
            </w:r>
          </w:p>
        </w:tc>
        <w:tc>
          <w:tcPr>
            <w:tcW w:w="2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13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82,956</w:t>
            </w:r>
          </w:p>
        </w:tc>
        <w:tc>
          <w:tcPr>
            <w:tcW w:w="60" w:type="dxa"/>
            <w:vAlign w:val="bottom"/>
            <w:shd w:val="clear" w:color="auto" w:fill="CCECFF"/>
          </w:tcPr>
          <w:p>
            <w:pPr>
              <w:spacing w:after="0"/>
              <w:rPr>
                <w:sz w:val="19"/>
                <w:szCs w:val="19"/>
                <w:color w:val="auto"/>
              </w:rPr>
            </w:pPr>
          </w:p>
        </w:tc>
      </w:tr>
      <w:tr>
        <w:trPr>
          <w:trHeight w:val="215"/>
        </w:trPr>
        <w:tc>
          <w:tcPr>
            <w:tcW w:w="4300" w:type="dxa"/>
            <w:vAlign w:val="bottom"/>
          </w:tcPr>
          <w:p>
            <w:pPr>
              <w:spacing w:after="0"/>
              <w:rPr>
                <w:sz w:val="20"/>
                <w:szCs w:val="20"/>
                <w:color w:val="auto"/>
              </w:rPr>
            </w:pPr>
            <w:r>
              <w:rPr>
                <w:rFonts w:ascii="Arial" w:cs="Arial" w:eastAsia="Arial" w:hAnsi="Arial"/>
                <w:sz w:val="18"/>
                <w:szCs w:val="18"/>
                <w:color w:val="auto"/>
                <w:w w:val="96"/>
              </w:rPr>
              <w:t>Restricted cash included in prepaid expenses and other</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20"/>
                <w:szCs w:val="20"/>
                <w:color w:val="auto"/>
              </w:rPr>
            </w:pPr>
          </w:p>
        </w:tc>
      </w:tr>
      <w:tr>
        <w:trPr>
          <w:trHeight w:val="230"/>
        </w:trPr>
        <w:tc>
          <w:tcPr>
            <w:tcW w:w="4300" w:type="dxa"/>
            <w:vAlign w:val="bottom"/>
            <w:shd w:val="clear" w:color="auto" w:fill="CCECFF"/>
          </w:tcPr>
          <w:p>
            <w:pPr>
              <w:spacing w:after="0"/>
              <w:rPr>
                <w:sz w:val="20"/>
                <w:szCs w:val="20"/>
                <w:color w:val="auto"/>
              </w:rPr>
            </w:pPr>
            <w:r>
              <w:rPr>
                <w:rFonts w:ascii="Arial" w:cs="Arial" w:eastAsia="Arial" w:hAnsi="Arial"/>
                <w:sz w:val="18"/>
                <w:szCs w:val="18"/>
                <w:color w:val="auto"/>
              </w:rPr>
              <w:t>Restricted cash included in other assets</w:t>
            </w:r>
          </w:p>
        </w:tc>
        <w:tc>
          <w:tcPr>
            <w:tcW w:w="36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2,499</w:t>
            </w:r>
          </w:p>
        </w:tc>
        <w:tc>
          <w:tcPr>
            <w:tcW w:w="2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1,822</w:t>
            </w:r>
          </w:p>
        </w:tc>
        <w:tc>
          <w:tcPr>
            <w:tcW w:w="60" w:type="dxa"/>
            <w:vAlign w:val="bottom"/>
            <w:shd w:val="clear" w:color="auto" w:fill="CCECFF"/>
          </w:tcPr>
          <w:p>
            <w:pPr>
              <w:spacing w:after="0"/>
              <w:rPr>
                <w:sz w:val="19"/>
                <w:szCs w:val="19"/>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shown in the statements of cash flows</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125,237</w:t>
            </w:r>
          </w:p>
        </w:tc>
        <w:tc>
          <w:tcPr>
            <w:tcW w:w="200" w:type="dxa"/>
            <w:vAlign w:val="bottom"/>
          </w:tcPr>
          <w:p>
            <w:pPr>
              <w:spacing w:after="0"/>
              <w:rPr>
                <w:sz w:val="20"/>
                <w:szCs w:val="20"/>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85,430</w:t>
            </w:r>
          </w:p>
        </w:tc>
        <w:tc>
          <w:tcPr>
            <w:tcW w:w="60" w:type="dxa"/>
            <w:vAlign w:val="bottom"/>
          </w:tcPr>
          <w:p>
            <w:pPr>
              <w:spacing w:after="0"/>
              <w:rPr>
                <w:sz w:val="20"/>
                <w:szCs w:val="20"/>
                <w:color w:val="auto"/>
              </w:rPr>
            </w:pPr>
          </w:p>
        </w:tc>
      </w:tr>
      <w:tr>
        <w:trPr>
          <w:trHeight w:val="20"/>
        </w:trPr>
        <w:tc>
          <w:tcPr>
            <w:tcW w:w="4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Equity Securities</w:t>
      </w:r>
    </w:p>
    <w:p>
      <w:pPr>
        <w:spacing w:after="0" w:line="81" w:lineRule="exact"/>
        <w:rPr>
          <w:sz w:val="20"/>
          <w:szCs w:val="20"/>
          <w:color w:val="auto"/>
        </w:rPr>
      </w:pPr>
    </w:p>
    <w:p>
      <w:pPr>
        <w:ind w:firstLine="535"/>
        <w:spacing w:after="0" w:line="270" w:lineRule="auto"/>
        <w:rPr>
          <w:sz w:val="20"/>
          <w:szCs w:val="20"/>
          <w:color w:val="auto"/>
        </w:rPr>
      </w:pPr>
      <w:r>
        <w:rPr>
          <w:rFonts w:ascii="Arial" w:cs="Arial" w:eastAsia="Arial" w:hAnsi="Arial"/>
          <w:sz w:val="17"/>
          <w:szCs w:val="17"/>
          <w:color w:val="auto"/>
        </w:rPr>
        <w:t>In June 2019, the Company entered into an amendment to the Research Collaboration and License Agreement and an Equity Purchase Agreement with Arcturus Therapeutics Holdings Inc. (“Arcturus”). Pursuant to the Equity Purchase Agreement, the Company purchased 2,400,000 shares of common stock, or approximately 18.2% of Arcturus’s outstanding shares of common stock as of the closing date of the transaction and received an option to purchase an additional 600,000 shares of common stock. The investment is subject to using the equity method of accounting as it was determined that the Company has significant influence over Arcturus, but does not control the significant activities of Arcturus. The Company elected to apply the fair value option to account for the equity investment in Arcturus. The decision to elect the fair value option is irrevocable and is determined on an instrument by instrument basis. The option to purchase additional stock was accounted for at fair value using the Black-Scholes option pricing method. The changes in fair value of the equity investment and option to purchase additional stock are included in the Condensed Consolidated Statements of Operations. See “Note 6. License and Research Agreements” for additional details on the Arcturus transaction.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revenue</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has certain license and collaboration agreements that are within the scope of Accounting Standards Codification (ASC)</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808, </w:t>
      </w:r>
      <w:r>
        <w:rPr>
          <w:rFonts w:ascii="Arial" w:cs="Arial" w:eastAsia="Arial" w:hAnsi="Arial"/>
          <w:sz w:val="16"/>
          <w:szCs w:val="16"/>
          <w:i w:val="1"/>
          <w:iCs w:val="1"/>
          <w:color w:val="auto"/>
        </w:rPr>
        <w:t>Collaborative Agreements</w:t>
      </w:r>
      <w:r>
        <w:rPr>
          <w:rFonts w:ascii="Arial" w:cs="Arial" w:eastAsia="Arial" w:hAnsi="Arial"/>
          <w:sz w:val="16"/>
          <w:szCs w:val="16"/>
          <w:color w:val="auto"/>
        </w:rPr>
        <w:t>, which provides guidance on the presentation and disclosure of collaborative arrangements. Generally, the classification of the transactions under the collaborative arrangements is determined based on the nature of contractual terms of the arrangement, along with the nature of the operations of the participants. The Company records its share of collaboration revenue, net of transfer pricing related to net sales in the period in which such sales occur, if the Company is considered as an agent in the arrangement. The Company is considered an agent when the collaboration partner controls the product before transfer to the customers and has the ability to direct the use of and obtain substantially all of the remaining benefits from the product. Funding received related to research and development services and commercialization costs is generally classified as a reduction of research and development expenses and selling, general and administrative expenses, respectively, in the consolidated statement of operations, because the provision of such services for collaborative partners are not considered to be part of the Company’s ongoing major or central operations.</w:t>
      </w:r>
    </w:p>
    <w:p>
      <w:pPr>
        <w:spacing w:after="0" w:line="22" w:lineRule="exact"/>
        <w:rPr>
          <w:sz w:val="20"/>
          <w:szCs w:val="20"/>
          <w:color w:val="auto"/>
        </w:rPr>
      </w:pPr>
    </w:p>
    <w:p>
      <w:pPr>
        <w:ind w:right="480" w:firstLine="535"/>
        <w:spacing w:after="0" w:line="264" w:lineRule="auto"/>
        <w:rPr>
          <w:sz w:val="20"/>
          <w:szCs w:val="20"/>
          <w:color w:val="auto"/>
        </w:rPr>
      </w:pPr>
      <w:r>
        <w:rPr>
          <w:rFonts w:ascii="Arial" w:cs="Arial" w:eastAsia="Arial" w:hAnsi="Arial"/>
          <w:sz w:val="18"/>
          <w:szCs w:val="18"/>
          <w:color w:val="auto"/>
        </w:rPr>
        <w:t>The Company also receives royalty revenues under certain of the Company’s license or collaboration agreements in exchange for license of intellectual property. If the Company does not have any future performance obligations for these license or collaboration agreements, royalty revenue is recorded as the underlying sales occur.</w:t>
      </w:r>
    </w:p>
    <w:p>
      <w:pPr>
        <w:spacing w:after="0" w:line="46" w:lineRule="exact"/>
        <w:rPr>
          <w:sz w:val="20"/>
          <w:szCs w:val="20"/>
          <w:color w:val="auto"/>
        </w:rPr>
      </w:pPr>
    </w:p>
    <w:p>
      <w:pPr>
        <w:ind w:right="160" w:firstLine="535"/>
        <w:spacing w:after="0" w:line="264" w:lineRule="auto"/>
        <w:rPr>
          <w:sz w:val="20"/>
          <w:szCs w:val="20"/>
          <w:color w:val="auto"/>
        </w:rPr>
      </w:pPr>
      <w:r>
        <w:rPr>
          <w:rFonts w:ascii="Arial" w:cs="Arial" w:eastAsia="Arial" w:hAnsi="Arial"/>
          <w:sz w:val="18"/>
          <w:szCs w:val="18"/>
          <w:color w:val="auto"/>
        </w:rPr>
        <w:t>In order to record collaboration revenue, the Company utilizes certain information from its collaboration partners, including revenue from the sale of the product, associated reserves on revenue, and costs incurred for development and sales activities. For the periods covered in the financial statements presented, there have been no material changes to prior period estimates of revenues and expenses.</w:t>
      </w:r>
    </w:p>
    <w:p>
      <w:pPr>
        <w:spacing w:after="0" w:line="33" w:lineRule="exact"/>
        <w:rPr>
          <w:sz w:val="20"/>
          <w:szCs w:val="20"/>
          <w:color w:val="auto"/>
        </w:rPr>
      </w:pPr>
    </w:p>
    <w:p>
      <w:pPr>
        <w:ind w:right="140" w:firstLine="539"/>
        <w:spacing w:after="0" w:line="290" w:lineRule="auto"/>
        <w:rPr>
          <w:sz w:val="20"/>
          <w:szCs w:val="20"/>
          <w:color w:val="auto"/>
        </w:rPr>
      </w:pPr>
      <w:r>
        <w:rPr>
          <w:rFonts w:ascii="Arial" w:cs="Arial" w:eastAsia="Arial" w:hAnsi="Arial"/>
          <w:sz w:val="16"/>
          <w:szCs w:val="16"/>
          <w:color w:val="auto"/>
        </w:rPr>
        <w:t xml:space="preserve">The terms of the Company’s collaboration agreements may contain multiple performance obligations, which may include licenses and research and development activities. The Company evaluates these agreements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to determine the distinct performance obligations. The Company analogizes to ASC 606 for the accounting for distinct performance obligations for which there is a customer relationship. 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Total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 w:name="page12"/>
    <w:bookmarkEnd w:id="11"/>
    <w:p>
      <w:pPr>
        <w:ind w:right="20" w:firstLine="539"/>
        <w:spacing w:after="0" w:line="259" w:lineRule="auto"/>
        <w:rPr>
          <w:sz w:val="20"/>
          <w:szCs w:val="20"/>
          <w:color w:val="auto"/>
        </w:rPr>
      </w:pPr>
      <w:r>
        <w:rPr>
          <w:rFonts w:ascii="Arial" w:cs="Arial" w:eastAsia="Arial" w:hAnsi="Arial"/>
          <w:sz w:val="18"/>
          <w:szCs w:val="18"/>
          <w:color w:val="auto"/>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 plus margin. The Company estimates the efforts needed to complete the performance obligation and recognizes revenue by measuring the progress towards complete satisfaction of the performance obligation using an input measure.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77" w:lineRule="exact"/>
        <w:rPr>
          <w:sz w:val="20"/>
          <w:szCs w:val="20"/>
          <w:color w:val="auto"/>
        </w:rPr>
      </w:pPr>
    </w:p>
    <w:p>
      <w:pPr>
        <w:ind w:right="140" w:firstLine="539"/>
        <w:spacing w:after="0" w:line="291" w:lineRule="auto"/>
        <w:rPr>
          <w:sz w:val="20"/>
          <w:szCs w:val="20"/>
          <w:color w:val="auto"/>
        </w:rPr>
      </w:pPr>
      <w:r>
        <w:rPr>
          <w:rFonts w:ascii="Arial" w:cs="Arial" w:eastAsia="Arial" w:hAnsi="Arial"/>
          <w:sz w:val="16"/>
          <w:szCs w:val="16"/>
          <w:color w:val="auto"/>
        </w:rPr>
        <w:t>The Company sells its approved products through a limited number of distributors. Under ASC 606, revenue from product sales is recognized at the point in time when the delivery is made and when title and risk of loss transfers to these distributors. The Company also recognizes revenue from sales of certain products on a “named patient” basis, which are allowed in certain countries prior to the commercial approval of the product. Prior to recognizing revenue, the Company makes estimates of the transaction price, including any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Product sales are recorded net of estimated government-mandated rebates and chargebacks, estimated product returns, and other deductions.</w:t>
      </w:r>
    </w:p>
    <w:p>
      <w:pPr>
        <w:spacing w:after="0" w:line="19" w:lineRule="exact"/>
        <w:rPr>
          <w:sz w:val="20"/>
          <w:szCs w:val="20"/>
          <w:color w:val="auto"/>
        </w:rPr>
      </w:pPr>
    </w:p>
    <w:p>
      <w:pPr>
        <w:ind w:right="100" w:firstLine="539"/>
        <w:spacing w:after="0" w:line="312" w:lineRule="auto"/>
        <w:rPr>
          <w:sz w:val="20"/>
          <w:szCs w:val="20"/>
          <w:color w:val="auto"/>
        </w:rPr>
      </w:pPr>
      <w:r>
        <w:rPr>
          <w:rFonts w:ascii="Arial" w:cs="Arial" w:eastAsia="Arial" w:hAnsi="Arial"/>
          <w:sz w:val="16"/>
          <w:szCs w:val="16"/>
          <w:color w:val="auto"/>
        </w:rPr>
        <w:t>Provisions for returns and other adjustments are provided for in the period the related revenue is recorded, as estimated by management. These reserves are based on estimates of the amounts earned or to be claimed on the related sales and are reviewed periodically and adjusted as necessary. If actual results vary, the Company may need to adjust these estimates, which could have an effect on earnings in the period of the adjustment.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1"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 xml:space="preserve">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of January 1, 2019 using the modified retrospective method. The results for the three and nine months ended September 30, 2019 are presented under ASC 842. The results for the three and nine months ended September 30, 2018 and other prior period amounts were not adjusted and continue to be reported in accordance with historical accounting under prior lease guidance, ASC 840, </w:t>
      </w:r>
      <w:r>
        <w:rPr>
          <w:rFonts w:ascii="Arial" w:cs="Arial" w:eastAsia="Arial" w:hAnsi="Arial"/>
          <w:sz w:val="18"/>
          <w:szCs w:val="18"/>
          <w:i w:val="1"/>
          <w:iCs w:val="1"/>
          <w:color w:val="auto"/>
        </w:rPr>
        <w:t>Leases (Topic 840)</w:t>
      </w:r>
      <w:r>
        <w:rPr>
          <w:rFonts w:ascii="Arial" w:cs="Arial" w:eastAsia="Arial" w:hAnsi="Arial"/>
          <w:sz w:val="18"/>
          <w:szCs w:val="18"/>
          <w:color w:val="auto"/>
        </w:rPr>
        <w:t>. The Company also elected the package of practical expedients under the transition guidance that will retain the historical lease classification and initial direct costs for any leases that existed prior to adoption of the new guidance and the practical expedient to not separate lease and non-lease components.</w:t>
      </w:r>
    </w:p>
    <w:p>
      <w:pPr>
        <w:spacing w:after="0" w:line="45"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The Company determines if an arrangement includes a lease at inception. Right-of-use assets and lease liabilities are recognized based on the present value of the future minimum lease payments over the lease term at the commencement date. The right-of-use asset includes any lease payments made and excludes lease incentives. Incremental borrowing rate is used in determining the present value of future payments. The Company applies a portfolio approach to the property leases to apply an incremental borrowing rate to leases with similar lease terms. The lease terms may include options to extend or terminate the lease. The Company recognizes the options to extend the lease as part of the right-of-use assets and lease liabilities only if it is reasonably certain that the option would be exercised. Lease expense for minimum lease payments is recognized on a straight-line basis over the non-cancelable lease term. Prior period amounts have not been adjusted and continue to be reported in accordance with the Company’s historical accounting under previous lease guidance, Topic 840.</w:t>
      </w:r>
    </w:p>
    <w:p>
      <w:pPr>
        <w:spacing w:after="0" w:line="57" w:lineRule="exact"/>
        <w:rPr>
          <w:sz w:val="20"/>
          <w:szCs w:val="20"/>
          <w:color w:val="auto"/>
        </w:rPr>
      </w:pPr>
    </w:p>
    <w:p>
      <w:pPr>
        <w:ind w:right="320" w:firstLine="571"/>
        <w:spacing w:after="0" w:line="312" w:lineRule="auto"/>
        <w:rPr>
          <w:sz w:val="20"/>
          <w:szCs w:val="20"/>
          <w:color w:val="auto"/>
        </w:rPr>
      </w:pPr>
      <w:r>
        <w:rPr>
          <w:rFonts w:ascii="Arial" w:cs="Arial" w:eastAsia="Arial" w:hAnsi="Arial"/>
          <w:sz w:val="16"/>
          <w:szCs w:val="16"/>
          <w:color w:val="auto"/>
        </w:rPr>
        <w:t>As a result of the adoption of the new guidance, the Company recorded a right-of-use asset of $16.2 million, a short-term lease liability of $4.5 million, and a long-term lease liability of $17.0 million and no cumulative effect adjustment was made to the retained earnings as of the adoption date. In addition, as of the adoption date, the Company derecognized a net deferred rent obligation of $5.2 million. See Note 11 for further disclosure.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81" w:lineRule="exact"/>
        <w:rPr>
          <w:sz w:val="20"/>
          <w:szCs w:val="20"/>
          <w:color w:val="auto"/>
        </w:rPr>
      </w:pPr>
    </w:p>
    <w:p>
      <w:pPr>
        <w:ind w:right="80" w:firstLine="571"/>
        <w:spacing w:after="0" w:line="273" w:lineRule="auto"/>
        <w:rPr>
          <w:sz w:val="20"/>
          <w:szCs w:val="20"/>
          <w:color w:val="auto"/>
        </w:rPr>
      </w:pPr>
      <w:r>
        <w:rPr>
          <w:rFonts w:ascii="Arial" w:cs="Arial" w:eastAsia="Arial" w:hAnsi="Arial"/>
          <w:sz w:val="17"/>
          <w:szCs w:val="17"/>
          <w:color w:val="auto"/>
        </w:rPr>
        <w:t xml:space="preserve">In June 2016, the FASB issued ASU No. 2016-13, Financial Instruments — Credit Losses, </w:t>
      </w:r>
      <w:r>
        <w:rPr>
          <w:rFonts w:ascii="Arial" w:cs="Arial" w:eastAsia="Arial" w:hAnsi="Arial"/>
          <w:sz w:val="17"/>
          <w:szCs w:val="17"/>
          <w:i w:val="1"/>
          <w:iCs w:val="1"/>
          <w:color w:val="auto"/>
        </w:rPr>
        <w:t>(Topic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changes the impairment model for most financial assets and certain other instruments. For trade receivables and other instruments,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be required to use a new forward-looking expected loss model that generally will result in the earlier recognition of allowances for losses. For available-for-sale debt securities with unrealized losses, the losses will be recognized as allowances rather than as reductions in the amortized cost of the securities. This guidance is effective for the Company on January 1, 2020, and early adoption is permitted. The Company is currently evaluating the effect that this guidance will have on its Consolidated Financial Statements and related disclosures.</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93" w:right="299" w:bottom="1440" w:gutter="0" w:footer="0" w:header="0"/>
        </w:sectPr>
      </w:pPr>
    </w:p>
    <w:bookmarkStart w:id="12" w:name="page13"/>
    <w:bookmarkEnd w:id="12"/>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1"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Financial assets and liabilities are recorded at fair value. The carrying amount of certain financial instruments, including cash and cash equivalents, accounts receivable, accounts payable and accrued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77" w:lineRule="exact"/>
        <w:rPr>
          <w:sz w:val="20"/>
          <w:szCs w:val="20"/>
          <w:color w:val="auto"/>
        </w:rPr>
      </w:pPr>
    </w:p>
    <w:p>
      <w:pPr>
        <w:ind w:left="520" w:right="3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 inputs that are observable or can be corroborated by observable market data for substantially the full term of the related assets or liabilities; and</w:t>
      </w:r>
    </w:p>
    <w:p>
      <w:pPr>
        <w:spacing w:after="0" w:line="33"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w:t>
      </w:r>
    </w:p>
    <w:p>
      <w:pPr>
        <w:spacing w:after="0" w:line="3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remeasured on a recurring basis based on the three-tier fair value hierarchy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4560" w:type="dxa"/>
            <w:vAlign w:val="bottom"/>
            <w:tcBorders>
              <w:top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Money market funds</w:t>
            </w: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88,399</w:t>
            </w:r>
          </w:p>
        </w:tc>
        <w:tc>
          <w:tcPr>
            <w:tcW w:w="24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88,399</w:t>
            </w:r>
          </w:p>
        </w:tc>
        <w:tc>
          <w:tcPr>
            <w:tcW w:w="80" w:type="dxa"/>
            <w:vAlign w:val="bottom"/>
            <w:tcBorders>
              <w:top w:val="single" w:sz="8" w:color="CCECFF"/>
            </w:tcBorders>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34,343</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34,343</w:t>
            </w: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96,997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96,997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CFF"/>
          </w:tcPr>
          <w:p>
            <w:pPr>
              <w:ind w:left="24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32,947</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32,947</w:t>
            </w: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U.S. Government Treasury and agency securities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121,365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118,829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240,194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CFF"/>
          </w:tcPr>
          <w:p>
            <w:pPr>
              <w:ind w:left="240"/>
              <w:spacing w:after="0"/>
              <w:rPr>
                <w:sz w:val="20"/>
                <w:szCs w:val="20"/>
                <w:color w:val="auto"/>
              </w:rPr>
            </w:pPr>
            <w:r>
              <w:rPr>
                <w:rFonts w:ascii="Arial" w:cs="Arial" w:eastAsia="Arial" w:hAnsi="Arial"/>
                <w:sz w:val="18"/>
                <w:szCs w:val="18"/>
                <w:color w:val="auto"/>
              </w:rPr>
              <w:t>Investment in Arcturus equity securities</w:t>
            </w:r>
          </w:p>
        </w:tc>
        <w:tc>
          <w:tcPr>
            <w:tcW w:w="160" w:type="dxa"/>
            <w:vAlign w:val="bottom"/>
            <w:tcBorders>
              <w:bottom w:val="single" w:sz="8" w:color="auto"/>
            </w:tcBorders>
            <w:shd w:val="clear" w:color="auto" w:fill="CCECFF"/>
          </w:tcPr>
          <w:p>
            <w:pPr>
              <w:spacing w:after="0"/>
              <w:rPr>
                <w:sz w:val="19"/>
                <w:szCs w:val="19"/>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24,648</w:t>
            </w:r>
          </w:p>
        </w:tc>
        <w:tc>
          <w:tcPr>
            <w:tcW w:w="24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1,685</w:t>
            </w:r>
          </w:p>
        </w:tc>
        <w:tc>
          <w:tcPr>
            <w:tcW w:w="220" w:type="dxa"/>
            <w:vAlign w:val="bottom"/>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26,333</w:t>
            </w:r>
          </w:p>
        </w:tc>
        <w:tc>
          <w:tcPr>
            <w:tcW w:w="80" w:type="dxa"/>
            <w:vAlign w:val="bottom"/>
            <w:shd w:val="clear" w:color="auto" w:fill="CCECFF"/>
          </w:tcPr>
          <w:p>
            <w:pPr>
              <w:spacing w:after="0"/>
              <w:rPr>
                <w:sz w:val="19"/>
                <w:szCs w:val="19"/>
                <w:color w:val="auto"/>
              </w:rPr>
            </w:pPr>
          </w:p>
        </w:tc>
      </w:tr>
      <w:tr>
        <w:trPr>
          <w:trHeight w:val="223"/>
        </w:trPr>
        <w:tc>
          <w:tcPr>
            <w:tcW w:w="4580" w:type="dxa"/>
            <w:vAlign w:val="bottom"/>
            <w:gridSpan w:val="2"/>
          </w:tcPr>
          <w:p>
            <w:pPr>
              <w:jc w:val="right"/>
              <w:ind w:right="4110"/>
              <w:spacing w:after="0"/>
              <w:rPr>
                <w:sz w:val="20"/>
                <w:szCs w:val="20"/>
                <w:color w:val="auto"/>
              </w:rPr>
            </w:pPr>
            <w:r>
              <w:rPr>
                <w:rFonts w:ascii="Arial" w:cs="Arial" w:eastAsia="Arial" w:hAnsi="Arial"/>
                <w:sz w:val="18"/>
                <w:szCs w:val="18"/>
                <w:color w:val="auto"/>
                <w:w w:val="89"/>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234,412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293,116</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529,213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4560" w:type="dxa"/>
            <w:vAlign w:val="bottom"/>
            <w:tcBorders>
              <w:top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Money market funds</w:t>
            </w: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72,999</w:t>
            </w:r>
          </w:p>
        </w:tc>
        <w:tc>
          <w:tcPr>
            <w:tcW w:w="24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72,999</w:t>
            </w:r>
          </w:p>
        </w:tc>
        <w:tc>
          <w:tcPr>
            <w:tcW w:w="80" w:type="dxa"/>
            <w:vAlign w:val="bottom"/>
            <w:tcBorders>
              <w:top w:val="single" w:sz="8" w:color="CCECFF"/>
            </w:tcBorders>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179,926</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179,926</w:t>
            </w: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50,198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CFF"/>
          </w:tcPr>
          <w:p>
            <w:pPr>
              <w:ind w:left="24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22,587</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22,587</w:t>
            </w: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CFF"/>
            </w:tcBorders>
          </w:tcPr>
          <w:p>
            <w:pPr>
              <w:ind w:left="240"/>
              <w:spacing w:after="0"/>
              <w:rPr>
                <w:sz w:val="20"/>
                <w:szCs w:val="20"/>
                <w:color w:val="auto"/>
              </w:rPr>
            </w:pPr>
            <w:r>
              <w:rPr>
                <w:rFonts w:ascii="Arial" w:cs="Arial" w:eastAsia="Arial" w:hAnsi="Arial"/>
                <w:sz w:val="18"/>
                <w:szCs w:val="18"/>
                <w:color w:val="auto"/>
              </w:rPr>
              <w:t>U.S. Government Treasury and agency securities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99,034</w:t>
            </w:r>
          </w:p>
        </w:tc>
        <w:tc>
          <w:tcPr>
            <w:tcW w:w="24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99,034</w:t>
            </w:r>
          </w:p>
        </w:tc>
        <w:tc>
          <w:tcPr>
            <w:tcW w:w="80" w:type="dxa"/>
            <w:vAlign w:val="bottom"/>
            <w:tcBorders>
              <w:bottom w:val="single" w:sz="8" w:color="CCEC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CFF"/>
            </w:tcBorders>
            <w:shd w:val="clear" w:color="auto" w:fill="CCECFF"/>
          </w:tcPr>
          <w:p>
            <w:pPr>
              <w:jc w:val="right"/>
              <w:ind w:right="4110"/>
              <w:spacing w:after="0"/>
              <w:rPr>
                <w:sz w:val="20"/>
                <w:szCs w:val="20"/>
                <w:color w:val="auto"/>
              </w:rPr>
            </w:pPr>
            <w:r>
              <w:rPr>
                <w:rFonts w:ascii="Arial" w:cs="Arial" w:eastAsia="Arial" w:hAnsi="Arial"/>
                <w:sz w:val="18"/>
                <w:szCs w:val="18"/>
                <w:color w:val="auto"/>
                <w:w w:val="84"/>
              </w:rPr>
              <w:t>Total</w:t>
            </w: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72,999</w:t>
            </w:r>
          </w:p>
        </w:tc>
        <w:tc>
          <w:tcPr>
            <w:tcW w:w="24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361,745</w:t>
            </w:r>
          </w:p>
        </w:tc>
        <w:tc>
          <w:tcPr>
            <w:tcW w:w="24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434,744</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color w:val="auto"/>
        </w:rPr>
        <w:t>The Company determines the fair value of the Arcturus common stock by using the quoted market price on September 30, 2019, which is a Level 1 fair value measurement. The change in fair value of the Arcturus common stock for the three and nine months ended September 30, 2019 was $2.0 million and $10.8 million, respectively, which was recognized in the Condensed Consolidated Statements of Operations.</w:t>
      </w:r>
    </w:p>
    <w:p>
      <w:pPr>
        <w:spacing w:after="0" w:line="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fair value of the option to purchase additional shares of Arcturus common stock was based on unobservable inputs that are significant to the measurement of the fair value of the asset and is supported by little or no market data; accordingly, the fair value of the option is considered a Level 3 financial asset. The Company measures the Level 3 financial asset by applying the Black-Scholes option pricing method and utilizes the following inputs: stock price, strike price, volatility, risk free interest rate, and expected term. The expected term is the Company’s estimated period to purchase additional stock. The change in fair value of the option to purchase additional Arcturus common stock for the three and nine months ended September 30, 2019 was $0.2 million and $1.2 million, respectively, which was recognized in the Condensed Consolidated Statements of Operations.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6. License and Research Agreements” for additional details on the Arcturus transaction.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both"/>
        <w:ind w:right="8760" w:firstLine="8"/>
        <w:spacing w:after="0" w:line="381" w:lineRule="auto"/>
        <w:tabs>
          <w:tab w:leader="none" w:pos="51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Components Cash Equivalents and Investments</w:t>
      </w:r>
    </w:p>
    <w:p>
      <w:pPr>
        <w:ind w:left="580"/>
        <w:spacing w:after="0"/>
        <w:rPr>
          <w:rFonts w:ascii="Arial" w:cs="Arial" w:eastAsia="Arial" w:hAnsi="Arial"/>
          <w:sz w:val="16"/>
          <w:szCs w:val="16"/>
          <w:b w:val="1"/>
          <w:bCs w:val="1"/>
          <w:color w:val="auto"/>
        </w:rPr>
      </w:pPr>
      <w:r>
        <w:rPr>
          <w:rFonts w:ascii="Arial" w:cs="Arial" w:eastAsia="Arial" w:hAnsi="Arial"/>
          <w:sz w:val="16"/>
          <w:szCs w:val="16"/>
          <w:color w:val="auto"/>
        </w:rPr>
        <w:t>The fair values of cash equivalents and short-term investments classified as available-for-sale securities consisted of the following (in thousands):</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w w:val="97"/>
              </w:rPr>
              <w:t>September 30, 2019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Losses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88,399</w:t>
            </w:r>
          </w:p>
        </w:tc>
        <w:tc>
          <w:tcPr>
            <w:tcW w:w="2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CFF"/>
            </w:tcBorders>
            <w:shd w:val="clear" w:color="auto" w:fill="CCECFF"/>
          </w:tcPr>
          <w:p>
            <w:pPr>
              <w:spacing w:after="0"/>
              <w:rPr>
                <w:sz w:val="19"/>
                <w:szCs w:val="19"/>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88,399</w:t>
            </w:r>
          </w:p>
        </w:tc>
        <w:tc>
          <w:tcPr>
            <w:tcW w:w="80" w:type="dxa"/>
            <w:vAlign w:val="bottom"/>
            <w:tcBorders>
              <w:top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C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34,304</w:t>
            </w:r>
          </w:p>
        </w:tc>
        <w:tc>
          <w:tcPr>
            <w:tcW w:w="2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34,343</w:t>
            </w:r>
          </w:p>
        </w:tc>
        <w:tc>
          <w:tcPr>
            <w:tcW w:w="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96,997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96,997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CFF"/>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32,894</w:t>
            </w:r>
          </w:p>
        </w:tc>
        <w:tc>
          <w:tcPr>
            <w:tcW w:w="2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32,947</w:t>
            </w:r>
          </w:p>
        </w:tc>
        <w:tc>
          <w:tcPr>
            <w:tcW w:w="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U.S. Government Treasury and agency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239,949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240,194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CFF"/>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8"/>
              </w:rPr>
              <w:t>502,543</w:t>
            </w:r>
          </w:p>
        </w:tc>
        <w:tc>
          <w:tcPr>
            <w:tcW w:w="22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top w:val="single" w:sz="8" w:color="CCECFF"/>
              <w:bottom w:val="single" w:sz="8" w:color="CCECFF"/>
            </w:tcBorders>
            <w:shd w:val="clear" w:color="auto" w:fill="CCECFF"/>
          </w:tcPr>
          <w:p>
            <w:pPr>
              <w:spacing w:after="0"/>
              <w:rPr>
                <w:sz w:val="19"/>
                <w:szCs w:val="19"/>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502,880</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9"/>
              </w:rPr>
              <w:t>December 31, 2018</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Losses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72,999</w:t>
            </w:r>
          </w:p>
        </w:tc>
        <w:tc>
          <w:tcPr>
            <w:tcW w:w="2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CFF"/>
            </w:tcBorders>
            <w:shd w:val="clear" w:color="auto" w:fill="CCECFF"/>
          </w:tcPr>
          <w:p>
            <w:pPr>
              <w:spacing w:after="0"/>
              <w:rPr>
                <w:sz w:val="19"/>
                <w:szCs w:val="19"/>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72,999</w:t>
            </w:r>
          </w:p>
        </w:tc>
        <w:tc>
          <w:tcPr>
            <w:tcW w:w="80" w:type="dxa"/>
            <w:vAlign w:val="bottom"/>
            <w:tcBorders>
              <w:top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C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8"/>
              </w:rPr>
              <w:t>180,167</w:t>
            </w:r>
          </w:p>
        </w:tc>
        <w:tc>
          <w:tcPr>
            <w:tcW w:w="2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179,926</w:t>
            </w:r>
          </w:p>
        </w:tc>
        <w:tc>
          <w:tcPr>
            <w:tcW w:w="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50,198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CFF"/>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22,597</w:t>
            </w:r>
          </w:p>
        </w:tc>
        <w:tc>
          <w:tcPr>
            <w:tcW w:w="2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22,587</w:t>
            </w:r>
          </w:p>
        </w:tc>
        <w:tc>
          <w:tcPr>
            <w:tcW w:w="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U.S. Government Treasury and agency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99,034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CFF"/>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8"/>
              </w:rPr>
              <w:t>435,048</w:t>
            </w:r>
          </w:p>
        </w:tc>
        <w:tc>
          <w:tcPr>
            <w:tcW w:w="22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CFF"/>
              <w:bottom w:val="single" w:sz="8" w:color="CCECFF"/>
            </w:tcBorders>
            <w:shd w:val="clear" w:color="auto" w:fill="CCECFF"/>
          </w:tcPr>
          <w:p>
            <w:pPr>
              <w:spacing w:after="0"/>
              <w:rPr>
                <w:sz w:val="19"/>
                <w:szCs w:val="19"/>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434,744</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At September 30, 2019, the remaining contractual maturities of available-for-sale securities were less than one year. There have been no material realized gains or losses on available-for-sale securities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consists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140" w:type="dxa"/>
            <w:vAlign w:val="bottom"/>
            <w:tcBorders>
              <w:bottom w:val="single" w:sz="8" w:color="CCECFF"/>
            </w:tcBorders>
          </w:tcPr>
          <w:p>
            <w:pPr>
              <w:spacing w:after="0"/>
              <w:rPr>
                <w:sz w:val="18"/>
                <w:szCs w:val="18"/>
                <w:color w:val="auto"/>
              </w:rPr>
            </w:pPr>
          </w:p>
        </w:tc>
        <w:tc>
          <w:tcPr>
            <w:tcW w:w="1500" w:type="dxa"/>
            <w:vAlign w:val="bottom"/>
            <w:tcBorders>
              <w:bottom w:val="single" w:sz="8" w:color="CCEC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CFF"/>
            </w:tcBorders>
          </w:tcPr>
          <w:p>
            <w:pPr>
              <w:spacing w:after="0"/>
              <w:rPr>
                <w:sz w:val="18"/>
                <w:szCs w:val="18"/>
                <w:color w:val="auto"/>
              </w:rPr>
            </w:pPr>
          </w:p>
        </w:tc>
        <w:tc>
          <w:tcPr>
            <w:tcW w:w="280" w:type="dxa"/>
            <w:vAlign w:val="bottom"/>
            <w:tcBorders>
              <w:bottom w:val="single" w:sz="8" w:color="CCEC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CEC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shd w:val="clear" w:color="auto" w:fill="CCECFF"/>
          </w:tcPr>
          <w:p>
            <w:pPr>
              <w:spacing w:after="0"/>
              <w:rPr>
                <w:sz w:val="20"/>
                <w:szCs w:val="20"/>
                <w:color w:val="auto"/>
              </w:rPr>
            </w:pPr>
            <w:r>
              <w:rPr>
                <w:rFonts w:ascii="Arial" w:cs="Arial" w:eastAsia="Arial" w:hAnsi="Arial"/>
                <w:sz w:val="18"/>
                <w:szCs w:val="18"/>
                <w:color w:val="auto"/>
              </w:rPr>
              <w:t>Work-in-progress</w:t>
            </w:r>
          </w:p>
        </w:tc>
        <w:tc>
          <w:tcPr>
            <w:tcW w:w="1500" w:type="dxa"/>
            <w:vAlign w:val="bottom"/>
            <w:shd w:val="clear" w:color="auto" w:fill="CCECFF"/>
          </w:tcPr>
          <w:p>
            <w:pPr>
              <w:spacing w:after="0"/>
              <w:rPr>
                <w:sz w:val="19"/>
                <w:szCs w:val="19"/>
                <w:color w:val="auto"/>
              </w:rPr>
            </w:pPr>
          </w:p>
        </w:tc>
        <w:tc>
          <w:tcPr>
            <w:tcW w:w="220" w:type="dxa"/>
            <w:vAlign w:val="bottom"/>
            <w:gridSpan w:val="2"/>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10,753</w:t>
            </w:r>
          </w:p>
        </w:tc>
        <w:tc>
          <w:tcPr>
            <w:tcW w:w="2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5,384</w:t>
            </w:r>
          </w:p>
        </w:tc>
        <w:tc>
          <w:tcPr>
            <w:tcW w:w="80" w:type="dxa"/>
            <w:vAlign w:val="bottom"/>
            <w:shd w:val="clear" w:color="auto" w:fill="CCEC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Finished goods</w:t>
            </w:r>
          </w:p>
        </w:tc>
        <w:tc>
          <w:tcPr>
            <w:tcW w:w="1500" w:type="dxa"/>
            <w:vAlign w:val="bottom"/>
            <w:tcBorders>
              <w:bottom w:val="single" w:sz="8" w:color="CCEC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20" w:type="dxa"/>
            <w:vAlign w:val="bottom"/>
            <w:tcBorders>
              <w:bottom w:val="single" w:sz="8" w:color="CCECFF"/>
            </w:tcBorders>
          </w:tcPr>
          <w:p>
            <w:pPr>
              <w:spacing w:after="0"/>
              <w:rPr>
                <w:sz w:val="19"/>
                <w:szCs w:val="19"/>
                <w:color w:val="auto"/>
              </w:rPr>
            </w:pPr>
          </w:p>
        </w:tc>
        <w:tc>
          <w:tcPr>
            <w:tcW w:w="280" w:type="dxa"/>
            <w:vAlign w:val="bottom"/>
            <w:tcBorders>
              <w:bottom w:val="single" w:sz="8" w:color="CCEC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80" w:type="dxa"/>
            <w:vAlign w:val="bottom"/>
            <w:tcBorders>
              <w:bottom w:val="single" w:sz="8" w:color="CCEC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tcBorders>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Total inventory</w:t>
            </w:r>
          </w:p>
        </w:tc>
        <w:tc>
          <w:tcPr>
            <w:tcW w:w="150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gridSpan w:val="2"/>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14,138</w:t>
            </w:r>
          </w:p>
        </w:tc>
        <w:tc>
          <w:tcPr>
            <w:tcW w:w="2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7,065</w:t>
            </w:r>
          </w:p>
        </w:tc>
        <w:tc>
          <w:tcPr>
            <w:tcW w:w="80" w:type="dxa"/>
            <w:vAlign w:val="bottom"/>
            <w:tcBorders>
              <w:bottom w:val="single" w:sz="8" w:color="CCECFF"/>
            </w:tcBorders>
            <w:shd w:val="clear" w:color="auto" w:fill="CCEC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Liabilities</w:t>
            </w: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300" w:type="dxa"/>
            <w:vAlign w:val="bottom"/>
            <w:gridSpan w:val="2"/>
          </w:tcPr>
          <w:p>
            <w:pPr>
              <w:ind w:left="520"/>
              <w:spacing w:after="0"/>
              <w:rPr>
                <w:sz w:val="20"/>
                <w:szCs w:val="20"/>
                <w:color w:val="auto"/>
              </w:rPr>
            </w:pPr>
            <w:r>
              <w:rPr>
                <w:rFonts w:ascii="Arial" w:cs="Arial" w:eastAsia="Arial" w:hAnsi="Arial"/>
                <w:sz w:val="18"/>
                <w:szCs w:val="18"/>
                <w:color w:val="auto"/>
              </w:rPr>
              <w:t>Accrued liabilities consist of the following (in thousands):</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140" w:type="dxa"/>
            <w:vAlign w:val="bottom"/>
            <w:tcBorders>
              <w:bottom w:val="single" w:sz="8" w:color="CCECFF"/>
            </w:tcBorders>
          </w:tcPr>
          <w:p>
            <w:pPr>
              <w:spacing w:after="0"/>
              <w:rPr>
                <w:sz w:val="18"/>
                <w:szCs w:val="18"/>
                <w:color w:val="auto"/>
              </w:rPr>
            </w:pPr>
          </w:p>
        </w:tc>
        <w:tc>
          <w:tcPr>
            <w:tcW w:w="1500" w:type="dxa"/>
            <w:vAlign w:val="bottom"/>
            <w:tcBorders>
              <w:bottom w:val="single" w:sz="8" w:color="CCECFF"/>
            </w:tcBorders>
          </w:tcPr>
          <w:p>
            <w:pPr>
              <w:spacing w:after="0"/>
              <w:rPr>
                <w:sz w:val="18"/>
                <w:szCs w:val="18"/>
                <w:color w:val="auto"/>
              </w:rPr>
            </w:pPr>
          </w:p>
        </w:tc>
        <w:tc>
          <w:tcPr>
            <w:tcW w:w="20" w:type="dxa"/>
            <w:vAlign w:val="bottom"/>
            <w:tcBorders>
              <w:bottom w:val="single" w:sz="8" w:color="CCEC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C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CEC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shd w:val="clear" w:color="auto" w:fill="CCECFF"/>
          </w:tcPr>
          <w:p>
            <w:pPr>
              <w:spacing w:after="0"/>
              <w:rPr>
                <w:sz w:val="20"/>
                <w:szCs w:val="20"/>
                <w:color w:val="auto"/>
              </w:rPr>
            </w:pPr>
            <w:r>
              <w:rPr>
                <w:rFonts w:ascii="Arial" w:cs="Arial" w:eastAsia="Arial" w:hAnsi="Arial"/>
                <w:sz w:val="18"/>
                <w:szCs w:val="18"/>
                <w:color w:val="auto"/>
                <w:w w:val="95"/>
              </w:rPr>
              <w:t>Research, clinical study, and manufacturing expenses</w:t>
            </w:r>
          </w:p>
        </w:tc>
        <w:tc>
          <w:tcPr>
            <w:tcW w:w="1520" w:type="dxa"/>
            <w:vAlign w:val="bottom"/>
            <w:gridSpan w:val="2"/>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17,972</w:t>
            </w:r>
          </w:p>
        </w:tc>
        <w:tc>
          <w:tcPr>
            <w:tcW w:w="2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16,912</w:t>
            </w:r>
          </w:p>
        </w:tc>
        <w:tc>
          <w:tcPr>
            <w:tcW w:w="80" w:type="dxa"/>
            <w:vAlign w:val="bottom"/>
            <w:shd w:val="clear" w:color="auto" w:fill="CCEC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36,443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shd w:val="clear" w:color="auto" w:fill="CCECFF"/>
          </w:tcPr>
          <w:p>
            <w:pPr>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16,904</w:t>
            </w:r>
          </w:p>
        </w:tc>
        <w:tc>
          <w:tcPr>
            <w:tcW w:w="20" w:type="dxa"/>
            <w:vAlign w:val="bottom"/>
            <w:tcBorders>
              <w:bottom w:val="single" w:sz="8" w:color="auto"/>
            </w:tcBorders>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9,095</w:t>
            </w:r>
          </w:p>
        </w:tc>
        <w:tc>
          <w:tcPr>
            <w:tcW w:w="80" w:type="dxa"/>
            <w:vAlign w:val="bottom"/>
            <w:shd w:val="clear" w:color="auto" w:fill="CCEC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Total accrued liabilities</w:t>
            </w:r>
          </w:p>
        </w:tc>
        <w:tc>
          <w:tcPr>
            <w:tcW w:w="152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vMerge w:val="restart"/>
          </w:tcPr>
          <w:p>
            <w:pPr>
              <w:jc w:val="right"/>
              <w:ind w:right="91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8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disaggregates total revenues from external customers by collaboration and license revenue and product sales (in thousands):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4"/>
              </w:rPr>
              <w:t>Three Months Ended September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CFF"/>
            </w:tcBorders>
          </w:tcPr>
          <w:p>
            <w:pPr>
              <w:spacing w:after="0"/>
              <w:rPr>
                <w:sz w:val="19"/>
                <w:szCs w:val="19"/>
                <w:color w:val="auto"/>
              </w:rPr>
            </w:pPr>
          </w:p>
        </w:tc>
        <w:tc>
          <w:tcPr>
            <w:tcW w:w="300" w:type="dxa"/>
            <w:vAlign w:val="bottom"/>
            <w:tcBorders>
              <w:bottom w:val="single" w:sz="8" w:color="CCEC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C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CFF"/>
            </w:tcBorders>
          </w:tcPr>
          <w:p>
            <w:pPr>
              <w:spacing w:after="0"/>
              <w:rPr>
                <w:sz w:val="19"/>
                <w:szCs w:val="19"/>
                <w:color w:val="auto"/>
              </w:rPr>
            </w:pPr>
          </w:p>
        </w:tc>
        <w:tc>
          <w:tcPr>
            <w:tcW w:w="20" w:type="dxa"/>
            <w:vAlign w:val="bottom"/>
            <w:tcBorders>
              <w:top w:val="single" w:sz="8" w:color="auto"/>
              <w:bottom w:val="single" w:sz="8" w:color="CCEC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C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CECFF"/>
          </w:tcPr>
          <w:p>
            <w:pPr>
              <w:spacing w:after="0"/>
              <w:rPr>
                <w:sz w:val="20"/>
                <w:szCs w:val="20"/>
                <w:color w:val="auto"/>
              </w:rPr>
            </w:pPr>
            <w:r>
              <w:rPr>
                <w:rFonts w:ascii="Arial" w:cs="Arial" w:eastAsia="Arial" w:hAnsi="Arial"/>
                <w:sz w:val="18"/>
                <w:szCs w:val="18"/>
                <w:color w:val="auto"/>
              </w:rPr>
              <w:t>Collaboration and license revenue:</w:t>
            </w:r>
          </w:p>
        </w:tc>
        <w:tc>
          <w:tcPr>
            <w:tcW w:w="3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KKC (Crysvita)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21,484</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54,617</w:t>
            </w:r>
          </w:p>
        </w:tc>
        <w:tc>
          <w:tcPr>
            <w:tcW w:w="220" w:type="dxa"/>
            <w:vAlign w:val="bottom"/>
          </w:tcPr>
          <w:p>
            <w:pPr>
              <w:spacing w:after="0"/>
              <w:rPr>
                <w:sz w:val="19"/>
                <w:szCs w:val="19"/>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6,993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Bayer</w:t>
            </w:r>
          </w:p>
        </w:tc>
        <w:tc>
          <w:tcPr>
            <w:tcW w:w="300" w:type="dxa"/>
            <w:vAlign w:val="bottom"/>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3,614</w:t>
            </w:r>
          </w:p>
        </w:tc>
        <w:tc>
          <w:tcPr>
            <w:tcW w:w="240" w:type="dxa"/>
            <w:vAlign w:val="bottom"/>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21,903</w:t>
            </w:r>
          </w:p>
        </w:tc>
        <w:tc>
          <w:tcPr>
            <w:tcW w:w="80" w:type="dxa"/>
            <w:vAlign w:val="bottom"/>
            <w:shd w:val="clear" w:color="auto" w:fill="CCEC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CFF"/>
            </w:tcBorders>
          </w:tcPr>
          <w:p>
            <w:pPr>
              <w:ind w:left="240"/>
              <w:spacing w:after="0"/>
              <w:rPr>
                <w:sz w:val="20"/>
                <w:szCs w:val="20"/>
                <w:color w:val="auto"/>
              </w:rPr>
            </w:pPr>
            <w:r>
              <w:rPr>
                <w:rFonts w:ascii="Arial" w:cs="Arial" w:eastAsia="Arial" w:hAnsi="Arial"/>
                <w:sz w:val="18"/>
                <w:szCs w:val="18"/>
                <w:color w:val="auto"/>
                <w:w w:val="98"/>
              </w:rPr>
              <w:t>Total collaboration and license revenue</w:t>
            </w:r>
          </w:p>
        </w:tc>
        <w:tc>
          <w:tcPr>
            <w:tcW w:w="300" w:type="dxa"/>
            <w:vAlign w:val="bottom"/>
            <w:tcBorders>
              <w:bottom w:val="single" w:sz="8" w:color="CCEC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21,585</w:t>
            </w:r>
          </w:p>
        </w:tc>
        <w:tc>
          <w:tcPr>
            <w:tcW w:w="22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9,015</w:t>
            </w:r>
          </w:p>
        </w:tc>
        <w:tc>
          <w:tcPr>
            <w:tcW w:w="240" w:type="dxa"/>
            <w:vAlign w:val="bottom"/>
            <w:tcBorders>
              <w:bottom w:val="single" w:sz="8" w:color="CCEC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55,070</w:t>
            </w:r>
          </w:p>
        </w:tc>
        <w:tc>
          <w:tcPr>
            <w:tcW w:w="220" w:type="dxa"/>
            <w:vAlign w:val="bottom"/>
            <w:tcBorders>
              <w:bottom w:val="single" w:sz="8" w:color="CCECFF"/>
            </w:tcBorders>
          </w:tcPr>
          <w:p>
            <w:pPr>
              <w:spacing w:after="0"/>
              <w:rPr>
                <w:sz w:val="19"/>
                <w:szCs w:val="19"/>
                <w:color w:val="auto"/>
              </w:rPr>
            </w:pPr>
          </w:p>
        </w:tc>
        <w:tc>
          <w:tcPr>
            <w:tcW w:w="2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28,896</w:t>
            </w:r>
          </w:p>
        </w:tc>
        <w:tc>
          <w:tcPr>
            <w:tcW w:w="80" w:type="dxa"/>
            <w:vAlign w:val="bottom"/>
            <w:tcBorders>
              <w:bottom w:val="single" w:sz="8" w:color="CCEC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CECFF"/>
          </w:tcPr>
          <w:p>
            <w:pPr>
              <w:spacing w:after="0"/>
              <w:rPr>
                <w:sz w:val="20"/>
                <w:szCs w:val="20"/>
                <w:color w:val="auto"/>
              </w:rPr>
            </w:pPr>
            <w:r>
              <w:rPr>
                <w:rFonts w:ascii="Arial" w:cs="Arial" w:eastAsia="Arial" w:hAnsi="Arial"/>
                <w:sz w:val="18"/>
                <w:szCs w:val="18"/>
                <w:color w:val="auto"/>
              </w:rPr>
              <w:t>Product sales:</w:t>
            </w:r>
          </w:p>
        </w:tc>
        <w:tc>
          <w:tcPr>
            <w:tcW w:w="3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Crysvita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Mepsevii</w:t>
            </w:r>
          </w:p>
        </w:tc>
        <w:tc>
          <w:tcPr>
            <w:tcW w:w="3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2,361</w:t>
            </w:r>
          </w:p>
        </w:tc>
        <w:tc>
          <w:tcPr>
            <w:tcW w:w="2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2,127</w:t>
            </w: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8,274</w:t>
            </w:r>
          </w:p>
        </w:tc>
        <w:tc>
          <w:tcPr>
            <w:tcW w:w="22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5,253</w:t>
            </w: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40" w:type="dxa"/>
            <w:vAlign w:val="bottom"/>
            <w:tcBorders>
              <w:bottom w:val="single" w:sz="8" w:color="CCECFF"/>
            </w:tcBorders>
          </w:tcPr>
          <w:p>
            <w:pPr>
              <w:ind w:left="120"/>
              <w:spacing w:after="0"/>
              <w:rPr>
                <w:sz w:val="20"/>
                <w:szCs w:val="20"/>
                <w:color w:val="auto"/>
              </w:rPr>
            </w:pPr>
            <w:r>
              <w:rPr>
                <w:rFonts w:ascii="Arial" w:cs="Arial" w:eastAsia="Arial" w:hAnsi="Arial"/>
                <w:sz w:val="18"/>
                <w:szCs w:val="18"/>
                <w:color w:val="auto"/>
              </w:rPr>
              <w:t>UX007</w:t>
            </w:r>
          </w:p>
        </w:tc>
        <w:tc>
          <w:tcPr>
            <w:tcW w:w="300" w:type="dxa"/>
            <w:vAlign w:val="bottom"/>
            <w:tcBorders>
              <w:bottom w:val="single" w:sz="8" w:color="CCEC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Borders>
              <w:bottom w:val="single" w:sz="8" w:color="CCEC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220" w:type="dxa"/>
            <w:vAlign w:val="bottom"/>
            <w:tcBorders>
              <w:bottom w:val="single" w:sz="8" w:color="CCECFF"/>
            </w:tcBorders>
          </w:tcPr>
          <w:p>
            <w:pPr>
              <w:spacing w:after="0"/>
              <w:rPr>
                <w:sz w:val="19"/>
                <w:szCs w:val="19"/>
                <w:color w:val="auto"/>
              </w:rPr>
            </w:pPr>
          </w:p>
        </w:tc>
        <w:tc>
          <w:tcPr>
            <w:tcW w:w="2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80" w:type="dxa"/>
            <w:vAlign w:val="bottom"/>
            <w:tcBorders>
              <w:bottom w:val="single" w:sz="8" w:color="CCEC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Total product sales</w:t>
            </w:r>
          </w:p>
        </w:tc>
        <w:tc>
          <w:tcPr>
            <w:tcW w:w="300" w:type="dxa"/>
            <w:vAlign w:val="bottom"/>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4,215</w:t>
            </w:r>
          </w:p>
        </w:tc>
        <w:tc>
          <w:tcPr>
            <w:tcW w:w="220" w:type="dxa"/>
            <w:vAlign w:val="bottom"/>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2,748</w:t>
            </w:r>
          </w:p>
        </w:tc>
        <w:tc>
          <w:tcPr>
            <w:tcW w:w="240" w:type="dxa"/>
            <w:vAlign w:val="bottom"/>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13,051</w:t>
            </w:r>
          </w:p>
        </w:tc>
        <w:tc>
          <w:tcPr>
            <w:tcW w:w="22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6,338</w:t>
            </w:r>
          </w:p>
        </w:tc>
        <w:tc>
          <w:tcPr>
            <w:tcW w:w="80" w:type="dxa"/>
            <w:vAlign w:val="bottom"/>
            <w:shd w:val="clear" w:color="auto" w:fill="CCEC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25,800</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disaggregates total revenues based on geographic location (in thousands):</w:t>
      </w:r>
    </w:p>
    <w:p>
      <w:pPr>
        <w:spacing w:after="0" w:line="257"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right"/>
              <w:ind w:right="85"/>
              <w:spacing w:after="0"/>
              <w:rPr>
                <w:sz w:val="20"/>
                <w:szCs w:val="20"/>
                <w:color w:val="auto"/>
              </w:rPr>
            </w:pPr>
            <w:r>
              <w:rPr>
                <w:rFonts w:ascii="Arial" w:cs="Arial" w:eastAsia="Arial" w:hAnsi="Arial"/>
                <w:sz w:val="14"/>
                <w:szCs w:val="14"/>
                <w:b w:val="1"/>
                <w:bCs w:val="1"/>
                <w:color w:val="auto"/>
                <w:w w:val="94"/>
              </w:rPr>
              <w:t>Three Months Ended September 30,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23"/>
        </w:trPr>
        <w:tc>
          <w:tcPr>
            <w:tcW w:w="640" w:type="dxa"/>
            <w:vAlign w:val="bottom"/>
          </w:tcPr>
          <w:p>
            <w:pPr>
              <w:spacing w:after="0"/>
              <w:rPr>
                <w:sz w:val="19"/>
                <w:szCs w:val="19"/>
                <w:color w:val="auto"/>
              </w:rPr>
            </w:pPr>
          </w:p>
        </w:tc>
        <w:tc>
          <w:tcPr>
            <w:tcW w:w="3640" w:type="dxa"/>
            <w:vAlign w:val="bottom"/>
            <w:tcBorders>
              <w:bottom w:val="single" w:sz="8" w:color="CCEC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C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36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CFF"/>
            </w:tcBorders>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3640" w:type="dxa"/>
            <w:vAlign w:val="bottom"/>
            <w:shd w:val="clear" w:color="auto" w:fill="CCEC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21,700</w:t>
            </w:r>
          </w:p>
        </w:tc>
        <w:tc>
          <w:tcPr>
            <w:tcW w:w="22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9,879</w:t>
            </w:r>
          </w:p>
        </w:tc>
        <w:tc>
          <w:tcPr>
            <w:tcW w:w="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CCECFF"/>
          </w:tcPr>
          <w:p>
            <w:pPr>
              <w:jc w:val="right"/>
              <w:spacing w:after="0"/>
              <w:rPr>
                <w:sz w:val="20"/>
                <w:szCs w:val="20"/>
                <w:color w:val="auto"/>
              </w:rPr>
            </w:pPr>
            <w:r>
              <w:rPr>
                <w:rFonts w:ascii="Arial" w:cs="Arial" w:eastAsia="Arial" w:hAnsi="Arial"/>
                <w:sz w:val="18"/>
                <w:szCs w:val="18"/>
                <w:color w:val="auto"/>
              </w:rPr>
              <w:t>56,318</w:t>
            </w: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31,731</w:t>
            </w:r>
          </w:p>
        </w:tc>
        <w:tc>
          <w:tcPr>
            <w:tcW w:w="80" w:type="dxa"/>
            <w:vAlign w:val="bottom"/>
            <w:shd w:val="clear" w:color="auto" w:fill="CCECFF"/>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8,522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3,209</w:t>
            </w: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3640" w:type="dxa"/>
            <w:vAlign w:val="bottom"/>
            <w:shd w:val="clear" w:color="auto" w:fill="CCECFF"/>
          </w:tcPr>
          <w:p>
            <w:pPr>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Borders>
              <w:bottom w:val="single" w:sz="8" w:color="auto"/>
            </w:tcBorders>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gridSpan w:val="4"/>
            <w:shd w:val="clear" w:color="auto" w:fill="CCECFF"/>
          </w:tcPr>
          <w:p>
            <w:pPr>
              <w:jc w:val="right"/>
              <w:spacing w:after="0"/>
              <w:rPr>
                <w:sz w:val="20"/>
                <w:szCs w:val="20"/>
                <w:color w:val="auto"/>
              </w:rPr>
            </w:pPr>
            <w:r>
              <w:rPr>
                <w:rFonts w:ascii="Arial" w:cs="Arial" w:eastAsia="Arial" w:hAnsi="Arial"/>
                <w:sz w:val="18"/>
                <w:szCs w:val="18"/>
                <w:color w:val="auto"/>
              </w:rPr>
              <w:t>3,281</w:t>
            </w:r>
          </w:p>
        </w:tc>
        <w:tc>
          <w:tcPr>
            <w:tcW w:w="240" w:type="dxa"/>
            <w:vAlign w:val="bottom"/>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CFF"/>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25,800</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11,763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68,121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35,234</w:t>
            </w:r>
          </w:p>
        </w:tc>
        <w:tc>
          <w:tcPr>
            <w:tcW w:w="80" w:type="dxa"/>
            <w:vAlign w:val="bottom"/>
          </w:tcPr>
          <w:p>
            <w:pPr>
              <w:spacing w:after="0"/>
              <w:rPr>
                <w:sz w:val="19"/>
                <w:szCs w:val="19"/>
                <w:color w:val="auto"/>
              </w:rPr>
            </w:pPr>
          </w:p>
        </w:tc>
      </w:tr>
      <w:tr>
        <w:trPr>
          <w:trHeight w:val="20"/>
        </w:trPr>
        <w:tc>
          <w:tcPr>
            <w:tcW w:w="428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6840" w:type="dxa"/>
            <w:vAlign w:val="bottom"/>
            <w:gridSpan w:val="8"/>
          </w:tcPr>
          <w:p>
            <w:pPr>
              <w:jc w:val="right"/>
              <w:ind w:right="585"/>
              <w:spacing w:after="0"/>
              <w:rPr>
                <w:sz w:val="20"/>
                <w:szCs w:val="20"/>
                <w:color w:val="auto"/>
              </w:rPr>
            </w:pPr>
            <w:r>
              <w:rPr>
                <w:rFonts w:ascii="Arial" w:cs="Arial" w:eastAsia="Arial" w:hAnsi="Arial"/>
                <w:sz w:val="18"/>
                <w:szCs w:val="18"/>
                <w:color w:val="auto"/>
                <w:w w:val="90"/>
              </w:rPr>
              <w:t>The following table presents changes in the contract assets (liabilities)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6"/>
        </w:trPr>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20" w:type="dxa"/>
            <w:vAlign w:val="bottom"/>
            <w:gridSpan w:val="11"/>
          </w:tcPr>
          <w:p>
            <w:pPr>
              <w:jc w:val="right"/>
              <w:ind w:right="76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15"/>
        </w:trPr>
        <w:tc>
          <w:tcPr>
            <w:tcW w:w="640" w:type="dxa"/>
            <w:vAlign w:val="bottom"/>
          </w:tcPr>
          <w:p>
            <w:pPr>
              <w:spacing w:after="0"/>
              <w:rPr>
                <w:sz w:val="18"/>
                <w:szCs w:val="18"/>
                <w:color w:val="auto"/>
              </w:rPr>
            </w:pPr>
          </w:p>
        </w:tc>
        <w:tc>
          <w:tcPr>
            <w:tcW w:w="3640" w:type="dxa"/>
            <w:vAlign w:val="bottom"/>
            <w:tcBorders>
              <w:bottom w:val="single" w:sz="8" w:color="CCECFF"/>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1060" w:type="dxa"/>
            <w:vAlign w:val="bottom"/>
            <w:tcBorders>
              <w:bottom w:val="single" w:sz="8" w:color="CCECFF"/>
            </w:tcBorders>
          </w:tcPr>
          <w:p>
            <w:pPr>
              <w:spacing w:after="0"/>
              <w:rPr>
                <w:sz w:val="18"/>
                <w:szCs w:val="18"/>
                <w:color w:val="auto"/>
              </w:rPr>
            </w:pPr>
          </w:p>
        </w:tc>
        <w:tc>
          <w:tcPr>
            <w:tcW w:w="220" w:type="dxa"/>
            <w:vAlign w:val="bottom"/>
            <w:tcBorders>
              <w:bottom w:val="single" w:sz="8" w:color="CCECFF"/>
            </w:tcBorders>
          </w:tcPr>
          <w:p>
            <w:pPr>
              <w:spacing w:after="0"/>
              <w:rPr>
                <w:sz w:val="18"/>
                <w:szCs w:val="18"/>
                <w:color w:val="auto"/>
              </w:rPr>
            </w:pPr>
          </w:p>
        </w:tc>
        <w:tc>
          <w:tcPr>
            <w:tcW w:w="260" w:type="dxa"/>
            <w:vAlign w:val="bottom"/>
            <w:tcBorders>
              <w:bottom w:val="single" w:sz="8" w:color="CCECFF"/>
            </w:tcBorders>
          </w:tcPr>
          <w:p>
            <w:pPr>
              <w:spacing w:after="0"/>
              <w:rPr>
                <w:sz w:val="18"/>
                <w:szCs w:val="18"/>
                <w:color w:val="auto"/>
              </w:rPr>
            </w:pPr>
          </w:p>
        </w:tc>
        <w:tc>
          <w:tcPr>
            <w:tcW w:w="240" w:type="dxa"/>
            <w:vAlign w:val="bottom"/>
            <w:tcBorders>
              <w:bottom w:val="single" w:sz="8" w:color="CCEC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w w:val="83"/>
              </w:rPr>
              <w:t>2019</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CFF"/>
            </w:tcBorders>
          </w:tcPr>
          <w:p>
            <w:pPr>
              <w:spacing w:after="0"/>
              <w:rPr>
                <w:sz w:val="18"/>
                <w:szCs w:val="18"/>
                <w:color w:val="auto"/>
              </w:rPr>
            </w:pPr>
          </w:p>
        </w:tc>
        <w:tc>
          <w:tcPr>
            <w:tcW w:w="20" w:type="dxa"/>
            <w:vAlign w:val="bottom"/>
            <w:tcBorders>
              <w:bottom w:val="single" w:sz="8" w:color="CCEC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CFF"/>
            </w:tcBorders>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4820" w:type="dxa"/>
            <w:vAlign w:val="bottom"/>
            <w:gridSpan w:val="3"/>
            <w:shd w:val="clear" w:color="auto" w:fill="CCECFF"/>
          </w:tcPr>
          <w:p>
            <w:pPr>
              <w:spacing w:after="0"/>
              <w:rPr>
                <w:sz w:val="20"/>
                <w:szCs w:val="20"/>
                <w:color w:val="auto"/>
              </w:rPr>
            </w:pPr>
            <w:r>
              <w:rPr>
                <w:rFonts w:ascii="Arial" w:cs="Arial" w:eastAsia="Arial" w:hAnsi="Arial"/>
                <w:sz w:val="18"/>
                <w:szCs w:val="18"/>
                <w:color w:val="auto"/>
              </w:rPr>
              <w:t>Balance of contract assets (liabilities) at beginning of period</w:t>
            </w:r>
          </w:p>
        </w:tc>
        <w:tc>
          <w:tcPr>
            <w:tcW w:w="2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660" w:type="dxa"/>
            <w:vAlign w:val="bottom"/>
            <w:shd w:val="clear" w:color="auto" w:fill="CCECFF"/>
          </w:tcPr>
          <w:p>
            <w:pPr>
              <w:jc w:val="right"/>
              <w:ind w:right="505"/>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2,979</w:t>
            </w:r>
          </w:p>
        </w:tc>
        <w:tc>
          <w:tcPr>
            <w:tcW w:w="26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80" w:type="dxa"/>
            <w:vAlign w:val="bottom"/>
            <w:shd w:val="clear" w:color="auto" w:fill="CCECFF"/>
          </w:tcPr>
          <w:p>
            <w:pPr>
              <w:jc w:val="right"/>
              <w:ind w:right="7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(5,986)</w:t>
            </w:r>
          </w:p>
        </w:tc>
        <w:tc>
          <w:tcPr>
            <w:tcW w:w="80" w:type="dxa"/>
            <w:vAlign w:val="bottom"/>
            <w:shd w:val="clear" w:color="auto" w:fill="CCECFF"/>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22,491</w:t>
            </w: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3640" w:type="dxa"/>
            <w:vAlign w:val="bottom"/>
            <w:shd w:val="clear" w:color="auto" w:fill="CCECFF"/>
          </w:tcPr>
          <w:p>
            <w:pPr>
              <w:spacing w:after="0"/>
              <w:rPr>
                <w:sz w:val="20"/>
                <w:szCs w:val="20"/>
                <w:color w:val="auto"/>
              </w:rPr>
            </w:pPr>
            <w:r>
              <w:rPr>
                <w:rFonts w:ascii="Arial" w:cs="Arial" w:eastAsia="Arial" w:hAnsi="Arial"/>
                <w:sz w:val="18"/>
                <w:szCs w:val="18"/>
                <w:color w:val="auto"/>
              </w:rPr>
              <w:t>Deductions</w:t>
            </w:r>
          </w:p>
        </w:tc>
        <w:tc>
          <w:tcPr>
            <w:tcW w:w="12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8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(3,447)</w:t>
            </w:r>
          </w:p>
        </w:tc>
        <w:tc>
          <w:tcPr>
            <w:tcW w:w="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(14,767)</w:t>
            </w:r>
          </w:p>
        </w:tc>
      </w:tr>
      <w:tr>
        <w:trPr>
          <w:trHeight w:val="223"/>
        </w:trPr>
        <w:tc>
          <w:tcPr>
            <w:tcW w:w="5460" w:type="dxa"/>
            <w:vAlign w:val="bottom"/>
            <w:gridSpan w:val="4"/>
          </w:tcPr>
          <w:p>
            <w:pPr>
              <w:ind w:left="620"/>
              <w:spacing w:after="0"/>
              <w:rPr>
                <w:sz w:val="20"/>
                <w:szCs w:val="20"/>
                <w:color w:val="auto"/>
              </w:rPr>
            </w:pPr>
            <w:r>
              <w:rPr>
                <w:rFonts w:ascii="Arial" w:cs="Arial" w:eastAsia="Arial" w:hAnsi="Arial"/>
                <w:sz w:val="18"/>
                <w:szCs w:val="18"/>
                <w:color w:val="auto"/>
              </w:rPr>
              <w:t>Balance of contract assets (liabilities) at end of period</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Company’s largest accounts receivable balance accounted for 93% and 88% of the total accounts receivable balance as of September 30, 2019 and December 31, 2018, respectively, and was due from a collaboration partner.</w:t>
      </w:r>
    </w:p>
    <w:p>
      <w:pPr>
        <w:spacing w:after="0" w:line="180"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Research Agreements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Kyowa Kirin Collaboration and License Agreement</w:t>
      </w:r>
    </w:p>
    <w:p>
      <w:pPr>
        <w:spacing w:after="0" w:line="94" w:lineRule="exact"/>
        <w:rPr>
          <w:sz w:val="20"/>
          <w:szCs w:val="20"/>
          <w:color w:val="auto"/>
        </w:rPr>
      </w:pPr>
    </w:p>
    <w:p>
      <w:pPr>
        <w:ind w:right="20" w:firstLine="571"/>
        <w:spacing w:after="0" w:line="268" w:lineRule="auto"/>
        <w:rPr>
          <w:sz w:val="20"/>
          <w:szCs w:val="20"/>
          <w:color w:val="auto"/>
        </w:rPr>
      </w:pPr>
      <w:r>
        <w:rPr>
          <w:rFonts w:ascii="Arial" w:cs="Arial" w:eastAsia="Arial" w:hAnsi="Arial"/>
          <w:sz w:val="17"/>
          <w:szCs w:val="17"/>
          <w:color w:val="auto"/>
        </w:rPr>
        <w:t>In August 2013, the Company entered into a collaboration and license agreement with Kyowa Kirin Co., Ltd. (KKC or formerly Kyowa Hakko Kirin Co., Ltd. or KHK). Under the terms of this collaboration and license agreement, as amended, the Company and KKC will collaborate on the development and commercialization of Crysvita in the field of orphan diseases in the United States and Canada, or the profit share territory, and in the European Union and Switzerland, or the European territory, and the Company will have the right to develop and commercialize such products in the field of orphan diseases in Mexico and Central and South America, or Latin America. In the field of orphan diseases, and except for ongoing studies being conducted by KKC, the Company will be the lead party for development activities in the profit share territory and in the European territory until the applicable transition dates; the Company will also be the lead party for core development activities conducted in Japan and Korea, for which the core development plan is limited to clinical trials mutually agreed to by the Company and KKC. The Company will share the costs for development activities in the profit share territory and the European territory conducted pursuant to the development plan before the applicable transition date equally with KKC, and KKC shall be responsible for 100% of the costs for development activities in Japan and Korea. On the applicable transition dates in the profit share territory and the European territory, KKC will become the lead party and be responsible for the costs of the development activities. However, the Company will continue to share the costs of the studies commenced prior to the applicable transition date equally with KKC. Crysvita was approved in the European Union in February 2018 and was approved by the FDA in April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ind w:right="880" w:firstLine="571"/>
        <w:spacing w:after="0" w:line="277" w:lineRule="auto"/>
        <w:rPr>
          <w:sz w:val="20"/>
          <w:szCs w:val="20"/>
          <w:color w:val="auto"/>
        </w:rPr>
      </w:pPr>
      <w:r>
        <w:rPr>
          <w:rFonts w:ascii="Arial" w:cs="Arial" w:eastAsia="Arial" w:hAnsi="Arial"/>
          <w:sz w:val="18"/>
          <w:szCs w:val="18"/>
          <w:color w:val="auto"/>
        </w:rPr>
        <w:t>The collaboration and license agreements are within the scope of ASC 808, which provides guidance on the presentation and disclosure of collaborative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 related to sales in profit share territory</w:t>
      </w:r>
    </w:p>
    <w:p>
      <w:pPr>
        <w:spacing w:after="0" w:line="7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Company and KKC share commercial responsibilities and profits in the profit share territory until the applicable transition date. Under the collaboration agreement, KKC will manufacture and supply Crysvita for commercial use in the profit share territory. The remaining profit or loss after supply costs from commercializing products in the profit-share territory, until the applicable transition date, are shared between the Company and KKC on a 50/50 basis. Thereafter, the Company will be entitled to receive a tiered double-digit revenue share in the mid-to-high 20% range.</w:t>
      </w:r>
    </w:p>
    <w:p>
      <w:pPr>
        <w:spacing w:after="0" w:line="23"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is considered the agent in the profit share territory as KKC controls the product before transfer to the customers and has the ability to direct the use of and obtain substantially all of the remaining benefits from the product. The Company recognizes a pro-rata share of collaboration revenue, net of supply costs, in the period the sale occurs. The Company concluded that its portion of KKC’s sales in the profit share territory is analogous to a royalty and therefore recorded its share as collaboration revenue, similar to a royalty.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 related to sales in European territory</w:t>
      </w:r>
    </w:p>
    <w:p>
      <w:pPr>
        <w:spacing w:after="0" w:line="90"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KKC has the commercial responsibility for Crysvita in the European territory. The Company receives a royalty of up to 10% on net sales in the European territory, which is recognized as the underlying sales occur.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of collaboration revenue related to Crysvita was as follows (in thousands):</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0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C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Company's share of collaboration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revenue in profit share territory</w:t>
            </w:r>
          </w:p>
        </w:tc>
        <w:tc>
          <w:tcPr>
            <w:tcW w:w="360" w:type="dxa"/>
            <w:vAlign w:val="bottom"/>
            <w:shd w:val="clear" w:color="auto" w:fill="CCEEFF"/>
          </w:tcPr>
          <w:p>
            <w:pPr>
              <w:spacing w:after="0"/>
              <w:rPr>
                <w:sz w:val="20"/>
                <w:szCs w:val="20"/>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19,534</w:t>
            </w:r>
          </w:p>
        </w:tc>
        <w:tc>
          <w:tcPr>
            <w:tcW w:w="460" w:type="dxa"/>
            <w:vAlign w:val="bottom"/>
            <w:gridSpan w:val="2"/>
            <w:shd w:val="clear" w:color="auto" w:fill="CCEC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4,364</w:t>
            </w:r>
          </w:p>
        </w:tc>
        <w:tc>
          <w:tcPr>
            <w:tcW w:w="360" w:type="dxa"/>
            <w:vAlign w:val="bottom"/>
            <w:gridSpan w:val="2"/>
            <w:shd w:val="clear" w:color="auto" w:fill="CCEC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48,721</w:t>
            </w:r>
          </w:p>
        </w:tc>
        <w:tc>
          <w:tcPr>
            <w:tcW w:w="460" w:type="dxa"/>
            <w:vAlign w:val="bottom"/>
            <w:gridSpan w:val="2"/>
            <w:shd w:val="clear" w:color="auto" w:fill="CCEC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5,429</w:t>
            </w:r>
          </w:p>
        </w:tc>
        <w:tc>
          <w:tcPr>
            <w:tcW w:w="80" w:type="dxa"/>
            <w:vAlign w:val="bottom"/>
            <w:shd w:val="clear" w:color="auto" w:fill="CCEC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Royalty revenue in European territory</w:t>
            </w:r>
          </w:p>
        </w:tc>
        <w:tc>
          <w:tcPr>
            <w:tcW w:w="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20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20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80" w:type="dxa"/>
            <w:vAlign w:val="bottom"/>
            <w:tcBorders>
              <w:bottom w:val="single" w:sz="8" w:color="CCEC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21,484</w:t>
            </w:r>
          </w:p>
        </w:tc>
        <w:tc>
          <w:tcPr>
            <w:tcW w:w="20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5,401</w:t>
            </w:r>
          </w:p>
        </w:tc>
        <w:tc>
          <w:tcPr>
            <w:tcW w:w="20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54,617</w:t>
            </w:r>
          </w:p>
        </w:tc>
        <w:tc>
          <w:tcPr>
            <w:tcW w:w="20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6,993</w:t>
            </w:r>
          </w:p>
        </w:tc>
        <w:tc>
          <w:tcPr>
            <w:tcW w:w="8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related to sales in other territories</w:t>
      </w:r>
    </w:p>
    <w:p>
      <w:pPr>
        <w:spacing w:after="0" w:line="90" w:lineRule="exact"/>
        <w:rPr>
          <w:sz w:val="20"/>
          <w:szCs w:val="20"/>
          <w:color w:val="auto"/>
        </w:rPr>
      </w:pPr>
    </w:p>
    <w:p>
      <w:pPr>
        <w:ind w:right="100" w:firstLine="588"/>
        <w:spacing w:after="0" w:line="276" w:lineRule="auto"/>
        <w:rPr>
          <w:sz w:val="20"/>
          <w:szCs w:val="20"/>
          <w:color w:val="auto"/>
        </w:rPr>
      </w:pPr>
      <w:r>
        <w:rPr>
          <w:rFonts w:ascii="Arial" w:cs="Arial" w:eastAsia="Arial" w:hAnsi="Arial"/>
          <w:sz w:val="17"/>
          <w:szCs w:val="17"/>
          <w:color w:val="auto"/>
        </w:rPr>
        <w:t>The Company is responsible for commercializing Crysvita in Latin America and Turkey. The Company is considered the principal in the arrangement as the Company controls the product before it is transferred to the customer. Accordingly, the Company records revenue on a gross basis related to the sale of Crysvita once the product is delivered and the risk and title of the product is transferred to the distributor. For the three and nine months ended September 30, 2019, the Company recorded product sales of $1.1 million and $2.7 million, respectively, net of estimated revenue reserves. The Company recorded $0.3 million of product sales for the three and nine months ended September 30, 2018.</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Under the collaboration agreement, KKC manufactures and supplies Crysvita, which is purchased by the Company for sales in the above territories.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pays to KKC a low single-digit royalty on net sales in Latin America.</w:t>
      </w:r>
    </w:p>
    <w:p>
      <w:pPr>
        <w:spacing w:after="0" w:line="62" w:lineRule="exact"/>
        <w:rPr>
          <w:sz w:val="20"/>
          <w:szCs w:val="20"/>
          <w:color w:val="auto"/>
        </w:rPr>
      </w:pPr>
    </w:p>
    <w:p>
      <w:pPr>
        <w:ind w:right="300" w:firstLine="588"/>
        <w:spacing w:after="0" w:line="277" w:lineRule="auto"/>
        <w:rPr>
          <w:sz w:val="20"/>
          <w:szCs w:val="20"/>
          <w:color w:val="auto"/>
        </w:rPr>
      </w:pPr>
      <w:r>
        <w:rPr>
          <w:rFonts w:ascii="Arial" w:cs="Arial" w:eastAsia="Arial" w:hAnsi="Arial"/>
          <w:sz w:val="18"/>
          <w:szCs w:val="18"/>
          <w:color w:val="auto"/>
        </w:rPr>
        <w:t>One of the wholly-owned subsidiaries of KKC has the option to assume responsibility for commercialization efforts in Turkey from the Company, after a certain minimum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sharing payments</w:t>
      </w:r>
    </w:p>
    <w:p>
      <w:pPr>
        <w:spacing w:after="0" w:line="77" w:lineRule="exact"/>
        <w:rPr>
          <w:sz w:val="20"/>
          <w:szCs w:val="20"/>
          <w:color w:val="auto"/>
        </w:rPr>
      </w:pPr>
    </w:p>
    <w:p>
      <w:pPr>
        <w:ind w:right="260" w:firstLine="588"/>
        <w:spacing w:after="0" w:line="277" w:lineRule="auto"/>
        <w:rPr>
          <w:sz w:val="20"/>
          <w:szCs w:val="20"/>
          <w:color w:val="auto"/>
        </w:rPr>
      </w:pPr>
      <w:r>
        <w:rPr>
          <w:rFonts w:ascii="Arial" w:cs="Arial" w:eastAsia="Arial" w:hAnsi="Arial"/>
          <w:sz w:val="18"/>
          <w:szCs w:val="18"/>
          <w:color w:val="auto"/>
        </w:rPr>
        <w:t>Under the collaboration agreement, KKC and the Company share certain development and commercialization costs. As a result, the Company was reimbursed for these costs and operating expenses were reduced as follows (in thousands):</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4"/>
              </w:rPr>
              <w:t>Three Months Ended September 30,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20" w:type="dxa"/>
            <w:vAlign w:val="bottom"/>
          </w:tcPr>
          <w:p>
            <w:pPr>
              <w:spacing w:after="0"/>
              <w:rPr>
                <w:sz w:val="13"/>
                <w:szCs w:val="13"/>
                <w:color w:val="auto"/>
              </w:rPr>
            </w:pPr>
          </w:p>
        </w:tc>
        <w:tc>
          <w:tcPr>
            <w:tcW w:w="35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25,268</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10,718</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36,127</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receivable</w:t>
      </w:r>
    </w:p>
    <w:p>
      <w:pPr>
        <w:spacing w:after="0" w:line="90"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Company had accounts receivable from KKC in the amount of $21.5 million and $11.2 million, from profit share revenue and royalties, and other receivables recorded in prepaid and other current assets of $15.9 million and $11.1 million from commercial and development activity reimbursements, as of September 30, 2019 and December 31, 2018,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HealthCare LLC</w:t>
      </w:r>
    </w:p>
    <w:p>
      <w:pPr>
        <w:spacing w:after="0" w:line="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has an agreement with Bayer Healthcare LLC (Bayer) to research, develop and commercialize AAV gene therapy products for treatment of hemophilia A (DTX 201). Under this agreement, Bayer has been granted an exclusive license to develop and commercialize one or more novel gene therapies for hemophilia A. The agreement requires that Bayer use commercially reasonable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16" w:name="page17"/>
    <w:bookmarkEnd w:id="16"/>
    <w:p>
      <w:pPr>
        <w:ind w:right="440"/>
        <w:spacing w:after="0" w:line="277" w:lineRule="auto"/>
        <w:rPr>
          <w:sz w:val="20"/>
          <w:szCs w:val="20"/>
          <w:color w:val="auto"/>
        </w:rPr>
      </w:pPr>
      <w:r>
        <w:rPr>
          <w:rFonts w:ascii="Arial" w:cs="Arial" w:eastAsia="Arial" w:hAnsi="Arial"/>
          <w:sz w:val="18"/>
          <w:szCs w:val="18"/>
          <w:color w:val="auto"/>
        </w:rPr>
        <w:t>efforts to conduct and fund a proof-of-concept (POC) clinical trial and any subsequent clinical trials and commercialization of gene therapy products for treatment of hemophilia A. Bayer will have worldwide rights to commercialize the potential future product.</w:t>
      </w:r>
    </w:p>
    <w:p>
      <w:pPr>
        <w:spacing w:after="0" w:line="35"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Bayer is responsible to fund certain research and development services performed by the Company in the performance of its obligations under the annual research plan and budget. Under the terms of the agreement with Bayer, the Company is eligible to receive development and commercialization milestone payments of up to $232.0 million, as well as, royalty payments ranging in the high single-digit to low double-digit percentages, not exceeding the mid-teens, of net sales of licensed products. The Company achieved the first milestone in December 2017, the second milestone in April 2018, and has received $15.0 million for such milestones to date.</w:t>
      </w:r>
    </w:p>
    <w:p>
      <w:pPr>
        <w:spacing w:after="0" w:line="4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 xml:space="preserve">As of the acquisition date of Dimension Therapeutics, Inc. on November 7, 2017, the Company valued the Bayer contract under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and recorded an intangible asset of $13.5 million. The intangible asset is being amortized to research and development expense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term which is expected to be complete in 2019. The Company recorded research and development expense of a nominal amount and $0.2 million for the three and nine months ended September 30, 2019, respectively, and $2.5 million and $11.3 million for the three and nine months ended September 30, 2018, respectively, for the amortization of the intangible asset.</w:t>
      </w:r>
    </w:p>
    <w:p>
      <w:pPr>
        <w:spacing w:after="0" w:line="40"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Company evaluated the agreement under ASC 606 and recorded a contract liability as of November 7, 2017 of $2.5 million. It was determined that the performance obligations under the agreement include (i) research and development services to be provided over the research term, (ii) a development and commercialization license, and (iii) the Company’s participation in certain committees. It was determined that these performance obligations are not distinct in the context of the contract and therefore are a single performance obligation. The Company calculated the transaction price by including the unconstrained milestones along with the estimated payments for research and development services and recorded $0.1 million and $0.5 million as collaboration and license revenue for the three and nine months ended September 30, 2019, respectively, and $3.6 million and $21.9 million for the three and nine months ended September 30, 2018, respectively, by measuring the progress toward complete satisfaction of the performance obligation using an input measure. The performance obligation under the contract is expected to be substantially complete by end of 2019. As of September 30, 2019 and December 31, 2018, the Company had a nominal amount in contract liability and a $3.0 million contract asset,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w:t>
      </w:r>
    </w:p>
    <w:p>
      <w:pPr>
        <w:spacing w:after="0" w:line="81" w:lineRule="exact"/>
        <w:rPr>
          <w:sz w:val="20"/>
          <w:szCs w:val="20"/>
          <w:color w:val="auto"/>
        </w:rPr>
      </w:pPr>
    </w:p>
    <w:p>
      <w:pPr>
        <w:jc w:val="both"/>
        <w:ind w:firstLine="577"/>
        <w:spacing w:after="0" w:line="297" w:lineRule="auto"/>
        <w:rPr>
          <w:sz w:val="20"/>
          <w:szCs w:val="20"/>
          <w:color w:val="auto"/>
        </w:rPr>
      </w:pPr>
      <w:r>
        <w:rPr>
          <w:rFonts w:ascii="Arial" w:cs="Arial" w:eastAsia="Arial" w:hAnsi="Arial"/>
          <w:sz w:val="16"/>
          <w:szCs w:val="16"/>
          <w:color w:val="auto"/>
        </w:rPr>
        <w:t>The Company has a Research Collaboration and License Agreement with Arcturus to research and develop therapies for select rare diseases. Pursuant to the agreement, the Company incurred a nominal amount and $0.7 million for the three and nine months ended September 30, 2019, respectively, and $0.3 million and $1.2 million for the three and nine months ended September 30, 2018, respectively, in research and development expense for the funding of certain research services received from Arcturus. As of September 30, 2019 and December 31, 2018, the Company has a balance of none and $0.5 million, respectively, in prepaid expenses and other current assets, and a balance of none and $0.4 million, respectively, in accrued liabilities related to Arcturus.</w:t>
      </w:r>
    </w:p>
    <w:p>
      <w:pPr>
        <w:spacing w:after="0" w:line="10" w:lineRule="exact"/>
        <w:rPr>
          <w:sz w:val="20"/>
          <w:szCs w:val="20"/>
          <w:color w:val="auto"/>
        </w:rPr>
      </w:pPr>
    </w:p>
    <w:p>
      <w:pPr>
        <w:jc w:val="both"/>
        <w:ind w:firstLine="577"/>
        <w:spacing w:after="0" w:line="269" w:lineRule="auto"/>
        <w:rPr>
          <w:sz w:val="20"/>
          <w:szCs w:val="20"/>
          <w:color w:val="auto"/>
        </w:rPr>
      </w:pPr>
      <w:r>
        <w:rPr>
          <w:rFonts w:ascii="Arial" w:cs="Arial" w:eastAsia="Arial" w:hAnsi="Arial"/>
          <w:sz w:val="17"/>
          <w:szCs w:val="17"/>
          <w:color w:val="auto"/>
        </w:rPr>
        <w:t>In June 2019, the Company entered into an Equity Purchase Agreement and an amendment to the Research Collaboration and License Agreement to expand the field of use and increase the number of disease targets to include mRNA, DNA and siRNA therapeutics for up to 12 rare diseases. Pursuant to the agreements, the Company paid $6.0 million in cash upfront to Arcturus and purchased 2,400,000 shares of Arcturus’ common stock at a stated value of $10.00 per share, resulting in a total of $30.0 million of consideration paid at the close of the transaction. As a result, the Company received expanded license rights; the Arcturus common stock; an option to purchase an additional 600,000 shares of Arcturus’ common stock at $16.00 per share, which may be exercised up to two years after the agreement effective date, with certain restrictions; in addition to other changes as noted in the agreement. The period for the Company to exercise its option to purchase the additional stock may also be extended under certain circumstances as specified in the Equity Purchase Agreement. The Company is restricted from selling the 2,400,000 shares of common stock for a period of two years from the purchase date. The additional stock, if purchased, are also restricted from sale for a period of time as specified in the agreement. The Company also received the right to nominate one member to the Arcturus Board of Directors as well as one Board observer. Under the amended license agreement, certain early-stage milestone payments are reduced and the total potential milestone payments are increased due to the expanded number of targets. Arcturus is also entitled to reimbursement of related research expenses and royalties on commercial sales.</w:t>
      </w:r>
    </w:p>
    <w:p>
      <w:pPr>
        <w:spacing w:after="0" w:line="45" w:lineRule="exact"/>
        <w:rPr>
          <w:sz w:val="20"/>
          <w:szCs w:val="20"/>
          <w:color w:val="auto"/>
        </w:rPr>
      </w:pPr>
    </w:p>
    <w:p>
      <w:pPr>
        <w:jc w:val="both"/>
        <w:ind w:firstLine="577"/>
        <w:spacing w:after="0" w:line="272" w:lineRule="auto"/>
        <w:rPr>
          <w:sz w:val="20"/>
          <w:szCs w:val="20"/>
          <w:color w:val="auto"/>
        </w:rPr>
      </w:pPr>
      <w:r>
        <w:rPr>
          <w:rFonts w:ascii="Arial" w:cs="Arial" w:eastAsia="Arial" w:hAnsi="Arial"/>
          <w:sz w:val="17"/>
          <w:szCs w:val="17"/>
          <w:color w:val="auto"/>
        </w:rPr>
        <w:t>Immediately after the purchase, the Company held 18.2% of Arcturus’ outstanding common stock, based on Arcturus’ outstanding common stock balance as of the transaction date. The Company recorded the common stock investment at $13.9 million on the transaction date, which was based on the quoted market price on the closing date. As a result of the equity ownership and the right to nominate a board member, it was determined that the Company has significant influence over Arcturus. The Company elected to apply the fair value option to account for the equity investment in Arcturus. The Company also accounts for the option to purchase additional shares of Arcturus common stock at fair value, which was recorded at $0.5 million on the transaction date based on the Black-Scholes option pricing method. The remaining $15.6 million of the total $30.0 million paid as consideration was attributed to the additional license rights obtained and was recorded as in-process research and development expense.</w:t>
      </w:r>
    </w:p>
    <w:p>
      <w:pPr>
        <w:spacing w:after="0" w:line="29"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8"/>
          <w:szCs w:val="18"/>
          <w:color w:val="auto"/>
        </w:rPr>
        <w:t>For the three and nine months ended September 30, 2019, the Company recorded an increase in the fair value of Arcturus common stock of $2.0 million and $10.8 million, respectively, and an increase in fair value of the option to purchase additional shares of Arcturus common stock of $0.2 million and $1.2 million, respectively, in its Condensed Consolidated Statement of Operations.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of September 30, 2019, the fair value of the Company’s investment in Arcturus common stock was $24.6 million based on the quoted market price on that date and the fair value of the Company’s option to purchase additional shares of Arcturus common stock was $1.7 million based on the Black-Scholes option pricing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GeneTx</w:t>
      </w:r>
    </w:p>
    <w:p>
      <w:pPr>
        <w:spacing w:after="0" w:line="81" w:lineRule="exact"/>
        <w:rPr>
          <w:sz w:val="20"/>
          <w:szCs w:val="20"/>
          <w:color w:val="auto"/>
        </w:rPr>
      </w:pPr>
    </w:p>
    <w:p>
      <w:pPr>
        <w:ind w:right="140" w:firstLine="571"/>
        <w:spacing w:after="0" w:line="306" w:lineRule="auto"/>
        <w:rPr>
          <w:sz w:val="20"/>
          <w:szCs w:val="20"/>
          <w:color w:val="auto"/>
        </w:rPr>
      </w:pPr>
      <w:r>
        <w:rPr>
          <w:rFonts w:ascii="Arial" w:cs="Arial" w:eastAsia="Arial" w:hAnsi="Arial"/>
          <w:sz w:val="17"/>
          <w:szCs w:val="17"/>
          <w:color w:val="auto"/>
        </w:rPr>
        <w:t>In August 2019, the Company entered into a Program Agreement and a Unitholder Option Agreement with GeneTx Biotherapeutics, LLC (GeneTx) to collaborate on the development of GeneTx’s GTX-102, an antisense oligonucleotide (ASO) for the treatment of Angelman syndrome.</w:t>
      </w:r>
    </w:p>
    <w:p>
      <w:pPr>
        <w:spacing w:after="0" w:line="1" w:lineRule="exact"/>
        <w:rPr>
          <w:sz w:val="20"/>
          <w:szCs w:val="20"/>
          <w:color w:val="auto"/>
        </w:rPr>
      </w:pPr>
    </w:p>
    <w:p>
      <w:pPr>
        <w:jc w:val="both"/>
        <w:ind w:firstLine="577"/>
        <w:spacing w:after="0" w:line="255" w:lineRule="auto"/>
        <w:rPr>
          <w:sz w:val="20"/>
          <w:szCs w:val="20"/>
          <w:color w:val="auto"/>
        </w:rPr>
      </w:pPr>
      <w:r>
        <w:rPr>
          <w:rFonts w:ascii="Arial" w:cs="Arial" w:eastAsia="Arial" w:hAnsi="Arial"/>
          <w:sz w:val="18"/>
          <w:szCs w:val="18"/>
          <w:color w:val="auto"/>
        </w:rPr>
        <w:t>Pursuant to the terms of the Unitholder Option Agreement, the Company made an upfront payment of $20.0 million for an exclusive option to acquire GeneTx. This option may be exercised any time prior to 30 days following FDA acceptance of the IND for GTX-102 for an additional $50.0 million in payments. Alternatively, the Company may extend the option period by paying an option extension payment of $25.0 million (option extension premium). In the event the Company exercises the option extension, the Company has a right to acquire GeneTx for a payment of $125.0 million, at any time, until the earlier of 30 months from the first dosing of a patient in a planned Phase 1/2 study (subject to extensions) or 90 days after results are available from that study. This exclusive option to acquire GeneTx can be extended under certain circumstances, by up to four additional three-month periods, by paying an additional extension fee for each three-month period.</w:t>
      </w:r>
    </w:p>
    <w:p>
      <w:pPr>
        <w:spacing w:after="0" w:line="54" w:lineRule="exact"/>
        <w:rPr>
          <w:sz w:val="20"/>
          <w:szCs w:val="20"/>
          <w:color w:val="auto"/>
        </w:rPr>
      </w:pPr>
    </w:p>
    <w:p>
      <w:pPr>
        <w:jc w:val="both"/>
        <w:ind w:firstLine="577"/>
        <w:spacing w:after="0" w:line="272" w:lineRule="auto"/>
        <w:rPr>
          <w:sz w:val="20"/>
          <w:szCs w:val="20"/>
          <w:color w:val="auto"/>
        </w:rPr>
      </w:pPr>
      <w:r>
        <w:rPr>
          <w:rFonts w:ascii="Arial" w:cs="Arial" w:eastAsia="Arial" w:hAnsi="Arial"/>
          <w:sz w:val="17"/>
          <w:szCs w:val="17"/>
          <w:color w:val="auto"/>
        </w:rPr>
        <w:t>During the exclusive option period, GeneTx is responsible for conducting the program based on the development plan agreed between the parties and, subject to the terms in the Program Agreement, has the decision-making authority on all matters in connection with the research, development, manufacturing and regulatory activities with respect to the Program. The Company will provide support, at its discretion, including strategic guidance and clinical expertise. The Company and GeneTx will collaborate on the submission of the IND and management of the Phase 1/2 study in patients with Angelman syndrome. If the Company acquires GeneTx, the Company will then be responsible for all development and commercialization activities from the date of acquisition. The Company would also be required to make payments upon achievement of certain development and commercial milestones, as well as royalties, depending upon the success of the program.</w:t>
      </w:r>
    </w:p>
    <w:p>
      <w:pPr>
        <w:spacing w:after="0" w:line="29"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color w:val="auto"/>
        </w:rPr>
        <w:t>Although GeneTx is a variable interest entity, the Company is not the primary beneficiary as it currently does not have the power to direct the activities that would most significantly impact the economic performance of GeneTx. Prior to product regulatory approval, all consideration paid to GeneTx represents rights to potential future benefits associated with GeneTx’s in-process research and development activities, which have not reached technological feasibility and have no alternative future use. Accordingly, for the three and nine months ended September 30, 2019, the Company recorded the $20.0 million payment as an in-process research and development expense.</w:t>
      </w:r>
    </w:p>
    <w:p>
      <w:pPr>
        <w:spacing w:after="0" w:line="25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94"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2014 Incentive Plan (the 2014 Plan) provides for automatic annual increases in shares available for grant, beginning on January 1, 2015 through January 1, 2024. As of September 30, 2019, there were 2,648,552 shares reserved under the 2014 Plan for the future issuance of equity awards and 2,740,058 shares reserved for the 2014 Employee Stock Purchase Plan.</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the stock-based compensation expense for the periods presented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2"/>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20" w:type="dxa"/>
            <w:vAlign w:val="bottom"/>
          </w:tcPr>
          <w:p>
            <w:pPr>
              <w:spacing w:after="0"/>
              <w:rPr>
                <w:sz w:val="13"/>
                <w:szCs w:val="13"/>
                <w:color w:val="auto"/>
              </w:rPr>
            </w:pPr>
          </w:p>
        </w:tc>
        <w:tc>
          <w:tcPr>
            <w:tcW w:w="39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CFF"/>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CEC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9"/>
                <w:szCs w:val="19"/>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34,749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CEC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8,959</w:t>
            </w:r>
          </w:p>
        </w:tc>
        <w:tc>
          <w:tcPr>
            <w:tcW w:w="20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8,809</w:t>
            </w:r>
          </w:p>
        </w:tc>
        <w:tc>
          <w:tcPr>
            <w:tcW w:w="220" w:type="dxa"/>
            <w:vAlign w:val="bottom"/>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28,040</w:t>
            </w:r>
          </w:p>
        </w:tc>
        <w:tc>
          <w:tcPr>
            <w:tcW w:w="2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24,278</w:t>
            </w:r>
          </w:p>
        </w:tc>
        <w:tc>
          <w:tcPr>
            <w:tcW w:w="80" w:type="dxa"/>
            <w:vAlign w:val="bottom"/>
            <w:shd w:val="clear" w:color="auto" w:fill="CCEC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8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Basic net loss per share has been computed by dividing the net loss by the weighted-average number of shares of common stock outstanding during the period. Diluted net loss per share is calculated by dividing net loss by the weighted-average number of shares of common stock and potential dilutive securities outstanding during the period.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18" w:name="page19"/>
    <w:bookmarkEnd w:id="18"/>
    <w:p>
      <w:pPr>
        <w:ind w:right="460" w:firstLine="518"/>
        <w:spacing w:after="0" w:line="277" w:lineRule="auto"/>
        <w:rPr>
          <w:sz w:val="20"/>
          <w:szCs w:val="20"/>
          <w:color w:val="auto"/>
        </w:rPr>
      </w:pPr>
      <w:r>
        <w:rPr>
          <w:rFonts w:ascii="Arial" w:cs="Arial" w:eastAsia="Arial" w:hAnsi="Arial"/>
          <w:sz w:val="18"/>
          <w:szCs w:val="18"/>
          <w:color w:val="auto"/>
        </w:rPr>
        <w:t>The following weighted-average outstanding common stock equivalents were excluded from the computation of diluted net loss per share for the periods presented because including them would have been antidilutive:</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Three Months Ended September</w:t>
            </w:r>
          </w:p>
        </w:tc>
        <w:tc>
          <w:tcPr>
            <w:tcW w:w="23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30,</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98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top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Options to purchase common stock and restricted</w:t>
            </w:r>
          </w:p>
        </w:tc>
        <w:tc>
          <w:tcPr>
            <w:tcW w:w="980" w:type="dxa"/>
            <w:vAlign w:val="bottom"/>
            <w:tcBorders>
              <w:top w:val="single" w:sz="8" w:color="auto"/>
            </w:tcBorders>
            <w:shd w:val="clear" w:color="auto" w:fill="CCECFF"/>
          </w:tcPr>
          <w:p>
            <w:pPr>
              <w:spacing w:after="0"/>
              <w:rPr>
                <w:sz w:val="18"/>
                <w:szCs w:val="18"/>
                <w:color w:val="auto"/>
              </w:rPr>
            </w:pPr>
          </w:p>
        </w:tc>
        <w:tc>
          <w:tcPr>
            <w:tcW w:w="20" w:type="dxa"/>
            <w:vAlign w:val="bottom"/>
            <w:tcBorders>
              <w:top w:val="single" w:sz="8" w:color="auto"/>
            </w:tcBorders>
            <w:shd w:val="clear" w:color="auto" w:fill="CCECFF"/>
          </w:tcPr>
          <w:p>
            <w:pPr>
              <w:spacing w:after="0"/>
              <w:rPr>
                <w:sz w:val="18"/>
                <w:szCs w:val="18"/>
                <w:color w:val="auto"/>
              </w:rPr>
            </w:pPr>
          </w:p>
        </w:tc>
        <w:tc>
          <w:tcPr>
            <w:tcW w:w="220" w:type="dxa"/>
            <w:vAlign w:val="bottom"/>
            <w:tcBorders>
              <w:top w:val="single" w:sz="8" w:color="CCECFF"/>
            </w:tcBorders>
            <w:shd w:val="clear" w:color="auto" w:fill="CCECFF"/>
          </w:tcPr>
          <w:p>
            <w:pPr>
              <w:spacing w:after="0"/>
              <w:rPr>
                <w:sz w:val="18"/>
                <w:szCs w:val="18"/>
                <w:color w:val="auto"/>
              </w:rPr>
            </w:pPr>
          </w:p>
        </w:tc>
        <w:tc>
          <w:tcPr>
            <w:tcW w:w="980" w:type="dxa"/>
            <w:vAlign w:val="bottom"/>
            <w:tcBorders>
              <w:top w:val="single" w:sz="8" w:color="auto"/>
            </w:tcBorders>
            <w:shd w:val="clear" w:color="auto" w:fill="CCECFF"/>
          </w:tcPr>
          <w:p>
            <w:pPr>
              <w:spacing w:after="0"/>
              <w:rPr>
                <w:sz w:val="18"/>
                <w:szCs w:val="18"/>
                <w:color w:val="auto"/>
              </w:rPr>
            </w:pPr>
          </w:p>
        </w:tc>
        <w:tc>
          <w:tcPr>
            <w:tcW w:w="220" w:type="dxa"/>
            <w:vAlign w:val="bottom"/>
            <w:tcBorders>
              <w:top w:val="single" w:sz="8" w:color="CCECFF"/>
            </w:tcBorders>
            <w:shd w:val="clear" w:color="auto" w:fill="CCECFF"/>
          </w:tcPr>
          <w:p>
            <w:pPr>
              <w:spacing w:after="0"/>
              <w:rPr>
                <w:sz w:val="18"/>
                <w:szCs w:val="18"/>
                <w:color w:val="auto"/>
              </w:rPr>
            </w:pPr>
          </w:p>
        </w:tc>
        <w:tc>
          <w:tcPr>
            <w:tcW w:w="1000" w:type="dxa"/>
            <w:vAlign w:val="bottom"/>
            <w:tcBorders>
              <w:top w:val="single" w:sz="8" w:color="auto"/>
            </w:tcBorders>
            <w:shd w:val="clear" w:color="auto" w:fill="CCECFF"/>
          </w:tcPr>
          <w:p>
            <w:pPr>
              <w:spacing w:after="0"/>
              <w:rPr>
                <w:sz w:val="18"/>
                <w:szCs w:val="18"/>
                <w:color w:val="auto"/>
              </w:rPr>
            </w:pPr>
          </w:p>
        </w:tc>
        <w:tc>
          <w:tcPr>
            <w:tcW w:w="220" w:type="dxa"/>
            <w:vAlign w:val="bottom"/>
            <w:tcBorders>
              <w:top w:val="single" w:sz="8" w:color="CCECFF"/>
            </w:tcBorders>
            <w:shd w:val="clear" w:color="auto" w:fill="CCECFF"/>
          </w:tcPr>
          <w:p>
            <w:pPr>
              <w:spacing w:after="0"/>
              <w:rPr>
                <w:sz w:val="18"/>
                <w:szCs w:val="18"/>
                <w:color w:val="auto"/>
              </w:rPr>
            </w:pPr>
          </w:p>
        </w:tc>
        <w:tc>
          <w:tcPr>
            <w:tcW w:w="1000" w:type="dxa"/>
            <w:vAlign w:val="bottom"/>
            <w:tcBorders>
              <w:top w:val="single" w:sz="8" w:color="auto"/>
            </w:tcBorders>
            <w:shd w:val="clear" w:color="auto" w:fill="CCECFF"/>
          </w:tcPr>
          <w:p>
            <w:pPr>
              <w:spacing w:after="0"/>
              <w:rPr>
                <w:sz w:val="18"/>
                <w:szCs w:val="18"/>
                <w:color w:val="auto"/>
              </w:rPr>
            </w:pPr>
          </w:p>
        </w:tc>
        <w:tc>
          <w:tcPr>
            <w:tcW w:w="80" w:type="dxa"/>
            <w:vAlign w:val="bottom"/>
            <w:tcBorders>
              <w:top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CFF"/>
          </w:tcPr>
          <w:p>
            <w:pPr>
              <w:ind w:left="160"/>
              <w:spacing w:after="0"/>
              <w:rPr>
                <w:sz w:val="20"/>
                <w:szCs w:val="20"/>
                <w:color w:val="auto"/>
              </w:rPr>
            </w:pPr>
            <w:r>
              <w:rPr>
                <w:rFonts w:ascii="Arial" w:cs="Arial" w:eastAsia="Arial" w:hAnsi="Arial"/>
                <w:sz w:val="18"/>
                <w:szCs w:val="18"/>
                <w:color w:val="auto"/>
              </w:rPr>
              <w:t>stock units</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8,155,406</w:t>
            </w:r>
          </w:p>
        </w:tc>
        <w:tc>
          <w:tcPr>
            <w:tcW w:w="122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7,242,989</w:t>
            </w:r>
          </w:p>
        </w:tc>
        <w:tc>
          <w:tcPr>
            <w:tcW w:w="220" w:type="dxa"/>
            <w:vAlign w:val="bottom"/>
            <w:shd w:val="clear" w:color="auto" w:fill="CCECFF"/>
          </w:tcPr>
          <w:p>
            <w:pPr>
              <w:spacing w:after="0"/>
              <w:rPr>
                <w:sz w:val="20"/>
                <w:szCs w:val="20"/>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7,936,664</w:t>
            </w:r>
          </w:p>
        </w:tc>
        <w:tc>
          <w:tcPr>
            <w:tcW w:w="220" w:type="dxa"/>
            <w:vAlign w:val="bottom"/>
            <w:shd w:val="clear" w:color="auto" w:fill="CCECFF"/>
          </w:tcPr>
          <w:p>
            <w:pPr>
              <w:spacing w:after="0"/>
              <w:rPr>
                <w:sz w:val="20"/>
                <w:szCs w:val="20"/>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7,396,423</w:t>
            </w: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980" w:type="dxa"/>
            <w:vAlign w:val="bottom"/>
          </w:tcPr>
          <w:p>
            <w:pPr>
              <w:jc w:val="right"/>
              <w:spacing w:after="0"/>
              <w:rPr>
                <w:sz w:val="20"/>
                <w:szCs w:val="20"/>
                <w:color w:val="auto"/>
              </w:rPr>
            </w:pPr>
            <w:r>
              <w:rPr>
                <w:rFonts w:ascii="Arial" w:cs="Arial" w:eastAsia="Arial" w:hAnsi="Arial"/>
                <w:sz w:val="18"/>
                <w:szCs w:val="18"/>
                <w:color w:val="auto"/>
              </w:rPr>
              <w:t>33,094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31,285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18,547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CECFF"/>
          </w:tcPr>
          <w:p>
            <w:pPr>
              <w:spacing w:after="0"/>
              <w:rPr>
                <w:sz w:val="20"/>
                <w:szCs w:val="20"/>
                <w:color w:val="auto"/>
              </w:rPr>
            </w:pPr>
            <w:r>
              <w:rPr>
                <w:rFonts w:ascii="Arial" w:cs="Arial" w:eastAsia="Arial" w:hAnsi="Arial"/>
                <w:sz w:val="18"/>
                <w:szCs w:val="18"/>
                <w:color w:val="auto"/>
              </w:rPr>
              <w:t>Common stock warrants</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149,700</w:t>
            </w:r>
          </w:p>
        </w:tc>
        <w:tc>
          <w:tcPr>
            <w:tcW w:w="122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149,700</w:t>
            </w:r>
          </w:p>
        </w:tc>
        <w:tc>
          <w:tcPr>
            <w:tcW w:w="22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149,700</w:t>
            </w:r>
          </w:p>
        </w:tc>
        <w:tc>
          <w:tcPr>
            <w:tcW w:w="22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149,700</w:t>
            </w:r>
          </w:p>
        </w:tc>
        <w:tc>
          <w:tcPr>
            <w:tcW w:w="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8,338,200</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7,423,974</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8,104,911</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7,563,656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Equity Transactions</w:t>
      </w:r>
    </w:p>
    <w:p>
      <w:pPr>
        <w:spacing w:after="0" w:line="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July 2017, the Company entered into an At-The-Market, or ATM, sales agreement with Cowen and Company, LLC (Cowen), whereby the Company can sell up to $150.0 million in aggregate proceeds of common stock from time to time, through with Cowen as its sales agent. During the three and nine months ended September 30, 2019, the Company sold none and 468,685 shares of common stock, respectively, resulting in net proceeds of none and $24.8 million, respectively, after commissions and other offering costs. During the three and nine months ended September 30, 2018, the Company sold 205,202 and 445,619 shares of common stock, respectively, resulting in net proceeds of approximately $15.9 million and $27.6 million, respectively, after commissions and other offering costs.</w:t>
      </w:r>
    </w:p>
    <w:p>
      <w:pPr>
        <w:spacing w:after="0" w:line="58"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In February 2019, the Company completed an underwritten public offering in which 5,833,333 shares of common stock were sold, which included 760,869 shares purchased by the underwriters pursuant to an option granted to them in connection with the offering, at a public offering price of $60.00 per share. The total proceeds that the Company received from the offering were approximately $330.4 million, net of underwriting discounts and commissions.</w:t>
      </w:r>
    </w:p>
    <w:p>
      <w:pPr>
        <w:spacing w:after="0" w:line="143"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8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Total accumulated other comprehensive loss consisted of the following (in thousands):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215"/>
        </w:trPr>
        <w:tc>
          <w:tcPr>
            <w:tcW w:w="4780" w:type="dxa"/>
            <w:vAlign w:val="bottom"/>
            <w:tcBorders>
              <w:bottom w:val="single" w:sz="8" w:color="CCECFF"/>
            </w:tcBorders>
          </w:tcPr>
          <w:p>
            <w:pPr>
              <w:spacing w:after="0"/>
              <w:rPr>
                <w:sz w:val="18"/>
                <w:szCs w:val="18"/>
                <w:color w:val="auto"/>
              </w:rPr>
            </w:pPr>
          </w:p>
        </w:tc>
        <w:tc>
          <w:tcPr>
            <w:tcW w:w="180" w:type="dxa"/>
            <w:vAlign w:val="bottom"/>
            <w:tcBorders>
              <w:bottom w:val="single" w:sz="8" w:color="CCEC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CFF"/>
            </w:tcBorders>
          </w:tcPr>
          <w:p>
            <w:pPr>
              <w:spacing w:after="0"/>
              <w:rPr>
                <w:sz w:val="18"/>
                <w:szCs w:val="18"/>
                <w:color w:val="auto"/>
              </w:rPr>
            </w:pPr>
          </w:p>
        </w:tc>
      </w:tr>
      <w:tr>
        <w:trPr>
          <w:trHeight w:val="223"/>
        </w:trPr>
        <w:tc>
          <w:tcPr>
            <w:tcW w:w="4780" w:type="dxa"/>
            <w:vAlign w:val="bottom"/>
            <w:shd w:val="clear" w:color="auto" w:fill="CCEC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(408)</w:t>
            </w: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CFF"/>
          </w:tcPr>
          <w:p>
            <w:pPr>
              <w:ind w:left="840"/>
              <w:spacing w:after="0"/>
              <w:rPr>
                <w:sz w:val="20"/>
                <w:szCs w:val="20"/>
                <w:color w:val="auto"/>
              </w:rPr>
            </w:pPr>
            <w:r>
              <w:rPr>
                <w:rFonts w:ascii="Arial" w:cs="Arial" w:eastAsia="Arial" w:hAnsi="Arial"/>
                <w:sz w:val="18"/>
                <w:szCs w:val="18"/>
                <w:color w:val="auto"/>
                <w:w w:val="76"/>
              </w:rPr>
              <w:t>(329)</w:t>
            </w:r>
          </w:p>
        </w:tc>
        <w:tc>
          <w:tcPr>
            <w:tcW w:w="80" w:type="dxa"/>
            <w:vAlign w:val="bottom"/>
            <w:shd w:val="clear" w:color="auto" w:fill="CCECFF"/>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Unrealized gain (loss) on securities available-for-sale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w w:val="95"/>
              </w:rPr>
              <w:t>(304)</w:t>
            </w:r>
          </w:p>
        </w:tc>
      </w:tr>
      <w:tr>
        <w:trPr>
          <w:trHeight w:val="223"/>
        </w:trPr>
        <w:tc>
          <w:tcPr>
            <w:tcW w:w="47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auto"/>
              <w:bottom w:val="single" w:sz="8" w:color="auto"/>
            </w:tcBorders>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CFF"/>
          </w:tcPr>
          <w:p>
            <w:pPr>
              <w:ind w:left="840"/>
              <w:spacing w:after="0"/>
              <w:rPr>
                <w:sz w:val="20"/>
                <w:szCs w:val="20"/>
                <w:color w:val="auto"/>
              </w:rPr>
            </w:pPr>
            <w:r>
              <w:rPr>
                <w:rFonts w:ascii="Arial" w:cs="Arial" w:eastAsia="Arial" w:hAnsi="Arial"/>
                <w:sz w:val="18"/>
                <w:szCs w:val="18"/>
                <w:color w:val="auto"/>
                <w:w w:val="76"/>
              </w:rPr>
              <w:t>(633)</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 xml:space="preserve">As described in “Note 2. Summary of Significant Accounting Policies”, the Company adopted </w:t>
      </w:r>
      <w:r>
        <w:rPr>
          <w:rFonts w:ascii="Arial" w:cs="Arial" w:eastAsia="Arial" w:hAnsi="Arial"/>
          <w:sz w:val="18"/>
          <w:szCs w:val="18"/>
          <w:i w:val="1"/>
          <w:iCs w:val="1"/>
          <w:color w:val="auto"/>
        </w:rPr>
        <w:t>Topic 842</w:t>
      </w:r>
      <w:r>
        <w:rPr>
          <w:rFonts w:ascii="Arial" w:cs="Arial" w:eastAsia="Arial" w:hAnsi="Arial"/>
          <w:sz w:val="18"/>
          <w:szCs w:val="18"/>
          <w:color w:val="auto"/>
        </w:rPr>
        <w:t xml:space="preserve"> as of January 1, 2019. Prior period amounts have not been adjusted and continue to be reported in accordance with historic accounting under </w:t>
      </w:r>
      <w:r>
        <w:rPr>
          <w:rFonts w:ascii="Arial" w:cs="Arial" w:eastAsia="Arial" w:hAnsi="Arial"/>
          <w:sz w:val="18"/>
          <w:szCs w:val="18"/>
          <w:i w:val="1"/>
          <w:iCs w:val="1"/>
          <w:color w:val="auto"/>
        </w:rPr>
        <w:t>Topic 840</w:t>
      </w:r>
      <w:r>
        <w:rPr>
          <w:rFonts w:ascii="Arial" w:cs="Arial" w:eastAsia="Arial" w:hAnsi="Arial"/>
          <w:sz w:val="18"/>
          <w:szCs w:val="18"/>
          <w:color w:val="auto"/>
        </w:rPr>
        <w:t>.</w:t>
      </w:r>
    </w:p>
    <w:p>
      <w:pPr>
        <w:spacing w:after="0" w:line="2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leases office space and research, testing and manufacturing laboratory space in various facilities in Novato and Brisbane, California, in Cambridge and Woburn, Massachusetts, and in certain foreign countries, under operating agreements expiring at various dates through 2028. Certain of the leases provide for options by the Company to extend the lease for multiple five-year renewal periods and also provide for annual minimum increases in rent, usually based on a consumer price index or annual minimum increases. None of these optional periods have been considered in the determination of the right-of-use asset or the lease liability for the leases as the Company did not consider it reasonably certain that it would exercise any such options. The Company recognizes lease expense on a straight-line basis over the non-cancelable term of its operating leases. The variable lease expense primarily consists of common area maintenance and other operating costs.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8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223"/>
        </w:trPr>
        <w:tc>
          <w:tcPr>
            <w:tcW w:w="3400" w:type="dxa"/>
            <w:vAlign w:val="bottom"/>
            <w:tcBorders>
              <w:bottom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CFF"/>
            </w:tcBorders>
          </w:tcPr>
          <w:p>
            <w:pPr>
              <w:spacing w:after="0"/>
              <w:rPr>
                <w:sz w:val="19"/>
                <w:szCs w:val="19"/>
                <w:color w:val="auto"/>
              </w:rPr>
            </w:pPr>
          </w:p>
        </w:tc>
      </w:tr>
      <w:tr>
        <w:trPr>
          <w:trHeight w:val="223"/>
        </w:trPr>
        <w:tc>
          <w:tcPr>
            <w:tcW w:w="3400" w:type="dxa"/>
            <w:vAlign w:val="bottom"/>
            <w:shd w:val="clear" w:color="auto" w:fill="CCECFF"/>
          </w:tcPr>
          <w:p>
            <w:pPr>
              <w:spacing w:after="0"/>
              <w:rPr>
                <w:sz w:val="20"/>
                <w:szCs w:val="20"/>
                <w:color w:val="auto"/>
              </w:rPr>
            </w:pPr>
            <w:r>
              <w:rPr>
                <w:rFonts w:ascii="Arial" w:cs="Arial" w:eastAsia="Arial" w:hAnsi="Arial"/>
                <w:sz w:val="18"/>
                <w:szCs w:val="18"/>
                <w:color w:val="auto"/>
              </w:rPr>
              <w:t>Operating lease expense</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2,411</w:t>
            </w:r>
          </w:p>
        </w:tc>
        <w:tc>
          <w:tcPr>
            <w:tcW w:w="60" w:type="dxa"/>
            <w:vAlign w:val="bottom"/>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6,741</w:t>
            </w:r>
          </w:p>
        </w:tc>
        <w:tc>
          <w:tcPr>
            <w:tcW w:w="60" w:type="dxa"/>
            <w:vAlign w:val="bottom"/>
            <w:shd w:val="clear" w:color="auto" w:fill="CCECFF"/>
          </w:tcPr>
          <w:p>
            <w:pPr>
              <w:spacing w:after="0"/>
              <w:rPr>
                <w:sz w:val="19"/>
                <w:szCs w:val="19"/>
                <w:color w:val="auto"/>
              </w:rPr>
            </w:pPr>
          </w:p>
        </w:tc>
      </w:tr>
      <w:tr>
        <w:trPr>
          <w:trHeight w:val="230"/>
        </w:trPr>
        <w:tc>
          <w:tcPr>
            <w:tcW w:w="340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Variable lease expense</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60" w:type="dxa"/>
            <w:vAlign w:val="bottom"/>
            <w:tcBorders>
              <w:bottom w:val="single" w:sz="8" w:color="CCEC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60" w:type="dxa"/>
            <w:vAlign w:val="bottom"/>
            <w:tcBorders>
              <w:bottom w:val="single" w:sz="8" w:color="CCECFF"/>
            </w:tcBorders>
          </w:tcPr>
          <w:p>
            <w:pPr>
              <w:spacing w:after="0"/>
              <w:rPr>
                <w:sz w:val="19"/>
                <w:szCs w:val="19"/>
                <w:color w:val="auto"/>
              </w:rPr>
            </w:pPr>
          </w:p>
        </w:tc>
      </w:tr>
      <w:tr>
        <w:trPr>
          <w:trHeight w:val="223"/>
        </w:trPr>
        <w:tc>
          <w:tcPr>
            <w:tcW w:w="3400" w:type="dxa"/>
            <w:vAlign w:val="bottom"/>
            <w:tcBorders>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Total lease expense</w:t>
            </w: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3,041</w:t>
            </w:r>
          </w:p>
        </w:tc>
        <w:tc>
          <w:tcPr>
            <w:tcW w:w="6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8,692</w:t>
            </w:r>
          </w:p>
        </w:tc>
        <w:tc>
          <w:tcPr>
            <w:tcW w:w="60" w:type="dxa"/>
            <w:vAlign w:val="bottom"/>
            <w:tcBorders>
              <w:bottom w:val="single" w:sz="8" w:color="CCECFF"/>
            </w:tcBorders>
            <w:shd w:val="clear" w:color="auto" w:fill="CCECFF"/>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3" w:lineRule="exact"/>
        <w:rPr>
          <w:sz w:val="20"/>
          <w:szCs w:val="20"/>
          <w:color w:val="auto"/>
        </w:rPr>
      </w:pPr>
    </w:p>
    <w:p>
      <w:pPr>
        <w:ind w:right="160" w:firstLine="518"/>
        <w:spacing w:after="0" w:line="306" w:lineRule="auto"/>
        <w:rPr>
          <w:sz w:val="20"/>
          <w:szCs w:val="20"/>
          <w:color w:val="auto"/>
        </w:rPr>
      </w:pPr>
      <w:r>
        <w:rPr>
          <w:rFonts w:ascii="Arial" w:cs="Arial" w:eastAsia="Arial" w:hAnsi="Arial"/>
          <w:sz w:val="17"/>
          <w:szCs w:val="17"/>
          <w:color w:val="auto"/>
        </w:rPr>
        <w:t>Cash paid for amounts included in the measurement of lease liabilities for the three and nine months ended September 30, 2019 was $2.2 million and $6.5 million, respectively, and was included in net cash provided by operating activities in the Consolidated Statements of Cash Flows.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under non-cancellable leases as of September 30, 2019 were as follows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tbl>
      <w:tblPr>
        <w:tblLayout w:type="fixed"/>
        <w:tblInd w:w="230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Leases</w:t>
            </w:r>
          </w:p>
        </w:tc>
      </w:tr>
      <w:tr>
        <w:trPr>
          <w:trHeight w:val="223"/>
        </w:trPr>
        <w:tc>
          <w:tcPr>
            <w:tcW w:w="5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2019 (remaining)</w:t>
            </w:r>
          </w:p>
        </w:tc>
        <w:tc>
          <w:tcPr>
            <w:tcW w:w="360" w:type="dxa"/>
            <w:vAlign w:val="bottom"/>
            <w:tcBorders>
              <w:top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2,520</w:t>
            </w:r>
          </w:p>
        </w:tc>
        <w:tc>
          <w:tcPr>
            <w:tcW w:w="80" w:type="dxa"/>
            <w:vAlign w:val="bottom"/>
            <w:tcBorders>
              <w:top w:val="single" w:sz="8" w:color="CCECFF"/>
            </w:tcBorders>
            <w:shd w:val="clear" w:color="auto" w:fill="CCECFF"/>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9,639</w:t>
            </w:r>
          </w:p>
        </w:tc>
        <w:tc>
          <w:tcPr>
            <w:tcW w:w="80" w:type="dxa"/>
            <w:vAlign w:val="bottom"/>
          </w:tcPr>
          <w:p>
            <w:pPr>
              <w:spacing w:after="0"/>
              <w:rPr>
                <w:sz w:val="19"/>
                <w:szCs w:val="19"/>
                <w:color w:val="auto"/>
              </w:rPr>
            </w:pPr>
          </w:p>
        </w:tc>
      </w:tr>
      <w:tr>
        <w:trPr>
          <w:trHeight w:val="230"/>
        </w:trPr>
        <w:tc>
          <w:tcPr>
            <w:tcW w:w="5040" w:type="dxa"/>
            <w:vAlign w:val="bottom"/>
            <w:shd w:val="clear" w:color="auto" w:fill="CCEC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CFF"/>
          </w:tcPr>
          <w:p>
            <w:pPr>
              <w:spacing w:after="0"/>
              <w:rPr>
                <w:sz w:val="19"/>
                <w:szCs w:val="19"/>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7,561</w:t>
            </w:r>
          </w:p>
        </w:tc>
        <w:tc>
          <w:tcPr>
            <w:tcW w:w="80" w:type="dxa"/>
            <w:vAlign w:val="bottom"/>
            <w:shd w:val="clear" w:color="auto" w:fill="CCECFF"/>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7,433</w:t>
            </w:r>
          </w:p>
        </w:tc>
        <w:tc>
          <w:tcPr>
            <w:tcW w:w="80" w:type="dxa"/>
            <w:vAlign w:val="bottom"/>
          </w:tcPr>
          <w:p>
            <w:pPr>
              <w:spacing w:after="0"/>
              <w:rPr>
                <w:sz w:val="19"/>
                <w:szCs w:val="19"/>
                <w:color w:val="auto"/>
              </w:rPr>
            </w:pPr>
          </w:p>
        </w:tc>
      </w:tr>
      <w:tr>
        <w:trPr>
          <w:trHeight w:val="230"/>
        </w:trPr>
        <w:tc>
          <w:tcPr>
            <w:tcW w:w="5040" w:type="dxa"/>
            <w:vAlign w:val="bottom"/>
            <w:shd w:val="clear" w:color="auto" w:fill="CCECFF"/>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CFF"/>
          </w:tcPr>
          <w:p>
            <w:pPr>
              <w:spacing w:after="0"/>
              <w:rPr>
                <w:sz w:val="19"/>
                <w:szCs w:val="19"/>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7,541</w:t>
            </w:r>
          </w:p>
        </w:tc>
        <w:tc>
          <w:tcPr>
            <w:tcW w:w="80" w:type="dxa"/>
            <w:vAlign w:val="bottom"/>
            <w:shd w:val="clear" w:color="auto" w:fill="CCECFF"/>
          </w:tcPr>
          <w:p>
            <w:pPr>
              <w:spacing w:after="0"/>
              <w:rPr>
                <w:sz w:val="19"/>
                <w:szCs w:val="19"/>
                <w:color w:val="auto"/>
              </w:rPr>
            </w:pPr>
          </w:p>
        </w:tc>
      </w:tr>
      <w:tr>
        <w:trPr>
          <w:trHeight w:val="230"/>
        </w:trPr>
        <w:tc>
          <w:tcPr>
            <w:tcW w:w="504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13,153</w:t>
            </w:r>
          </w:p>
        </w:tc>
        <w:tc>
          <w:tcPr>
            <w:tcW w:w="80" w:type="dxa"/>
            <w:vAlign w:val="bottom"/>
            <w:tcBorders>
              <w:bottom w:val="single" w:sz="8" w:color="CCECFF"/>
            </w:tcBorders>
          </w:tcPr>
          <w:p>
            <w:pPr>
              <w:spacing w:after="0"/>
              <w:rPr>
                <w:sz w:val="19"/>
                <w:szCs w:val="19"/>
                <w:color w:val="auto"/>
              </w:rPr>
            </w:pPr>
          </w:p>
        </w:tc>
      </w:tr>
      <w:tr>
        <w:trPr>
          <w:trHeight w:val="223"/>
        </w:trPr>
        <w:tc>
          <w:tcPr>
            <w:tcW w:w="50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Total future lease payments</w:t>
            </w:r>
          </w:p>
        </w:tc>
        <w:tc>
          <w:tcPr>
            <w:tcW w:w="360" w:type="dxa"/>
            <w:vAlign w:val="bottom"/>
            <w:shd w:val="clear" w:color="auto" w:fill="CCECFF"/>
          </w:tcPr>
          <w:p>
            <w:pPr>
              <w:spacing w:after="0"/>
              <w:rPr>
                <w:sz w:val="19"/>
                <w:szCs w:val="19"/>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47,847</w:t>
            </w:r>
          </w:p>
        </w:tc>
        <w:tc>
          <w:tcPr>
            <w:tcW w:w="80" w:type="dxa"/>
            <w:vAlign w:val="bottom"/>
            <w:shd w:val="clear" w:color="auto" w:fill="CCECFF"/>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(9,351)</w:t>
            </w:r>
          </w:p>
        </w:tc>
      </w:tr>
      <w:tr>
        <w:trPr>
          <w:trHeight w:val="223"/>
        </w:trPr>
        <w:tc>
          <w:tcPr>
            <w:tcW w:w="5040" w:type="dxa"/>
            <w:vAlign w:val="bottom"/>
            <w:tcBorders>
              <w:top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Present value of future lease payments</w:t>
            </w:r>
          </w:p>
        </w:tc>
        <w:tc>
          <w:tcPr>
            <w:tcW w:w="360" w:type="dxa"/>
            <w:vAlign w:val="bottom"/>
            <w:tcBorders>
              <w:top w:val="single" w:sz="8" w:color="auto"/>
            </w:tcBorders>
            <w:shd w:val="clear" w:color="auto" w:fill="CCECFF"/>
          </w:tcPr>
          <w:p>
            <w:pPr>
              <w:spacing w:after="0"/>
              <w:rPr>
                <w:sz w:val="19"/>
                <w:szCs w:val="19"/>
                <w:color w:val="auto"/>
              </w:rPr>
            </w:pPr>
          </w:p>
        </w:tc>
        <w:tc>
          <w:tcPr>
            <w:tcW w:w="13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38,496</w:t>
            </w:r>
          </w:p>
        </w:tc>
        <w:tc>
          <w:tcPr>
            <w:tcW w:w="80" w:type="dxa"/>
            <w:vAlign w:val="bottom"/>
            <w:tcBorders>
              <w:top w:val="single" w:sz="8" w:color="CCECFF"/>
            </w:tcBorders>
            <w:shd w:val="clear" w:color="auto" w:fill="CCECFF"/>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Less: Short-term lease liabilities</w:t>
            </w:r>
          </w:p>
        </w:tc>
        <w:tc>
          <w:tcPr>
            <w:tcW w:w="3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(7,290)</w:t>
            </w:r>
          </w:p>
        </w:tc>
      </w:tr>
      <w:tr>
        <w:trPr>
          <w:trHeight w:val="223"/>
        </w:trPr>
        <w:tc>
          <w:tcPr>
            <w:tcW w:w="504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Long-term lease liabilities</w:t>
            </w: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31,206</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3"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Lease liabilities are based on the net present value of the remaining lease payments over the remaining lease term. As of September 30, 2019, the weighted-average remaining lease term was 5.81 years and the weighted-average discount rate used to determine the lease liability was 7.5%.</w:t>
      </w:r>
    </w:p>
    <w:p>
      <w:pPr>
        <w:spacing w:after="0" w:line="18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Gain from Sale of Priority Review Vouchers</w:t>
      </w:r>
    </w:p>
    <w:p>
      <w:pPr>
        <w:spacing w:after="0" w:line="9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January 2018, the Company completed the sale of a Rare Pediatric Disease Priority Review Voucher (PRV) it received in connection with the approval of Mepsevii for $130.0 million. In June 2018, the Company also completed the sale of the PRV it received in connection with the approval of Crysvita for $80.6 million, net, which was shared equally with KKC. As the PRVs did not have a carrying value, the gain recognized was equal to the net proceeds received. The Company recorded its portion of the net proceeds in other income of $40.3 million and $170.3 million for the three and nine months ended September 30, 2018, respectively, as a gain from the sale of the PRVs.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unaudited consolidated financial statements and related notes in Item 1 and with the audited consolidated financial statements and the related notes included in our Annual Report on Form 10-K for the year ended December 31, 2018 (the “Annual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Ultragenyx Pharmaceutical Inc. (we or the Company) is a biopharmaceutical company focused on the identification, acquisition, development, and commercialization of novel products for the treatment of serious rare and ultra-rare genetic diseases. We target diseases for which the unmet medical need is high, the biology for treatment is clear, and for which there are no currently approved therapies. Our strategy, which is predicated upon time- and cost-efficient drug development, allows us to pursue multiple programs in parallel with the goal of delivering safe and effective therapies to patients with the utmost urgency.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Therapies and Clinical Product Candidates</w:t>
      </w:r>
    </w:p>
    <w:p>
      <w:pPr>
        <w:spacing w:after="0" w:line="94"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Our current approved therapies and clinical-stage pipeline consist of three product categories: biologics, small molecules, and gene therapy product candidates.</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biologic products include approved therapies Crysvita® (burosumab) and Mepsevii® (vestronidase alfa):</w:t>
      </w:r>
    </w:p>
    <w:p>
      <w:pPr>
        <w:spacing w:after="0" w:line="77" w:lineRule="exact"/>
        <w:rPr>
          <w:sz w:val="20"/>
          <w:szCs w:val="20"/>
          <w:color w:val="auto"/>
        </w:rPr>
      </w:pPr>
    </w:p>
    <w:p>
      <w:pPr>
        <w:ind w:left="760" w:hanging="374"/>
        <w:spacing w:after="0" w:line="254"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Crysvita is an antibody targeting fibroblast growth factor 23, or FGF23, developed for the treatment of X-linked hypophosphatemia, or XLH, a rare, hereditary, progressive and lifelong musculoskeletal disorder characterized by renal phosphate wasting caused by excess FGF23 production. Crysvita is approved in the United States for the treatment of XLH in adult and pediatric patients six months of age and older, and in Canada for the treatment of XLH in adult and pediatric patients one year of age and older. In the European Union, or EU, Crysvita is conditionally approved for the treatment of XLH with radiographic evidence of bone disease in children one year of age and older and adolescents with growing skeletons. A filing to expand the label to include adults with XLH is also planned by our partner, Kyowa Kirin, in the EU. In Brazil, Crysvita is approved for treatment of XLH in adult and pediatric patients one year of age and older. We have submitted regulatory filings in various other Latin American countries.</w:t>
      </w:r>
    </w:p>
    <w:p>
      <w:pPr>
        <w:spacing w:after="0" w:line="43" w:lineRule="exact"/>
        <w:rPr>
          <w:rFonts w:ascii="Arial" w:cs="Arial" w:eastAsia="Arial" w:hAnsi="Arial"/>
          <w:sz w:val="18"/>
          <w:szCs w:val="18"/>
          <w:color w:val="auto"/>
        </w:rPr>
      </w:pPr>
    </w:p>
    <w:p>
      <w:pPr>
        <w:ind w:left="760" w:right="240"/>
        <w:spacing w:after="0" w:line="277" w:lineRule="auto"/>
        <w:rPr>
          <w:rFonts w:ascii="Arial" w:cs="Arial" w:eastAsia="Arial" w:hAnsi="Arial"/>
          <w:sz w:val="18"/>
          <w:szCs w:val="18"/>
          <w:color w:val="auto"/>
        </w:rPr>
      </w:pPr>
      <w:r>
        <w:rPr>
          <w:rFonts w:ascii="Arial" w:cs="Arial" w:eastAsia="Arial" w:hAnsi="Arial"/>
          <w:sz w:val="18"/>
          <w:szCs w:val="18"/>
          <w:color w:val="auto"/>
        </w:rPr>
        <w:t>We are collaborating with Kyowa Kirin Co., Ltd., or KKC (formerly Kyowa Hakko Kirin Co., Ltd., or KHK), and Kyowa Kirin International, or Kyowa Kirin, a wholly owned subsidiary of KKC, on the development and commercialization of Crysvita globally.</w:t>
      </w:r>
    </w:p>
    <w:p>
      <w:pPr>
        <w:spacing w:after="0" w:line="35" w:lineRule="exact"/>
        <w:rPr>
          <w:rFonts w:ascii="Arial" w:cs="Arial" w:eastAsia="Arial" w:hAnsi="Arial"/>
          <w:sz w:val="18"/>
          <w:szCs w:val="18"/>
          <w:color w:val="auto"/>
        </w:rPr>
      </w:pPr>
    </w:p>
    <w:p>
      <w:pPr>
        <w:ind w:left="760" w:right="20"/>
        <w:spacing w:after="0" w:line="259" w:lineRule="auto"/>
        <w:rPr>
          <w:rFonts w:ascii="Arial" w:cs="Arial" w:eastAsia="Arial" w:hAnsi="Arial"/>
          <w:sz w:val="18"/>
          <w:szCs w:val="18"/>
          <w:color w:val="auto"/>
        </w:rPr>
      </w:pPr>
      <w:r>
        <w:rPr>
          <w:rFonts w:ascii="Arial" w:cs="Arial" w:eastAsia="Arial" w:hAnsi="Arial"/>
          <w:sz w:val="18"/>
          <w:szCs w:val="18"/>
          <w:color w:val="auto"/>
        </w:rPr>
        <w:t>Crysvita is also being developed for the treatment of tumor-induced osteomalacia, or TIO. TIO results from typically benign tumors that produce excess levels of FGF23, which can lead to severe hypophosphatemia, osteomalacia, fractures, fatigue, bone and muscle pain, and muscle weakness. We expect to submit a supplemental Biologics License Application to the U.S. Food and Drug Administration, or FDA, for Crysvita in TIO in the first half of 2020.</w:t>
      </w:r>
    </w:p>
    <w:p>
      <w:pPr>
        <w:spacing w:after="0" w:line="38" w:lineRule="exact"/>
        <w:rPr>
          <w:rFonts w:ascii="Arial" w:cs="Arial" w:eastAsia="Arial" w:hAnsi="Arial"/>
          <w:sz w:val="18"/>
          <w:szCs w:val="18"/>
          <w:color w:val="auto"/>
        </w:rPr>
      </w:pPr>
    </w:p>
    <w:p>
      <w:pPr>
        <w:ind w:left="760" w:hanging="374"/>
        <w:spacing w:after="0" w:line="25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Mepsevii is an intravenous, or IV, enzyme replacement therapy, developed for the treatment of Mucopolysaccharidosis VII, also known as MPS VII or Sly syndrome, a rare lysosomal storage disease that often leads to multi-organ dysfunction, pervasive skeletal disease, and death. Mepsevii is approved in the United States for the treatment of children and adults with MPS VII. In the EU, Mepsevii is approved under exceptional circumstances for the treatment of non-neurological manifestations of MPS VII for patients of all ages. In Brazil, Mepsevii is approved for the treatment of MPS VII for patients of all ages.</w:t>
      </w:r>
    </w:p>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small molecule pipeline includes UX007, which is in clinical development for the treatment of long-chain fatty acid oxidation disorders, or LC-</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FAOD:</w:t>
      </w:r>
    </w:p>
    <w:p>
      <w:pPr>
        <w:spacing w:after="0" w:line="76" w:lineRule="exact"/>
        <w:rPr>
          <w:sz w:val="20"/>
          <w:szCs w:val="20"/>
          <w:color w:val="auto"/>
        </w:rPr>
      </w:pPr>
    </w:p>
    <w:p>
      <w:pPr>
        <w:ind w:left="760" w:right="60" w:hanging="374"/>
        <w:spacing w:after="0" w:line="279"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UX007 is a synthetic triglyceride with a specifically designed chemical composition being studied for the treatment of LC-FAOD, which is a set of rare metabolic diseases that prevents the conversion of fat into energy and can cause low blood sugar, muscle rupture, and heart and liver disease. The U.S. FDA has accepted our New Drug Application, or NDA for the treatment of LC-FAOD, and has assigned a Prescription Drug User Fee Act, or PDUFA, date of July 31, 2020. We are also continuing discussions with EU regulatory authorities.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gene therapy pipeline includes DTX301 and DTX401 in clinical development for the treatment of two diseases:</w:t>
      </w:r>
    </w:p>
    <w:p>
      <w:pPr>
        <w:spacing w:after="0" w:line="77" w:lineRule="exact"/>
        <w:rPr>
          <w:sz w:val="20"/>
          <w:szCs w:val="20"/>
          <w:color w:val="auto"/>
        </w:rPr>
      </w:pPr>
    </w:p>
    <w:p>
      <w:pPr>
        <w:ind w:left="760" w:right="20" w:hanging="374"/>
        <w:spacing w:after="0" w:line="293"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DTX301 is an adeno-associated virus 8, or AAV8 gene therapy product candidate designed for the treatment of patients with ornithine transcarbamylase, or OTC, deficiency. OTC is part of the urea cycle, an enzymatic pathway in the liver that converts excess nitrogen, in the form of ammonia, to urea for excretion. OTC deficiency is the most common urea cycle disorder and leads to increased levels of ammonia. Patients with OTC deficiency suffer from acute hyperammonemic episodes that can lead to hospitalization, adverse cognitive and neurological effects, and death. We have reported positive data from the first and second dose cohorts of the Phase 1/2 study, with two responders maintaining normalized rates of ureagenesis through 52 weeks and 78 weeks. We expect to provide an update on the third dose cohort of the DTX301 study around the end of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760" w:hanging="374"/>
        <w:spacing w:after="0" w:line="276"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DTX401 is an AAV8 gene therapy clinical candidate for the treatment of patients with glycogen storage disease type Ia, or GSDIa, a disease that arises from a defect in G6Pase, an essential enzyme in glycogen and glucose metabolism. GSDIa is the most common glycogen storage disease. We have reported positive data from the first and second dose cohorts of the Phase 1/2 study, with all patients showing a clinical response with improvements in glucose control and other metabolic parameters compared to baseline. The confirmatory expansion cohort of three patients at the second cohort dose is now underway, and we expect data from this cohort in the first half of 2020.</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approved products and clinical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169545</wp:posOffset>
            </wp:positionV>
            <wp:extent cx="6037580" cy="3704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7580"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program updates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Therapies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Crysvita for the treatment of X-linked hypophosphatemia, or XLH</w:t>
      </w:r>
    </w:p>
    <w:p>
      <w:pPr>
        <w:spacing w:after="0" w:line="77" w:lineRule="exact"/>
        <w:rPr>
          <w:sz w:val="20"/>
          <w:szCs w:val="20"/>
          <w:color w:val="auto"/>
        </w:rPr>
      </w:pPr>
    </w:p>
    <w:p>
      <w:pPr>
        <w:ind w:right="180" w:firstLine="476"/>
        <w:spacing w:after="0" w:line="259" w:lineRule="auto"/>
        <w:rPr>
          <w:sz w:val="20"/>
          <w:szCs w:val="20"/>
          <w:color w:val="auto"/>
        </w:rPr>
      </w:pPr>
      <w:r>
        <w:rPr>
          <w:rFonts w:ascii="Arial" w:cs="Arial" w:eastAsia="Arial" w:hAnsi="Arial"/>
          <w:sz w:val="18"/>
          <w:szCs w:val="18"/>
          <w:color w:val="auto"/>
        </w:rPr>
        <w:t>In September 2019, we announced that the U.S. FDA approved a label expansion for Crysvita. The label was updated to include new clinical data demonstrating superiority of treatment with Crysvita versus oral phosphate and active vitamin D (conventional therapy) in pediatric patients with XLH, and improvement in stiffness and maintenance of efficacy of Crysvita in adult patients with longer-term treatment. The indication was also expanded to include infants as young as six months of age.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Product Candidates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Crysvita for the treatment of Tumor-Induced Osteomalacia, or TIO</w:t>
      </w:r>
    </w:p>
    <w:p>
      <w:pPr>
        <w:spacing w:after="0" w:line="77" w:lineRule="exact"/>
        <w:rPr>
          <w:sz w:val="20"/>
          <w:szCs w:val="20"/>
          <w:color w:val="auto"/>
        </w:rPr>
      </w:pPr>
    </w:p>
    <w:p>
      <w:pPr>
        <w:jc w:val="both"/>
        <w:ind w:right="100" w:firstLine="476"/>
        <w:spacing w:after="0" w:line="286" w:lineRule="auto"/>
        <w:rPr>
          <w:sz w:val="20"/>
          <w:szCs w:val="20"/>
          <w:color w:val="auto"/>
        </w:rPr>
      </w:pPr>
      <w:r>
        <w:rPr>
          <w:rFonts w:ascii="Arial" w:cs="Arial" w:eastAsia="Arial" w:hAnsi="Arial"/>
          <w:sz w:val="17"/>
          <w:szCs w:val="17"/>
          <w:color w:val="auto"/>
        </w:rPr>
        <w:t>In September 2019, we announced that we plan to submit a sBLA to the U.S. FDA for Crysvita for the treatment of FGF23-related hypophosphatemia associated with phosphaturic mesenchymal tumors, or tumor-induced osteomalacia or TIO, which cannot be curatively resected or localized. The submission of the Crysvita sBLA is planned for the first half of 2020 and will be based on the current clinical data package.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UX007 for the treatment of Long Chain Fatty-Acid Oxidation Disorders, or LC-FAOD</w:t>
      </w:r>
    </w:p>
    <w:p>
      <w:pPr>
        <w:spacing w:after="0" w:line="90"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In October 2019, we announced that the U.S. FDA has accepted our NDA for UX007 for the treatment of LC-FAOD. The FDA has assigned a PDUFA date of July 31, 2020. An Advisory Committee meeting is not expected at this time. The NDA filing is supported by a comprehensive package of data including results from a Company-sponsored Phase 2 study of UX007 in 29 patients, a long-term safety and efficacy extension study in 75 patients including 20 patients who were previously naïve to UX007,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right="420"/>
        <w:spacing w:after="0" w:line="277" w:lineRule="auto"/>
        <w:rPr>
          <w:sz w:val="20"/>
          <w:szCs w:val="20"/>
          <w:color w:val="auto"/>
        </w:rPr>
      </w:pPr>
      <w:r>
        <w:rPr>
          <w:rFonts w:ascii="Arial" w:cs="Arial" w:eastAsia="Arial" w:hAnsi="Arial"/>
          <w:sz w:val="18"/>
          <w:szCs w:val="18"/>
          <w:color w:val="auto"/>
        </w:rPr>
        <w:t>retrospective medical record review of 20 original compassionate use patients, 67 patients treated through expanded access, and a randomized controlled investigator-sponsored study of 32 patients showing an effect on cardiac function.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DTX401 for the treatment of glycogen storage disease type Ia, or GSDIa</w:t>
      </w:r>
    </w:p>
    <w:p>
      <w:pPr>
        <w:spacing w:after="0" w:line="90" w:lineRule="exact"/>
        <w:rPr>
          <w:sz w:val="20"/>
          <w:szCs w:val="20"/>
          <w:color w:val="auto"/>
        </w:rPr>
      </w:pPr>
    </w:p>
    <w:p>
      <w:pPr>
        <w:ind w:right="60" w:firstLine="476"/>
        <w:spacing w:after="0" w:line="273" w:lineRule="auto"/>
        <w:rPr>
          <w:sz w:val="20"/>
          <w:szCs w:val="20"/>
          <w:color w:val="auto"/>
        </w:rPr>
      </w:pPr>
      <w:r>
        <w:rPr>
          <w:rFonts w:ascii="Arial" w:cs="Arial" w:eastAsia="Arial" w:hAnsi="Arial"/>
          <w:sz w:val="17"/>
          <w:szCs w:val="17"/>
          <w:color w:val="auto"/>
        </w:rPr>
        <w:t>In September 2019, we announced positive data from the second dose cohort of the ongoing Phase 1/2 study of DTX401, our AAV-based gene therapy for the treatment of GSDIa. All three patients in Cohort 2 showed a clinical response with improvements in glucose control and other metabolic parameters compared to baseline, and all three patients in Cohort 1 continued to demonstrate long-term, durable responses. All patients demonstrated increases in time to hypoglycemia compared to baseline during a controlled-fasting challenge, normalization of daily glucose levels which has allowed for clinically significant reductions in the amount of cornstarch, and meaningful improvements in assessments including lower lactate levels after treatment and early reductions in liver fat fraction. Based on these results, we are proceeding to a confirmatory expansion cohort of three additional patients at the second cohort dose of 6.0 × 10^12 GC/kg. Data from the expansion cohort are expected in the first half of 2020. If the expansion cohort results are consistent with those observed to date, then the Phase 3 trial expected to begin in 2020 would study this dose level.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 updates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GeneTx Biotherapeutics LLC to Advance Treatment for Angelman Syndrome</w:t>
      </w:r>
    </w:p>
    <w:p>
      <w:pPr>
        <w:spacing w:after="0" w:line="77" w:lineRule="exact"/>
        <w:rPr>
          <w:sz w:val="20"/>
          <w:szCs w:val="20"/>
          <w:color w:val="auto"/>
        </w:rPr>
      </w:pPr>
    </w:p>
    <w:p>
      <w:pPr>
        <w:ind w:right="60" w:firstLine="471"/>
        <w:spacing w:after="0" w:line="272" w:lineRule="auto"/>
        <w:rPr>
          <w:sz w:val="20"/>
          <w:szCs w:val="20"/>
          <w:color w:val="auto"/>
        </w:rPr>
      </w:pPr>
      <w:r>
        <w:rPr>
          <w:rFonts w:ascii="Arial" w:cs="Arial" w:eastAsia="Arial" w:hAnsi="Arial"/>
          <w:sz w:val="17"/>
          <w:szCs w:val="17"/>
          <w:color w:val="auto"/>
        </w:rPr>
        <w:t>In August 2019, we announced an agreement with GeneTx Biotherapeutics LLC to collaborate on the development of GeneTx’s GTX-102, an antisense oligonucleotide, or ASO, for the treatment of Angelman syndrome, a debilitating and rare neurogenetic disorder. Under the terms of the agreement, we made an upfront payment of $20.0 million which included an exclusive option to acquire GeneTx. This option may be exercised any time prior to 30 days following FDA acceptance of the IND for GTX-102. We may extend the option period by paying an option extension payment of $25.0 million. We may exercise this extended option any time until the earlier of 30 months from the first dosing of a patient in a planned Phase 1/2 study (subject to extensions) or 90 days after results are available from that study. If we exercise the purchase option, we will pay a purchase price to acquire GeneTx, payments upon achieving regulatory and commercial milestones, and royalties on any product sales.</w:t>
      </w:r>
    </w:p>
    <w:p>
      <w:pPr>
        <w:spacing w:after="0" w:line="43" w:lineRule="exact"/>
        <w:rPr>
          <w:sz w:val="20"/>
          <w:szCs w:val="20"/>
          <w:color w:val="auto"/>
        </w:rPr>
      </w:pPr>
    </w:p>
    <w:p>
      <w:pPr>
        <w:ind w:right="260" w:firstLine="471"/>
        <w:spacing w:after="0" w:line="277" w:lineRule="auto"/>
        <w:rPr>
          <w:sz w:val="20"/>
          <w:szCs w:val="20"/>
          <w:color w:val="auto"/>
        </w:rPr>
      </w:pPr>
      <w:r>
        <w:rPr>
          <w:rFonts w:ascii="Arial" w:cs="Arial" w:eastAsia="Arial" w:hAnsi="Arial"/>
          <w:sz w:val="18"/>
          <w:szCs w:val="18"/>
          <w:color w:val="auto"/>
        </w:rPr>
        <w:t>In September 2019, we announced that the U.S. FDA granted Orphan Drug Designation and Rare Pediatric Disease Designation to GTX-102 for the treatment of Angelman syndrome.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81" w:lineRule="exact"/>
        <w:rPr>
          <w:sz w:val="20"/>
          <w:szCs w:val="20"/>
          <w:color w:val="auto"/>
        </w:rPr>
      </w:pPr>
    </w:p>
    <w:p>
      <w:pPr>
        <w:ind w:right="100" w:firstLine="476"/>
        <w:spacing w:after="0" w:line="286" w:lineRule="auto"/>
        <w:rPr>
          <w:sz w:val="20"/>
          <w:szCs w:val="20"/>
          <w:color w:val="auto"/>
        </w:rPr>
      </w:pPr>
      <w:r>
        <w:rPr>
          <w:rFonts w:ascii="Arial" w:cs="Arial" w:eastAsia="Arial" w:hAnsi="Arial"/>
          <w:sz w:val="17"/>
          <w:szCs w:val="17"/>
          <w:color w:val="auto"/>
        </w:rPr>
        <w:t>We are a biopharmaceutical company with a limited operating history. To date, we have invested substantially all of our efforts and financial resources in identifying, acquiring, and developing our products and product candidates, including conducting clinical studies and providing selling, general and administrative support for these operations. To date, we have funded our operations primarily from the sale of equity securities.</w:t>
      </w:r>
    </w:p>
    <w:p>
      <w:pPr>
        <w:spacing w:after="0" w:line="30" w:lineRule="exact"/>
        <w:rPr>
          <w:sz w:val="20"/>
          <w:szCs w:val="20"/>
          <w:color w:val="auto"/>
        </w:rPr>
      </w:pPr>
    </w:p>
    <w:p>
      <w:pPr>
        <w:ind w:right="40" w:firstLine="476"/>
        <w:spacing w:after="0" w:line="297" w:lineRule="auto"/>
        <w:rPr>
          <w:sz w:val="20"/>
          <w:szCs w:val="20"/>
          <w:color w:val="auto"/>
        </w:rPr>
      </w:pPr>
      <w:r>
        <w:rPr>
          <w:rFonts w:ascii="Arial" w:cs="Arial" w:eastAsia="Arial" w:hAnsi="Arial"/>
          <w:sz w:val="16"/>
          <w:szCs w:val="16"/>
          <w:color w:val="auto"/>
        </w:rPr>
        <w:t>We have incurred net losses in each year since inception. Our net loss was $113.0 million and $308.9 million for the three and nine months ended September 30, 2019 and our net loss was $87.3 million and $109.8 million for the three and nine months ended September 30, 2018, respectively. Net loss for the three and nine months ended September 30, 2018 included the gain from the sale of priority review vouchers, or PRVs, of none and $170.3 million, respectively, received from the FDA in connection with the approval of Mepsevii and Crysvita. Substantially all of our net losses have resulted from costs incurred in connection with our research and development programs and from selling, general and administrative costs associated with our operations.</w:t>
      </w:r>
    </w:p>
    <w:p>
      <w:pPr>
        <w:spacing w:after="0" w:line="1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record revenue from our collaboration and license agreements and from the sale of our two approved products – Crysvita and Mepsevii. In addition, we also record sales of certain products on a “named patient” basis, which are allowed in certain countries prior to regulatory approval. For the three and nine months ended September 30, 2019, we recorded $21.5 million and $54.6 million, respectively, and for the three and nine months ended September 30, 2018, we recorded $5.4 million and $7.0 million, respectively, in collaboration and license revenue for Crysvita sales. For the three and nine months ended September 30, 2019, we recorded $0.1 million and $0.5 million, respectively, and for the three and nine months ended September 30, 2018, we recorded $3.6 million and $21.9 million, respectively, for providing certain research and development services under our collaboration and license arrangement with Bayer Healthcare LLC, or Bayer. For the three and nine months ended September 30, 2019, we recorded $4.2 million and $13.1 million, respectively, and for the three and nine months ended September 30, 2018, we recorded $2.7 million and $6.3 million, respectively, in product sales from our approved products and named patient sales in certain countries.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4"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U.S. generally accepted accounting principles, or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There have been no material changes in our critical accounting policies, except as noted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ind w:right="280"/>
        <w:spacing w:after="0" w:line="264" w:lineRule="auto"/>
        <w:rPr>
          <w:sz w:val="20"/>
          <w:szCs w:val="20"/>
          <w:color w:val="auto"/>
        </w:rPr>
      </w:pPr>
      <w:r>
        <w:rPr>
          <w:rFonts w:ascii="Arial" w:cs="Arial" w:eastAsia="Arial" w:hAnsi="Arial"/>
          <w:sz w:val="18"/>
          <w:szCs w:val="18"/>
          <w:color w:val="auto"/>
        </w:rPr>
        <w:t>below with respect to our investment in equity securities, during the nine months ended September 30, 2019, as compared to those disclosed in “Management’s Discussion and Analysis of Financial Condition and Results of Operations — Critical Accounting Policies and Significant Judgments and Estimates” in our Annual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Equity Securities</w:t>
      </w:r>
    </w:p>
    <w:p>
      <w:pPr>
        <w:spacing w:after="0" w:line="81" w:lineRule="exact"/>
        <w:rPr>
          <w:sz w:val="20"/>
          <w:szCs w:val="20"/>
          <w:color w:val="auto"/>
        </w:rPr>
      </w:pPr>
    </w:p>
    <w:p>
      <w:pPr>
        <w:ind w:firstLine="535"/>
        <w:spacing w:after="0" w:line="290" w:lineRule="auto"/>
        <w:rPr>
          <w:sz w:val="20"/>
          <w:szCs w:val="20"/>
          <w:color w:val="auto"/>
        </w:rPr>
      </w:pPr>
      <w:r>
        <w:rPr>
          <w:rFonts w:ascii="Arial" w:cs="Arial" w:eastAsia="Arial" w:hAnsi="Arial"/>
          <w:sz w:val="16"/>
          <w:szCs w:val="16"/>
          <w:color w:val="auto"/>
        </w:rPr>
        <w:t>Our investment in equity securities in Arcturus is subject to the equity method of accounting as we have determined that we have significant influence over, but do not control the significant activities of Arcturus. We have elected to apply the fair value option to account for the equity investments in Arcturus at the time the securities were purchased and such securities will continue to be adjusted to fair value at each reporting period. The decision to elect the fair value option is irrevocable and is determined on an instrument by instrument basis. The investment in common stock is accounted for at fair value based upon the current then current stock price. The option to purchase additional stock is accounted for at fair value using the Black-Scholes option pricing method and utilizes the following inputs: stock price, strike price, volatility, risk free interest rate, and expected term. The expected term is the Company’s estimated period to purchase additional stock. The sensitivity of these inputs to the fair value of the equity security is assessed on a periodic basis. The changes in fair value of the equity investment and option to purchase additional stock is included in the Condensed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2019 to the three and nine months ended September 30, 2018: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(dollars in thousands)</w:t>
      </w:r>
    </w:p>
    <w:p>
      <w:pPr>
        <w:spacing w:after="0" w:line="36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56"/>
        </w:trPr>
        <w:tc>
          <w:tcPr>
            <w:tcW w:w="3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ind w:left="680"/>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128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Change</w:t>
            </w:r>
          </w:p>
        </w:tc>
      </w:tr>
      <w:tr>
        <w:trPr>
          <w:trHeight w:val="223"/>
        </w:trPr>
        <w:tc>
          <w:tcPr>
            <w:tcW w:w="36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and license revenue:</w:t>
            </w:r>
          </w:p>
        </w:tc>
        <w:tc>
          <w:tcPr>
            <w:tcW w:w="540" w:type="dxa"/>
            <w:vAlign w:val="bottom"/>
            <w:tcBorders>
              <w:top w:val="single" w:sz="8" w:color="CCECFF"/>
            </w:tcBorders>
            <w:shd w:val="clear" w:color="auto" w:fill="CCECFF"/>
          </w:tcPr>
          <w:p>
            <w:pPr>
              <w:spacing w:after="0"/>
              <w:rPr>
                <w:sz w:val="19"/>
                <w:szCs w:val="19"/>
                <w:color w:val="auto"/>
              </w:rPr>
            </w:pPr>
          </w:p>
        </w:tc>
        <w:tc>
          <w:tcPr>
            <w:tcW w:w="1060" w:type="dxa"/>
            <w:vAlign w:val="bottom"/>
            <w:tcBorders>
              <w:top w:val="single" w:sz="8" w:color="auto"/>
            </w:tcBorders>
            <w:shd w:val="clear" w:color="auto" w:fill="CCECFF"/>
          </w:tcPr>
          <w:p>
            <w:pPr>
              <w:spacing w:after="0"/>
              <w:rPr>
                <w:sz w:val="19"/>
                <w:szCs w:val="19"/>
                <w:color w:val="auto"/>
              </w:rPr>
            </w:pPr>
          </w:p>
        </w:tc>
        <w:tc>
          <w:tcPr>
            <w:tcW w:w="600" w:type="dxa"/>
            <w:vAlign w:val="bottom"/>
            <w:tcBorders>
              <w:top w:val="single" w:sz="8" w:color="auto"/>
            </w:tcBorders>
            <w:shd w:val="clear" w:color="auto" w:fill="CCECFF"/>
          </w:tcPr>
          <w:p>
            <w:pPr>
              <w:spacing w:after="0"/>
              <w:rPr>
                <w:sz w:val="19"/>
                <w:szCs w:val="19"/>
                <w:color w:val="auto"/>
              </w:rPr>
            </w:pPr>
          </w:p>
        </w:tc>
        <w:tc>
          <w:tcPr>
            <w:tcW w:w="260" w:type="dxa"/>
            <w:vAlign w:val="bottom"/>
            <w:tcBorders>
              <w:top w:val="single" w:sz="8" w:color="CCECFF"/>
            </w:tcBorders>
            <w:shd w:val="clear" w:color="auto" w:fill="CCECFF"/>
          </w:tcPr>
          <w:p>
            <w:pPr>
              <w:spacing w:after="0"/>
              <w:rPr>
                <w:sz w:val="19"/>
                <w:szCs w:val="19"/>
                <w:color w:val="auto"/>
              </w:rPr>
            </w:pPr>
          </w:p>
        </w:tc>
        <w:tc>
          <w:tcPr>
            <w:tcW w:w="1020" w:type="dxa"/>
            <w:vAlign w:val="bottom"/>
            <w:tcBorders>
              <w:top w:val="single" w:sz="8" w:color="auto"/>
            </w:tcBorders>
            <w:shd w:val="clear" w:color="auto" w:fill="CCECFF"/>
          </w:tcPr>
          <w:p>
            <w:pPr>
              <w:spacing w:after="0"/>
              <w:rPr>
                <w:sz w:val="19"/>
                <w:szCs w:val="19"/>
                <w:color w:val="auto"/>
              </w:rPr>
            </w:pPr>
          </w:p>
        </w:tc>
        <w:tc>
          <w:tcPr>
            <w:tcW w:w="580" w:type="dxa"/>
            <w:vAlign w:val="bottom"/>
            <w:tcBorders>
              <w:top w:val="single" w:sz="8" w:color="auto"/>
            </w:tcBorders>
            <w:shd w:val="clear" w:color="auto" w:fill="CCECFF"/>
          </w:tcPr>
          <w:p>
            <w:pPr>
              <w:spacing w:after="0"/>
              <w:rPr>
                <w:sz w:val="19"/>
                <w:szCs w:val="19"/>
                <w:color w:val="auto"/>
              </w:rPr>
            </w:pPr>
          </w:p>
        </w:tc>
        <w:tc>
          <w:tcPr>
            <w:tcW w:w="240" w:type="dxa"/>
            <w:vAlign w:val="bottom"/>
            <w:tcBorders>
              <w:top w:val="single" w:sz="8" w:color="CCECFF"/>
            </w:tcBorders>
            <w:shd w:val="clear" w:color="auto" w:fill="CCECFF"/>
          </w:tcPr>
          <w:p>
            <w:pPr>
              <w:spacing w:after="0"/>
              <w:rPr>
                <w:sz w:val="19"/>
                <w:szCs w:val="19"/>
                <w:color w:val="auto"/>
              </w:rPr>
            </w:pPr>
          </w:p>
        </w:tc>
        <w:tc>
          <w:tcPr>
            <w:tcW w:w="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19"/>
                <w:szCs w:val="19"/>
                <w:color w:val="auto"/>
              </w:rPr>
            </w:pPr>
          </w:p>
        </w:tc>
        <w:tc>
          <w:tcPr>
            <w:tcW w:w="860" w:type="dxa"/>
            <w:vAlign w:val="bottom"/>
            <w:tcBorders>
              <w:top w:val="single" w:sz="8" w:color="auto"/>
            </w:tcBorders>
            <w:shd w:val="clear" w:color="auto" w:fill="CCECFF"/>
          </w:tcPr>
          <w:p>
            <w:pPr>
              <w:spacing w:after="0"/>
              <w:rPr>
                <w:sz w:val="19"/>
                <w:szCs w:val="19"/>
                <w:color w:val="auto"/>
              </w:rPr>
            </w:pPr>
          </w:p>
        </w:tc>
        <w:tc>
          <w:tcPr>
            <w:tcW w:w="260" w:type="dxa"/>
            <w:vAlign w:val="bottom"/>
            <w:tcBorders>
              <w:top w:val="single" w:sz="8" w:color="CCECFF"/>
            </w:tcBorders>
            <w:shd w:val="clear" w:color="auto" w:fill="CCECFF"/>
          </w:tcPr>
          <w:p>
            <w:pPr>
              <w:spacing w:after="0"/>
              <w:rPr>
                <w:sz w:val="19"/>
                <w:szCs w:val="19"/>
                <w:color w:val="auto"/>
              </w:rPr>
            </w:pPr>
          </w:p>
        </w:tc>
        <w:tc>
          <w:tcPr>
            <w:tcW w:w="900" w:type="dxa"/>
            <w:vAlign w:val="bottom"/>
            <w:tcBorders>
              <w:top w:val="single" w:sz="8" w:color="auto"/>
            </w:tcBorders>
            <w:shd w:val="clear" w:color="auto" w:fill="CCECFF"/>
          </w:tcPr>
          <w:p>
            <w:pPr>
              <w:spacing w:after="0"/>
              <w:rPr>
                <w:sz w:val="19"/>
                <w:szCs w:val="19"/>
                <w:color w:val="auto"/>
              </w:rPr>
            </w:pPr>
          </w:p>
        </w:tc>
        <w:tc>
          <w:tcPr>
            <w:tcW w:w="180" w:type="dxa"/>
            <w:vAlign w:val="bottom"/>
            <w:tcBorders>
              <w:top w:val="single" w:sz="8" w:color="CCECFF"/>
            </w:tcBorders>
            <w:shd w:val="clear" w:color="auto" w:fill="CCECFF"/>
          </w:tcPr>
          <w:p>
            <w:pPr>
              <w:spacing w:after="0"/>
              <w:rPr>
                <w:sz w:val="19"/>
                <w:szCs w:val="19"/>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KKC (Crysvita)</w:t>
            </w:r>
          </w:p>
        </w:tc>
        <w:tc>
          <w:tcPr>
            <w:tcW w:w="1600" w:type="dxa"/>
            <w:vAlign w:val="bottom"/>
            <w:gridSpan w:val="2"/>
          </w:tcPr>
          <w:p>
            <w:pPr>
              <w:jc w:val="right"/>
              <w:ind w:right="9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21,484</w:t>
            </w:r>
          </w:p>
        </w:tc>
        <w:tc>
          <w:tcPr>
            <w:tcW w:w="128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5,401</w:t>
            </w:r>
          </w:p>
        </w:tc>
        <w:tc>
          <w:tcPr>
            <w:tcW w:w="4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16,083</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r>
      <w:tr>
        <w:trPr>
          <w:trHeight w:val="230"/>
        </w:trPr>
        <w:tc>
          <w:tcPr>
            <w:tcW w:w="3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Bayer</w:t>
            </w:r>
          </w:p>
        </w:tc>
        <w:tc>
          <w:tcPr>
            <w:tcW w:w="5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3,614</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(3,513)</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-97%</w:t>
            </w:r>
          </w:p>
        </w:tc>
      </w:tr>
      <w:tr>
        <w:trPr>
          <w:trHeight w:val="223"/>
        </w:trPr>
        <w:tc>
          <w:tcPr>
            <w:tcW w:w="3600" w:type="dxa"/>
            <w:vAlign w:val="bottom"/>
            <w:tcBorders>
              <w:bottom w:val="single" w:sz="8" w:color="CCECFF"/>
            </w:tcBorders>
          </w:tcPr>
          <w:p>
            <w:pPr>
              <w:ind w:left="240"/>
              <w:spacing w:after="0"/>
              <w:rPr>
                <w:sz w:val="20"/>
                <w:szCs w:val="20"/>
                <w:color w:val="auto"/>
              </w:rPr>
            </w:pPr>
            <w:r>
              <w:rPr>
                <w:rFonts w:ascii="Arial" w:cs="Arial" w:eastAsia="Arial" w:hAnsi="Arial"/>
                <w:sz w:val="18"/>
                <w:szCs w:val="18"/>
                <w:color w:val="auto"/>
              </w:rPr>
              <w:t>Total collaboration and license revenue</w:t>
            </w:r>
          </w:p>
        </w:tc>
        <w:tc>
          <w:tcPr>
            <w:tcW w:w="540" w:type="dxa"/>
            <w:vAlign w:val="bottom"/>
            <w:tcBorders>
              <w:bottom w:val="single" w:sz="8" w:color="CCEC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21,585</w:t>
            </w:r>
          </w:p>
        </w:tc>
        <w:tc>
          <w:tcPr>
            <w:tcW w:w="260" w:type="dxa"/>
            <w:vAlign w:val="bottom"/>
            <w:tcBorders>
              <w:bottom w:val="single" w:sz="8" w:color="CCEC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9,015</w:t>
            </w:r>
          </w:p>
        </w:tc>
        <w:tc>
          <w:tcPr>
            <w:tcW w:w="240" w:type="dxa"/>
            <w:vAlign w:val="bottom"/>
            <w:tcBorders>
              <w:bottom w:val="single" w:sz="8" w:color="CCECFF"/>
            </w:tcBorders>
          </w:tcPr>
          <w:p>
            <w:pPr>
              <w:spacing w:after="0"/>
              <w:rPr>
                <w:sz w:val="19"/>
                <w:szCs w:val="19"/>
                <w:color w:val="auto"/>
              </w:rPr>
            </w:pPr>
          </w:p>
        </w:tc>
        <w:tc>
          <w:tcPr>
            <w:tcW w:w="20" w:type="dxa"/>
            <w:vAlign w:val="bottom"/>
            <w:tcBorders>
              <w:bottom w:val="single" w:sz="8" w:color="CCEC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12,570</w:t>
            </w:r>
          </w:p>
        </w:tc>
        <w:tc>
          <w:tcPr>
            <w:tcW w:w="260" w:type="dxa"/>
            <w:vAlign w:val="bottom"/>
            <w:tcBorders>
              <w:bottom w:val="single" w:sz="8" w:color="CCECFF"/>
            </w:tcBorders>
          </w:tcPr>
          <w:p>
            <w:pPr>
              <w:spacing w:after="0"/>
              <w:rPr>
                <w:sz w:val="19"/>
                <w:szCs w:val="19"/>
                <w:color w:val="auto"/>
              </w:rPr>
            </w:pPr>
          </w:p>
        </w:tc>
        <w:tc>
          <w:tcPr>
            <w:tcW w:w="108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23"/>
        </w:trPr>
        <w:tc>
          <w:tcPr>
            <w:tcW w:w="3600" w:type="dxa"/>
            <w:vAlign w:val="bottom"/>
            <w:shd w:val="clear" w:color="auto" w:fill="CCECFF"/>
          </w:tcPr>
          <w:p>
            <w:pPr>
              <w:spacing w:after="0"/>
              <w:rPr>
                <w:sz w:val="20"/>
                <w:szCs w:val="20"/>
                <w:color w:val="auto"/>
              </w:rPr>
            </w:pPr>
            <w:r>
              <w:rPr>
                <w:rFonts w:ascii="Arial" w:cs="Arial" w:eastAsia="Arial" w:hAnsi="Arial"/>
                <w:sz w:val="18"/>
                <w:szCs w:val="18"/>
                <w:color w:val="auto"/>
              </w:rPr>
              <w:t>Product sales:</w:t>
            </w:r>
          </w:p>
        </w:tc>
        <w:tc>
          <w:tcPr>
            <w:tcW w:w="5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Crysvita</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1,140</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r>
      <w:tr>
        <w:trPr>
          <w:trHeight w:val="230"/>
        </w:trPr>
        <w:tc>
          <w:tcPr>
            <w:tcW w:w="3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Mepsevii</w:t>
            </w:r>
          </w:p>
        </w:tc>
        <w:tc>
          <w:tcPr>
            <w:tcW w:w="5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2,361</w:t>
            </w:r>
          </w:p>
        </w:tc>
        <w:tc>
          <w:tcPr>
            <w:tcW w:w="26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2,127</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CFF"/>
          </w:tcPr>
          <w:p>
            <w:pPr>
              <w:spacing w:after="0"/>
              <w:rPr>
                <w:sz w:val="19"/>
                <w:szCs w:val="19"/>
                <w:color w:val="auto"/>
              </w:rPr>
            </w:pP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3600" w:type="dxa"/>
            <w:vAlign w:val="bottom"/>
            <w:tcBorders>
              <w:bottom w:val="single" w:sz="8" w:color="CCECFF"/>
            </w:tcBorders>
          </w:tcPr>
          <w:p>
            <w:pPr>
              <w:ind w:left="120"/>
              <w:spacing w:after="0"/>
              <w:rPr>
                <w:sz w:val="20"/>
                <w:szCs w:val="20"/>
                <w:color w:val="auto"/>
              </w:rPr>
            </w:pPr>
            <w:r>
              <w:rPr>
                <w:rFonts w:ascii="Arial" w:cs="Arial" w:eastAsia="Arial" w:hAnsi="Arial"/>
                <w:sz w:val="18"/>
                <w:szCs w:val="18"/>
                <w:color w:val="auto"/>
              </w:rPr>
              <w:t>UX007</w:t>
            </w:r>
          </w:p>
        </w:tc>
        <w:tc>
          <w:tcPr>
            <w:tcW w:w="540" w:type="dxa"/>
            <w:vAlign w:val="bottom"/>
            <w:tcBorders>
              <w:bottom w:val="single" w:sz="8" w:color="CCEC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60" w:type="dxa"/>
            <w:vAlign w:val="bottom"/>
            <w:tcBorders>
              <w:bottom w:val="single" w:sz="8" w:color="CCEC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Borders>
              <w:bottom w:val="single" w:sz="8" w:color="CCECFF"/>
            </w:tcBorders>
          </w:tcPr>
          <w:p>
            <w:pPr>
              <w:spacing w:after="0"/>
              <w:rPr>
                <w:sz w:val="19"/>
                <w:szCs w:val="19"/>
                <w:color w:val="auto"/>
              </w:rPr>
            </w:pPr>
          </w:p>
        </w:tc>
        <w:tc>
          <w:tcPr>
            <w:tcW w:w="2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60" w:type="dxa"/>
            <w:vAlign w:val="bottom"/>
            <w:tcBorders>
              <w:bottom w:val="single" w:sz="8" w:color="CCECFF"/>
            </w:tcBorders>
          </w:tcPr>
          <w:p>
            <w:pPr>
              <w:spacing w:after="0"/>
              <w:rPr>
                <w:sz w:val="19"/>
                <w:szCs w:val="19"/>
                <w:color w:val="auto"/>
              </w:rPr>
            </w:pPr>
          </w:p>
        </w:tc>
        <w:tc>
          <w:tcPr>
            <w:tcW w:w="108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23"/>
        </w:trPr>
        <w:tc>
          <w:tcPr>
            <w:tcW w:w="3600" w:type="dxa"/>
            <w:vAlign w:val="bottom"/>
            <w:shd w:val="clear" w:color="auto" w:fill="CCECFF"/>
          </w:tcPr>
          <w:p>
            <w:pPr>
              <w:ind w:left="240"/>
              <w:spacing w:after="0"/>
              <w:rPr>
                <w:sz w:val="20"/>
                <w:szCs w:val="20"/>
                <w:color w:val="auto"/>
              </w:rPr>
            </w:pPr>
            <w:r>
              <w:rPr>
                <w:rFonts w:ascii="Arial" w:cs="Arial" w:eastAsia="Arial" w:hAnsi="Arial"/>
                <w:sz w:val="18"/>
                <w:szCs w:val="18"/>
                <w:color w:val="auto"/>
              </w:rPr>
              <w:t>Total product sales</w:t>
            </w:r>
          </w:p>
        </w:tc>
        <w:tc>
          <w:tcPr>
            <w:tcW w:w="540" w:type="dxa"/>
            <w:vAlign w:val="bottom"/>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4,215</w:t>
            </w:r>
          </w:p>
        </w:tc>
        <w:tc>
          <w:tcPr>
            <w:tcW w:w="260" w:type="dxa"/>
            <w:vAlign w:val="bottom"/>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spacing w:after="0"/>
              <w:rPr>
                <w:sz w:val="19"/>
                <w:szCs w:val="19"/>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2,748</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1,467</w:t>
            </w:r>
          </w:p>
        </w:tc>
        <w:tc>
          <w:tcPr>
            <w:tcW w:w="260" w:type="dxa"/>
            <w:vAlign w:val="bottom"/>
            <w:shd w:val="clear" w:color="auto" w:fill="CCECFF"/>
          </w:tcPr>
          <w:p>
            <w:pPr>
              <w:spacing w:after="0"/>
              <w:rPr>
                <w:sz w:val="19"/>
                <w:szCs w:val="19"/>
                <w:color w:val="auto"/>
              </w:rPr>
            </w:pP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53%</w:t>
            </w:r>
          </w:p>
        </w:tc>
      </w:tr>
      <w:tr>
        <w:trPr>
          <w:trHeight w:val="223"/>
        </w:trPr>
        <w:tc>
          <w:tcPr>
            <w:tcW w:w="36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54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25,800</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11,763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r>
      <w:tr>
        <w:trPr>
          <w:trHeight w:val="20"/>
        </w:trPr>
        <w:tc>
          <w:tcPr>
            <w:tcW w:w="3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3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w w:val="97"/>
              </w:rPr>
              <w:t>Nine Months Ended September 30,</w:t>
            </w:r>
          </w:p>
        </w:tc>
        <w:tc>
          <w:tcPr>
            <w:tcW w:w="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r>
      <w:tr>
        <w:trPr>
          <w:trHeight w:val="156"/>
        </w:trPr>
        <w:tc>
          <w:tcPr>
            <w:tcW w:w="3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ind w:left="680"/>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128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Change</w:t>
            </w:r>
          </w:p>
        </w:tc>
      </w:tr>
      <w:tr>
        <w:trPr>
          <w:trHeight w:val="223"/>
        </w:trPr>
        <w:tc>
          <w:tcPr>
            <w:tcW w:w="36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and license revenue:</w:t>
            </w:r>
          </w:p>
        </w:tc>
        <w:tc>
          <w:tcPr>
            <w:tcW w:w="540" w:type="dxa"/>
            <w:vAlign w:val="bottom"/>
            <w:tcBorders>
              <w:top w:val="single" w:sz="8" w:color="CCECFF"/>
            </w:tcBorders>
            <w:shd w:val="clear" w:color="auto" w:fill="CCECFF"/>
          </w:tcPr>
          <w:p>
            <w:pPr>
              <w:spacing w:after="0"/>
              <w:rPr>
                <w:sz w:val="19"/>
                <w:szCs w:val="19"/>
                <w:color w:val="auto"/>
              </w:rPr>
            </w:pPr>
          </w:p>
        </w:tc>
        <w:tc>
          <w:tcPr>
            <w:tcW w:w="1060" w:type="dxa"/>
            <w:vAlign w:val="bottom"/>
            <w:tcBorders>
              <w:top w:val="single" w:sz="8" w:color="auto"/>
            </w:tcBorders>
            <w:shd w:val="clear" w:color="auto" w:fill="CCECFF"/>
          </w:tcPr>
          <w:p>
            <w:pPr>
              <w:spacing w:after="0"/>
              <w:rPr>
                <w:sz w:val="19"/>
                <w:szCs w:val="19"/>
                <w:color w:val="auto"/>
              </w:rPr>
            </w:pPr>
          </w:p>
        </w:tc>
        <w:tc>
          <w:tcPr>
            <w:tcW w:w="600" w:type="dxa"/>
            <w:vAlign w:val="bottom"/>
            <w:tcBorders>
              <w:top w:val="single" w:sz="8" w:color="auto"/>
            </w:tcBorders>
            <w:shd w:val="clear" w:color="auto" w:fill="CCECFF"/>
          </w:tcPr>
          <w:p>
            <w:pPr>
              <w:spacing w:after="0"/>
              <w:rPr>
                <w:sz w:val="19"/>
                <w:szCs w:val="19"/>
                <w:color w:val="auto"/>
              </w:rPr>
            </w:pPr>
          </w:p>
        </w:tc>
        <w:tc>
          <w:tcPr>
            <w:tcW w:w="260" w:type="dxa"/>
            <w:vAlign w:val="bottom"/>
            <w:tcBorders>
              <w:top w:val="single" w:sz="8" w:color="CCECFF"/>
            </w:tcBorders>
            <w:shd w:val="clear" w:color="auto" w:fill="CCECFF"/>
          </w:tcPr>
          <w:p>
            <w:pPr>
              <w:spacing w:after="0"/>
              <w:rPr>
                <w:sz w:val="19"/>
                <w:szCs w:val="19"/>
                <w:color w:val="auto"/>
              </w:rPr>
            </w:pPr>
          </w:p>
        </w:tc>
        <w:tc>
          <w:tcPr>
            <w:tcW w:w="1020" w:type="dxa"/>
            <w:vAlign w:val="bottom"/>
            <w:tcBorders>
              <w:top w:val="single" w:sz="8" w:color="auto"/>
            </w:tcBorders>
            <w:shd w:val="clear" w:color="auto" w:fill="CCECFF"/>
          </w:tcPr>
          <w:p>
            <w:pPr>
              <w:spacing w:after="0"/>
              <w:rPr>
                <w:sz w:val="19"/>
                <w:szCs w:val="19"/>
                <w:color w:val="auto"/>
              </w:rPr>
            </w:pPr>
          </w:p>
        </w:tc>
        <w:tc>
          <w:tcPr>
            <w:tcW w:w="580" w:type="dxa"/>
            <w:vAlign w:val="bottom"/>
            <w:tcBorders>
              <w:top w:val="single" w:sz="8" w:color="auto"/>
            </w:tcBorders>
            <w:shd w:val="clear" w:color="auto" w:fill="CCECFF"/>
          </w:tcPr>
          <w:p>
            <w:pPr>
              <w:spacing w:after="0"/>
              <w:rPr>
                <w:sz w:val="19"/>
                <w:szCs w:val="19"/>
                <w:color w:val="auto"/>
              </w:rPr>
            </w:pPr>
          </w:p>
        </w:tc>
        <w:tc>
          <w:tcPr>
            <w:tcW w:w="240" w:type="dxa"/>
            <w:vAlign w:val="bottom"/>
            <w:tcBorders>
              <w:top w:val="single" w:sz="8" w:color="CCECFF"/>
            </w:tcBorders>
            <w:shd w:val="clear" w:color="auto" w:fill="CCECFF"/>
          </w:tcPr>
          <w:p>
            <w:pPr>
              <w:spacing w:after="0"/>
              <w:rPr>
                <w:sz w:val="19"/>
                <w:szCs w:val="19"/>
                <w:color w:val="auto"/>
              </w:rPr>
            </w:pPr>
          </w:p>
        </w:tc>
        <w:tc>
          <w:tcPr>
            <w:tcW w:w="2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19"/>
                <w:szCs w:val="19"/>
                <w:color w:val="auto"/>
              </w:rPr>
            </w:pPr>
          </w:p>
        </w:tc>
        <w:tc>
          <w:tcPr>
            <w:tcW w:w="860" w:type="dxa"/>
            <w:vAlign w:val="bottom"/>
            <w:tcBorders>
              <w:top w:val="single" w:sz="8" w:color="auto"/>
            </w:tcBorders>
            <w:shd w:val="clear" w:color="auto" w:fill="CCECFF"/>
          </w:tcPr>
          <w:p>
            <w:pPr>
              <w:spacing w:after="0"/>
              <w:rPr>
                <w:sz w:val="19"/>
                <w:szCs w:val="19"/>
                <w:color w:val="auto"/>
              </w:rPr>
            </w:pPr>
          </w:p>
        </w:tc>
        <w:tc>
          <w:tcPr>
            <w:tcW w:w="260" w:type="dxa"/>
            <w:vAlign w:val="bottom"/>
            <w:tcBorders>
              <w:top w:val="single" w:sz="8" w:color="CCECFF"/>
            </w:tcBorders>
            <w:shd w:val="clear" w:color="auto" w:fill="CCECFF"/>
          </w:tcPr>
          <w:p>
            <w:pPr>
              <w:spacing w:after="0"/>
              <w:rPr>
                <w:sz w:val="19"/>
                <w:szCs w:val="19"/>
                <w:color w:val="auto"/>
              </w:rPr>
            </w:pPr>
          </w:p>
        </w:tc>
        <w:tc>
          <w:tcPr>
            <w:tcW w:w="900" w:type="dxa"/>
            <w:vAlign w:val="bottom"/>
            <w:tcBorders>
              <w:top w:val="single" w:sz="8" w:color="auto"/>
            </w:tcBorders>
            <w:shd w:val="clear" w:color="auto" w:fill="CCECFF"/>
          </w:tcPr>
          <w:p>
            <w:pPr>
              <w:spacing w:after="0"/>
              <w:rPr>
                <w:sz w:val="19"/>
                <w:szCs w:val="19"/>
                <w:color w:val="auto"/>
              </w:rPr>
            </w:pPr>
          </w:p>
        </w:tc>
        <w:tc>
          <w:tcPr>
            <w:tcW w:w="180" w:type="dxa"/>
            <w:vAlign w:val="bottom"/>
            <w:tcBorders>
              <w:top w:val="single" w:sz="8" w:color="CCECFF"/>
            </w:tcBorders>
            <w:shd w:val="clear" w:color="auto" w:fill="CCECFF"/>
          </w:tcPr>
          <w:p>
            <w:pPr>
              <w:spacing w:after="0"/>
              <w:rPr>
                <w:sz w:val="19"/>
                <w:szCs w:val="19"/>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KKC (Crysvita)</w:t>
            </w:r>
          </w:p>
        </w:tc>
        <w:tc>
          <w:tcPr>
            <w:tcW w:w="1600" w:type="dxa"/>
            <w:vAlign w:val="bottom"/>
            <w:gridSpan w:val="2"/>
          </w:tcPr>
          <w:p>
            <w:pPr>
              <w:jc w:val="right"/>
              <w:ind w:right="9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54,617</w:t>
            </w:r>
          </w:p>
        </w:tc>
        <w:tc>
          <w:tcPr>
            <w:tcW w:w="128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6,993</w:t>
            </w:r>
          </w:p>
        </w:tc>
        <w:tc>
          <w:tcPr>
            <w:tcW w:w="4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47,624</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681%</w:t>
            </w:r>
          </w:p>
        </w:tc>
      </w:tr>
      <w:tr>
        <w:trPr>
          <w:trHeight w:val="230"/>
        </w:trPr>
        <w:tc>
          <w:tcPr>
            <w:tcW w:w="3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Bayer</w:t>
            </w:r>
          </w:p>
        </w:tc>
        <w:tc>
          <w:tcPr>
            <w:tcW w:w="5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8"/>
              </w:rPr>
              <w:t>21,903</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(21,450)</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-98%</w:t>
            </w:r>
          </w:p>
        </w:tc>
      </w:tr>
      <w:tr>
        <w:trPr>
          <w:trHeight w:val="223"/>
        </w:trPr>
        <w:tc>
          <w:tcPr>
            <w:tcW w:w="3600" w:type="dxa"/>
            <w:vAlign w:val="bottom"/>
            <w:tcBorders>
              <w:bottom w:val="single" w:sz="8" w:color="CCECFF"/>
            </w:tcBorders>
          </w:tcPr>
          <w:p>
            <w:pPr>
              <w:ind w:left="240"/>
              <w:spacing w:after="0"/>
              <w:rPr>
                <w:sz w:val="20"/>
                <w:szCs w:val="20"/>
                <w:color w:val="auto"/>
              </w:rPr>
            </w:pPr>
            <w:r>
              <w:rPr>
                <w:rFonts w:ascii="Arial" w:cs="Arial" w:eastAsia="Arial" w:hAnsi="Arial"/>
                <w:sz w:val="18"/>
                <w:szCs w:val="18"/>
                <w:color w:val="auto"/>
              </w:rPr>
              <w:t>Total collaboration and license revenue</w:t>
            </w:r>
          </w:p>
        </w:tc>
        <w:tc>
          <w:tcPr>
            <w:tcW w:w="540" w:type="dxa"/>
            <w:vAlign w:val="bottom"/>
            <w:tcBorders>
              <w:bottom w:val="single" w:sz="8" w:color="CCEC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55,070</w:t>
            </w:r>
          </w:p>
        </w:tc>
        <w:tc>
          <w:tcPr>
            <w:tcW w:w="260" w:type="dxa"/>
            <w:vAlign w:val="bottom"/>
            <w:tcBorders>
              <w:bottom w:val="single" w:sz="8" w:color="CCEC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28,896</w:t>
            </w:r>
          </w:p>
        </w:tc>
        <w:tc>
          <w:tcPr>
            <w:tcW w:w="240" w:type="dxa"/>
            <w:vAlign w:val="bottom"/>
            <w:tcBorders>
              <w:bottom w:val="single" w:sz="8" w:color="CCECFF"/>
            </w:tcBorders>
          </w:tcPr>
          <w:p>
            <w:pPr>
              <w:spacing w:after="0"/>
              <w:rPr>
                <w:sz w:val="19"/>
                <w:szCs w:val="19"/>
                <w:color w:val="auto"/>
              </w:rPr>
            </w:pPr>
          </w:p>
        </w:tc>
        <w:tc>
          <w:tcPr>
            <w:tcW w:w="20" w:type="dxa"/>
            <w:vAlign w:val="bottom"/>
            <w:tcBorders>
              <w:bottom w:val="single" w:sz="8" w:color="CCEC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26,174</w:t>
            </w:r>
          </w:p>
        </w:tc>
        <w:tc>
          <w:tcPr>
            <w:tcW w:w="260" w:type="dxa"/>
            <w:vAlign w:val="bottom"/>
            <w:tcBorders>
              <w:bottom w:val="single" w:sz="8" w:color="CCECFF"/>
            </w:tcBorders>
          </w:tcPr>
          <w:p>
            <w:pPr>
              <w:spacing w:after="0"/>
              <w:rPr>
                <w:sz w:val="19"/>
                <w:szCs w:val="19"/>
                <w:color w:val="auto"/>
              </w:rPr>
            </w:pPr>
          </w:p>
        </w:tc>
        <w:tc>
          <w:tcPr>
            <w:tcW w:w="108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23"/>
        </w:trPr>
        <w:tc>
          <w:tcPr>
            <w:tcW w:w="3600" w:type="dxa"/>
            <w:vAlign w:val="bottom"/>
            <w:shd w:val="clear" w:color="auto" w:fill="CCECFF"/>
          </w:tcPr>
          <w:p>
            <w:pPr>
              <w:spacing w:after="0"/>
              <w:rPr>
                <w:sz w:val="20"/>
                <w:szCs w:val="20"/>
                <w:color w:val="auto"/>
              </w:rPr>
            </w:pPr>
            <w:r>
              <w:rPr>
                <w:rFonts w:ascii="Arial" w:cs="Arial" w:eastAsia="Arial" w:hAnsi="Arial"/>
                <w:sz w:val="18"/>
                <w:szCs w:val="18"/>
                <w:color w:val="auto"/>
              </w:rPr>
              <w:t>Product sales:</w:t>
            </w:r>
          </w:p>
        </w:tc>
        <w:tc>
          <w:tcPr>
            <w:tcW w:w="5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Crysvita</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2,734</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2,440</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r>
      <w:tr>
        <w:trPr>
          <w:trHeight w:val="230"/>
        </w:trPr>
        <w:tc>
          <w:tcPr>
            <w:tcW w:w="3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Mepsevii</w:t>
            </w:r>
          </w:p>
        </w:tc>
        <w:tc>
          <w:tcPr>
            <w:tcW w:w="5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8,274</w:t>
            </w:r>
          </w:p>
        </w:tc>
        <w:tc>
          <w:tcPr>
            <w:tcW w:w="26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5,253</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3,021</w:t>
            </w:r>
          </w:p>
        </w:tc>
        <w:tc>
          <w:tcPr>
            <w:tcW w:w="260" w:type="dxa"/>
            <w:vAlign w:val="bottom"/>
            <w:shd w:val="clear" w:color="auto" w:fill="CCECFF"/>
          </w:tcPr>
          <w:p>
            <w:pPr>
              <w:spacing w:after="0"/>
              <w:rPr>
                <w:sz w:val="19"/>
                <w:szCs w:val="19"/>
                <w:color w:val="auto"/>
              </w:rPr>
            </w:pP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58%</w:t>
            </w:r>
          </w:p>
        </w:tc>
      </w:tr>
      <w:tr>
        <w:trPr>
          <w:trHeight w:val="230"/>
        </w:trPr>
        <w:tc>
          <w:tcPr>
            <w:tcW w:w="3600" w:type="dxa"/>
            <w:vAlign w:val="bottom"/>
            <w:tcBorders>
              <w:bottom w:val="single" w:sz="8" w:color="CCECFF"/>
            </w:tcBorders>
          </w:tcPr>
          <w:p>
            <w:pPr>
              <w:ind w:left="120"/>
              <w:spacing w:after="0"/>
              <w:rPr>
                <w:sz w:val="20"/>
                <w:szCs w:val="20"/>
                <w:color w:val="auto"/>
              </w:rPr>
            </w:pPr>
            <w:r>
              <w:rPr>
                <w:rFonts w:ascii="Arial" w:cs="Arial" w:eastAsia="Arial" w:hAnsi="Arial"/>
                <w:sz w:val="18"/>
                <w:szCs w:val="18"/>
                <w:color w:val="auto"/>
              </w:rPr>
              <w:t>UX007</w:t>
            </w:r>
          </w:p>
        </w:tc>
        <w:tc>
          <w:tcPr>
            <w:tcW w:w="540" w:type="dxa"/>
            <w:vAlign w:val="bottom"/>
            <w:tcBorders>
              <w:bottom w:val="single" w:sz="8" w:color="CCEC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260" w:type="dxa"/>
            <w:vAlign w:val="bottom"/>
            <w:tcBorders>
              <w:bottom w:val="single" w:sz="8" w:color="CCEC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Borders>
              <w:bottom w:val="single" w:sz="8" w:color="CCECFF"/>
            </w:tcBorders>
          </w:tcPr>
          <w:p>
            <w:pPr>
              <w:spacing w:after="0"/>
              <w:rPr>
                <w:sz w:val="19"/>
                <w:szCs w:val="19"/>
                <w:color w:val="auto"/>
              </w:rPr>
            </w:pPr>
          </w:p>
        </w:tc>
        <w:tc>
          <w:tcPr>
            <w:tcW w:w="2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Borders>
              <w:bottom w:val="single" w:sz="8" w:color="CCECFF"/>
            </w:tcBorders>
          </w:tcPr>
          <w:p>
            <w:pPr>
              <w:spacing w:after="0"/>
              <w:rPr>
                <w:sz w:val="19"/>
                <w:szCs w:val="19"/>
                <w:color w:val="auto"/>
              </w:rPr>
            </w:pPr>
          </w:p>
        </w:tc>
        <w:tc>
          <w:tcPr>
            <w:tcW w:w="108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8"/>
                <w:szCs w:val="18"/>
                <w:color w:val="auto"/>
              </w:rPr>
              <w:t>158%</w:t>
            </w:r>
          </w:p>
        </w:tc>
      </w:tr>
      <w:tr>
        <w:trPr>
          <w:trHeight w:val="223"/>
        </w:trPr>
        <w:tc>
          <w:tcPr>
            <w:tcW w:w="3600" w:type="dxa"/>
            <w:vAlign w:val="bottom"/>
            <w:shd w:val="clear" w:color="auto" w:fill="CCECFF"/>
          </w:tcPr>
          <w:p>
            <w:pPr>
              <w:ind w:left="240"/>
              <w:spacing w:after="0"/>
              <w:rPr>
                <w:sz w:val="20"/>
                <w:szCs w:val="20"/>
                <w:color w:val="auto"/>
              </w:rPr>
            </w:pPr>
            <w:r>
              <w:rPr>
                <w:rFonts w:ascii="Arial" w:cs="Arial" w:eastAsia="Arial" w:hAnsi="Arial"/>
                <w:sz w:val="18"/>
                <w:szCs w:val="18"/>
                <w:color w:val="auto"/>
              </w:rPr>
              <w:t>Total product sales</w:t>
            </w:r>
          </w:p>
        </w:tc>
        <w:tc>
          <w:tcPr>
            <w:tcW w:w="540" w:type="dxa"/>
            <w:vAlign w:val="bottom"/>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13,051</w:t>
            </w:r>
          </w:p>
        </w:tc>
        <w:tc>
          <w:tcPr>
            <w:tcW w:w="260" w:type="dxa"/>
            <w:vAlign w:val="bottom"/>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spacing w:after="0"/>
              <w:rPr>
                <w:sz w:val="19"/>
                <w:szCs w:val="19"/>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6,338</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6,713</w:t>
            </w:r>
          </w:p>
        </w:tc>
        <w:tc>
          <w:tcPr>
            <w:tcW w:w="260" w:type="dxa"/>
            <w:vAlign w:val="bottom"/>
            <w:shd w:val="clear" w:color="auto" w:fill="CCECFF"/>
          </w:tcPr>
          <w:p>
            <w:pPr>
              <w:spacing w:after="0"/>
              <w:rPr>
                <w:sz w:val="19"/>
                <w:szCs w:val="19"/>
                <w:color w:val="auto"/>
              </w:rPr>
            </w:pP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106%</w:t>
            </w:r>
          </w:p>
        </w:tc>
      </w:tr>
      <w:tr>
        <w:trPr>
          <w:trHeight w:val="223"/>
        </w:trPr>
        <w:tc>
          <w:tcPr>
            <w:tcW w:w="36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540" w:type="dxa"/>
            <w:vAlign w:val="bottom"/>
          </w:tcPr>
          <w:p>
            <w:pPr>
              <w:spacing w:after="0"/>
              <w:rPr>
                <w:sz w:val="19"/>
                <w:szCs w:val="19"/>
                <w:color w:val="auto"/>
              </w:rPr>
            </w:pPr>
          </w:p>
        </w:tc>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68,121</w:t>
            </w:r>
          </w:p>
        </w:tc>
        <w:tc>
          <w:tcPr>
            <w:tcW w:w="260" w:type="dxa"/>
            <w:vAlign w:val="bottom"/>
          </w:tcPr>
          <w:p>
            <w:pPr>
              <w:spacing w:after="0"/>
              <w:rPr>
                <w:sz w:val="19"/>
                <w:szCs w:val="19"/>
                <w:color w:val="auto"/>
              </w:rPr>
            </w:pP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35,234</w:t>
            </w:r>
          </w:p>
        </w:tc>
        <w:tc>
          <w:tcPr>
            <w:tcW w:w="260" w:type="dxa"/>
            <w:vAlign w:val="bottom"/>
            <w:gridSpan w:val="2"/>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32,887</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0"/>
        </w:trPr>
        <w:tc>
          <w:tcPr>
            <w:tcW w:w="3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increases of $16.1 million and $47.6 million in profit sharing and royalty revenue from our collaboration and license agreement with KKC for the three and nine months ended September 30, 2019, respectively, compared to the same periods in 2018, were as a result of the approval of Crysvita in Europe in November 2017 and in the U.S. in April 2018.</w:t>
      </w:r>
    </w:p>
    <w:p>
      <w:pPr>
        <w:spacing w:after="0" w:line="33"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decreases of $3.5 million and $21.5 million in collaboration and license revenue from our research arrangement with Bayer for the three and nine months ended September 30, 2019, respectively, compared to the same periods in 2018, were due to the transition of the clinical development to Bayer as part of the research arrangement.</w:t>
      </w:r>
    </w:p>
    <w:p>
      <w:pPr>
        <w:spacing w:after="0" w:line="3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increases in product sales of $1.5 million and $6.7 million for the three and nine months ended September 30, 2019 compared to the same periods in 2018 were primarily due to the approval of our products resulting in an increase in sales in the U.S. and increase in sales of certain products under our named patient program in certain countries.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93"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Cost of Sales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56"/>
        </w:trPr>
        <w:tc>
          <w:tcPr>
            <w:tcW w:w="2560" w:type="dxa"/>
            <w:vAlign w:val="bottom"/>
            <w:tcBorders>
              <w:bottom w:val="single" w:sz="8" w:color="CCECFF"/>
            </w:tcBorders>
          </w:tcPr>
          <w:p>
            <w:pPr>
              <w:spacing w:after="0"/>
              <w:rPr>
                <w:sz w:val="13"/>
                <w:szCs w:val="13"/>
                <w:color w:val="auto"/>
              </w:rPr>
            </w:pPr>
          </w:p>
        </w:tc>
        <w:tc>
          <w:tcPr>
            <w:tcW w:w="1660" w:type="dxa"/>
            <w:vAlign w:val="bottom"/>
            <w:tcBorders>
              <w:bottom w:val="single" w:sz="8" w:color="CCECFF"/>
            </w:tcBorders>
          </w:tcPr>
          <w:p>
            <w:pPr>
              <w:spacing w:after="0"/>
              <w:rPr>
                <w:sz w:val="13"/>
                <w:szCs w:val="13"/>
                <w:color w:val="auto"/>
              </w:rPr>
            </w:pPr>
          </w:p>
        </w:tc>
        <w:tc>
          <w:tcPr>
            <w:tcW w:w="9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04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2560" w:type="dxa"/>
            <w:vAlign w:val="bottom"/>
            <w:shd w:val="clear" w:color="auto" w:fill="CCECFF"/>
          </w:tcPr>
          <w:p>
            <w:pPr>
              <w:spacing w:after="0"/>
              <w:rPr>
                <w:sz w:val="20"/>
                <w:szCs w:val="20"/>
                <w:color w:val="auto"/>
              </w:rPr>
            </w:pPr>
            <w:r>
              <w:rPr>
                <w:rFonts w:ascii="Arial" w:cs="Arial" w:eastAsia="Arial" w:hAnsi="Arial"/>
                <w:sz w:val="18"/>
                <w:szCs w:val="18"/>
                <w:color w:val="auto"/>
              </w:rPr>
              <w:t>Cost of sales</w:t>
            </w:r>
          </w:p>
        </w:tc>
        <w:tc>
          <w:tcPr>
            <w:tcW w:w="1660" w:type="dxa"/>
            <w:vAlign w:val="bottom"/>
            <w:shd w:val="clear" w:color="auto" w:fill="CCECFF"/>
          </w:tcPr>
          <w:p>
            <w:pPr>
              <w:spacing w:after="0"/>
              <w:rPr>
                <w:sz w:val="19"/>
                <w:szCs w:val="19"/>
                <w:color w:val="auto"/>
              </w:rPr>
            </w:pPr>
          </w:p>
        </w:tc>
        <w:tc>
          <w:tcPr>
            <w:tcW w:w="900" w:type="dxa"/>
            <w:vAlign w:val="bottom"/>
            <w:shd w:val="clear" w:color="auto" w:fill="CCECFF"/>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2,683</w:t>
            </w:r>
          </w:p>
        </w:tc>
        <w:tc>
          <w:tcPr>
            <w:tcW w:w="260" w:type="dxa"/>
            <w:vAlign w:val="bottom"/>
            <w:shd w:val="clear" w:color="auto" w:fill="CCECFF"/>
          </w:tcPr>
          <w:p>
            <w:pPr>
              <w:spacing w:after="0"/>
              <w:rPr>
                <w:sz w:val="19"/>
                <w:szCs w:val="19"/>
                <w:color w:val="auto"/>
              </w:rPr>
            </w:pPr>
          </w:p>
        </w:tc>
        <w:tc>
          <w:tcPr>
            <w:tcW w:w="1040" w:type="dxa"/>
            <w:vAlign w:val="bottom"/>
            <w:shd w:val="clear" w:color="auto" w:fill="CCECFF"/>
          </w:tcPr>
          <w:p>
            <w:pPr>
              <w:jc w:val="right"/>
              <w:ind w:right="88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2,410</w:t>
            </w:r>
          </w:p>
        </w:tc>
        <w:tc>
          <w:tcPr>
            <w:tcW w:w="26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883%</w:t>
            </w:r>
          </w:p>
        </w:tc>
      </w:tr>
      <w:tr>
        <w:trPr>
          <w:trHeight w:val="446"/>
        </w:trPr>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r>
      <w:tr>
        <w:trPr>
          <w:trHeight w:val="156"/>
        </w:trPr>
        <w:tc>
          <w:tcPr>
            <w:tcW w:w="2560" w:type="dxa"/>
            <w:vAlign w:val="bottom"/>
            <w:tcBorders>
              <w:bottom w:val="single" w:sz="8" w:color="CCECFF"/>
            </w:tcBorders>
          </w:tcPr>
          <w:p>
            <w:pPr>
              <w:spacing w:after="0"/>
              <w:rPr>
                <w:sz w:val="13"/>
                <w:szCs w:val="13"/>
                <w:color w:val="auto"/>
              </w:rPr>
            </w:pPr>
          </w:p>
        </w:tc>
        <w:tc>
          <w:tcPr>
            <w:tcW w:w="1660" w:type="dxa"/>
            <w:vAlign w:val="bottom"/>
            <w:tcBorders>
              <w:bottom w:val="single" w:sz="8" w:color="CCECFF"/>
            </w:tcBorders>
          </w:tcPr>
          <w:p>
            <w:pPr>
              <w:spacing w:after="0"/>
              <w:rPr>
                <w:sz w:val="13"/>
                <w:szCs w:val="13"/>
                <w:color w:val="auto"/>
              </w:rPr>
            </w:pPr>
          </w:p>
        </w:tc>
        <w:tc>
          <w:tcPr>
            <w:tcW w:w="9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04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2560" w:type="dxa"/>
            <w:vAlign w:val="bottom"/>
            <w:shd w:val="clear" w:color="auto" w:fill="CCECFF"/>
          </w:tcPr>
          <w:p>
            <w:pPr>
              <w:spacing w:after="0"/>
              <w:rPr>
                <w:sz w:val="20"/>
                <w:szCs w:val="20"/>
                <w:color w:val="auto"/>
              </w:rPr>
            </w:pPr>
            <w:r>
              <w:rPr>
                <w:rFonts w:ascii="Arial" w:cs="Arial" w:eastAsia="Arial" w:hAnsi="Arial"/>
                <w:sz w:val="18"/>
                <w:szCs w:val="18"/>
                <w:color w:val="auto"/>
              </w:rPr>
              <w:t>Cost of sales</w:t>
            </w:r>
          </w:p>
        </w:tc>
        <w:tc>
          <w:tcPr>
            <w:tcW w:w="1660" w:type="dxa"/>
            <w:vAlign w:val="bottom"/>
            <w:shd w:val="clear" w:color="auto" w:fill="CCECFF"/>
          </w:tcPr>
          <w:p>
            <w:pPr>
              <w:spacing w:after="0"/>
              <w:rPr>
                <w:sz w:val="19"/>
                <w:szCs w:val="19"/>
                <w:color w:val="auto"/>
              </w:rPr>
            </w:pPr>
          </w:p>
        </w:tc>
        <w:tc>
          <w:tcPr>
            <w:tcW w:w="900" w:type="dxa"/>
            <w:vAlign w:val="bottom"/>
            <w:shd w:val="clear" w:color="auto" w:fill="CCECFF"/>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3,901</w:t>
            </w:r>
          </w:p>
        </w:tc>
        <w:tc>
          <w:tcPr>
            <w:tcW w:w="260" w:type="dxa"/>
            <w:vAlign w:val="bottom"/>
            <w:shd w:val="clear" w:color="auto" w:fill="CCECFF"/>
          </w:tcPr>
          <w:p>
            <w:pPr>
              <w:spacing w:after="0"/>
              <w:rPr>
                <w:sz w:val="19"/>
                <w:szCs w:val="19"/>
                <w:color w:val="auto"/>
              </w:rPr>
            </w:pPr>
          </w:p>
        </w:tc>
        <w:tc>
          <w:tcPr>
            <w:tcW w:w="1040" w:type="dxa"/>
            <w:vAlign w:val="bottom"/>
            <w:shd w:val="clear" w:color="auto" w:fill="CCECFF"/>
          </w:tcPr>
          <w:p>
            <w:pPr>
              <w:jc w:val="right"/>
              <w:ind w:right="88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639</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3,262</w:t>
            </w:r>
          </w:p>
        </w:tc>
        <w:tc>
          <w:tcPr>
            <w:tcW w:w="26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510%</w:t>
            </w:r>
          </w:p>
        </w:tc>
      </w:tr>
    </w:tbl>
    <w:p>
      <w:pPr>
        <w:spacing w:after="0" w:line="22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recognized increases of $2.4 million and $3.3 million in cost of sales related to our approved products for the three and nine months ended September 30, 2019, compared to the same periods in 2018. The increases were primarily due to the commercialization of our approved products, capitalization of manufacturing and related costs which were previously expensed prior to approval, and an additional reserve on inventory of $1.9 million for the three and nine months ended September 30, 2019 for an inventory batch which did not meet our quality standards. The cost of sales included a reserve for excess inventory of $0.2 million for the three and nine months ended September 30, 2018. Prior to the approval of our approved products, manufacturing and related costs were expensed; accordingly, these costs were not capitalized and as a result are not fully reflected in the costs of sales during the current period. If manufacturing and related costs were capitalized prior to the approval period, we estimate that cost of sales for the three and nine months ended September 30, 2019 would have been approximately $2.7 million and $4.4 million, respectively, and for the three and nine months ended September 30, 2018 would have been approximately $0.4 million and $1.3 million, respectively, for our commercial product sales. These estimates included the additional $1.9 million of reserves on inventory for the three and nine months ended September 30, 2019, and $0.2 million of reserves on inventory for the three and nine months ended September 30, 2018. We expect our gross margin percentage to decrease as we produce Mepsevii at costs that reflect the full costs of manufacturing similar biologic products and as we deplete inventories that we had expensed prior to receiving FDA approval.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 (dollars in thousands)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Dollar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56"/>
        </w:trPr>
        <w:tc>
          <w:tcPr>
            <w:tcW w:w="420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3"/>
              <w:spacing w:after="0" w:line="155" w:lineRule="exact"/>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CCECFF"/>
            </w:tcBorders>
          </w:tcPr>
          <w:p>
            <w:pPr>
              <w:spacing w:after="0"/>
              <w:rPr>
                <w:sz w:val="13"/>
                <w:szCs w:val="13"/>
                <w:color w:val="auto"/>
              </w:rPr>
            </w:pPr>
          </w:p>
        </w:tc>
        <w:tc>
          <w:tcPr>
            <w:tcW w:w="12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4200" w:type="dxa"/>
            <w:vAlign w:val="bottom"/>
            <w:shd w:val="clear" w:color="auto" w:fill="CCECFF"/>
          </w:tcPr>
          <w:p>
            <w:pPr>
              <w:ind w:left="500"/>
              <w:spacing w:after="0"/>
              <w:rPr>
                <w:sz w:val="20"/>
                <w:szCs w:val="20"/>
                <w:color w:val="auto"/>
              </w:rPr>
            </w:pPr>
            <w:r>
              <w:rPr>
                <w:rFonts w:ascii="Arial" w:cs="Arial" w:eastAsia="Arial" w:hAnsi="Arial"/>
                <w:sz w:val="18"/>
                <w:szCs w:val="18"/>
                <w:color w:val="auto"/>
              </w:rPr>
              <w:t>Crysvita</w:t>
            </w:r>
          </w:p>
        </w:tc>
        <w:tc>
          <w:tcPr>
            <w:tcW w:w="180" w:type="dxa"/>
            <w:vAlign w:val="bottom"/>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8,814</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11,358</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(2,544)</w:t>
            </w:r>
          </w:p>
        </w:tc>
        <w:tc>
          <w:tcPr>
            <w:tcW w:w="24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Mepsevii</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(2,063)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4200" w:type="dxa"/>
            <w:vAlign w:val="bottom"/>
            <w:shd w:val="clear" w:color="auto" w:fill="CCECFF"/>
          </w:tcPr>
          <w:p>
            <w:pPr>
              <w:ind w:left="500"/>
              <w:spacing w:after="0"/>
              <w:rPr>
                <w:sz w:val="20"/>
                <w:szCs w:val="20"/>
                <w:color w:val="auto"/>
              </w:rPr>
            </w:pPr>
            <w:r>
              <w:rPr>
                <w:rFonts w:ascii="Arial" w:cs="Arial" w:eastAsia="Arial" w:hAnsi="Arial"/>
                <w:sz w:val="18"/>
                <w:szCs w:val="18"/>
                <w:color w:val="auto"/>
              </w:rPr>
              <w:t>UX007</w:t>
            </w:r>
          </w:p>
        </w:tc>
        <w:tc>
          <w:tcPr>
            <w:tcW w:w="18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11,428</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10,793</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DTX301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7,192</w:t>
            </w:r>
          </w:p>
        </w:tc>
        <w:tc>
          <w:tcPr>
            <w:tcW w:w="2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r>
      <w:tr>
        <w:trPr>
          <w:trHeight w:val="230"/>
        </w:trPr>
        <w:tc>
          <w:tcPr>
            <w:tcW w:w="4200" w:type="dxa"/>
            <w:vAlign w:val="bottom"/>
            <w:shd w:val="clear" w:color="auto" w:fill="CCECFF"/>
          </w:tcPr>
          <w:p>
            <w:pPr>
              <w:ind w:left="500"/>
              <w:spacing w:after="0"/>
              <w:rPr>
                <w:sz w:val="20"/>
                <w:szCs w:val="20"/>
                <w:color w:val="auto"/>
              </w:rPr>
            </w:pPr>
            <w:r>
              <w:rPr>
                <w:rFonts w:ascii="Arial" w:cs="Arial" w:eastAsia="Arial" w:hAnsi="Arial"/>
                <w:sz w:val="18"/>
                <w:szCs w:val="18"/>
                <w:color w:val="auto"/>
              </w:rPr>
              <w:t>DTX401</w:t>
            </w:r>
          </w:p>
        </w:tc>
        <w:tc>
          <w:tcPr>
            <w:tcW w:w="18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7,985</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3,549</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4,436</w:t>
            </w:r>
          </w:p>
        </w:tc>
        <w:tc>
          <w:tcPr>
            <w:tcW w:w="24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125%</w:t>
            </w: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DTX201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(4,078)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30"/>
        </w:trPr>
        <w:tc>
          <w:tcPr>
            <w:tcW w:w="4200" w:type="dxa"/>
            <w:vAlign w:val="bottom"/>
            <w:shd w:val="clear" w:color="auto" w:fill="CCECFF"/>
          </w:tcPr>
          <w:p>
            <w:pPr>
              <w:ind w:left="500"/>
              <w:spacing w:after="0"/>
              <w:rPr>
                <w:sz w:val="20"/>
                <w:szCs w:val="20"/>
                <w:color w:val="auto"/>
              </w:rPr>
            </w:pPr>
            <w:r>
              <w:rPr>
                <w:rFonts w:ascii="Arial" w:cs="Arial" w:eastAsia="Arial" w:hAnsi="Arial"/>
                <w:sz w:val="18"/>
                <w:szCs w:val="18"/>
                <w:color w:val="auto"/>
              </w:rPr>
              <w:t>Translational Research</w:t>
            </w:r>
          </w:p>
        </w:tc>
        <w:tc>
          <w:tcPr>
            <w:tcW w:w="18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12,893</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8,417</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4,476</w:t>
            </w:r>
          </w:p>
        </w:tc>
        <w:tc>
          <w:tcPr>
            <w:tcW w:w="24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4200" w:type="dxa"/>
            <w:vAlign w:val="bottom"/>
            <w:tcBorders>
              <w:bottom w:val="single" w:sz="8" w:color="CCECFF"/>
            </w:tcBorders>
          </w:tcPr>
          <w:p>
            <w:pPr>
              <w:ind w:left="500"/>
              <w:spacing w:after="0"/>
              <w:rPr>
                <w:sz w:val="20"/>
                <w:szCs w:val="20"/>
                <w:color w:val="auto"/>
              </w:rPr>
            </w:pPr>
            <w:r>
              <w:rPr>
                <w:rFonts w:ascii="Arial" w:cs="Arial" w:eastAsia="Arial" w:hAnsi="Arial"/>
                <w:sz w:val="18"/>
                <w:szCs w:val="18"/>
                <w:color w:val="auto"/>
              </w:rPr>
              <w:t>Other research costs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43,329</w:t>
            </w:r>
          </w:p>
        </w:tc>
        <w:tc>
          <w:tcPr>
            <w:tcW w:w="24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21,280</w:t>
            </w:r>
          </w:p>
        </w:tc>
        <w:tc>
          <w:tcPr>
            <w:tcW w:w="24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22,049</w:t>
            </w:r>
          </w:p>
        </w:tc>
        <w:tc>
          <w:tcPr>
            <w:tcW w:w="240" w:type="dxa"/>
            <w:vAlign w:val="bottom"/>
            <w:tcBorders>
              <w:bottom w:val="single" w:sz="8" w:color="CCECFF"/>
            </w:tcBorders>
          </w:tcPr>
          <w:p>
            <w:pPr>
              <w:spacing w:after="0"/>
              <w:rPr>
                <w:sz w:val="19"/>
                <w:szCs w:val="19"/>
                <w:color w:val="auto"/>
              </w:rPr>
            </w:pPr>
          </w:p>
        </w:tc>
        <w:tc>
          <w:tcPr>
            <w:tcW w:w="146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23"/>
        </w:trPr>
        <w:tc>
          <w:tcPr>
            <w:tcW w:w="42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100,144</w:t>
            </w:r>
          </w:p>
        </w:tc>
        <w:tc>
          <w:tcPr>
            <w:tcW w:w="2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70,041</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30,103</w:t>
            </w:r>
          </w:p>
        </w:tc>
        <w:tc>
          <w:tcPr>
            <w:tcW w:w="240" w:type="dxa"/>
            <w:vAlign w:val="bottom"/>
            <w:tcBorders>
              <w:bottom w:val="single" w:sz="8" w:color="CCECFF"/>
            </w:tcBorders>
            <w:shd w:val="clear" w:color="auto" w:fill="CCECFF"/>
          </w:tcPr>
          <w:p>
            <w:pPr>
              <w:spacing w:after="0"/>
              <w:rPr>
                <w:sz w:val="19"/>
                <w:szCs w:val="19"/>
                <w:color w:val="auto"/>
              </w:rPr>
            </w:pPr>
          </w:p>
        </w:tc>
        <w:tc>
          <w:tcPr>
            <w:tcW w:w="146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43%</w:t>
            </w: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8"/>
              </w:rPr>
              <w:t>Nine Months Ended September 30,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Dollar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r>
      <w:tr>
        <w:trPr>
          <w:trHeight w:val="156"/>
        </w:trPr>
        <w:tc>
          <w:tcPr>
            <w:tcW w:w="420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3"/>
              <w:spacing w:after="0" w:line="155" w:lineRule="exact"/>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CCECFF"/>
            </w:tcBorders>
          </w:tcPr>
          <w:p>
            <w:pPr>
              <w:spacing w:after="0"/>
              <w:rPr>
                <w:sz w:val="13"/>
                <w:szCs w:val="13"/>
                <w:color w:val="auto"/>
              </w:rPr>
            </w:pPr>
          </w:p>
        </w:tc>
        <w:tc>
          <w:tcPr>
            <w:tcW w:w="12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4200" w:type="dxa"/>
            <w:vAlign w:val="bottom"/>
            <w:shd w:val="clear" w:color="auto" w:fill="CCECFF"/>
          </w:tcPr>
          <w:p>
            <w:pPr>
              <w:ind w:left="500"/>
              <w:spacing w:after="0"/>
              <w:rPr>
                <w:sz w:val="20"/>
                <w:szCs w:val="20"/>
                <w:color w:val="auto"/>
              </w:rPr>
            </w:pPr>
            <w:r>
              <w:rPr>
                <w:rFonts w:ascii="Arial" w:cs="Arial" w:eastAsia="Arial" w:hAnsi="Arial"/>
                <w:sz w:val="18"/>
                <w:szCs w:val="18"/>
                <w:color w:val="auto"/>
              </w:rPr>
              <w:t>Crysvita</w:t>
            </w:r>
          </w:p>
        </w:tc>
        <w:tc>
          <w:tcPr>
            <w:tcW w:w="180" w:type="dxa"/>
            <w:vAlign w:val="bottom"/>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29,345</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34,618</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(5,273)</w:t>
            </w:r>
          </w:p>
        </w:tc>
        <w:tc>
          <w:tcPr>
            <w:tcW w:w="24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Mepsevii</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13,660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(5,771)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4200" w:type="dxa"/>
            <w:vAlign w:val="bottom"/>
            <w:shd w:val="clear" w:color="auto" w:fill="CCECFF"/>
          </w:tcPr>
          <w:p>
            <w:pPr>
              <w:ind w:left="500"/>
              <w:spacing w:after="0"/>
              <w:rPr>
                <w:sz w:val="20"/>
                <w:szCs w:val="20"/>
                <w:color w:val="auto"/>
              </w:rPr>
            </w:pPr>
            <w:r>
              <w:rPr>
                <w:rFonts w:ascii="Arial" w:cs="Arial" w:eastAsia="Arial" w:hAnsi="Arial"/>
                <w:sz w:val="18"/>
                <w:szCs w:val="18"/>
                <w:color w:val="auto"/>
              </w:rPr>
              <w:t>UX007</w:t>
            </w:r>
          </w:p>
        </w:tc>
        <w:tc>
          <w:tcPr>
            <w:tcW w:w="18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34,203</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34,085</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0%</w:t>
            </w: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DTX301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18,864</w:t>
            </w:r>
          </w:p>
        </w:tc>
        <w:tc>
          <w:tcPr>
            <w:tcW w:w="2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r>
      <w:tr>
        <w:trPr>
          <w:trHeight w:val="230"/>
        </w:trPr>
        <w:tc>
          <w:tcPr>
            <w:tcW w:w="4200" w:type="dxa"/>
            <w:vAlign w:val="bottom"/>
            <w:shd w:val="clear" w:color="auto" w:fill="CCECFF"/>
          </w:tcPr>
          <w:p>
            <w:pPr>
              <w:ind w:left="500"/>
              <w:spacing w:after="0"/>
              <w:rPr>
                <w:sz w:val="20"/>
                <w:szCs w:val="20"/>
                <w:color w:val="auto"/>
              </w:rPr>
            </w:pPr>
            <w:r>
              <w:rPr>
                <w:rFonts w:ascii="Arial" w:cs="Arial" w:eastAsia="Arial" w:hAnsi="Arial"/>
                <w:sz w:val="18"/>
                <w:szCs w:val="18"/>
                <w:color w:val="auto"/>
              </w:rPr>
              <w:t>DTX401</w:t>
            </w:r>
          </w:p>
        </w:tc>
        <w:tc>
          <w:tcPr>
            <w:tcW w:w="18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24,378</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13,646</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10,732</w:t>
            </w:r>
          </w:p>
        </w:tc>
        <w:tc>
          <w:tcPr>
            <w:tcW w:w="24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79%</w:t>
            </w: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DTX201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(22,157)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30"/>
        </w:trPr>
        <w:tc>
          <w:tcPr>
            <w:tcW w:w="4200" w:type="dxa"/>
            <w:vAlign w:val="bottom"/>
            <w:shd w:val="clear" w:color="auto" w:fill="CCECFF"/>
          </w:tcPr>
          <w:p>
            <w:pPr>
              <w:ind w:left="500"/>
              <w:spacing w:after="0"/>
              <w:rPr>
                <w:sz w:val="20"/>
                <w:szCs w:val="20"/>
                <w:color w:val="auto"/>
              </w:rPr>
            </w:pPr>
            <w:r>
              <w:rPr>
                <w:rFonts w:ascii="Arial" w:cs="Arial" w:eastAsia="Arial" w:hAnsi="Arial"/>
                <w:sz w:val="18"/>
                <w:szCs w:val="18"/>
                <w:color w:val="auto"/>
              </w:rPr>
              <w:t>Translational Research</w:t>
            </w:r>
          </w:p>
        </w:tc>
        <w:tc>
          <w:tcPr>
            <w:tcW w:w="18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37,910</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22,016</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15,894</w:t>
            </w:r>
          </w:p>
        </w:tc>
        <w:tc>
          <w:tcPr>
            <w:tcW w:w="24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72%</w:t>
            </w:r>
          </w:p>
        </w:tc>
      </w:tr>
      <w:tr>
        <w:trPr>
          <w:trHeight w:val="230"/>
        </w:trPr>
        <w:tc>
          <w:tcPr>
            <w:tcW w:w="4200" w:type="dxa"/>
            <w:vAlign w:val="bottom"/>
            <w:tcBorders>
              <w:bottom w:val="single" w:sz="8" w:color="CCECFF"/>
            </w:tcBorders>
          </w:tcPr>
          <w:p>
            <w:pPr>
              <w:ind w:left="500"/>
              <w:spacing w:after="0"/>
              <w:rPr>
                <w:sz w:val="20"/>
                <w:szCs w:val="20"/>
                <w:color w:val="auto"/>
              </w:rPr>
            </w:pPr>
            <w:r>
              <w:rPr>
                <w:rFonts w:ascii="Arial" w:cs="Arial" w:eastAsia="Arial" w:hAnsi="Arial"/>
                <w:sz w:val="18"/>
                <w:szCs w:val="18"/>
                <w:color w:val="auto"/>
              </w:rPr>
              <w:t>Other research costs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101,998</w:t>
            </w:r>
          </w:p>
        </w:tc>
        <w:tc>
          <w:tcPr>
            <w:tcW w:w="24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62,491</w:t>
            </w:r>
          </w:p>
        </w:tc>
        <w:tc>
          <w:tcPr>
            <w:tcW w:w="24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39,507</w:t>
            </w:r>
          </w:p>
        </w:tc>
        <w:tc>
          <w:tcPr>
            <w:tcW w:w="240" w:type="dxa"/>
            <w:vAlign w:val="bottom"/>
            <w:tcBorders>
              <w:bottom w:val="single" w:sz="8" w:color="CCECFF"/>
            </w:tcBorders>
          </w:tcPr>
          <w:p>
            <w:pPr>
              <w:spacing w:after="0"/>
              <w:rPr>
                <w:sz w:val="19"/>
                <w:szCs w:val="19"/>
                <w:color w:val="auto"/>
              </w:rPr>
            </w:pPr>
          </w:p>
        </w:tc>
        <w:tc>
          <w:tcPr>
            <w:tcW w:w="146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23"/>
        </w:trPr>
        <w:tc>
          <w:tcPr>
            <w:tcW w:w="42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274,294</w:t>
            </w:r>
          </w:p>
        </w:tc>
        <w:tc>
          <w:tcPr>
            <w:tcW w:w="2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222,380</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51,914</w:t>
            </w:r>
          </w:p>
        </w:tc>
        <w:tc>
          <w:tcPr>
            <w:tcW w:w="240" w:type="dxa"/>
            <w:vAlign w:val="bottom"/>
            <w:tcBorders>
              <w:bottom w:val="single" w:sz="8" w:color="CCECFF"/>
            </w:tcBorders>
            <w:shd w:val="clear" w:color="auto" w:fill="CCECFF"/>
          </w:tcPr>
          <w:p>
            <w:pPr>
              <w:spacing w:after="0"/>
              <w:rPr>
                <w:sz w:val="19"/>
                <w:szCs w:val="19"/>
                <w:color w:val="auto"/>
              </w:rPr>
            </w:pPr>
          </w:p>
        </w:tc>
        <w:tc>
          <w:tcPr>
            <w:tcW w:w="146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23%</w:t>
            </w: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Research and development expenses increased $30.1 million and $51.9 million for the three and nine months ended September 30, 2019, respectively, compared to the same periods in 2018. The increase in research and development expenses was primarily due to:</w:t>
      </w:r>
    </w:p>
    <w:p>
      <w:pPr>
        <w:spacing w:after="0" w:line="35" w:lineRule="exact"/>
        <w:rPr>
          <w:sz w:val="20"/>
          <w:szCs w:val="20"/>
          <w:color w:val="auto"/>
        </w:rPr>
      </w:pPr>
    </w:p>
    <w:p>
      <w:pPr>
        <w:jc w:val="both"/>
        <w:ind w:left="900" w:right="80" w:hanging="379"/>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Crysvita, a decrease of $2.5 million and $5.3 million for the three and nine months ended September 30, 2019, respectively, primarily related to reduced clinical trial activity with the progressive completion of our extension studies and reduced allocation of employees and contractors to R&amp;D support activities, net of KKC reimbursement;</w:t>
      </w:r>
    </w:p>
    <w:p>
      <w:pPr>
        <w:spacing w:after="0" w:line="32"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Mepsevii, a decrease of $2.1 million and $5.8 million for the three and nine months ended September 30, 2019, respectively, primarily related to reduced clinical trial activity with the progressive completion of our extension studies;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5" w:name="page26"/>
    <w:bookmarkEnd w:id="25"/>
    <w:p>
      <w:pPr>
        <w:ind w:left="900" w:hanging="379"/>
        <w:spacing w:after="0" w:line="286"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UX007, an increase of $0.6 million and $0.1 million for the three and nine months ended September 30, 2019, respectively, primarily related to increased filing preparation and filing milestone expense for the LC-FAOD program, net of reduced clinical trial expense for the wind down of the Glut 1 program and reduced manufacturing expense due to the timing of drug substance campaigns;</w:t>
      </w:r>
    </w:p>
    <w:p>
      <w:pPr>
        <w:spacing w:after="0" w:line="16" w:lineRule="exact"/>
        <w:rPr>
          <w:rFonts w:ascii="Arial" w:cs="Arial" w:eastAsia="Arial" w:hAnsi="Arial"/>
          <w:sz w:val="17"/>
          <w:szCs w:val="17"/>
          <w:color w:val="auto"/>
        </w:rPr>
      </w:pPr>
    </w:p>
    <w:p>
      <w:pPr>
        <w:ind w:left="900" w:right="420" w:hanging="379"/>
        <w:spacing w:after="0" w:line="306"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DTX301, an increase of $7.2 million and $18.9 million for the three and nine months ended September 30, 2019, respectively, primarily related to increases in manufacturing, quality, and clinical activities in support of our Phase 1/2 clinical study;</w:t>
      </w:r>
    </w:p>
    <w:p>
      <w:pPr>
        <w:spacing w:after="0" w:line="1" w:lineRule="exact"/>
        <w:rPr>
          <w:rFonts w:ascii="Arial" w:cs="Arial" w:eastAsia="Arial" w:hAnsi="Arial"/>
          <w:sz w:val="17"/>
          <w:szCs w:val="17"/>
          <w:color w:val="auto"/>
        </w:rPr>
      </w:pPr>
    </w:p>
    <w:p>
      <w:pPr>
        <w:ind w:left="900" w:right="420" w:hanging="379"/>
        <w:spacing w:after="0" w:line="306"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DTX401, an increase of $4.4 million and $10.7 million for the three and nine months ended September 30, 2019, respectively, related to clinical manufacturing process development expense, and the progressive enrollment of our Phase 1/2 clinical study;</w:t>
      </w:r>
    </w:p>
    <w:p>
      <w:pPr>
        <w:spacing w:after="0" w:line="1" w:lineRule="exact"/>
        <w:rPr>
          <w:rFonts w:ascii="Arial" w:cs="Arial" w:eastAsia="Arial" w:hAnsi="Arial"/>
          <w:sz w:val="17"/>
          <w:szCs w:val="17"/>
          <w:color w:val="auto"/>
        </w:rPr>
      </w:pPr>
    </w:p>
    <w:p>
      <w:pPr>
        <w:ind w:left="900" w:hanging="379"/>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DTX201, a decrease of $4.1 million and $22.2 million for the three and nine months ended September 30, 2019, respectively, primarily related to the completion of clinical manufacturing and regulatory support activities for our Bayer collaboration agreement and the corresponding period decrease in intangible asset amortization;</w:t>
      </w:r>
    </w:p>
    <w:p>
      <w:pPr>
        <w:spacing w:after="0" w:line="32" w:lineRule="exact"/>
        <w:rPr>
          <w:rFonts w:ascii="Arial" w:cs="Arial" w:eastAsia="Arial" w:hAnsi="Arial"/>
          <w:sz w:val="18"/>
          <w:szCs w:val="18"/>
          <w:color w:val="auto"/>
        </w:rPr>
      </w:pPr>
    </w:p>
    <w:p>
      <w:pPr>
        <w:ind w:left="900" w:right="240" w:hanging="379"/>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translational research, an increase of $4.5 million and $15.9 million for the three and nine months ended September 30, 2019, respectively, primarily related to research, process development, and manufacturing activities, including the progression of UX701, UX053, and UX068 toward IND filings; and</w:t>
      </w:r>
    </w:p>
    <w:p>
      <w:pPr>
        <w:spacing w:after="0" w:line="32" w:lineRule="exact"/>
        <w:rPr>
          <w:rFonts w:ascii="Arial" w:cs="Arial" w:eastAsia="Arial" w:hAnsi="Arial"/>
          <w:sz w:val="18"/>
          <w:szCs w:val="18"/>
          <w:color w:val="auto"/>
        </w:rPr>
      </w:pPr>
    </w:p>
    <w:p>
      <w:pPr>
        <w:ind w:left="900" w:hanging="379"/>
        <w:spacing w:after="0" w:line="297"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other research and development costs, an increase of $22.0 million and $39.5 million for the three and nine months ended September 30, 2019, respectively, primarily due to the $20.0 million upfront payment to GeneTx in August 2019 which was recorded as in-process research and development expense, $15.6 million recorded for the consideration attributable to the amended Research Collaboration and License Agreement which was expensed in connection with the Arcturus transaction in June 2019, as well as increases in general operating and overhead expenses in support of our clinical and research program pipeline, net of reduced operating expense for terminated programs.</w:t>
      </w:r>
    </w:p>
    <w:p>
      <w:pPr>
        <w:spacing w:after="0" w:line="172"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We expect our research and development expenses to continue to increase in the future as we advance our product candidates through clinical development. The timing and amount of expenses incurred will depend largely upon the outcomes of current or future clinical studies for our product candidates as well as the related regulatory requirements, manufacturing costs, and any costs associated with the advancement of our preclinical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 (dollars in thousands)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56"/>
        </w:trPr>
        <w:tc>
          <w:tcPr>
            <w:tcW w:w="42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4220" w:type="dxa"/>
            <w:vAlign w:val="bottom"/>
            <w:shd w:val="clear" w:color="auto" w:fill="CCEC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41,006</w:t>
            </w:r>
          </w:p>
        </w:tc>
        <w:tc>
          <w:tcPr>
            <w:tcW w:w="260" w:type="dxa"/>
            <w:vAlign w:val="bottom"/>
            <w:shd w:val="clear" w:color="auto" w:fill="CCECFF"/>
          </w:tcPr>
          <w:p>
            <w:pPr>
              <w:spacing w:after="0"/>
              <w:rPr>
                <w:sz w:val="19"/>
                <w:szCs w:val="19"/>
                <w:color w:val="auto"/>
              </w:rPr>
            </w:pPr>
          </w:p>
        </w:tc>
        <w:tc>
          <w:tcPr>
            <w:tcW w:w="320" w:type="dxa"/>
            <w:vAlign w:val="bottom"/>
            <w:shd w:val="clear" w:color="auto" w:fill="CCEC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31,095</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9,911</w:t>
            </w:r>
          </w:p>
        </w:tc>
        <w:tc>
          <w:tcPr>
            <w:tcW w:w="26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32%</w:t>
            </w:r>
          </w:p>
        </w:tc>
      </w:tr>
      <w:tr>
        <w:trPr>
          <w:trHeight w:val="446"/>
        </w:trPr>
        <w:tc>
          <w:tcPr>
            <w:tcW w:w="4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r>
      <w:tr>
        <w:trPr>
          <w:trHeight w:val="156"/>
        </w:trPr>
        <w:tc>
          <w:tcPr>
            <w:tcW w:w="42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4220" w:type="dxa"/>
            <w:vAlign w:val="bottom"/>
            <w:shd w:val="clear" w:color="auto" w:fill="CCEC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119,647</w:t>
            </w:r>
          </w:p>
        </w:tc>
        <w:tc>
          <w:tcPr>
            <w:tcW w:w="260" w:type="dxa"/>
            <w:vAlign w:val="bottom"/>
            <w:shd w:val="clear" w:color="auto" w:fill="CCECFF"/>
          </w:tcPr>
          <w:p>
            <w:pPr>
              <w:spacing w:after="0"/>
              <w:rPr>
                <w:sz w:val="19"/>
                <w:szCs w:val="19"/>
                <w:color w:val="auto"/>
              </w:rPr>
            </w:pPr>
          </w:p>
        </w:tc>
        <w:tc>
          <w:tcPr>
            <w:tcW w:w="320" w:type="dxa"/>
            <w:vAlign w:val="bottom"/>
            <w:shd w:val="clear" w:color="auto" w:fill="CCEC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93,248</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26,399</w:t>
            </w:r>
          </w:p>
        </w:tc>
        <w:tc>
          <w:tcPr>
            <w:tcW w:w="26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28%</w:t>
            </w:r>
          </w:p>
        </w:tc>
      </w:tr>
    </w:tbl>
    <w:p>
      <w:pPr>
        <w:spacing w:after="0" w:line="5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Selling, general and administrative expenses increased $9.9 million and $26.4 million for the three and nine months ended September 30, 2019, respectively, compared to the same periods in 2018. The increase in selling, general and administrative expenses was primarily due to increases in personnel costs resulting from an increase in the number of employees in support of our commercial activities, stock-based compensation, commercialization costs, and professional services costs.</w:t>
      </w:r>
    </w:p>
    <w:p>
      <w:pPr>
        <w:spacing w:after="0" w:line="38"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We expect selling, general and administrative expenses to continue to increase in the future to support our organizational growth and for our expected staged build out of our commercial organization over the next several years related to our approved products and multiple clinical-stage product candidates.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(dollars in thousands)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56"/>
        </w:trPr>
        <w:tc>
          <w:tcPr>
            <w:tcW w:w="2660" w:type="dxa"/>
            <w:vAlign w:val="bottom"/>
            <w:tcBorders>
              <w:bottom w:val="single" w:sz="8" w:color="CCECFF"/>
            </w:tcBorders>
          </w:tcPr>
          <w:p>
            <w:pPr>
              <w:spacing w:after="0"/>
              <w:rPr>
                <w:sz w:val="13"/>
                <w:szCs w:val="13"/>
                <w:color w:val="auto"/>
              </w:rPr>
            </w:pPr>
          </w:p>
        </w:tc>
        <w:tc>
          <w:tcPr>
            <w:tcW w:w="1560" w:type="dxa"/>
            <w:vAlign w:val="bottom"/>
            <w:tcBorders>
              <w:bottom w:val="single" w:sz="8" w:color="CCECFF"/>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96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2660" w:type="dxa"/>
            <w:vAlign w:val="bottom"/>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1560" w:type="dxa"/>
            <w:vAlign w:val="bottom"/>
            <w:shd w:val="clear" w:color="auto" w:fill="CCECFF"/>
          </w:tcPr>
          <w:p>
            <w:pPr>
              <w:spacing w:after="0"/>
              <w:rPr>
                <w:sz w:val="19"/>
                <w:szCs w:val="19"/>
                <w:color w:val="auto"/>
              </w:rPr>
            </w:pPr>
          </w:p>
        </w:tc>
        <w:tc>
          <w:tcPr>
            <w:tcW w:w="860" w:type="dxa"/>
            <w:vAlign w:val="bottom"/>
            <w:shd w:val="clear" w:color="auto" w:fill="CCECFF"/>
          </w:tcPr>
          <w:p>
            <w:pPr>
              <w:jc w:val="right"/>
              <w:ind w:right="70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3,319</w:t>
            </w: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ind w:right="8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8"/>
              </w:rPr>
              <w:t>2,730</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22%</w:t>
            </w:r>
          </w:p>
        </w:tc>
      </w:tr>
      <w:tr>
        <w:trPr>
          <w:trHeight w:val="446"/>
        </w:trPr>
        <w:tc>
          <w:tcPr>
            <w:tcW w:w="2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r>
      <w:tr>
        <w:trPr>
          <w:trHeight w:val="156"/>
        </w:trPr>
        <w:tc>
          <w:tcPr>
            <w:tcW w:w="2660" w:type="dxa"/>
            <w:vAlign w:val="bottom"/>
            <w:tcBorders>
              <w:bottom w:val="single" w:sz="8" w:color="CCECFF"/>
            </w:tcBorders>
          </w:tcPr>
          <w:p>
            <w:pPr>
              <w:spacing w:after="0"/>
              <w:rPr>
                <w:sz w:val="13"/>
                <w:szCs w:val="13"/>
                <w:color w:val="auto"/>
              </w:rPr>
            </w:pPr>
          </w:p>
        </w:tc>
        <w:tc>
          <w:tcPr>
            <w:tcW w:w="1560" w:type="dxa"/>
            <w:vAlign w:val="bottom"/>
            <w:tcBorders>
              <w:bottom w:val="single" w:sz="8" w:color="CCECFF"/>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96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2660" w:type="dxa"/>
            <w:vAlign w:val="bottom"/>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1560" w:type="dxa"/>
            <w:vAlign w:val="bottom"/>
            <w:shd w:val="clear" w:color="auto" w:fill="CCECFF"/>
          </w:tcPr>
          <w:p>
            <w:pPr>
              <w:spacing w:after="0"/>
              <w:rPr>
                <w:sz w:val="19"/>
                <w:szCs w:val="19"/>
                <w:color w:val="auto"/>
              </w:rPr>
            </w:pPr>
          </w:p>
        </w:tc>
        <w:tc>
          <w:tcPr>
            <w:tcW w:w="860" w:type="dxa"/>
            <w:vAlign w:val="bottom"/>
            <w:shd w:val="clear" w:color="auto" w:fill="CCECFF"/>
          </w:tcPr>
          <w:p>
            <w:pPr>
              <w:jc w:val="right"/>
              <w:ind w:right="70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0"/>
              </w:rPr>
              <w:t>10,468</w:t>
            </w: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ind w:right="8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8"/>
              </w:rPr>
              <w:t>6,915</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3,553</w:t>
            </w:r>
          </w:p>
        </w:tc>
        <w:tc>
          <w:tcPr>
            <w:tcW w:w="26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51%</w:t>
            </w:r>
          </w:p>
        </w:tc>
      </w:tr>
    </w:tbl>
    <w:p>
      <w:pPr>
        <w:spacing w:after="0" w:line="53"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Interest income increased $0.6 million and $3.6 million for the three and nine months ended September 30, 2019, respectively, compared to the same periods in 2018, primarily due to an increase in the balance of our invested funds and due to an increase in yields on our investment portfolio.</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Gain from Sale of Priority Review Voucher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r>
      <w:tr>
        <w:trPr>
          <w:trHeight w:val="156"/>
        </w:trPr>
        <w:tc>
          <w:tcPr>
            <w:tcW w:w="3600" w:type="dxa"/>
            <w:vAlign w:val="bottom"/>
            <w:tcBorders>
              <w:bottom w:val="single" w:sz="8" w:color="CCECFF"/>
            </w:tcBorders>
          </w:tcPr>
          <w:p>
            <w:pPr>
              <w:spacing w:after="0"/>
              <w:rPr>
                <w:sz w:val="13"/>
                <w:szCs w:val="13"/>
                <w:color w:val="auto"/>
              </w:rPr>
            </w:pPr>
          </w:p>
        </w:tc>
        <w:tc>
          <w:tcPr>
            <w:tcW w:w="540" w:type="dxa"/>
            <w:vAlign w:val="bottom"/>
            <w:tcBorders>
              <w:bottom w:val="single" w:sz="8" w:color="CCECFF"/>
            </w:tcBorders>
          </w:tcPr>
          <w:p>
            <w:pPr>
              <w:spacing w:after="0"/>
              <w:rPr>
                <w:sz w:val="13"/>
                <w:szCs w:val="13"/>
                <w:color w:val="auto"/>
              </w:rPr>
            </w:pPr>
          </w:p>
        </w:tc>
        <w:tc>
          <w:tcPr>
            <w:tcW w:w="98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CFF"/>
            </w:tcBorders>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Change</w:t>
            </w:r>
          </w:p>
        </w:tc>
        <w:tc>
          <w:tcPr>
            <w:tcW w:w="360" w:type="dxa"/>
            <w:vAlign w:val="bottom"/>
            <w:tcBorders>
              <w:bottom w:val="single" w:sz="8" w:color="CCECFF"/>
            </w:tcBorders>
          </w:tcPr>
          <w:p>
            <w:pPr>
              <w:spacing w:after="0"/>
              <w:rPr>
                <w:sz w:val="13"/>
                <w:szCs w:val="13"/>
                <w:color w:val="auto"/>
              </w:rPr>
            </w:pPr>
          </w:p>
        </w:tc>
      </w:tr>
      <w:tr>
        <w:trPr>
          <w:trHeight w:val="223"/>
        </w:trPr>
        <w:tc>
          <w:tcPr>
            <w:tcW w:w="3600" w:type="dxa"/>
            <w:vAlign w:val="bottom"/>
            <w:shd w:val="clear" w:color="auto" w:fill="CCECFF"/>
          </w:tcPr>
          <w:p>
            <w:pPr>
              <w:spacing w:after="0"/>
              <w:rPr>
                <w:sz w:val="20"/>
                <w:szCs w:val="20"/>
                <w:color w:val="auto"/>
              </w:rPr>
            </w:pPr>
            <w:r>
              <w:rPr>
                <w:rFonts w:ascii="Arial" w:cs="Arial" w:eastAsia="Arial" w:hAnsi="Arial"/>
                <w:sz w:val="18"/>
                <w:szCs w:val="18"/>
                <w:color w:val="auto"/>
              </w:rPr>
              <w:t>Gain from sale of priority review vouchers</w:t>
            </w:r>
          </w:p>
        </w:tc>
        <w:tc>
          <w:tcPr>
            <w:tcW w:w="540" w:type="dxa"/>
            <w:vAlign w:val="bottom"/>
            <w:shd w:val="clear" w:color="auto" w:fill="CCECFF"/>
          </w:tcPr>
          <w:p>
            <w:pPr>
              <w:spacing w:after="0"/>
              <w:rPr>
                <w:sz w:val="19"/>
                <w:szCs w:val="19"/>
                <w:color w:val="auto"/>
              </w:rPr>
            </w:pPr>
          </w:p>
        </w:tc>
        <w:tc>
          <w:tcPr>
            <w:tcW w:w="980" w:type="dxa"/>
            <w:vAlign w:val="bottom"/>
            <w:shd w:val="clear" w:color="auto" w:fill="CCECFF"/>
          </w:tcPr>
          <w:p>
            <w:pPr>
              <w:jc w:val="right"/>
              <w:ind w:right="82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CFF"/>
          </w:tcPr>
          <w:p>
            <w:pPr>
              <w:ind w:left="1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170,322</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(170,322)</w:t>
            </w:r>
          </w:p>
        </w:tc>
        <w:tc>
          <w:tcPr>
            <w:tcW w:w="260" w:type="dxa"/>
            <w:vAlign w:val="bottom"/>
            <w:shd w:val="clear" w:color="auto" w:fill="CCECFF"/>
          </w:tcPr>
          <w:p>
            <w:pPr>
              <w:spacing w:after="0"/>
              <w:rPr>
                <w:sz w:val="19"/>
                <w:szCs w:val="19"/>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-100%</w:t>
            </w:r>
          </w:p>
        </w:tc>
      </w:tr>
    </w:tbl>
    <w:p>
      <w:pPr>
        <w:spacing w:after="0" w:line="67" w:lineRule="exact"/>
        <w:rPr>
          <w:sz w:val="20"/>
          <w:szCs w:val="20"/>
          <w:color w:val="auto"/>
        </w:rPr>
      </w:pPr>
    </w:p>
    <w:p>
      <w:pPr>
        <w:jc w:val="both"/>
        <w:ind w:right="320" w:firstLine="518"/>
        <w:spacing w:after="0" w:line="286" w:lineRule="auto"/>
        <w:rPr>
          <w:sz w:val="20"/>
          <w:szCs w:val="20"/>
          <w:color w:val="auto"/>
        </w:rPr>
      </w:pPr>
      <w:r>
        <w:rPr>
          <w:rFonts w:ascii="Arial" w:cs="Arial" w:eastAsia="Arial" w:hAnsi="Arial"/>
          <w:sz w:val="17"/>
          <w:szCs w:val="17"/>
          <w:color w:val="auto"/>
        </w:rPr>
        <w:t>The gain from the sale of the PRVs of $170.3 million for the nine months ended September 30, 2018 was due to the completion of the sales of the PRVs we received from the FDA in connection with the approval of Crysvita and Mepsevii. The Crysvita PRV was sold in April 2018 for net proceeds of $80.6 million, which was shared equally with KKC, and the Mepsevii PRV was sold in January 2018 for net proceeds of $130.0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 Arcturus Equity Securities (dollars in thousands)</w:t>
      </w:r>
    </w:p>
    <w:p>
      <w:pPr>
        <w:spacing w:after="0" w:line="7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increase of our investment in Arcturus equity securities of $2.2 million and $12.0 million and for the three and nine months ended September 30, 2019 was due to the initial fair value at the time of our purchase of Arcturus common stock and option to purchase additional Arcturus stock on June 18, 2019 and the remeasurement of these securities at fair value at September 30, 2019. Given the historic volatility of the publicly traded stock price of Arcturus, the fair value adjustments of our investments in Arcturus may be subject to wide fluctuations which may have a significant impact on our earnings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(dollars in thousands)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80" w:type="dxa"/>
            <w:vAlign w:val="bottom"/>
            <w:gridSpan w:val="10"/>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right"/>
              <w:ind w:right="44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56"/>
        </w:trPr>
        <w:tc>
          <w:tcPr>
            <w:tcW w:w="2600" w:type="dxa"/>
            <w:vAlign w:val="bottom"/>
            <w:tcBorders>
              <w:bottom w:val="single" w:sz="8" w:color="CCECFF"/>
            </w:tcBorders>
          </w:tcPr>
          <w:p>
            <w:pPr>
              <w:spacing w:after="0"/>
              <w:rPr>
                <w:sz w:val="13"/>
                <w:szCs w:val="13"/>
                <w:color w:val="auto"/>
              </w:rPr>
            </w:pPr>
          </w:p>
        </w:tc>
        <w:tc>
          <w:tcPr>
            <w:tcW w:w="1560" w:type="dxa"/>
            <w:vAlign w:val="bottom"/>
            <w:tcBorders>
              <w:bottom w:val="single" w:sz="8" w:color="CCECFF"/>
            </w:tcBorders>
          </w:tcPr>
          <w:p>
            <w:pPr>
              <w:spacing w:after="0"/>
              <w:rPr>
                <w:sz w:val="13"/>
                <w:szCs w:val="13"/>
                <w:color w:val="auto"/>
              </w:rPr>
            </w:pPr>
          </w:p>
        </w:tc>
        <w:tc>
          <w:tcPr>
            <w:tcW w:w="60" w:type="dxa"/>
            <w:vAlign w:val="bottom"/>
            <w:tcBorders>
              <w:bottom w:val="single" w:sz="8" w:color="CCEC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CECFF"/>
            </w:tcBorders>
          </w:tcPr>
          <w:p>
            <w:pPr>
              <w:spacing w:after="0"/>
              <w:rPr>
                <w:sz w:val="13"/>
                <w:szCs w:val="13"/>
                <w:color w:val="auto"/>
              </w:rPr>
            </w:pPr>
          </w:p>
        </w:tc>
        <w:tc>
          <w:tcPr>
            <w:tcW w:w="80" w:type="dxa"/>
            <w:vAlign w:val="bottom"/>
            <w:tcBorders>
              <w:top w:val="single" w:sz="8" w:color="auto"/>
              <w:bottom w:val="single" w:sz="8" w:color="CCECFF"/>
            </w:tcBorders>
          </w:tcPr>
          <w:p>
            <w:pPr>
              <w:spacing w:after="0"/>
              <w:rPr>
                <w:sz w:val="13"/>
                <w:szCs w:val="13"/>
                <w:color w:val="auto"/>
              </w:rPr>
            </w:pPr>
          </w:p>
        </w:tc>
        <w:tc>
          <w:tcPr>
            <w:tcW w:w="6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CFF"/>
            </w:tcBorders>
            <w:gridSpan w:val="2"/>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2600" w:type="dxa"/>
            <w:vAlign w:val="bottom"/>
            <w:shd w:val="clear" w:color="auto" w:fill="CCECFF"/>
          </w:tcPr>
          <w:p>
            <w:pPr>
              <w:spacing w:after="0"/>
              <w:rPr>
                <w:sz w:val="20"/>
                <w:szCs w:val="20"/>
                <w:color w:val="auto"/>
              </w:rPr>
            </w:pPr>
            <w:r>
              <w:rPr>
                <w:rFonts w:ascii="Arial" w:cs="Arial" w:eastAsia="Arial" w:hAnsi="Arial"/>
                <w:sz w:val="18"/>
                <w:szCs w:val="18"/>
                <w:color w:val="auto"/>
              </w:rPr>
              <w:t>Other expense</w:t>
            </w:r>
          </w:p>
        </w:tc>
        <w:tc>
          <w:tcPr>
            <w:tcW w:w="1560" w:type="dxa"/>
            <w:vAlign w:val="bottom"/>
            <w:shd w:val="clear" w:color="auto" w:fill="CCECFF"/>
          </w:tcPr>
          <w:p>
            <w:pPr>
              <w:spacing w:after="0"/>
              <w:rPr>
                <w:sz w:val="19"/>
                <w:szCs w:val="19"/>
                <w:color w:val="auto"/>
              </w:rPr>
            </w:pPr>
          </w:p>
        </w:tc>
        <w:tc>
          <w:tcPr>
            <w:tcW w:w="60" w:type="dxa"/>
            <w:vAlign w:val="bottom"/>
            <w:shd w:val="clear" w:color="auto" w:fill="CCECFF"/>
          </w:tcPr>
          <w:p>
            <w:pPr>
              <w:spacing w:after="0"/>
              <w:rPr>
                <w:sz w:val="19"/>
                <w:szCs w:val="19"/>
                <w:color w:val="auto"/>
              </w:rPr>
            </w:pPr>
          </w:p>
        </w:tc>
        <w:tc>
          <w:tcPr>
            <w:tcW w:w="900" w:type="dxa"/>
            <w:vAlign w:val="bottom"/>
            <w:shd w:val="clear" w:color="auto" w:fill="CCECFF"/>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60" w:type="dxa"/>
            <w:vAlign w:val="bottom"/>
            <w:shd w:val="clear" w:color="auto" w:fill="CCECFF"/>
          </w:tcPr>
          <w:p>
            <w:pPr>
              <w:spacing w:after="0"/>
              <w:rPr>
                <w:sz w:val="19"/>
                <w:szCs w:val="19"/>
                <w:color w:val="auto"/>
              </w:rPr>
            </w:pPr>
          </w:p>
        </w:tc>
        <w:tc>
          <w:tcPr>
            <w:tcW w:w="280" w:type="dxa"/>
            <w:vAlign w:val="bottom"/>
            <w:shd w:val="clear" w:color="auto" w:fill="CCEC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80" w:type="dxa"/>
            <w:vAlign w:val="bottom"/>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CFF"/>
          </w:tcPr>
          <w:p>
            <w:pPr>
              <w:ind w:left="800"/>
              <w:spacing w:after="0"/>
              <w:rPr>
                <w:sz w:val="20"/>
                <w:szCs w:val="20"/>
                <w:color w:val="auto"/>
              </w:rPr>
            </w:pPr>
            <w:r>
              <w:rPr>
                <w:rFonts w:ascii="Arial" w:cs="Arial" w:eastAsia="Arial" w:hAnsi="Arial"/>
                <w:sz w:val="18"/>
                <w:szCs w:val="18"/>
                <w:color w:val="auto"/>
                <w:w w:val="72"/>
              </w:rPr>
              <w:t>(6)</w:t>
            </w:r>
          </w:p>
        </w:tc>
        <w:tc>
          <w:tcPr>
            <w:tcW w:w="200" w:type="dxa"/>
            <w:vAlign w:val="bottom"/>
            <w:shd w:val="clear" w:color="auto" w:fill="CCECFF"/>
          </w:tcPr>
          <w:p>
            <w:pPr>
              <w:spacing w:after="0"/>
              <w:rPr>
                <w:sz w:val="19"/>
                <w:szCs w:val="19"/>
                <w:color w:val="auto"/>
              </w:rPr>
            </w:pPr>
          </w:p>
        </w:tc>
        <w:tc>
          <w:tcPr>
            <w:tcW w:w="6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w:t>
            </w:r>
          </w:p>
        </w:tc>
      </w:tr>
      <w:tr>
        <w:trPr>
          <w:trHeight w:val="446"/>
        </w:trPr>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gridSpan w:val="10"/>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right"/>
              <w:ind w:right="48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r>
      <w:tr>
        <w:trPr>
          <w:trHeight w:val="156"/>
        </w:trPr>
        <w:tc>
          <w:tcPr>
            <w:tcW w:w="2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Change</w:t>
            </w:r>
          </w:p>
        </w:tc>
      </w:tr>
      <w:tr>
        <w:trPr>
          <w:trHeight w:val="223"/>
        </w:trPr>
        <w:tc>
          <w:tcPr>
            <w:tcW w:w="26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Other expense</w:t>
            </w:r>
          </w:p>
        </w:tc>
        <w:tc>
          <w:tcPr>
            <w:tcW w:w="1560" w:type="dxa"/>
            <w:vAlign w:val="bottom"/>
            <w:tcBorders>
              <w:top w:val="single" w:sz="8" w:color="CCECFF"/>
            </w:tcBorders>
            <w:shd w:val="clear" w:color="auto" w:fill="CCECFF"/>
          </w:tcPr>
          <w:p>
            <w:pPr>
              <w:spacing w:after="0"/>
              <w:rPr>
                <w:sz w:val="19"/>
                <w:szCs w:val="19"/>
                <w:color w:val="auto"/>
              </w:rPr>
            </w:pPr>
          </w:p>
        </w:tc>
        <w:tc>
          <w:tcPr>
            <w:tcW w:w="960" w:type="dxa"/>
            <w:vAlign w:val="bottom"/>
            <w:tcBorders>
              <w:top w:val="single" w:sz="8" w:color="auto"/>
            </w:tcBorders>
            <w:gridSpan w:val="2"/>
            <w:shd w:val="clear" w:color="auto" w:fill="CCECFF"/>
          </w:tcPr>
          <w:p>
            <w:pPr>
              <w:jc w:val="right"/>
              <w:ind w:right="78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(941)</w:t>
            </w:r>
          </w:p>
        </w:tc>
        <w:tc>
          <w:tcPr>
            <w:tcW w:w="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340" w:type="dxa"/>
            <w:vAlign w:val="bottom"/>
            <w:tcBorders>
              <w:top w:val="single" w:sz="8" w:color="auto"/>
            </w:tcBorders>
            <w:gridSpan w:val="2"/>
            <w:shd w:val="clear" w:color="auto" w:fill="CCECFF"/>
          </w:tcPr>
          <w:p>
            <w:pPr>
              <w:jc w:val="right"/>
              <w:ind w:right="16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(5,601)</w:t>
            </w:r>
          </w:p>
        </w:tc>
        <w:tc>
          <w:tcPr>
            <w:tcW w:w="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gridSpan w:val="2"/>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CFF"/>
          </w:tcPr>
          <w:p>
            <w:pPr>
              <w:ind w:left="500"/>
              <w:spacing w:after="0"/>
              <w:rPr>
                <w:sz w:val="20"/>
                <w:szCs w:val="20"/>
                <w:color w:val="auto"/>
              </w:rPr>
            </w:pPr>
            <w:r>
              <w:rPr>
                <w:rFonts w:ascii="Arial" w:cs="Arial" w:eastAsia="Arial" w:hAnsi="Arial"/>
                <w:sz w:val="18"/>
                <w:szCs w:val="18"/>
                <w:color w:val="auto"/>
                <w:w w:val="88"/>
              </w:rPr>
              <w:t>4,660</w:t>
            </w:r>
          </w:p>
        </w:tc>
        <w:tc>
          <w:tcPr>
            <w:tcW w:w="6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CCECFF"/>
            </w:tcBorders>
            <w:shd w:val="clear" w:color="auto" w:fill="CCECFF"/>
          </w:tcPr>
          <w:p>
            <w:pPr>
              <w:spacing w:after="0"/>
              <w:rPr>
                <w:sz w:val="19"/>
                <w:szCs w:val="19"/>
                <w:color w:val="auto"/>
              </w:rPr>
            </w:pPr>
          </w:p>
        </w:tc>
        <w:tc>
          <w:tcPr>
            <w:tcW w:w="60" w:type="dxa"/>
            <w:vAlign w:val="bottom"/>
            <w:tcBorders>
              <w:top w:val="single" w:sz="8" w:color="auto"/>
            </w:tcBorders>
            <w:shd w:val="clear" w:color="auto" w:fill="CCECFF"/>
          </w:tcPr>
          <w:p>
            <w:pPr>
              <w:spacing w:after="0"/>
              <w:rPr>
                <w:sz w:val="19"/>
                <w:szCs w:val="19"/>
                <w:color w:val="auto"/>
              </w:rPr>
            </w:pPr>
          </w:p>
        </w:tc>
        <w:tc>
          <w:tcPr>
            <w:tcW w:w="1320" w:type="dxa"/>
            <w:vAlign w:val="bottom"/>
            <w:tcBorders>
              <w:top w:val="single" w:sz="8" w:color="auto"/>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(83)%</w:t>
            </w:r>
          </w:p>
        </w:tc>
      </w:tr>
    </w:tbl>
    <w:p>
      <w:pPr>
        <w:spacing w:after="0" w:line="53"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Other expense increased by a nominal amount for the three months ended September 30, 2019 and decreased by $4.7 million for the nine months ended September 30, 2019, respectively, compared to the same periods in 2018. The expense recognized during the nine months ended September 30, 2018 was primarily due to the recognition of cumulative foreign currency translation losses related to the substantial liquidation of subsidiaries with a functional currency other than the U.S. Dollar, which did not recur in 2019. The recognized foreign currency losses from the nine months ended September 30, 2018 were substantially offset by the reclassification adjustment reported as a component of other comprehensive income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56"/>
        </w:trPr>
        <w:tc>
          <w:tcPr>
            <w:tcW w:w="3080" w:type="dxa"/>
            <w:vAlign w:val="bottom"/>
            <w:tcBorders>
              <w:bottom w:val="single" w:sz="8" w:color="CCECFF"/>
            </w:tcBorders>
          </w:tcPr>
          <w:p>
            <w:pPr>
              <w:spacing w:after="0"/>
              <w:rPr>
                <w:sz w:val="13"/>
                <w:szCs w:val="13"/>
                <w:color w:val="auto"/>
              </w:rPr>
            </w:pPr>
          </w:p>
        </w:tc>
        <w:tc>
          <w:tcPr>
            <w:tcW w:w="1140" w:type="dxa"/>
            <w:vAlign w:val="bottom"/>
            <w:tcBorders>
              <w:bottom w:val="single" w:sz="8" w:color="CCECFF"/>
            </w:tcBorders>
          </w:tcPr>
          <w:p>
            <w:pPr>
              <w:spacing w:after="0"/>
              <w:rPr>
                <w:sz w:val="13"/>
                <w:szCs w:val="13"/>
                <w:color w:val="auto"/>
              </w:rPr>
            </w:pPr>
          </w:p>
        </w:tc>
        <w:tc>
          <w:tcPr>
            <w:tcW w:w="94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00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3080" w:type="dxa"/>
            <w:vAlign w:val="bottom"/>
            <w:shd w:val="clear" w:color="auto" w:fill="CCECFF"/>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CECFF"/>
          </w:tcPr>
          <w:p>
            <w:pPr>
              <w:spacing w:after="0"/>
              <w:rPr>
                <w:sz w:val="19"/>
                <w:szCs w:val="19"/>
                <w:color w:val="auto"/>
              </w:rPr>
            </w:pPr>
          </w:p>
        </w:tc>
        <w:tc>
          <w:tcPr>
            <w:tcW w:w="940" w:type="dxa"/>
            <w:vAlign w:val="bottom"/>
            <w:shd w:val="clear" w:color="auto" w:fill="CCECFF"/>
          </w:tcPr>
          <w:p>
            <w:pPr>
              <w:jc w:val="right"/>
              <w:ind w:right="7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(293)</w:t>
            </w:r>
          </w:p>
        </w:tc>
        <w:tc>
          <w:tcPr>
            <w:tcW w:w="260" w:type="dxa"/>
            <w:vAlign w:val="bottom"/>
            <w:shd w:val="clear" w:color="auto" w:fill="CCECFF"/>
          </w:tcPr>
          <w:p>
            <w:pPr>
              <w:spacing w:after="0"/>
              <w:rPr>
                <w:sz w:val="19"/>
                <w:szCs w:val="19"/>
                <w:color w:val="auto"/>
              </w:rPr>
            </w:pPr>
          </w:p>
        </w:tc>
        <w:tc>
          <w:tcPr>
            <w:tcW w:w="1000" w:type="dxa"/>
            <w:vAlign w:val="bottom"/>
            <w:shd w:val="clear" w:color="auto" w:fill="CCECFF"/>
          </w:tcPr>
          <w:p>
            <w:pPr>
              <w:jc w:val="right"/>
              <w:ind w:right="8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0"/>
              </w:rPr>
              <w:t>(247)</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19%</w:t>
            </w:r>
          </w:p>
        </w:tc>
      </w:tr>
      <w:tr>
        <w:trPr>
          <w:trHeight w:val="446"/>
        </w:trPr>
        <w:tc>
          <w:tcPr>
            <w:tcW w:w="3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r>
      <w:tr>
        <w:trPr>
          <w:trHeight w:val="156"/>
        </w:trPr>
        <w:tc>
          <w:tcPr>
            <w:tcW w:w="3080" w:type="dxa"/>
            <w:vAlign w:val="bottom"/>
            <w:tcBorders>
              <w:bottom w:val="single" w:sz="8" w:color="CCECFF"/>
            </w:tcBorders>
          </w:tcPr>
          <w:p>
            <w:pPr>
              <w:spacing w:after="0"/>
              <w:rPr>
                <w:sz w:val="13"/>
                <w:szCs w:val="13"/>
                <w:color w:val="auto"/>
              </w:rPr>
            </w:pPr>
          </w:p>
        </w:tc>
        <w:tc>
          <w:tcPr>
            <w:tcW w:w="1140" w:type="dxa"/>
            <w:vAlign w:val="bottom"/>
            <w:tcBorders>
              <w:bottom w:val="single" w:sz="8" w:color="CCECFF"/>
            </w:tcBorders>
          </w:tcPr>
          <w:p>
            <w:pPr>
              <w:spacing w:after="0"/>
              <w:rPr>
                <w:sz w:val="13"/>
                <w:szCs w:val="13"/>
                <w:color w:val="auto"/>
              </w:rPr>
            </w:pPr>
          </w:p>
        </w:tc>
        <w:tc>
          <w:tcPr>
            <w:tcW w:w="94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00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CFF"/>
            </w:tcBorders>
          </w:tcPr>
          <w:p>
            <w:pPr>
              <w:spacing w:after="0"/>
              <w:rPr>
                <w:sz w:val="13"/>
                <w:szCs w:val="13"/>
                <w:color w:val="auto"/>
              </w:rPr>
            </w:pPr>
          </w:p>
        </w:tc>
      </w:tr>
      <w:tr>
        <w:trPr>
          <w:trHeight w:val="223"/>
        </w:trPr>
        <w:tc>
          <w:tcPr>
            <w:tcW w:w="3080" w:type="dxa"/>
            <w:vAlign w:val="bottom"/>
            <w:shd w:val="clear" w:color="auto" w:fill="CCECFF"/>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CECFF"/>
          </w:tcPr>
          <w:p>
            <w:pPr>
              <w:spacing w:after="0"/>
              <w:rPr>
                <w:sz w:val="19"/>
                <w:szCs w:val="19"/>
                <w:color w:val="auto"/>
              </w:rPr>
            </w:pPr>
          </w:p>
        </w:tc>
        <w:tc>
          <w:tcPr>
            <w:tcW w:w="940" w:type="dxa"/>
            <w:vAlign w:val="bottom"/>
            <w:shd w:val="clear" w:color="auto" w:fill="CCECFF"/>
          </w:tcPr>
          <w:p>
            <w:pPr>
              <w:jc w:val="right"/>
              <w:ind w:right="7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CCECFF"/>
          </w:tcPr>
          <w:p>
            <w:pPr>
              <w:spacing w:after="0"/>
              <w:rPr>
                <w:sz w:val="19"/>
                <w:szCs w:val="19"/>
                <w:color w:val="auto"/>
              </w:rPr>
            </w:pPr>
          </w:p>
        </w:tc>
        <w:tc>
          <w:tcPr>
            <w:tcW w:w="1000" w:type="dxa"/>
            <w:vAlign w:val="bottom"/>
            <w:shd w:val="clear" w:color="auto" w:fill="CCECFF"/>
          </w:tcPr>
          <w:p>
            <w:pPr>
              <w:jc w:val="right"/>
              <w:ind w:right="8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0"/>
              </w:rPr>
              <w:t>(388)</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(334)</w:t>
            </w:r>
          </w:p>
        </w:tc>
        <w:tc>
          <w:tcPr>
            <w:tcW w:w="260" w:type="dxa"/>
            <w:vAlign w:val="bottom"/>
            <w:shd w:val="clear" w:color="auto" w:fill="CCECFF"/>
          </w:tcPr>
          <w:p>
            <w:pPr>
              <w:spacing w:after="0"/>
              <w:rPr>
                <w:sz w:val="19"/>
                <w:szCs w:val="19"/>
                <w:color w:val="auto"/>
              </w:rPr>
            </w:pPr>
          </w:p>
        </w:tc>
        <w:tc>
          <w:tcPr>
            <w:tcW w:w="1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86%</w:t>
            </w:r>
          </w:p>
        </w:tc>
      </w:tr>
    </w:tbl>
    <w:p>
      <w:pPr>
        <w:spacing w:after="0" w:line="6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The provision for incomes taxes increased by a nominal amount and $0.3 million for the three and nine months ended September 30, 2019, respectively, compared to the same periods in 2018. This was primarily due to the increase in commercialization activities in Europe and Latin America.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funded our operations primarily from the sale of equity securities.</w:t>
      </w:r>
    </w:p>
    <w:p>
      <w:pPr>
        <w:spacing w:after="0" w:line="9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As of September 30, 2019, we had $527.1 million in available cash, cash equivalents, and available-for-sale investments. We believe that our existing capital resources will be sufficient to fund our projected operating requirements for at least the next twelve months. Our cash, cash equivalents, and available-for-sale investments are held in a variety of deposit accounts, interest-bearing accounts, corporate bond securities, U.S government securities and money market funds. Cash in excess of immediate requirements is invested with a view toward liquidity and capital preservation, and we seek to minimize the potential effects of concentration and credit risk.</w:t>
      </w:r>
    </w:p>
    <w:p>
      <w:pPr>
        <w:spacing w:after="0" w:line="4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During the three and nine months ended September 30, 2019, the proceeds from our at-the-market, or ATM, offering were none and $24.8 million, respectively, after commissions and other offering costs. As of September 30, 2019, $20.7 million remained to be sold under our ATM facility. In February 2019, we completed an underwritten public offering in which we sold 5,833,333 shares of common stock and received net proceeds of approximately $330.4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68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223"/>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(273,344)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(234,713)</w:t>
            </w:r>
          </w:p>
        </w:tc>
        <w:tc>
          <w:tcPr>
            <w:tcW w:w="120" w:type="dxa"/>
            <w:vAlign w:val="bottom"/>
            <w:shd w:val="clear" w:color="auto" w:fill="CCEEFF"/>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(80,305)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(106,892)</w:t>
            </w: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363,863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324,611</w:t>
            </w:r>
          </w:p>
        </w:tc>
        <w:tc>
          <w:tcPr>
            <w:tcW w:w="120" w:type="dxa"/>
            <w:vAlign w:val="bottom"/>
            <w:shd w:val="clear" w:color="auto" w:fill="CCEEFF"/>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(617)</w:t>
            </w:r>
          </w:p>
        </w:tc>
      </w:tr>
      <w:tr>
        <w:trPr>
          <w:trHeight w:val="223"/>
        </w:trPr>
        <w:tc>
          <w:tcPr>
            <w:tcW w:w="6800" w:type="dxa"/>
            <w:vAlign w:val="bottom"/>
            <w:tcBorders>
              <w:top w:val="single" w:sz="8" w:color="CCECFF"/>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top w:val="single" w:sz="8" w:color="auto"/>
              <w:bottom w:val="single" w:sz="8" w:color="auto"/>
            </w:tcBorders>
            <w:shd w:val="clear" w:color="auto" w:fill="CCEC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9,712</w:t>
            </w: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40" w:type="dxa"/>
            <w:vAlign w:val="bottom"/>
            <w:tcBorders>
              <w:top w:val="single" w:sz="8" w:color="CCECFF"/>
              <w:bottom w:val="single" w:sz="8" w:color="CCECFF"/>
            </w:tcBorders>
            <w:shd w:val="clear" w:color="auto" w:fill="CCECFF"/>
          </w:tcPr>
          <w:p>
            <w:pPr>
              <w:spacing w:after="0"/>
              <w:rPr>
                <w:sz w:val="19"/>
                <w:szCs w:val="19"/>
                <w:color w:val="auto"/>
              </w:rPr>
            </w:pPr>
          </w:p>
        </w:tc>
        <w:tc>
          <w:tcPr>
            <w:tcW w:w="340" w:type="dxa"/>
            <w:vAlign w:val="bottom"/>
            <w:tcBorders>
              <w:top w:val="single" w:sz="8" w:color="auto"/>
              <w:bottom w:val="single" w:sz="8" w:color="auto"/>
            </w:tcBorders>
            <w:shd w:val="clear" w:color="auto" w:fill="CCEC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(17,611)</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77"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Our primary use of cash is to fund operating expenses, which consist primarily of research and development and commercial expenditures. Due to our significant research and development expenditures, we have generated significant operating losses since our inception. Cash used to fund operating expenses is affected by the timing of when we pay these expenses, as reflected in the change in our outstanding accounts payable and accrued expenses.</w:t>
      </w:r>
    </w:p>
    <w:p>
      <w:pPr>
        <w:spacing w:after="0" w:line="1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Cash used in operating activities for the nine months ended September 30, 2019 was $273.3 million and reflected a net loss of $308.9 million, $4.9 million for the amortization of the discount paid on purchased investments, and $12.0 million for an unrealized gain in the Arcturus equity securities, offset by non-cash charges of $62.3 million for stock-based compensation, $6.4 million for depreciation and amortization of an intangible asset acquired, and $0.9 million of non-cash foreign currency remeasurement losses in connection with fluctuations of exchange rates related to intercompany transactions with foreign subsidiaries that are denominated in our reporting currency. Cash used in operating activities also reflected a $10.4 million decrease due to an increase in accounts receivable due to the commercialization of our products, a $6.6 million decrease due to an increase in inventory as we build out our commercial inventory supplies as we commercialize Mepsevii, a decrease of $7.0 million due to an increase in prepaid expenses and other current assets primarily due to an increase in general receivables, amounts due from a collaboration partner, and amounts owed for a tenant improvement allowance, and a $15.6 million decrease due to the addition of the right-of-use assets net of amortization during the period, offset by an increase of $1.1 million in other assets, a $0.3 million increase in accounts payable primarily due to the timing of payments and receipt of invoices, a $17.1 million increase due to the addition of lease liabilities net of amortization during the period, and a $3.8 million increase in accrued expenses and other liabilities primarily due to increased commercial and research activities and the timing of the receipt of invoices.</w:t>
      </w:r>
    </w:p>
    <w:p>
      <w:pPr>
        <w:spacing w:after="0" w:line="31"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Cash used in operating activities for the nine months ended September 30, 2018 was $234.7 million and reflected a net loss of $109.8 million, $170.3 million for the gain from sale of the PRVs, and $1.8 million for the amortization of the discount paid on purchased investments, offset by non-cash charges of $59.0 million for stock-based compensation, $16.6 million for depreciation and amortization of intangible asset acquired, and $5.9 million of non-cash foreign currency remeasurement losses in connection with the substantial liquidation of subsidiaries due to a change in the Company’s tax structure and fluctuations of exchange rates related to intercompany transactions with foreign subsidiaries that are denominated in our reporting currency. Cash used in operating activities also reflected a $4.0 million decrease due to an increase in accounts receivable due to the commercialization of Mepsevii and Crysvita, $4.8 million decrease due to an increase in inventory as we build out our commercial inventory supplies as we commercialize Mepsevii, $20.4 million decrease due to an increase in receivables, prepaid manufacturing, and other prepaid and current assets, a $0.1 million decrease due to an increase in other assets, a $0.6 million decrease in accounts payable primarily due to the timing of payments and receipt of invoices, and a $4.3 million decrease in accrued expenses and other liabilities primarily as a result of a decrease in accrued expenses due to the timing of the receipt of invoices.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9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Cash used in investing activities for the nine months ended September 30, 2019 was $80.3 million and related to purchases of investments of $610.3 million, purchases of property and equipment of $13.3 million, and purchases of Arcturus equity securities of $14.3 million, offset by proceeds from maturities of investments of $522.5 million and the sale of investments of $35.1 million.</w:t>
      </w:r>
    </w:p>
    <w:p>
      <w:pPr>
        <w:spacing w:after="0" w:line="3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Cash used in investing activities for the nine months ended September 30, 2018 was $106.9 million and related to purchases of investments of $500.0 million and purchases of property and equipment of $2.9 million, offset by proceeds from the sale of PRVs of $170.3 million, proceeds from maturities of investments of $218.1 million, and the sale of investments of $7.7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90"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Cash provided by financing activities for the nine months ended September 30, 2019 was $363.9 million and was comprised of $330.4 million from the sale of common stock in our underwritten public offering in February 2019, $24.8 million from the sale of common stock in our ATM offering, and $8.6 million in net proceeds from the issuance of common stock pursuant to equity awards.</w:t>
      </w:r>
    </w:p>
    <w:p>
      <w:pPr>
        <w:spacing w:after="0" w:line="33"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Cash provided by financing activities for the nine months ended September 30, 2018 was $324.6 million and was comprised of $271.0 million from the sale of common stock in our underwritten public offering, $27.6 million from the sale of common stock in our ATM offering, and $26.0 million in net proceeds from the issuance of common stock pursuant to equity awards.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93"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Funding Requirements</w:t>
      </w:r>
    </w:p>
    <w:p>
      <w:pPr>
        <w:spacing w:after="0" w:line="94"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anticipate, excluding non-recurring items, that we will continue to generate annual losses for the foreseeable future, and we expect the losses to increase as we continue the development of, and seek regulatory approvals for, our product candidates, and continue with commercialization of approved products. Due to certain non-recurring or infrequent items like the sale of PRVs, we may have lower levels of losses in the near term in quarterly periods that may not be indicative of future periods or trends. We will likely require additional capital to fund our operations, to complete our ongoing and planned clinical studies, to commercialize our products, and to continue investing in early-stage research capabilities to promote our pipeline growth and to further develop our general infrastructure, including building our own Good Manufacturing Practices, or GMP gene therapy manufacturing facility, and such funding may not be available to us on acceptable terms or at all.</w:t>
      </w:r>
    </w:p>
    <w:p>
      <w:pPr>
        <w:spacing w:after="0" w:line="29"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may be required to delay, limit, reduce the scope of, or terminate one or more of our clinical studies, research and development programs, future commercialization efforts, or grant rights to develop and market product candidates that we would otherwise prefer to develop and market ourselves.</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90" w:lineRule="exact"/>
        <w:rPr>
          <w:sz w:val="20"/>
          <w:szCs w:val="20"/>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76"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products that we may develop;</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establishing our commercial infrastructure, and distribution capabilities; and</w:t>
      </w:r>
    </w:p>
    <w:p>
      <w:pPr>
        <w:spacing w:after="0" w:line="76" w:lineRule="exact"/>
        <w:rPr>
          <w:rFonts w:ascii="Arial" w:cs="Arial" w:eastAsia="Arial" w:hAnsi="Arial"/>
          <w:sz w:val="18"/>
          <w:szCs w:val="18"/>
          <w:color w:val="auto"/>
        </w:rPr>
      </w:pPr>
    </w:p>
    <w:p>
      <w:pPr>
        <w:ind w:left="900" w:right="62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marketing, distribution, and other arrangements that we may establish, including any required upfront milestone and royalty payments thereunder.</w:t>
      </w:r>
    </w:p>
    <w:p>
      <w:pPr>
        <w:spacing w:after="0" w:line="22"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expect to satisfy future cash needs through existing capital balances and through some combination of public or private equity offerings, debt financings, collaborations, strategic alliances, licensing arrangements, and other marketing and distribution arrangements. Please see “Risk Factors—Risks Related to Our Financial Condition and Capital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have contractual obligations from our operating leases, manufacturing and service contracts, licenses, royalties, development and collaboration arrangements, and other research and development activities. The following table summarizes our significant binding contractual obligations at September 30, 2019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36"/>
              <w:spacing w:after="0"/>
              <w:rPr>
                <w:sz w:val="20"/>
                <w:szCs w:val="20"/>
                <w:color w:val="auto"/>
              </w:rPr>
            </w:pPr>
            <w:r>
              <w:rPr>
                <w:rFonts w:ascii="Arial" w:cs="Arial" w:eastAsia="Arial" w:hAnsi="Arial"/>
                <w:sz w:val="14"/>
                <w:szCs w:val="14"/>
                <w:b w:val="1"/>
                <w:bCs w:val="1"/>
                <w:color w:val="auto"/>
                <w:w w:val="95"/>
              </w:rPr>
              <w:t>Payments due by period</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7"/>
              <w:spacing w:after="0" w:line="133" w:lineRule="exact"/>
              <w:rPr>
                <w:sz w:val="20"/>
                <w:szCs w:val="20"/>
                <w:color w:val="auto"/>
              </w:rPr>
            </w:pPr>
            <w:r>
              <w:rPr>
                <w:rFonts w:ascii="Arial" w:cs="Arial" w:eastAsia="Arial" w:hAnsi="Arial"/>
                <w:sz w:val="14"/>
                <w:szCs w:val="14"/>
                <w:b w:val="1"/>
                <w:bCs w:val="1"/>
                <w:color w:val="auto"/>
                <w:w w:val="88"/>
              </w:rPr>
              <w:t>Less than 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8"/>
              </w:rPr>
              <w:t>1 to 3 years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to 5 years</w:t>
            </w:r>
          </w:p>
        </w:tc>
        <w:tc>
          <w:tcPr>
            <w:tcW w:w="104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6"/>
              </w:rPr>
              <w:t>More than 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13,560</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47,847</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Manufacturing and service contracts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8,457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18,397</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16,330</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13,560</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220" w:type="dxa"/>
            <w:vAlign w:val="bottom"/>
            <w:tcBorders>
              <w:top w:val="single" w:sz="8" w:color="auto"/>
              <w:bottom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57,274</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terms of certain of our licenses, royalties, development and collaboration agreements, as well as other research and development activities, require us to pay potential future milestone payments based on product development success. The above table excludes such obligations as the amount and timing of such obligations are unknown or uncertain.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engaged in any off-balance sheet arrangements, as defined in the rules and regulations of the SEC.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7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exposure to market risk for changes in interest rates relates primarily to interest earned on our cash equivalents and investments.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As of September 30, 2019, we had cash, cash equivalents, and investments totaling $527.1 million which includes bank deposits, money market funds, U.S. government treasury and agency securities, and investment-grade corporate bond securities which are subject to default, changes in credit rating, and changes in market value. The securities in our investment portfolio are classified as available for sale and are subject to interest rate risk and will decrease in value if market interest rates increase. A hypothetical 100 basis point change in interest rates during any of the periods presented would not have had a material impact on our consolidated financial statements. To date, we have not experienced a loss of principal on any of our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9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 material effect on payments made to foreign suppliers and for license agreements. For the nine months ended September 30, 2019, a majority of our revenue and expense activities and capital expenditures were denominated in U.S. dollars. A hypothetical 10% change in foreign exchange rates during any of the periods presented would not have had a material impact on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Item </w:t>
      </w:r>
      <w:r>
        <w:rPr>
          <w:rFonts w:ascii="Arial" w:cs="Arial" w:eastAsia="Arial" w:hAnsi="Arial"/>
          <w:sz w:val="18"/>
          <w:szCs w:val="18"/>
          <w:b w:val="1"/>
          <w:bCs w:val="1"/>
          <w:color w:val="auto"/>
        </w:rPr>
        <w:t>4.</w:t>
      </w:r>
      <w:r>
        <w:rPr>
          <w:rFonts w:ascii="Arial" w:cs="Arial" w:eastAsia="Arial" w:hAnsi="Arial"/>
          <w:sz w:val="18"/>
          <w:szCs w:val="18"/>
          <w:b w:val="1"/>
          <w:bCs w:val="1"/>
          <w:i w:val="1"/>
          <w:iCs w:val="1"/>
          <w:color w:val="auto"/>
        </w:rPr>
        <w:t xml:space="preserve">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Quarterly Report, pursuant to Rules 13a-15(b) and 15d-15(b) under the Securities Exchange Act of 1934, or the Exchange Act. 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 rules and forms as of September 30, 2019.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and principal financial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our third quarter ended September 30, 2019, that has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We are not currently a party to any material legal proceedings. We may, however, in the ordinary course of business face various claims brought by third parties or government regulators and we may, from time to time, make claims or take legal actions to assert our rights, including claims relating to our directors, officers, stockholders, intellectual property rights,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together with all the other information in this report, including our financial statements and notes thereto, before deciding to invest in our common stock. If any of the following risks actually materialize, our operating results, financial condition, and liquidity could be materially adversely affected. As a result, the trading price of our common stock could decline and you could lose part or all of your investment.</w:t>
      </w:r>
    </w:p>
    <w:p>
      <w:pPr>
        <w:spacing w:after="0" w:line="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The following description of the risk factors associated with our business includes any material changes to and supersedes the description of the risk factors associated with our business previously disclosed in Part I, Item 1A of the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continue to incur losses for the foreseeable future.</w:t>
      </w:r>
    </w:p>
    <w:p>
      <w:pPr>
        <w:spacing w:after="0" w:line="7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a biopharmaceutical company with a history of operating losses, and anticipate continuing to incur operating losses for the foreseeable future. Biopharmaceutical product development is a highly speculative undertaking and involves a substantial degree of risk. We have devoted substantially all of our financial resources to identifying, acquiring, and developing our products and product candidates, including conducting clinical studies, developing manufacturing processes, manufacturing product candidates for clinical studies, and providing selling, general and administrative support for these operations. The amount of our future net losses will depend, in part, on non-recurring events, the success of our commercialization efforts, and the rate of our future expenditures. We anticipate that our expenses will increase substantially if and as we:</w:t>
      </w:r>
    </w:p>
    <w:p>
      <w:pPr>
        <w:spacing w:after="0" w:line="43" w:lineRule="exact"/>
        <w:rPr>
          <w:sz w:val="20"/>
          <w:szCs w:val="20"/>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the scope of our current clinical studies for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our programs into more expensive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pursue preclinical and clinical development for additional indications for existing products and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to expand upon or build our own manufacturing-related facilities and capabilities;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establish Medical Affairs field teams to initiate relevant disease education;</w:t>
      </w:r>
    </w:p>
    <w:p>
      <w:pPr>
        <w:spacing w:after="0" w:line="76" w:lineRule="exact"/>
        <w:rPr>
          <w:rFonts w:ascii="Arial" w:cs="Arial" w:eastAsia="Arial" w:hAnsi="Arial"/>
          <w:sz w:val="18"/>
          <w:szCs w:val="18"/>
          <w:color w:val="auto"/>
        </w:rPr>
      </w:pPr>
    </w:p>
    <w:p>
      <w:pPr>
        <w:ind w:left="900" w:right="340" w:hanging="379"/>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establish a marketing and distribution infrastructure and field force to commercialize our products and any product candidates for which we may obtain marketing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manage our international subsidiaries and establish new ones;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operate as a public company and comply with legal, accounting and other regulatory requirements;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to identify, assess, license, acquire, and/or develop other product candidates, technologies, and/or businesses;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milestone or other payments under any license or other agreements;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to maintain, protect, and expand our intellectual property portfolio;</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to attract and retain skilled personnel;</w:t>
      </w:r>
    </w:p>
    <w:p>
      <w:pPr>
        <w:spacing w:after="0" w:line="76" w:lineRule="exact"/>
        <w:rPr>
          <w:rFonts w:ascii="Arial" w:cs="Arial" w:eastAsia="Arial" w:hAnsi="Arial"/>
          <w:sz w:val="18"/>
          <w:szCs w:val="18"/>
          <w:color w:val="auto"/>
        </w:rPr>
      </w:pPr>
    </w:p>
    <w:p>
      <w:pPr>
        <w:ind w:left="900" w:right="520" w:hanging="379"/>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additional infrastructure, including facilities and systems, to support the growth of our operations, our product development, and our commercialization efforts; and</w:t>
      </w:r>
    </w:p>
    <w:p>
      <w:pPr>
        <w:spacing w:after="0" w:line="21" w:lineRule="exact"/>
        <w:rPr>
          <w:rFonts w:ascii="Arial" w:cs="Arial" w:eastAsia="Arial" w:hAnsi="Arial"/>
          <w:sz w:val="18"/>
          <w:szCs w:val="18"/>
          <w:color w:val="auto"/>
        </w:rPr>
      </w:pPr>
    </w:p>
    <w:p>
      <w:pPr>
        <w:jc w:val="both"/>
        <w:ind w:left="900" w:right="480" w:hanging="379"/>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 including, but not limited to, failed studies, complex results, safety issues, inspection outcomes, or other regulatory challenges that require longer follow-up of existing studies, additional major studies, or additional supportive studies in order to pursue marketing approval.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1" w:name="page32"/>
    <w:bookmarkEnd w:id="31"/>
    <w:p>
      <w:pPr>
        <w:ind w:right="180" w:firstLine="518"/>
        <w:spacing w:after="0" w:line="277"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just starting to generate revenue from product sales.</w:t>
      </w:r>
    </w:p>
    <w:p>
      <w:pPr>
        <w:spacing w:after="0" w:line="7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ability to generate significant revenue from product sales depends on our ability, alone or with strategic collaboration partners, to successfully commercialize our products and to complete the development of, and obtain the regulatory and marketing approvals necessary to commercialize, one or more of our product candidates. Our ability to generate substantial future revenue from product sales, including named patient sales, depends heavily on our success in many areas, including, but not limited to:</w:t>
      </w:r>
    </w:p>
    <w:p>
      <w:pPr>
        <w:spacing w:after="0" w:line="38" w:lineRule="exact"/>
        <w:rPr>
          <w:sz w:val="20"/>
          <w:szCs w:val="20"/>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regulatory and marketing approvals with broad indications for product candidates for which we complete clinical studies;</w:t>
      </w:r>
    </w:p>
    <w:p>
      <w:pPr>
        <w:spacing w:after="0" w:line="76" w:lineRule="exact"/>
        <w:rPr>
          <w:rFonts w:ascii="Arial" w:cs="Arial" w:eastAsia="Arial" w:hAnsi="Arial"/>
          <w:sz w:val="18"/>
          <w:szCs w:val="18"/>
          <w:color w:val="auto"/>
        </w:rPr>
      </w:pPr>
    </w:p>
    <w:p>
      <w:pPr>
        <w:ind w:left="900" w:right="560" w:hanging="379"/>
        <w:spacing w:after="0" w:line="28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our products and any approved product candidates and establishing and maintaining supply and manufacturing relationships with third parties that can conduct the processes and provide adequate (in amount and quality) product supply to support market demand for our products and product candidates, if approved;</w:t>
      </w:r>
    </w:p>
    <w:p>
      <w:pPr>
        <w:spacing w:after="0" w:line="16" w:lineRule="exact"/>
        <w:rPr>
          <w:rFonts w:ascii="Arial" w:cs="Arial" w:eastAsia="Arial" w:hAnsi="Arial"/>
          <w:sz w:val="17"/>
          <w:szCs w:val="17"/>
          <w:color w:val="auto"/>
        </w:rPr>
      </w:pPr>
    </w:p>
    <w:p>
      <w:pPr>
        <w:ind w:left="900" w:right="28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and commercializing our products and product candidates for which we obtain regulatory and marketing approval, either directly or with a collaborator or distributor;</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market acceptance of our products and product candidates as viable treatment options;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adequate market share, reimbursement and pricing for our products and product candidates;</w:t>
      </w:r>
    </w:p>
    <w:p>
      <w:pPr>
        <w:spacing w:after="0" w:line="76" w:lineRule="exact"/>
        <w:rPr>
          <w:rFonts w:ascii="Arial" w:cs="Arial" w:eastAsia="Arial" w:hAnsi="Arial"/>
          <w:sz w:val="18"/>
          <w:szCs w:val="18"/>
          <w:color w:val="auto"/>
        </w:rPr>
      </w:pPr>
    </w:p>
    <w:p>
      <w:pPr>
        <w:ind w:left="900" w:right="18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sell our products and product candidates on a named patient basis or through an equivalent mechanism and the amount of revenue generated from such sales;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find patients so they can be diagnosed and begin receiving treatment;</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76"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negotiating favorable terms, including commercial rights, in any collaboration, licensing, or other arrangements into which we may enter, any amendments thereto or extensions thereof;</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7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If the number of our addressable rare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our products, even if approved.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we will need to raise additional capital to fund our activities. This additional financing may not be available on acceptable terms, if at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this necessary capital when needed may force us to delay, limit, or terminate our product development efforts or other activities.</w:t>
      </w:r>
    </w:p>
    <w:p>
      <w:pPr>
        <w:spacing w:after="0" w:line="85"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As of September 30, 2019, our available cash, cash equivalents, and investments were $527.1 million. We expect we may need additional capital to continue to commercialize our products, and to develop and obtain regulatory approval for, and to commercialize, all of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23" w:lineRule="exact"/>
        <w:rPr>
          <w:sz w:val="20"/>
          <w:szCs w:val="20"/>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products and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creating additional infrastructure, including facilities and systems;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that we pursue;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timing of establishing and operating our international subsidiaries;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timing of establishing and operating field forces, marketing, and distribution capabilities;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timing of other activities needed to commercialize our products; and</w:t>
      </w:r>
    </w:p>
    <w:p>
      <w:pPr>
        <w:spacing w:after="0" w:line="76" w:lineRule="exact"/>
        <w:rPr>
          <w:rFonts w:ascii="Arial" w:cs="Arial" w:eastAsia="Arial" w:hAnsi="Arial"/>
          <w:sz w:val="18"/>
          <w:szCs w:val="18"/>
          <w:color w:val="auto"/>
        </w:rPr>
      </w:pPr>
    </w:p>
    <w:p>
      <w:pPr>
        <w:ind w:left="900" w:right="40" w:hanging="379"/>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acquisition, and other arrangements that we may establish, including any required milestone, royalty, and reimbursements or other payments thereunder.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32" w:name="page33"/>
    <w:bookmarkEnd w:id="32"/>
    <w:p>
      <w:pPr>
        <w:ind w:firstLine="518"/>
        <w:spacing w:after="0" w:line="286" w:lineRule="auto"/>
        <w:rPr>
          <w:sz w:val="20"/>
          <w:szCs w:val="20"/>
          <w:color w:val="auto"/>
        </w:rPr>
      </w:pPr>
      <w:r>
        <w:rPr>
          <w:rFonts w:ascii="Arial" w:cs="Arial" w:eastAsia="Arial" w:hAnsi="Arial"/>
          <w:sz w:val="16"/>
          <w:szCs w:val="16"/>
          <w:color w:val="auto"/>
        </w:rPr>
        <w:t>Any additional fundraising efforts may divert our management’s attention from their day-to-day activities, which may adversely affect our ability to develop our product candidates and commercialize our products. In addition, we cannot guarantee that future financing will be available in sufficient amounts or on terms acceptable to us, if at all.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If we incur debt, it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are granted priority review vouchers in connection with regulatory approvals for our product candidates, we may be unable to sell the vouchers or, if we do sell the vouchers, we may have to sell them on unfavorable terms and at prices that are lower than expected. There is no guarantee that we will be granted priority review vouchers in connection with product approvals, and regulatory authorities may cease granting such vouchers in the future. We could also be required to seek funds through collaborative partnerships, strategic alliances, and licensing or other arrangements and we may be required to relinquish rights to some of our technologies or product candidates, future revenue streams, research programs, and other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if we have specific strategic considerations.</w:t>
      </w:r>
    </w:p>
    <w:p>
      <w:pPr>
        <w:spacing w:after="0" w:line="37"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If we are unable to obtain funding on a timely basis or at all, we may be required to significantly curtail, delay, or discontinue one or more of our research or development programs or the commercialization of our products and any approved product candidates or be unable to expand our operations or otherwise capitalize on our business opportunities, as desired, which could materially affect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outcomes and the potential for substantial delays, and the results of earlier studies may not be predictive of future study results.</w:t>
      </w:r>
    </w:p>
    <w:p>
      <w:pPr>
        <w:spacing w:after="0" w:line="35"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time consuming, and uncertain as to outcome. We cannot guarantee that any clinical studies will be conducted as planned or completed on schedule, if at all. A failure of one or more clinical studies can occur at any stage of testing, and our future clinical studies may not be successful. Product candidates that have shown promising results in early-stage clinical studies may still suffer significant setbacks in subsequent clinical studies. The safety or efficacy results generated to date in clinical studies do not ensure that later clinical studies will demonstrate similar results. For example, our Phase 3 studies that evaluated Ace-ER in patients with GNE myopathy and UX007 in patients with Glut1 DS experiencing disabling paroxysmal movement disorders did not achieve their primary or secondary endpoints. Results from investigator-sponsored studies or compassionate-use studies may not be confirmed in company-sponsored studies or may negatively impact the prospects for our programs. Additionally, given the nature of the rare diseases we are seeking to treat, we often have to devise newly-defined endpoints to be tested in our studies, which can lead to some subjectivity in interpreting study results and could result in regulatory agencies not agreeing with the validity of our endpoints, or our interpretation of the clinical data, and therefore denying approval. Given the illness of the patients in our studies and the nature of their rare diseases, we may also be required or choose to conduct certain studies on an open-label basis. We have in the past, and may in the future elect to review interim clinical data at multiple time points during the studies, which could introduce bias into the study results and potentially result in denial of approval.</w:t>
      </w:r>
    </w:p>
    <w:p>
      <w:pPr>
        <w:spacing w:after="0" w:line="26"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In the biopharmaceutical industry, there is a high failure rate for drugs and biologics proceeding through clinical studies, and product candidates in later stages of clinical studies may fail to show the desired safety and efficacy despite having progressed through nonclinical studies and initial clinical studies. A number of companies in the biopharmaceutical industry have suffered significant setbacks in advanced clinical studies due to lack of efficacy or adverse safety profiles, notwithstanding promising results in earlier studies.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Scenarios that may prevent successful or timely completion of clinical development include but are not limited to:</w:t>
      </w:r>
    </w:p>
    <w:p>
      <w:pPr>
        <w:spacing w:after="0" w:line="90" w:lineRule="exact"/>
        <w:rPr>
          <w:sz w:val="20"/>
          <w:szCs w:val="20"/>
          <w:color w:val="auto"/>
        </w:rPr>
      </w:pPr>
    </w:p>
    <w:p>
      <w:pPr>
        <w:ind w:left="900" w:right="2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delays or failures in generating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human clinical studies or filings for regulatory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demonstrate a starting dose for our product candidates in the clinic that might be reasonably expected to result in a clinical benefit;</w:t>
      </w:r>
    </w:p>
    <w:p>
      <w:pPr>
        <w:spacing w:after="0" w:line="88" w:lineRule="exact"/>
        <w:rPr>
          <w:rFonts w:ascii="Arial" w:cs="Arial" w:eastAsia="Arial" w:hAnsi="Arial"/>
          <w:sz w:val="17"/>
          <w:szCs w:val="17"/>
          <w:color w:val="auto"/>
        </w:rPr>
      </w:pPr>
    </w:p>
    <w:p>
      <w:pPr>
        <w:ind w:left="900" w:right="44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failures in developing gene therapy, messenger RNA (mRNA), DNA, small interfering RNA (siRNA) or other novel and complex product candidates, which are expensive and difficult to develop and manufacture;</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resulting from a shutdown, or uncertainty surrounding the potential for future shutdowns of the U.S. government, including the FDA;</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failures in reaching a consensus with regulatory agencies on study design;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93" w:right="259" w:bottom="1440" w:gutter="0" w:footer="0" w:header="0"/>
        </w:sectPr>
      </w:pPr>
    </w:p>
    <w:bookmarkStart w:id="33" w:name="page34"/>
    <w:bookmarkEnd w:id="33"/>
    <w:p>
      <w:pPr>
        <w:ind w:left="900" w:right="42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contract research organizations, or CROs, clinical study sites, and other clinical trial-related vendors;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or delays in obtaining required regulatory agency approval and/or IRB or EC approval at each clinical study site or in certain countries;</w:t>
      </w:r>
    </w:p>
    <w:p>
      <w:pPr>
        <w:spacing w:after="0" w:line="99" w:lineRule="exact"/>
        <w:rPr>
          <w:rFonts w:ascii="Arial" w:cs="Arial" w:eastAsia="Arial" w:hAnsi="Arial"/>
          <w:sz w:val="16"/>
          <w:szCs w:val="16"/>
          <w:color w:val="auto"/>
        </w:rPr>
      </w:pPr>
    </w:p>
    <w:p>
      <w:pPr>
        <w:ind w:left="900" w:right="50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correctly design clinical studies which may result in those studies failing to meet their endpoints or the expectations of regulatory agencies;</w:t>
      </w:r>
    </w:p>
    <w:p>
      <w:pPr>
        <w:spacing w:after="0" w:line="21" w:lineRule="exact"/>
        <w:rPr>
          <w:rFonts w:ascii="Arial" w:cs="Arial" w:eastAsia="Arial" w:hAnsi="Arial"/>
          <w:sz w:val="18"/>
          <w:szCs w:val="18"/>
          <w:color w:val="auto"/>
        </w:rPr>
      </w:pPr>
    </w:p>
    <w:p>
      <w:pPr>
        <w:ind w:left="900" w:right="26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clinical study design or development strategy resulting in delays related to obtaining approvals from IRBs or ECs and/or regulatory agencies to proceed with clinical studies;</w:t>
      </w:r>
    </w:p>
    <w:p>
      <w:pPr>
        <w:spacing w:after="0" w:line="21" w:lineRule="exact"/>
        <w:rPr>
          <w:rFonts w:ascii="Arial" w:cs="Arial" w:eastAsia="Arial" w:hAnsi="Arial"/>
          <w:sz w:val="18"/>
          <w:szCs w:val="18"/>
          <w:color w:val="auto"/>
        </w:rPr>
      </w:pPr>
    </w:p>
    <w:p>
      <w:pPr>
        <w:ind w:left="900" w:right="74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review of an IND application or amendment, another equivalent application or amendment, or an inspection of our clinical study operations or study sites;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76"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perform in accordance with the FDA’s and/or ICH’s good clinical practices requirements or applicable regulatory guidelines in other countries;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patients’ completion of studies or their returns for post-treatment follow-up;</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events associated with the product candidate occurring that are viewed to outweigh its potential benefits;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than anticipated costs associated with clinical studies of our drug candidates;</w:t>
      </w:r>
    </w:p>
    <w:p>
      <w:pPr>
        <w:spacing w:after="0" w:line="76"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studies of our drug candidates producing negative or inconclusive results, which may result in us deciding, or regulators requiring us, to conduct additional clinical or nonclinical studies or to abandon drug development programs;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competing clinical studies of potential alternative product candidates or investigator-sponsored studies of our product candidates; and</w:t>
      </w:r>
    </w:p>
    <w:p>
      <w:pPr>
        <w:spacing w:after="0" w:line="88" w:lineRule="exact"/>
        <w:rPr>
          <w:rFonts w:ascii="Arial" w:cs="Arial" w:eastAsia="Arial" w:hAnsi="Arial"/>
          <w:sz w:val="17"/>
          <w:szCs w:val="17"/>
          <w:color w:val="auto"/>
        </w:rPr>
      </w:pPr>
    </w:p>
    <w:p>
      <w:pPr>
        <w:ind w:left="900" w:right="40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w:t>
      </w:r>
    </w:p>
    <w:p>
      <w:pPr>
        <w:spacing w:after="0" w:line="2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Any inability to successfully complete nonclinical and clinical development could result in additional costs to us or negatively impact our ability to generate revenue. In addition, if we make manufacturing or formulation changes to our product candidates, we may need to conduct additional toxicology, comparability or other studies to bridge our modified product candidates to earlier versions. Clinical study delays could also shorten any periods during which our products have commercial exclusivity and may allow our competitors to bring products to market before we do, which could negatively impact our ability to obtain orphan exclusivity and to successfully commercialize our product candidates and may harm our business and results of operations.</w:t>
      </w:r>
    </w:p>
    <w:p>
      <w:pPr>
        <w:spacing w:after="0" w:line="185"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timeframes we announce and expect, the commercialization of our products may be delayed and the credibility of our management may be adversely affected and, as a result, our stock price may decline.</w:t>
      </w:r>
    </w:p>
    <w:p>
      <w:pPr>
        <w:spacing w:after="0" w:line="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the timing of patient dosing, the submission or acceptance of regulatory filings, and the potential approval of such regulatory filings. We periodically make public announcements about the expected timing of some of these milestones. All of these milestones are based on a variety of assumptions, but the actual timing of these milestones can vary dramatically from our estimates. If we do not meet these publicly announced milestones, the commercialization of our products may be delayed and the credibility of our management may be adversely affected and, as a result, our stock price may decline.</w:t>
      </w:r>
    </w:p>
    <w:p>
      <w:pPr>
        <w:spacing w:after="0" w:line="178" w:lineRule="exact"/>
        <w:rPr>
          <w:sz w:val="20"/>
          <w:szCs w:val="20"/>
          <w:color w:val="auto"/>
        </w:rPr>
      </w:pPr>
    </w:p>
    <w:p>
      <w:pPr>
        <w:ind w:right="380"/>
        <w:spacing w:after="0" w:line="334" w:lineRule="auto"/>
        <w:rPr>
          <w:sz w:val="20"/>
          <w:szCs w:val="20"/>
          <w:color w:val="auto"/>
        </w:rPr>
      </w:pPr>
      <w:r>
        <w:rPr>
          <w:rFonts w:ascii="Arial" w:cs="Arial" w:eastAsia="Arial" w:hAnsi="Arial"/>
          <w:sz w:val="16"/>
          <w:szCs w:val="16"/>
          <w:b w:val="1"/>
          <w:bCs w:val="1"/>
          <w:i w:val="1"/>
          <w:iCs w:val="1"/>
          <w:color w:val="auto"/>
        </w:rPr>
        <w:t>We may find it difficult to identify and enroll patients in our clinical studies given the limited number of patients who have the diseases for which our product candidates are being studied. Difficulty in enrolling patients could delay or prevent clinical studies of our product candidates.</w:t>
      </w:r>
    </w:p>
    <w:p>
      <w:pPr>
        <w:spacing w:after="0" w:line="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right="340" w:firstLine="518"/>
        <w:spacing w:after="0" w:line="277" w:lineRule="auto"/>
        <w:rPr>
          <w:sz w:val="20"/>
          <w:szCs w:val="20"/>
          <w:color w:val="auto"/>
        </w:rPr>
      </w:pPr>
      <w:r>
        <w:rPr>
          <w:rFonts w:ascii="Arial" w:cs="Arial" w:eastAsia="Arial" w:hAnsi="Arial"/>
          <w:sz w:val="18"/>
          <w:szCs w:val="18"/>
          <w:color w:val="auto"/>
        </w:rPr>
        <w:t>Each of the conditions for which we plan to evaluate our current product candidates is a rare genetic disease. Accordingly, there are limited patient pools from which to draw for clinical studies. For our current product candidates:</w:t>
      </w:r>
    </w:p>
    <w:p>
      <w:pPr>
        <w:spacing w:after="0" w:line="35" w:lineRule="exact"/>
        <w:rPr>
          <w:sz w:val="20"/>
          <w:szCs w:val="20"/>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estimate that several hundred patients in the United States suffer from TIO, for which Crysvita is being studied;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estimate that several thousand patients in the United States suffer from LC-FAOD, for which UX007 is being studied;</w:t>
      </w:r>
    </w:p>
    <w:p>
      <w:pPr>
        <w:spacing w:after="0" w:line="76" w:lineRule="exact"/>
        <w:rPr>
          <w:rFonts w:ascii="Arial" w:cs="Arial" w:eastAsia="Arial" w:hAnsi="Arial"/>
          <w:sz w:val="18"/>
          <w:szCs w:val="18"/>
          <w:color w:val="auto"/>
        </w:rPr>
      </w:pPr>
    </w:p>
    <w:p>
      <w:pPr>
        <w:ind w:left="900" w:right="4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estimate that approximately 8,000 patients in the developed world suffer from late-onset OTC deficiency, for which DTX301 is being studied, and these all may not be treatable if they are immune to the virus; and</w:t>
      </w:r>
    </w:p>
    <w:p>
      <w:pPr>
        <w:spacing w:after="0" w:line="21"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estimate that approximately 6,000 patients worldwide suffer from GSD1a, for which DTX401 is being studied, and these all may not be treatable if they are immune to the virus.</w:t>
      </w:r>
    </w:p>
    <w:p>
      <w:pPr>
        <w:spacing w:after="0" w:line="2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may prove costly, especially since the rare diseases we are studying are commonly under 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 If patients are unwilling to participate in our studies for any reason, the timeline for recruiting patients, conducting studies, and obtaining regulatory approval of potential products may be delayed, the commercial prospects of our product candidates will be harmed, and our ability to generate product revenue from any of these product candidates could be delayed or prevented. Furthermore, many of the factors that cause, or lead to, a delay in the commencement or completion of clinical studies may also ultimately lead to the denial of regulatory approval of our product candidates. Delays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Even if we achieve positive results in our pre-clinical and clinical studies, if we are ultimately unable to obtain timely regulatory approval for our product candidates, our business will be substantially harmed.</w:t>
      </w:r>
    </w:p>
    <w:p>
      <w:pPr>
        <w:spacing w:after="0" w:line="33" w:lineRule="exact"/>
        <w:rPr>
          <w:sz w:val="20"/>
          <w:szCs w:val="20"/>
          <w:color w:val="auto"/>
        </w:rPr>
      </w:pPr>
    </w:p>
    <w:p>
      <w:pPr>
        <w:ind w:right="340" w:firstLine="647"/>
        <w:spacing w:after="0" w:line="302" w:lineRule="auto"/>
        <w:rPr>
          <w:sz w:val="20"/>
          <w:szCs w:val="20"/>
          <w:color w:val="auto"/>
        </w:rPr>
      </w:pPr>
      <w:r>
        <w:rPr>
          <w:rFonts w:ascii="Arial" w:cs="Arial" w:eastAsia="Arial" w:hAnsi="Arial"/>
          <w:sz w:val="16"/>
          <w:szCs w:val="16"/>
          <w:color w:val="auto"/>
        </w:rPr>
        <w:t>Our future success is dependent on our ability to successfully commercialize our products and develop, obtain regulatory approval for, and then successfully commercialize one or more product candidates. We are not permitted to market or promote any of our product candidates before we receive regulatory approval from the FDA or comparable foreign regulatory authorities. We have only obtained regulatory approval for two products, and it is possible that none of our existing product candidates or any product candidates we may seek to develop in the future will ever obtain regulatory approval.</w:t>
      </w:r>
    </w:p>
    <w:p>
      <w:pPr>
        <w:spacing w:after="0" w:line="19"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To obtain regulatory approval in the United States and other jurisdictions, we must comply with numerous and varying requirements regarding safety, efficacy, chemistry, manufacturing and controls, clinical studies (including good clinical practices), commercial sales, pricing, and distribution of our product candidates. Even if we are successful in obtaining approval in one jurisdiction, we cannot ensure that we will obtain approval in any other jurisdictions. In addition, approval policies, regulations, positions of the regulatory agencies on study design and/or endpoints, or the type and amount of clinical data necessary to gain approval may change during the course of a product candidate’s clinical development, which may cause delays in the approval or the decision not to approve an application. Communications with the regulatory agencies during the approval process are also unpredictable; favorable communications early in the process do not ensure that approval will be obtained and unfavorable communications early on do not guarantee that approval will be denied. If we are unable to obtain approval for our product candidates in multiple jurisdictions, our revenue and results of operations could be negatively affected. Applications for our product candidates could fail to receive regulatory approval, or could be delayed in receiving regulatory approval, for many reasons, including but not limited to the following:</w:t>
      </w:r>
    </w:p>
    <w:p>
      <w:pPr>
        <w:spacing w:after="0" w:line="29" w:lineRule="exact"/>
        <w:rPr>
          <w:sz w:val="20"/>
          <w:szCs w:val="20"/>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disagree with the design, implementation, or conduct of our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change their guidance or requirements for a development program for a product candidate;</w:t>
      </w:r>
    </w:p>
    <w:p>
      <w:pPr>
        <w:spacing w:after="0" w:line="76"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disagree with our interpretation of data from nonclinical studies or clinical studies;</w:t>
      </w:r>
    </w:p>
    <w:p>
      <w:pPr>
        <w:spacing w:after="0" w:line="76"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biologics license application, or BLA, or other submission or to obtain regulatory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unable to demonstrate to regulatory authorities that a product candidate’s risk-benefit ratio for its proposed indication is acceptable;</w:t>
      </w:r>
    </w:p>
    <w:p>
      <w:pPr>
        <w:spacing w:after="0" w:line="99" w:lineRule="exact"/>
        <w:rPr>
          <w:rFonts w:ascii="Arial" w:cs="Arial" w:eastAsia="Arial" w:hAnsi="Arial"/>
          <w:sz w:val="16"/>
          <w:szCs w:val="16"/>
          <w:color w:val="auto"/>
        </w:rPr>
      </w:pPr>
    </w:p>
    <w:p>
      <w:pPr>
        <w:ind w:left="900" w:right="220" w:hanging="379"/>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fail to approve the manufacturing processes, test procedures and specifications, or facilities used to manufacture our clinical and commercial supplies;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35" w:name="page36"/>
    <w:bookmarkEnd w:id="35"/>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government may be shut down, which could delay the FDA;</w:t>
      </w:r>
    </w:p>
    <w:p>
      <w:pPr>
        <w:spacing w:after="0" w:line="76" w:lineRule="exact"/>
        <w:rPr>
          <w:rFonts w:ascii="Arial" w:cs="Arial" w:eastAsia="Arial" w:hAnsi="Arial"/>
          <w:sz w:val="18"/>
          <w:szCs w:val="18"/>
          <w:color w:val="auto"/>
        </w:rPr>
      </w:pPr>
    </w:p>
    <w:p>
      <w:pPr>
        <w:ind w:left="900" w:right="220" w:hanging="379"/>
        <w:spacing w:after="0" w:line="306"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of our nonclinical or clinical development to comply with an agreed upon Pediatric Investigational Plan (PIP), which details the designs and completion timelines for nonclinical and clinical studies and is a condition of marketing authorization in the EU; and</w:t>
      </w:r>
    </w:p>
    <w:p>
      <w:pPr>
        <w:spacing w:after="0" w:line="1" w:lineRule="exact"/>
        <w:rPr>
          <w:rFonts w:ascii="Arial" w:cs="Arial" w:eastAsia="Arial" w:hAnsi="Arial"/>
          <w:sz w:val="17"/>
          <w:szCs w:val="17"/>
          <w:color w:val="auto"/>
        </w:rPr>
      </w:pPr>
    </w:p>
    <w:p>
      <w:pPr>
        <w:ind w:left="900" w:right="400" w:hanging="379"/>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regulatory authorities may significantly change in a manner rendering our clinical data insufficient for approval.</w:t>
      </w:r>
    </w:p>
    <w:p>
      <w:pPr>
        <w:spacing w:after="0" w:line="22"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Furthermore, the disease states we are evaluating often will not have clear regulatory paths for approval and/or do not have validated outcome measures. In these circumstances, we work closely with the regulatory authorities to define the approval path and may have to qualify outcome measures as part of our development programs. Additionally, many of the disease states we are targeting, such as LC-FAOD, are highly heterogeneous in nature, which may impact our ability to determine the treatment benefit of our potential therapies.</w:t>
      </w:r>
    </w:p>
    <w:p>
      <w:pPr>
        <w:spacing w:after="0" w:line="52"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This lengthy and uncertain approval process, as well as the unpredictability of the clinical and nonclinical studies, may result in our failure to obtain regulatory approval to market any of our product candidates, or delayed regulatory approval, which would significantly harm our business, results of operations, and prospects.</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for novel product candidates, such as our gene therapy product candidates, can be more expensive and take longer than for other product candidates, and may change in the future.</w:t>
      </w:r>
    </w:p>
    <w:p>
      <w:pPr>
        <w:spacing w:after="0" w:line="62"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The clinical trial requirements of regulatory authorities and the criteria these regulators use to determine the safety and efficacy of a product candidate vary substantially according to the type, complexity, novelty and intended use and market of the product candidate. As a result, the regulatory approval process for novel product candidates such as our gene therapy product candidates can be more expensive and take longer than for other, better known or more extensively studied product candidates, which can lead to fewer product approvals. To date, very few gene therapy products have received regulatory approval in the United States or Europe.</w:t>
      </w:r>
    </w:p>
    <w:p>
      <w:pPr>
        <w:spacing w:after="0" w:line="40"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Additionally, the FDA, Health Canada, and the EMA have each expressed interest in further regulating biotechnology, including gene therapy and genetic testing. For example, the EMA, which governs the development of gene therapies in the EU and may issue new guidelines concerning the development and marketing authorization for gene therapy products, advocates a risk-based approach to the development of a gene therapy product. Agencies at both the federal and state level in the United States, as well as U.S. congressional committees and foreign governments, have also expressed interest in further regulating the biotechnology industry. Different regulatory approaches by jurisdiction can result in different or additional preclinical studies or clinical trials being required to support regulatory approval in each jurisdiction.</w:t>
      </w:r>
    </w:p>
    <w:p>
      <w:pPr>
        <w:spacing w:after="0" w:line="58"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Regulatory requirements such as review committees and advisory groups, the new guidelines they promulgate, and new guidance issued by regulatory authorities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 approval limitations or restrictions. As we advance our product candidates, we will be required to consult with these regulatory and advisory groups and comply with applicable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or our collaborators’ ability to complete clinical trials and commercialize our current and future product candidates in a timely manner, if at all.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ind w:right="620"/>
        <w:spacing w:after="0" w:line="334"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studies or further development, and could result in a more restrictive label, the delay or denial of regulatory approval by the FDA or other comparable foreign authorities, or a Risk Evaluation and Mitigation Strategy, or REMS, plan, which could include a medication guide outlining the risks of such side effects for distribution to patients, restricted distribution, a communication plan for healthcare providers, and/or other elements to assure safe use. Our product candidates are in development and the safety profile has not been established. For example, in a completed Phase 2 study, LC-FAOD patients treated with UX007 experienced treatment-related adverse events, the most common of which were diarrhea, abdominal/gastrointestinal pain and vomiting. There was one treatment-related serious adverse event of moderate gastroenteritis with vomiting. There were two deaths during the LC-FAOD extension study, both deemed to be related to disease progression and not due to treatment with UX007. Gene therapy product candidates using AAV vectors, like DTX301, have been associated with immunologic reaction to the capsid protein or gene at early time points after administration. For example, in our discontinued Phase 1/2 clinical trial of DTX101 in hemophilia B, we observed elevated laboratory alanine transaminase levels, or ALTs. In previous clinical trials involving AAV viral vectors for gene therapy, some subjects experienced adverse events, including the development of a T-cell mediated immune response against the vector capsid proteins. In addition, theoretical side effects of AAV vectors include replication and spread of the virus to other parts of the body and insertional oncogenesis, which is the process whereby the insertion of a gene near a gene that is important in cell growth or division results in uncontrolled cell division, which could potentially enhance the risk of malignant transformation or cancer. Potential procedure-related events are similar to those associated with standard coronary diagnostic procedures, and may include vascular injury (e.g., damage to the femoral, radial or brachial arteries at the site of vascular access, or damage to the coronary arteries) or myocardial injury. Future product candidates may also cause these or similar side effects as development proceeds. Results of our studies or investigator-sponsored trials could reveal a high and unacceptable severity and prevalence of these or other side effects. In such an event, our studies could be suspended or terminated, and the FDA or comparable foreign regulatory authorities could order us to cease further development of or deny or withdraw approval of our product candidates for any or all targeted indications.</w:t>
      </w:r>
    </w:p>
    <w:p>
      <w:pPr>
        <w:spacing w:after="0" w:line="22"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Drug-related side effects could affect patient recruitment and the ability of enrolled patients to complete a study. Such side effects could also result in potential product liability claims. We currently carry product liability insurance in the amount of $10.0 million per incident and $10.0 million in the aggregate, and we are required to maintain product liability insurance pursuant to certain of our agreements. We believe our product liability insurance coverage is sufficient in light of our current clinical programs; however, we may not be able to maintain insurance coverage at a reasonable cost or in sufficient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2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Additionally, even though we received regulatory approval for Crysvita and Mepsevii and even if our product candidates receive marketing approval in the future, if we or others later identify undesirable side effects caused by such products, a number of potentially significant negative consequences could result, including but not limited to:</w:t>
      </w:r>
    </w:p>
    <w:p>
      <w:pPr>
        <w:spacing w:after="0" w:line="46" w:lineRule="exact"/>
        <w:rPr>
          <w:sz w:val="20"/>
          <w:szCs w:val="20"/>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product’s label or restrict the product’s approved use;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REMS plan;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patients and physicians may elect not to use our products, or reimbursement authorities may elect not to reimburse for them;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7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84"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Serious adverse events in clinical trials involving gene therapy product candidates may damage public perception of the safety of our product candidates, increase government regulation, and adversely affect our ability to obtain regulatory approvals for our product candidates or conduct our business.</w:t>
      </w:r>
    </w:p>
    <w:p>
      <w:pPr>
        <w:spacing w:after="0" w:line="1" w:lineRule="exact"/>
        <w:rPr>
          <w:sz w:val="20"/>
          <w:szCs w:val="20"/>
          <w:color w:val="auto"/>
        </w:rPr>
      </w:pPr>
    </w:p>
    <w:p>
      <w:pPr>
        <w:ind w:right="60" w:firstLine="476"/>
        <w:spacing w:after="0" w:line="255" w:lineRule="auto"/>
        <w:rPr>
          <w:sz w:val="20"/>
          <w:szCs w:val="20"/>
          <w:color w:val="auto"/>
        </w:rPr>
      </w:pPr>
      <w:r>
        <w:rPr>
          <w:rFonts w:ascii="Arial" w:cs="Arial" w:eastAsia="Arial" w:hAnsi="Arial"/>
          <w:sz w:val="18"/>
          <w:szCs w:val="18"/>
          <w:color w:val="auto"/>
        </w:rPr>
        <w:t>Gene therapy remains a novel technology. Public perception may be influenced by claims that gene therapy is unsafe, and gene therapy may not gain the acceptance of the public or the medical community. For example, earlier gene therapy trials using other vectors led to several well- publicized adverse events, including cases of leukemia and death. The risk of cancer remains a concern for gene therapy and we cannot assure you that it will not occur in any of our planned or future clinical studies. In addition, there is the potential risk of delayed adverse events following exposure to gene therapy products due to persistent biological activity of the genetic material or other components of products used to carry the genetic material. Serious adverse events in our clinical trials, or other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7" w:name="page38"/>
    <w:bookmarkEnd w:id="37"/>
    <w:p>
      <w:pPr>
        <w:ind w:right="80"/>
        <w:spacing w:after="0" w:line="297" w:lineRule="auto"/>
        <w:rPr>
          <w:sz w:val="20"/>
          <w:szCs w:val="20"/>
          <w:color w:val="auto"/>
        </w:rPr>
      </w:pPr>
      <w:r>
        <w:rPr>
          <w:rFonts w:ascii="Arial" w:cs="Arial" w:eastAsia="Arial" w:hAnsi="Arial"/>
          <w:sz w:val="16"/>
          <w:szCs w:val="16"/>
          <w:color w:val="auto"/>
        </w:rPr>
        <w:t>clinical trials involving gene therapy products, particularly AAV gene therapy products such as candidates based on the same capsid serotypes as our product candidates, or occurring during use of our competitors’ products, even if not ultimately attributable to the relevant product candidates, and the resulting publicity, could result in increased government regulation, unfavorable public perception, potential regulatory delays in the testing or approval of our gene therapy product candidates, stricter labeling requirements for those gene therapy product candidates that are approved and a decrease in demand for any such gene therapy product candidates, all of which would have an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our product candidates, our products will remain subject to regulatory scrutiny.</w:t>
      </w:r>
    </w:p>
    <w:p>
      <w:pPr>
        <w:spacing w:after="0" w:line="90" w:lineRule="exact"/>
        <w:rPr>
          <w:sz w:val="20"/>
          <w:szCs w:val="20"/>
          <w:color w:val="auto"/>
        </w:rPr>
      </w:pPr>
    </w:p>
    <w:p>
      <w:pPr>
        <w:jc w:val="both"/>
        <w:ind w:right="40" w:firstLine="518"/>
        <w:spacing w:after="0" w:line="311" w:lineRule="auto"/>
        <w:rPr>
          <w:sz w:val="20"/>
          <w:szCs w:val="20"/>
          <w:color w:val="auto"/>
        </w:rPr>
      </w:pPr>
      <w:r>
        <w:rPr>
          <w:rFonts w:ascii="Arial" w:cs="Arial" w:eastAsia="Arial" w:hAnsi="Arial"/>
          <w:sz w:val="16"/>
          <w:szCs w:val="16"/>
          <w:color w:val="auto"/>
        </w:rPr>
        <w:t>Our products and any product candidates that are approved will be subject to ongoing regulatory requirements for manufacturing, labeling, packaging, storage, distribution,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Manufacturers and manufacturers’ facilities are required to comply with extensive FDA, and comparable foreign regulatory authority, requirements, including ensuring that quality control and manufacturing procedures conform to Good Manufacturing Practices (GMP) regulations. As such, we and our contract manufacturers will be subject to continual review and inspection to assess compliance with GMP and adherence to commitments made in any NDA, BLA, MAA, or other comparable application for approval in another jurisdiction. Accordingly, we and others with whom we work must continue to expend time, money, and effort in all areas of regulatory compliance, including manufacturing, production, and quality control.</w:t>
      </w:r>
    </w:p>
    <w:p>
      <w:pPr>
        <w:spacing w:after="0" w:line="1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other conditions of approval, or contain requirements for potentially costly post-marketing testing, including Phase 4 clinical studies, and surveillance to monitor the safety and efficacy of the product candidate. We could also be asked to conduct post-marketing clinical studies to verify the safety and efficacy of our products in general or in specific patient subsets. If original marketing approval was obtained via the accelerated approval or conditional marketing authorization pathways, we would be required to conduct a successful post-marketing clinical study to confirm clinical benefit for our products. An unsuccessful post-marketing study or failure to complete such a study could result in the withdrawal of marketing approval. We will be required to report certain adverse events and manufacturing problems, if any, to the FDA and comparable foreign regulatory authorities. Any new legislation addressing drug safety issues could result in delays in product development or commercialization, or increased costs to assure compliance.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promote our products only for indications or uses for which they have approval. The holder of an approved NDA, BLA, MAA, or other comparable application must submit new or supplemental applications and obtain approval for certain changes to the approved product, product labeling, or manufacturing process.</w:t>
      </w:r>
    </w:p>
    <w:p>
      <w:pPr>
        <w:spacing w:after="0" w:line="34"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If we fail to comply with applicable regulatory requirements, or there are safety or efficacy problems with a product, a regulatory agency or enforcement authority may, among other things:</w:t>
      </w:r>
    </w:p>
    <w:p>
      <w:pPr>
        <w:spacing w:after="0" w:line="22" w:lineRule="exact"/>
        <w:rPr>
          <w:sz w:val="20"/>
          <w:szCs w:val="20"/>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warning or notice of violation letters;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of our ongoing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 or</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entry into a consent decree.</w:t>
      </w:r>
    </w:p>
    <w:p>
      <w:pPr>
        <w:spacing w:after="0" w:line="7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20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If we are unable to identify, source, and develop effective predictive biomarkers, or our collaborators are unable to successfully develop and commercialize companion diagnostics for our product candidates, or experience significant delays in doing so, we may not realize the full commercial potential of our product candidates.</w:t>
      </w:r>
    </w:p>
    <w:p>
      <w:pPr>
        <w:spacing w:after="0" w:line="7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are developing companion diagnostic tests to identify the right patients for certain of our product candidates and to monitor response to treatment. In certain cases, diagnostic tests may need to be developed as companion diagnostics and regulatory approval obtained in order to commercialize some product candidates. We expect to use predictive biomarkers to identify the right patients for certain of our product candidates. For example, to evaluate therapeutic response of DTX301, we are measuring ammonia levels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8" w:name="page39"/>
    <w:bookmarkEnd w:id="38"/>
    <w:p>
      <w:pPr>
        <w:spacing w:after="0" w:line="276" w:lineRule="auto"/>
        <w:rPr>
          <w:sz w:val="20"/>
          <w:szCs w:val="20"/>
          <w:color w:val="auto"/>
        </w:rPr>
      </w:pPr>
      <w:r>
        <w:rPr>
          <w:rFonts w:ascii="Arial" w:cs="Arial" w:eastAsia="Arial" w:hAnsi="Arial"/>
          <w:sz w:val="16"/>
          <w:szCs w:val="16"/>
          <w:color w:val="auto"/>
        </w:rPr>
        <w:t xml:space="preserve">other biomarkers, including </w:t>
      </w:r>
      <w:r>
        <w:rPr>
          <w:rFonts w:ascii="Arial" w:cs="Arial" w:eastAsia="Arial" w:hAnsi="Arial"/>
          <w:sz w:val="23"/>
          <w:szCs w:val="23"/>
          <w:color w:val="auto"/>
          <w:vertAlign w:val="superscript"/>
        </w:rPr>
        <w:t>13</w:t>
      </w:r>
      <w:r>
        <w:rPr>
          <w:rFonts w:ascii="Arial" w:cs="Arial" w:eastAsia="Arial" w:hAnsi="Arial"/>
          <w:sz w:val="16"/>
          <w:szCs w:val="16"/>
          <w:color w:val="auto"/>
        </w:rPr>
        <w:t xml:space="preserve">C-acetate, which are established measures of OTC deficiency disease status and ureagenesis. We cannot assure you that </w:t>
      </w:r>
      <w:r>
        <w:rPr>
          <w:rFonts w:ascii="Arial" w:cs="Arial" w:eastAsia="Arial" w:hAnsi="Arial"/>
          <w:sz w:val="23"/>
          <w:szCs w:val="23"/>
          <w:color w:val="auto"/>
          <w:vertAlign w:val="superscript"/>
        </w:rPr>
        <w:t>13</w:t>
      </w:r>
      <w:r>
        <w:rPr>
          <w:rFonts w:ascii="Arial" w:cs="Arial" w:eastAsia="Arial" w:hAnsi="Arial"/>
          <w:sz w:val="16"/>
          <w:szCs w:val="16"/>
          <w:color w:val="auto"/>
        </w:rPr>
        <w:t>C-acetate or any other future potential biomarker will in fact prove predictive, be reliably sourced, or be accepted by the FDA or other regulatory authorities. In addition, our success may depend, in part, on the development and commercialization of companion diagnostics. We also expect the FDA will require the development and regulatory approval of a companion diagnostic assay as a condition to approval of DTX301. There has been limited success to date industrywide in developing and commercializing these types of companion diagnostics. Development and manufacturing of companion diagnostics is complex and there are limited manufacturers with the necessary expertise and capability. Even if we are able to find a qualified collaborator, it may not be able to manufacture the companion diagnostics at a cost or in quantities or on timelines necessary for use with our product candidates. To be successful, we need to address a number of scientific, technical and logistical challenges. We have not yet initiated development and commercialization of companion diagnostics. We have little experience in the development and commercialization of diagnostics and may not be successful in developing and commercializing appropriate diagnostics to pair with any of our product candidates that receive marketing approval. University of Pennsylvania School of Medicine currently conducts some of our clinical assays pursuant to a sponsored research agreement, one of which is required for our ongoing Phase 1/2 clinical trial. We intend to enter into agreements with third parties for the automation, characterization and validation, of our companion diagnostic and the manufacture of its critical reagents. However, we may be unable to enter into any such agreement on favorable terms, or at all.</w:t>
      </w:r>
    </w:p>
    <w:p>
      <w:pPr>
        <w:spacing w:after="0" w:line="74" w:lineRule="exact"/>
        <w:rPr>
          <w:sz w:val="20"/>
          <w:szCs w:val="20"/>
          <w:color w:val="auto"/>
        </w:rPr>
      </w:pPr>
    </w:p>
    <w:p>
      <w:pPr>
        <w:ind w:right="180" w:firstLine="571"/>
        <w:spacing w:after="0" w:line="289" w:lineRule="auto"/>
        <w:rPr>
          <w:sz w:val="20"/>
          <w:szCs w:val="20"/>
          <w:color w:val="auto"/>
        </w:rPr>
      </w:pPr>
      <w:r>
        <w:rPr>
          <w:rFonts w:ascii="Arial" w:cs="Arial" w:eastAsia="Arial" w:hAnsi="Arial"/>
          <w:sz w:val="16"/>
          <w:szCs w:val="16"/>
          <w:color w:val="auto"/>
        </w:rPr>
        <w:t>Companion diagnostics are subject to regulation by FDA and similar regulatory authorities outside the United States as medical devices and require regulatory clearance or approval prior to commercialization. In the United States, companion diagnostics are cleared or approved through FDA’s 510(k) premarket notification or premarket approval, or PMA, process. Changes in marketing approval policies during the development period, changes in or the enactment of additional statutes or regulations, or changes in regulatory review for each submitted 510(k) premarket notification, PMA or equivalent application types in jurisdictions outside the United States, may cause delays in the approval, clearance or rejection of an application. Given our limited experience in developing and commercializing diagnostics, we expect to rely in part or in whole on third parties for companion diagnostic design and commercialization. We and our collaborators may encounter difficulties in developing and obtaining approval or clearance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product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4" w:lineRule="exact"/>
        <w:rPr>
          <w:sz w:val="20"/>
          <w:szCs w:val="20"/>
          <w:color w:val="auto"/>
        </w:rPr>
      </w:pPr>
    </w:p>
    <w:p>
      <w:pPr>
        <w:ind w:right="120"/>
        <w:spacing w:after="0" w:line="331" w:lineRule="auto"/>
        <w:rPr>
          <w:sz w:val="20"/>
          <w:szCs w:val="20"/>
          <w:color w:val="auto"/>
        </w:rPr>
      </w:pPr>
      <w:r>
        <w:rPr>
          <w:rFonts w:ascii="Arial" w:cs="Arial" w:eastAsia="Arial" w:hAnsi="Arial"/>
          <w:sz w:val="15"/>
          <w:szCs w:val="15"/>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be exposed to sub-optimal quality and reputational harm, we may not be able to obtain regulatory approval for or commercialize our product candidates, and our business could be substantially harmed.</w:t>
      </w:r>
    </w:p>
    <w:p>
      <w:pPr>
        <w:spacing w:after="0" w:line="2"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We have relied upon and plan to continue to rely upon third parties, including CROs, collaborative partners, and independent investigators to analyze, collect, monitor, and manage data for our ongoing nonclinical and clinical programs. We rely on third parties for execution of our nonclinical and clinical studies, and for estimates regarding costs and efforts completed, and we control only certain aspects of their activities. For example, we will rely on our partner Arcturus for the design and optimization of initial product candidates under our mRNA, DNA and siRNA collaborations. Nevertheless, we are responsible for ensuring that each of our studies is conducted in accordance with the applicable protocol, legal, regulatory, and scientific standards, and our reliance on the CROs and other third parties does not relieve us of our regulatory responsibilities. We and our CROs and other vendors and partners are required to comply with GMP, GCP, and GLP, which are regulations and guidelines enforced by the FDA, the Competent Authorities of the Member States of the European Economic Area, and comparable foreign regulatory authorities for all of our product candidates in development. Regulatory authorities enforce these regulations through periodic inspections of study sponsors, principal investigators, study sites, and other contractors. If we or any of our CROs or other vendors and partners, including the sites at which clinical studies are conducted, fail to comply with applicable regulations, the data generated in our nonclinical and clinical studies may be deemed unreliable and the FDA, EMA, or comparable foreign regulatory authorities may deny approval and/or require us to perform additional nonclinical and clinical studies before approving our marketing applications, which would delay the approval process. We cannot make assurances that upon inspection by a given regulatory authority, such regulatory authority will determine that any of our clinical studies comply with GCP regulations or that nonclinical studies comply with GLP regulations. In addition, our clinical studies must be conducted with products produced under GMP regulations. If the regulatory authorities determine that we have failed to comply with GLP, GMP, or GCP regulations, they may deny approval of our product candidates and/or we may be required to repeat clinical or nonclinical studies, which would delay the regulatory approval process.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ind w:right="20" w:firstLine="518"/>
        <w:spacing w:after="0" w:line="291" w:lineRule="auto"/>
        <w:rPr>
          <w:sz w:val="20"/>
          <w:szCs w:val="20"/>
          <w:color w:val="auto"/>
        </w:rPr>
      </w:pPr>
      <w:r>
        <w:rPr>
          <w:rFonts w:ascii="Arial" w:cs="Arial" w:eastAsia="Arial" w:hAnsi="Arial"/>
          <w:sz w:val="16"/>
          <w:szCs w:val="16"/>
          <w:color w:val="auto"/>
        </w:rPr>
        <w:t>Our CROs and other vendors and partners are not our employees, and except for remedies available to us under our agreements with such third parties, we cannot control whether or not they devote sufficient time and resources to our on-going nonclinical and clinical programs. If our vendors and partners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may also generate higher costs than anticipated as a result of changes in scope of work or otherwise. As a result, our results of operations and the commercial prospects for our product candidates would be harmed, our costs could increase, and our ability to generate revenue could be delayed.</w:t>
      </w:r>
    </w:p>
    <w:p>
      <w:pPr>
        <w:spacing w:after="0" w:line="3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vendors or do so on commercially reasonable terms. Switching or adding additional vendors involves additional cost and requires management time and focus. In addition, there is a natural transition period when a new vendor commences work. As a result, delays may occur, which can materially impact our ability to meet our desired clinical development timelines. Though we carefully manage our relationships with our vendors and partners, there can be no assurance that we will not encounter similar challenges or delays in the future or that these delays or challenges will not have a material adverse impact on our business, financial condition, and business prospects.</w:t>
      </w:r>
    </w:p>
    <w:p>
      <w:pPr>
        <w:spacing w:after="0" w:line="45" w:lineRule="exact"/>
        <w:rPr>
          <w:sz w:val="20"/>
          <w:szCs w:val="20"/>
          <w:color w:val="auto"/>
        </w:rPr>
      </w:pPr>
    </w:p>
    <w:p>
      <w:pPr>
        <w:ind w:right="300" w:firstLine="518"/>
        <w:spacing w:after="0" w:line="286" w:lineRule="auto"/>
        <w:rPr>
          <w:sz w:val="20"/>
          <w:szCs w:val="20"/>
          <w:color w:val="auto"/>
        </w:rPr>
      </w:pPr>
      <w:r>
        <w:rPr>
          <w:rFonts w:ascii="Arial" w:cs="Arial" w:eastAsia="Arial" w:hAnsi="Arial"/>
          <w:sz w:val="17"/>
          <w:szCs w:val="17"/>
          <w:color w:val="auto"/>
        </w:rPr>
        <w:t>We also rely on third parties in other ways, including efforts to support patient diagnosis and identify patients, to assist our finance and legal departments, and to provide other resources for our business. Use of these third parties could expose us to sub-optimal quality, missed deadlines, and non-compliance with applicable laws, all of which could result in reputational harm to us and negatively affect our business.</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dependent on KKC for the clinical and commercial supply of Crysvita for all major markets and for the development and commercialization of Crysvita in certain major markets, and KKC’s failure to provide an adequate supply of Crysvita or to commercialize Crysvita in those markets could result in a material adverse effect on our business and operating results.</w:t>
      </w:r>
    </w:p>
    <w:p>
      <w:pPr>
        <w:spacing w:after="0" w:line="46"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Under our agreement with KKC, KKC has the sole right to commercialize Crysvita in Europe and, at a specified time, in the United States, Canada, and Turkey, subject to a limited promotion right we retained. Our development partnership with KKC may not be successful, and we may not realize the expected benefits from such partnership, due to a number of important factors, including but not limited to the following:</w:t>
      </w:r>
    </w:p>
    <w:p>
      <w:pPr>
        <w:spacing w:after="0" w:line="17" w:lineRule="exact"/>
        <w:rPr>
          <w:sz w:val="20"/>
          <w:szCs w:val="20"/>
          <w:color w:val="auto"/>
        </w:rPr>
      </w:pPr>
    </w:p>
    <w:p>
      <w:pPr>
        <w:ind w:left="900" w:right="200" w:hanging="379"/>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KKC has no obligation under our agreement to use diligent efforts to commercialize Crysvita in Europe. The timing and amount of any royalty payments we may receive under our agreement will depend on, among other things, the efforts, allocation of resources, and successful commercialization of Crysvita by KKC in Europe.</w:t>
      </w:r>
    </w:p>
    <w:p>
      <w:pPr>
        <w:spacing w:after="0" w:line="32" w:lineRule="exact"/>
        <w:rPr>
          <w:rFonts w:ascii="Arial" w:cs="Arial" w:eastAsia="Arial" w:hAnsi="Arial"/>
          <w:sz w:val="18"/>
          <w:szCs w:val="18"/>
          <w:color w:val="auto"/>
        </w:rPr>
      </w:pPr>
    </w:p>
    <w:p>
      <w:pPr>
        <w:ind w:left="900" w:right="120" w:hanging="379"/>
        <w:spacing w:after="0" w:line="325"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and amount of any royalty payments we may receive under our agreement with KKC will depend on, among other things, the efforts, allocation of resources, and successful commercialization of Crysvita by KKC in the United States and Canada under our agreement;</w:t>
      </w:r>
    </w:p>
    <w:p>
      <w:pPr>
        <w:spacing w:after="0" w:line="1" w:lineRule="exact"/>
        <w:rPr>
          <w:rFonts w:ascii="Arial" w:cs="Arial" w:eastAsia="Arial" w:hAnsi="Arial"/>
          <w:sz w:val="16"/>
          <w:szCs w:val="16"/>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KKC may change the focus of its commercialization efforts or pursue higher-priority programs;</w:t>
      </w:r>
    </w:p>
    <w:p>
      <w:pPr>
        <w:spacing w:after="0" w:line="76"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KKC may make decisions regarding the indications for our product candidates in countries where it has the sole right to commercialize the product candidates that limit commercialization efforts in those countries or in countries where we have the right to commercialize our product candidates;</w:t>
      </w:r>
    </w:p>
    <w:p>
      <w:pPr>
        <w:spacing w:after="0" w:line="32" w:lineRule="exact"/>
        <w:rPr>
          <w:rFonts w:ascii="Arial" w:cs="Arial" w:eastAsia="Arial" w:hAnsi="Arial"/>
          <w:sz w:val="18"/>
          <w:szCs w:val="18"/>
          <w:color w:val="auto"/>
        </w:rPr>
      </w:pPr>
    </w:p>
    <w:p>
      <w:pPr>
        <w:ind w:left="900" w:right="200" w:hanging="379"/>
        <w:spacing w:after="0" w:line="325"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KKC may make decisions regarding market access and pricing in countries where it has the sole right to commercialize our product candidates which can negatively impact our commercialization efforts in countries where we have the right to commercialize our product candidates;</w:t>
      </w:r>
    </w:p>
    <w:p>
      <w:pPr>
        <w:spacing w:after="0" w:line="1" w:lineRule="exact"/>
        <w:rPr>
          <w:rFonts w:ascii="Arial" w:cs="Arial" w:eastAsia="Arial" w:hAnsi="Arial"/>
          <w:sz w:val="16"/>
          <w:szCs w:val="16"/>
          <w:color w:val="auto"/>
        </w:rPr>
      </w:pPr>
    </w:p>
    <w:p>
      <w:pPr>
        <w:ind w:left="900" w:right="16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KKC may fail to manufacture or supply sufficient drug product of Crysvita in compliance with applicable laws and regulations or otherwise for our development and clinical use, which could result in program delays;</w:t>
      </w:r>
    </w:p>
    <w:p>
      <w:pPr>
        <w:spacing w:after="0" w:line="21"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KKC may fail to manufacture or supply sufficient drug product of Crysvita in compliance with applicable laws and regulations or otherwise for our commercial use, which could result in lost revenue;</w:t>
      </w:r>
    </w:p>
    <w:p>
      <w:pPr>
        <w:spacing w:after="0" w:line="21" w:lineRule="exact"/>
        <w:rPr>
          <w:rFonts w:ascii="Arial" w:cs="Arial" w:eastAsia="Arial" w:hAnsi="Arial"/>
          <w:sz w:val="18"/>
          <w:szCs w:val="18"/>
          <w:color w:val="auto"/>
        </w:rPr>
      </w:pPr>
    </w:p>
    <w:p>
      <w:pPr>
        <w:ind w:left="900" w:right="38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KKC may elect to develop and commercialize Crysvita indications with a larger market than XLH and at a lower price, thereby reducing the profit margin on sales of Crysvita for any orphan indications, including XLH;</w:t>
      </w:r>
    </w:p>
    <w:p>
      <w:pPr>
        <w:spacing w:after="0" w:line="21"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KKC were to breach or terminate the agreement with us, we would no longer have any rights to develop or commercialize Crysvita or such rights would be limited to non-terminated countries;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KKC may terminate its agreement with us, adversely affecting our potential revenue from licensed products; and</w:t>
      </w:r>
    </w:p>
    <w:p>
      <w:pPr>
        <w:spacing w:after="0" w:line="76"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amounts of expense reimbursement that we may receive are uncertain, and the total expenses for which we are obligated to reimburse KKC may be greater than anticipated.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93" w:right="259" w:bottom="1440" w:gutter="0" w:footer="0" w:header="0"/>
        </w:sectPr>
      </w:pPr>
    </w:p>
    <w:bookmarkStart w:id="40" w:name="page41"/>
    <w:bookmarkEnd w:id="40"/>
    <w:p>
      <w:pPr>
        <w:ind w:right="460"/>
        <w:spacing w:after="0" w:line="308" w:lineRule="auto"/>
        <w:rPr>
          <w:sz w:val="20"/>
          <w:szCs w:val="20"/>
          <w:color w:val="auto"/>
        </w:rPr>
      </w:pPr>
      <w:r>
        <w:rPr>
          <w:rFonts w:ascii="Arial" w:cs="Arial" w:eastAsia="Arial" w:hAnsi="Arial"/>
          <w:sz w:val="17"/>
          <w:szCs w:val="17"/>
          <w:b w:val="1"/>
          <w:bCs w:val="1"/>
          <w:i w:val="1"/>
          <w:iCs w:val="1"/>
          <w:color w:val="auto"/>
        </w:rPr>
        <w:t>We rely on third parties to manufacture our products and most of our product candidates. Our business could be harmed if those third parties fail to provide us with sufficient quantities of drug product, or fail to do so at acceptable quality levels or cost.</w:t>
      </w:r>
    </w:p>
    <w:p>
      <w:pPr>
        <w:spacing w:after="0" w:line="11"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We have limited infrastructure or capability internally to manufacture our products and product candidates, and we lack the resources and the capability to manufacture most of our product candidates on a clinical or commercial scale. We rely on our manufacturers to purchase from third-party suppliers the materials necessary to produce our product candidates for our clinical studies. There are a limited number of suppliers for raw materials that we use to manufacture our drugs, placebos, or active controls, and there may be a need to identify alternate suppliers to prevent a possible disruption of the manufacture of the materials necessary to produce our products and our product candidates for our clinical studies, and, if approved, ultimately for commercial sale. We do not have any control over the process or timing of the acquisition of these raw materials by our manufacturers. Any significant delay or discontinuity in the supply of a product candidate, or the raw material components thereof, for an ongoing clinical study due to, among other things, the failure of a manufacturer to provide a drug substance or drug product of sufficient quantity or quality, or the need to replace a third-party manufacturer could considerably delay completion of our clinical studies, product testing, and potential regulatory approval of our product candidates, and could also impair named patient sale supply of our product candidates, which could harm our business and results of operations.</w:t>
      </w:r>
    </w:p>
    <w:p>
      <w:pPr>
        <w:spacing w:after="0" w:line="1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no experience as a company developing a manufacturing facility and may not be able to do so successfully if we determine to expand or develop our manufacturing capability and infrastructure.</w:t>
      </w:r>
    </w:p>
    <w:p>
      <w:pPr>
        <w:spacing w:after="0" w:line="2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expect our future manufacturing strategy to involve the use of one or more CMOs as well as our own capabilities and infrastructure, including at our Woburn, MA facility or new facilities we may develop. We expect that development of our own process development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Additionally, given that cGMP gene therapy manufacturing is a nascent industry, there are a small number of CMOs with the experience necessary to manufacture our gene therapy product candidates and we may have difficulty finding or maintaining relationships with such CMOs or hiring experts for internal manufacturing and accordingly, our production capacity may be limited.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lack of capacity, labor shortages, natural disasters, power failures, program failures, and numerous other factors that could prevent us from realizing the intended benefits of our manufacturing strategy and have a material adverse effect on our business.</w:t>
      </w:r>
    </w:p>
    <w:p>
      <w:pPr>
        <w:spacing w:after="0" w:line="183" w:lineRule="exact"/>
        <w:rPr>
          <w:sz w:val="20"/>
          <w:szCs w:val="20"/>
          <w:color w:val="auto"/>
        </w:rPr>
      </w:pPr>
    </w:p>
    <w:p>
      <w:pPr>
        <w:ind w:right="740"/>
        <w:spacing w:after="0" w:line="357" w:lineRule="auto"/>
        <w:rPr>
          <w:sz w:val="20"/>
          <w:szCs w:val="20"/>
          <w:color w:val="auto"/>
        </w:rPr>
      </w:pPr>
      <w:r>
        <w:rPr>
          <w:rFonts w:ascii="Arial" w:cs="Arial" w:eastAsia="Arial" w:hAnsi="Arial"/>
          <w:sz w:val="15"/>
          <w:szCs w:val="15"/>
          <w:b w:val="1"/>
          <w:bCs w:val="1"/>
          <w:i w:val="1"/>
          <w:iCs w:val="1"/>
          <w:color w:val="auto"/>
        </w:rPr>
        <w:t>Gene therapy and mRNA, DNA and siRNA product candidates are novel, complex, expensive and difficult to manufacture. We could experience manufacturing problems that result in delays in developing and commercializing these programs or otherwise harm our business.</w:t>
      </w:r>
    </w:p>
    <w:p>
      <w:pPr>
        <w:ind w:right="300" w:firstLine="577"/>
        <w:spacing w:after="0" w:line="259" w:lineRule="auto"/>
        <w:rPr>
          <w:sz w:val="20"/>
          <w:szCs w:val="20"/>
          <w:color w:val="auto"/>
        </w:rPr>
      </w:pPr>
      <w:r>
        <w:rPr>
          <w:rFonts w:ascii="Arial" w:cs="Arial" w:eastAsia="Arial" w:hAnsi="Arial"/>
          <w:sz w:val="18"/>
          <w:szCs w:val="18"/>
          <w:color w:val="auto"/>
        </w:rPr>
        <w:t>The manufacturing process used to produce our gene therapy, mRNA, DNA and siRNA product candidates is novel, complex, and has not been validated for commercial use. Several factors could cause production interruptions, including equipment malfunctions, regulatory inspections, facility contamination, raw material shortages or contamination, natural disasters, disruption in utility services, human error or disruptions in the operations of our suppliers.</w:t>
      </w:r>
    </w:p>
    <w:p>
      <w:pPr>
        <w:spacing w:after="0" w:line="38" w:lineRule="exact"/>
        <w:rPr>
          <w:sz w:val="20"/>
          <w:szCs w:val="20"/>
          <w:color w:val="auto"/>
        </w:rPr>
      </w:pPr>
    </w:p>
    <w:p>
      <w:pPr>
        <w:ind w:right="20" w:firstLine="577"/>
        <w:spacing w:after="0" w:line="253" w:lineRule="auto"/>
        <w:rPr>
          <w:sz w:val="20"/>
          <w:szCs w:val="20"/>
          <w:color w:val="auto"/>
        </w:rPr>
      </w:pPr>
      <w:r>
        <w:rPr>
          <w:rFonts w:ascii="Arial" w:cs="Arial" w:eastAsia="Arial" w:hAnsi="Arial"/>
          <w:sz w:val="18"/>
          <w:szCs w:val="18"/>
          <w:color w:val="auto"/>
        </w:rPr>
        <w:t>Our gene therapy, mRNA, DNA and siRNA product candidates require processing steps that are more complex than those required for most small molecule drugs. Moreover, unlike small molecules, the physical and chemical properties of a biologic such as gene therapy, mRNA, DNA and siRNA product candidates generally cannot be fully characterized. As a result, assays of the finished product candidate may not be sufficient to ensure that the product candidate is consistent from lot to lot or will perform in the intended manner. Accordingly, we employ multiple steps to control the manufacturing process to assure that the process works reproducibly and the product candidate is made strictly and consistently in compliance with the process. Problems with the manufacturing process, even minor deviations from the normal process, could result in product defects or manufacturing failures that result in lot failures, noncompliance with regulatory requirements, product recalls, product liability claims or insufficient inventory. We may encounter problems achieving adequate quantities and quality of clinical-grade materials that meet FDA, the EMA or other applicable standards or specifications with consistent and acceptable production yields and costs.</w:t>
      </w:r>
    </w:p>
    <w:p>
      <w:pPr>
        <w:spacing w:after="0" w:line="49" w:lineRule="exact"/>
        <w:rPr>
          <w:sz w:val="20"/>
          <w:szCs w:val="20"/>
          <w:color w:val="auto"/>
        </w:rPr>
      </w:pPr>
    </w:p>
    <w:p>
      <w:pPr>
        <w:ind w:right="140" w:firstLine="577"/>
        <w:spacing w:after="0" w:line="255" w:lineRule="auto"/>
        <w:rPr>
          <w:sz w:val="20"/>
          <w:szCs w:val="20"/>
          <w:color w:val="auto"/>
        </w:rPr>
      </w:pPr>
      <w:r>
        <w:rPr>
          <w:rFonts w:ascii="Arial" w:cs="Arial" w:eastAsia="Arial" w:hAnsi="Arial"/>
          <w:sz w:val="18"/>
          <w:szCs w:val="18"/>
          <w:color w:val="auto"/>
        </w:rPr>
        <w:t>In addition, FDA, the EMA and other foreign regulatory authorities may require us to submit samples of any lot of any approved product together with the protocols showing the results of applicable tests at any time. Under some circumstances, FDA, the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58" w:lineRule="exact"/>
        <w:rPr>
          <w:sz w:val="20"/>
          <w:szCs w:val="20"/>
          <w:color w:val="auto"/>
        </w:rPr>
      </w:pPr>
    </w:p>
    <w:p>
      <w:pPr>
        <w:ind w:right="200" w:firstLine="577"/>
        <w:spacing w:after="0" w:line="264" w:lineRule="auto"/>
        <w:rPr>
          <w:sz w:val="20"/>
          <w:szCs w:val="20"/>
          <w:color w:val="auto"/>
        </w:rPr>
      </w:pPr>
      <w:r>
        <w:rPr>
          <w:rFonts w:ascii="Arial" w:cs="Arial" w:eastAsia="Arial" w:hAnsi="Arial"/>
          <w:sz w:val="18"/>
          <w:szCs w:val="18"/>
          <w:color w:val="auto"/>
        </w:rPr>
        <w:t>We also may encounter problems hiring and retaining the experienced scientific, quality-control and manufacturing personnel needed to operate the manufacturing processes for our gene therapy, mRNA, DNA and siRNA product candidates, which could result in delays in production or difficulties in maintaining compliance with applicable regulatory requirements. We may be unable to scale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1" w:name="page42"/>
    <w:bookmarkEnd w:id="41"/>
    <w:p>
      <w:pPr>
        <w:ind w:right="280"/>
        <w:spacing w:after="0" w:line="277" w:lineRule="auto"/>
        <w:rPr>
          <w:sz w:val="20"/>
          <w:szCs w:val="20"/>
          <w:color w:val="auto"/>
        </w:rPr>
      </w:pPr>
      <w:r>
        <w:rPr>
          <w:rFonts w:ascii="Arial" w:cs="Arial" w:eastAsia="Arial" w:hAnsi="Arial"/>
          <w:sz w:val="18"/>
          <w:szCs w:val="18"/>
          <w:color w:val="auto"/>
        </w:rPr>
        <w:t>up existing or new facilities, including our facility in Woburn, MA, and such facilities may not enable the expansion of our internal manufacturing process discovery and development to the extent we anticipate, or at all.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a multitude of manufacturing risks, any of which could substantially increase our costs and limit the supply of our product candidates.</w:t>
      </w:r>
    </w:p>
    <w:p>
      <w:pPr>
        <w:spacing w:after="0" w:line="11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process of manufacturing our products and product candidates is complex, highly regulated, and subject to several risks, including but not limited to those listed below.</w:t>
      </w:r>
    </w:p>
    <w:p>
      <w:pPr>
        <w:spacing w:after="0" w:line="22" w:lineRule="exact"/>
        <w:rPr>
          <w:sz w:val="20"/>
          <w:szCs w:val="20"/>
          <w:color w:val="auto"/>
        </w:rPr>
      </w:pPr>
    </w:p>
    <w:p>
      <w:pPr>
        <w:ind w:left="900" w:right="40" w:hanging="379"/>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process of manufacturing our products and product candidates is extremely susceptible to product loss due to contamination, equipment failure or improper installation or operation of equipment, or vendor or operator error. Even minor deviations from normal manufacturing processes for our products and any of our product candidates could result in reduced production yields, product defects, and other supply disruptions. If microbial, viral, or other contaminations are discovered in our products and product candidates or in the manufacturing facilities in which our products and product candidates are made, such manufacturing facilities may need to be closed for an extended period of time to investigate and remedy the contamination.</w:t>
      </w:r>
    </w:p>
    <w:p>
      <w:pPr>
        <w:spacing w:after="0" w:line="44" w:lineRule="exact"/>
        <w:rPr>
          <w:rFonts w:ascii="Arial" w:cs="Arial" w:eastAsia="Arial" w:hAnsi="Arial"/>
          <w:sz w:val="18"/>
          <w:szCs w:val="18"/>
          <w:color w:val="auto"/>
        </w:rPr>
      </w:pPr>
    </w:p>
    <w:p>
      <w:pPr>
        <w:ind w:left="900" w:right="36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and product candidates are made could be adversely affected by equipment failures, labor shortages, raw material shortages, natural disasters, power failures, and numerous other factors.</w:t>
      </w:r>
    </w:p>
    <w:p>
      <w:pPr>
        <w:spacing w:after="0" w:line="2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Any adverse developments affecting manufacturing operations for our products and product candidates may result in shipment delays, inventory shortages, lot failures, withdrawals or recalls, or other interruptions in the supply of our products and product candidates. Due to their stage of development, small volume requirements, and infrequency of batch production runs, we carry limited amounts of safety stock for our products and product candidates. We may also have to take inventory write-offs and incur other charges and expenses for products and product candidates that fail to meet specifications, undertake costly remediation efforts, or seek more costly manufacturing alternatives.</w:t>
      </w:r>
    </w:p>
    <w:p>
      <w:pPr>
        <w:spacing w:after="0" w:line="215" w:lineRule="exact"/>
        <w:rPr>
          <w:sz w:val="20"/>
          <w:szCs w:val="20"/>
          <w:color w:val="auto"/>
        </w:rPr>
      </w:pPr>
    </w:p>
    <w:p>
      <w:pPr>
        <w:ind w:right="120"/>
        <w:spacing w:after="0" w:line="347" w:lineRule="auto"/>
        <w:rPr>
          <w:sz w:val="20"/>
          <w:szCs w:val="20"/>
          <w:color w:val="auto"/>
        </w:rPr>
      </w:pPr>
      <w:r>
        <w:rPr>
          <w:rFonts w:ascii="Arial" w:cs="Arial" w:eastAsia="Arial" w:hAnsi="Arial"/>
          <w:sz w:val="15"/>
          <w:szCs w:val="15"/>
          <w:b w:val="1"/>
          <w:bCs w:val="1"/>
          <w:i w:val="1"/>
          <w:iCs w:val="1"/>
          <w:color w:val="auto"/>
        </w:rPr>
        <w:t>The drug substance and drug product for our products and most of our product candidates are currently acquired from single-source suppliers. The loss of these suppliers, or their failure to supply us with the necessary drug substance or drug product, could materially and adversely affect our business.</w:t>
      </w:r>
    </w:p>
    <w:p>
      <w:pPr>
        <w:spacing w:after="0" w:line="1"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We acquire most of the drug substances and drug products for our products and product candidates from single sources. The drug substance and drug product for Crysvita are made by KKC pursuant to our license and collaboration agreement with KKC. The drug substance and drug product for Mepsevii are manufactured by Rentschler under a commercial supply and services agreement and accompanying purchase orders. The pharmaceutical-grade drug substance for UX007 is manufactured by IOI Oleo pursuant to our supply agreement with IOI Oleo, and the drug product for UX007 is prepared by Haupt Pharma AG and CPM pursuant to purchase orders. Single source suppliers are also used for our gene therapy programs. We have not currently secured any other suppliers for the drug substance or drug product of our products and product candidates and, although we believe that there are alternate sources of supply that could satisfy our clinical and commercial requirements, we cannot provide assurance that identifying alternate sources and establishing relationships with such sources would not result in significant delay in the commercialization of our products or the development of our product candidates. Additionally, we may not be able to enter into supply arrangements with alternative suppliers on commercially reasonable terms or at all. A delay in the commercialization of our products or the development of our product candidates or having to enter into a new agreement with a different third-party on less favorable terms than we have with our current suppliers could have a material adverse impact upon on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42" w:name="page43"/>
    <w:bookmarkEnd w:id="42"/>
    <w:p>
      <w:pPr>
        <w:ind w:right="300"/>
        <w:spacing w:after="0" w:line="334" w:lineRule="auto"/>
        <w:rPr>
          <w:sz w:val="20"/>
          <w:szCs w:val="20"/>
          <w:color w:val="auto"/>
        </w:rPr>
      </w:pPr>
      <w:r>
        <w:rPr>
          <w:rFonts w:ascii="Arial" w:cs="Arial" w:eastAsia="Arial" w:hAnsi="Arial"/>
          <w:sz w:val="16"/>
          <w:szCs w:val="16"/>
          <w:b w:val="1"/>
          <w:bCs w:val="1"/>
          <w:i w:val="1"/>
          <w:iCs w:val="1"/>
          <w:color w:val="auto"/>
        </w:rPr>
        <w:t>We and our collaborators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 w:lineRule="exact"/>
        <w:rPr>
          <w:sz w:val="20"/>
          <w:szCs w:val="20"/>
          <w:color w:val="auto"/>
        </w:rPr>
      </w:pPr>
    </w:p>
    <w:p>
      <w:pPr>
        <w:ind w:right="100" w:firstLine="518"/>
        <w:spacing w:after="0" w:line="267"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and collaboration partners for our product candidates, are subject to extensive regulation. Components of a finished therapeutic product approved for commercial sale or used in clinical studies must be manufactured in accordance with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and product candidates that may not be detectable in final product testing. We, our collaborators, or our contract manufacturers must supply all necessary documentation in support of an NDA, BLA, MAA, or other application for regulatory approval, on a timely basis and must adhere to GLP, GMP, and similar regulations enforced by the FDA and other regulatory agencies through their facilities inspection programs. Some of our contract manufacturers have never produced a commercially approved pharmaceutical product and therefore have not obtained the requisite regulatory authority approvals to do so.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substantially dependent on, our contract manufacturing partners for compliance with the regulatory requirements. If these facilities cannot schedule manufacturing to meet inspectional demands or do not pass a pre-approval plant inspection, regulatory approval of the products may not be granted or may be substantially delayed until any violations are corrected to the satisfaction of the regulatory authority, if ever.</w:t>
      </w:r>
    </w:p>
    <w:p>
      <w:pPr>
        <w:spacing w:after="0" w:line="44"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collaborators, such as KKC,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closure of a facility. Any such remedial measures imposed upon us, our collaborators, or third parties with whom we contract could materially harm our business.</w:t>
      </w:r>
    </w:p>
    <w:p>
      <w:pPr>
        <w:spacing w:after="0" w:line="3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If we, our collaborators, including KKC, or any of our third-party manufacturers fail to maintain regulatory compliance, the FDA or other applicable regulatory authority can impose regulatory sanctions including, among other things, refusal to approve a pending application for a new drug product or biologic product, withdrawal of an approval, or suspension of production. As a result, our business, financial condition, and results of operations may be materially harmed.</w:t>
      </w:r>
    </w:p>
    <w:p>
      <w:pPr>
        <w:spacing w:after="0" w:line="52" w:lineRule="exact"/>
        <w:rPr>
          <w:sz w:val="20"/>
          <w:szCs w:val="20"/>
          <w:color w:val="auto"/>
        </w:rPr>
      </w:pPr>
    </w:p>
    <w:p>
      <w:pPr>
        <w:jc w:val="both"/>
        <w:ind w:right="360" w:firstLine="518"/>
        <w:spacing w:after="0" w:line="259"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or BLA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38"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6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The actions of distributors could affect our ability to sell or market products profitably. Fluctuations in buying or distribution patterns by such distributors could adversely affect our revenues, financial condition, or results of operations.</w:t>
      </w:r>
    </w:p>
    <w:p>
      <w:pPr>
        <w:spacing w:after="0" w:line="3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intend to rely on commercial distributors for a considerable portion of our product sales and we expect such sales to be concentrated within a small number of distributors. The financial failure of any of these distributors could adversely affect our revenues, financial condition or results of operations. Our revenues, financial condition or results of operations may also be affected by fluctuations in distributor buying or distribution patterns. These fluctuations may result from seasonality, pricing, wholesaler inventory objectives, or other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3" w:name="page44"/>
    <w:bookmarkEnd w:id="43"/>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5"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Because we rely on third parties in connection with the development and manufacture of our products and product candidates and will likely rely on third parties in connection with the commercialization of our approved products, we must, at times, share trade secrets with them. We seek to protect our proprietary technology in part by entering into confidentiality agreements and, if applicable, material transfer agreements, collaborative research agreements, consulting agreements, letters of engagement,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Products and Product Candidates</w:t>
      </w:r>
    </w:p>
    <w:p>
      <w:pPr>
        <w:spacing w:after="0" w:line="81" w:lineRule="exact"/>
        <w:rPr>
          <w:sz w:val="20"/>
          <w:szCs w:val="20"/>
          <w:color w:val="auto"/>
        </w:rPr>
      </w:pPr>
    </w:p>
    <w:p>
      <w:pPr>
        <w:ind w:right="80"/>
        <w:spacing w:after="0" w:line="338" w:lineRule="auto"/>
        <w:rPr>
          <w:sz w:val="20"/>
          <w:szCs w:val="20"/>
          <w:color w:val="auto"/>
        </w:rPr>
      </w:pPr>
      <w:r>
        <w:rPr>
          <w:rFonts w:ascii="Arial" w:cs="Arial" w:eastAsia="Arial" w:hAnsi="Arial"/>
          <w:sz w:val="15"/>
          <w:szCs w:val="15"/>
          <w:b w:val="1"/>
          <w:bCs w:val="1"/>
          <w:i w:val="1"/>
          <w:iCs w:val="1"/>
          <w:color w:val="auto"/>
        </w:rPr>
        <w:t>If the market opportunities for our products and product candidates are smaller than we believe they are, our revenue may be adversely affected, and our business may suffer. Because the target patient populations of our products and product candidates are small, and the addressable patient population potentially even smaller, we must be able to successfully identify patients and acquire a significant market share to achieve profitability and growth.</w:t>
      </w:r>
    </w:p>
    <w:p>
      <w:pPr>
        <w:spacing w:after="0" w:line="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focus our research and product development on treatments for rare and ultra-rare genetic diseases. Given the small number of patients who have the diseases that we are targeting, it is critical to our ability to grow and become profitable that we continue to successfully identify patients with these rare and ultra-rare genetic diseases. Some of our current clinical programs may be most appropriate for patients with more severe forms of their disease. For instance, our Phase 2 study of UX007 in LC-FAOD enrolled patients with more severe disease. In addition, while adults make up the majority of the XLH patients, they often have less severe disease that may reduce the penetration of Crysvita in the adult population relative to the pediatric population. Given the overall rarity of the diseases we target, it is difficult to project the prevalence of the more severe forms, or the other subsets of patients that may be most suitable to address with our products and product candidates, which may further limit the addressable patient population to a small subset.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products and product candidates may be limited or may not be amenable to treatment with our products and product candidates, and new patients may become increasingly difficult to identify or access, which would adversely affect our results of operations and our business. Further, even if we obtain significant market share for our products and product candidates, because the potential target populations are very small we may never become or remain profitable nor generate sufficient revenue growth to sustain our business.</w:t>
      </w:r>
    </w:p>
    <w:p>
      <w:pPr>
        <w:spacing w:after="0" w:line="19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Manufacturers that produce our products and product candidates may not have experience producing our products and product candidates at commercial levels and may not achieve the necessary regulatory approvals or produce our products and product candidates at the cost, quality, quantities, locations, and timing needed to support profitable commercialization.</w:t>
      </w:r>
    </w:p>
    <w:p>
      <w:pPr>
        <w:spacing w:after="0" w:line="33"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We rely on third-party manufacturers to produce our products and product candidates. These manufacturers may not have the experience or ability to produce our products and product candidates at commercial levels. We may run into technical or scientific issues related to manufacturing or development that we may be unable to resolve in a timely manner or with available funds. We also have not completed all of the characterization and validation activities necessary for commercialization and regulatory approvals for all of our product candidates. If our manufacturing partners are not able to conduct all such necessary activities in accordance with applicable regulations, our commercialization efforts will be harmed. We have not yet secured manufacturing capabilities for commercial quantities of all of our product candidates and may be unable to negotiate binding agreements with manufacturers to support our commercialization activities on commercially reasonable terms.</w:t>
      </w:r>
    </w:p>
    <w:p>
      <w:pPr>
        <w:spacing w:after="0" w:line="4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Even if our third-party product manufacturers develop an acceptable manufacturing process, if such third-party manufacturers are unable to produce the necessary quantities of our products and product candidates, are unable to comply with GMP or other pertinent regulatory requirements, or are unable to produce our products and product candidates within our planned timeframe and cost parameters, the development and sales of our products and product candidates, if approved, may be materially harmed.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4" w:name="page45"/>
    <w:bookmarkEnd w:id="44"/>
    <w:p>
      <w:pPr>
        <w:ind w:right="60" w:firstLine="518"/>
        <w:spacing w:after="0" w:line="257" w:lineRule="auto"/>
        <w:rPr>
          <w:sz w:val="20"/>
          <w:szCs w:val="20"/>
          <w:color w:val="auto"/>
        </w:rPr>
      </w:pPr>
      <w:r>
        <w:rPr>
          <w:rFonts w:ascii="Arial" w:cs="Arial" w:eastAsia="Arial" w:hAnsi="Arial"/>
          <w:sz w:val="18"/>
          <w:szCs w:val="18"/>
          <w:color w:val="auto"/>
        </w:rPr>
        <w:t>Additionally, the cost to us for the supply of our products and product candidates manufactured by such third parties may be high and could limit our profitability, even if our third-party product manufacturers develop acceptable manufacturing processes that provide the necessary quantities of our products and product candidates in a compliant and timely manner. Furthermore, KKC is our sole supplier of commercial quantities of Crysvita. The supply price to us for commercial sales of Crysvita, which is determined on a fixed double-digit percentage of net sales, is higher than the typical cost of goods sold by companies focused on rare diseases.</w:t>
      </w:r>
    </w:p>
    <w:p>
      <w:pPr>
        <w:spacing w:after="0" w:line="21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33"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We are currently aware of various existing treatments that may compete with our products and product candidates. For example, XLH is treated with oral phosphate and vitamin D therapy, which may compete with Crysvita; LC-FAOD is managed with diet therapy and medium-chain triglyceride oil, which may compete with UX007; OTC deficiency is currently treated with nitrogen scavenging drugs and severe limitations in dietary protein, which may compete with DTX301; and GSD1a is currently treated with corn starch, which may compete with DTX401. Triheptanoin is available in food-grade form, which may compete with our pharmaceutical-grade product. Furthermore, investigator-sponsored trials evaluating triheptanoin in multiple indications are ongoing. Gene therapy, gene correction, RNA-based therapies, and other approaches may also emerge for the treatment of any of the disease areas in which we focus.</w:t>
      </w:r>
    </w:p>
    <w:p>
      <w:pPr>
        <w:spacing w:after="0" w:line="1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have competitors both in the United States and internationally, including major multinational pharmaceutical companies, specialty pharmaceutical companies, biotechnology companies, startups, academic research institutions, government agencies, and public and private research institutions. 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products and product candidates uneconomical or obsolete, and we may not be successful in marketing our products and product candidates against competitors.</w:t>
      </w:r>
    </w:p>
    <w:p>
      <w:pPr>
        <w:spacing w:after="0" w:line="207"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b w:val="1"/>
          <w:bCs w:val="1"/>
          <w:i w:val="1"/>
          <w:iCs w:val="1"/>
          <w:color w:val="auto"/>
        </w:rPr>
        <w:t>We continue to build and evolve an integrated commercial organization. If we are unable to expand our existing commercial infrastructure or enter into agreements with third parties to market and sell our product candidates, as needed, we may be unable to generate significant revenue.</w:t>
      </w:r>
    </w:p>
    <w:p>
      <w:pPr>
        <w:spacing w:after="0" w:line="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order to successfully commercialize Crysvita and Mepsevii as well as any additional products that may result from our development programs, we are building a commercial infrastructure in North America, Europe and Latin America. This infrastructure consists of both office based as well as field teams with technical expertise, and will be expanded as we approach the potential approval dates of additional products that result from our development programs. This will be expensive and time consuming. Any failure or delay in the expansion of this infrastructure may adversely impact the commercialization of our approved products.</w:t>
      </w:r>
    </w:p>
    <w:p>
      <w:pPr>
        <w:spacing w:after="0" w:line="40"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Although our employees may have promoted other similar products in the past while employed at other companies, we, as a company, have limited, recent experience selling and marketing our product. Further, given our limited experience in marketing and selling biopharmaceutical products, our initial estimate of the size of the required field force may be materially more or less than the size of the field force actually required to effectively commercialize our product candidates. As such, we may be required to hire large teams to adequately support the commercialization of our product candidates or we may incur excess costs as a result of hiring more commercial personnel than necessary. With respect to certain geographical markets, we may enter into collaborations with other entities to utilize their local marketing and distribution capabilities, but we may be unable to enter into such agreements on favorable terms, if at all. If our future collaborators do not commit sufficient resources to commercialize our future products, if any, and we are unable to develop the necessary marketing capabilities on our own, we will be unable to generate sufficient product revenue to sustain our business. We may be competing with companies that currently have extensive and well-funded marketing and sales operations. Without a large internal team or the support of a third-party to perform key commercial functions, we may be unable to compete successfully against these more established companies.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45" w:name="page46"/>
    <w:bookmarkEnd w:id="45"/>
    <w:p>
      <w:pPr>
        <w:ind w:right="24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will depend upon the degree of market acceptance by physicians, patients, third-party payors, and others in the medical community.</w:t>
      </w:r>
    </w:p>
    <w:p>
      <w:pPr>
        <w:spacing w:after="0" w:line="35"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Even with the requisite approvals from the FDA and comparable foreign regulatory authorities, the commercial success of our current and future products will depend in part on the medical community, patients, and payors accepting our current and future products as medically useful, cost-effective, and safe. Any product that we bring to the market may not gain market acceptance by physicians, patients, payors, and others in the medical community. The degree of market acceptance of any of our current and future products will depend on a number of factors, including:</w:t>
      </w:r>
    </w:p>
    <w:p>
      <w:pPr>
        <w:spacing w:after="0" w:line="23" w:lineRule="exact"/>
        <w:rPr>
          <w:sz w:val="20"/>
          <w:szCs w:val="20"/>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studies and potential advantages over competing treatments;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approval is granted;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 particularly in relation to competing treatments;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field forces and marketing efforts;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sufficient third-party insurance coverage and reimbursement.</w:t>
      </w:r>
    </w:p>
    <w:p>
      <w:pPr>
        <w:spacing w:after="0" w:line="7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Even if a potential product displays a favorable efficacy and safety profile in nonclinical and clinical studies, market acceptance of the product will not be fully known until after it is launched. Our efforts to educate the medical community and payors on the benefits of the product candidates may require significant resources and may never be successful. If our current and future products fail to achieve an adequate level of acceptance by physicians, patients, payors, and others in the medical community, we will not be able to generate sufficient revenue to become or remain profitable.</w:t>
      </w:r>
    </w:p>
    <w:p>
      <w:pPr>
        <w:spacing w:after="0" w:line="185" w:lineRule="exact"/>
        <w:rPr>
          <w:sz w:val="20"/>
          <w:szCs w:val="20"/>
          <w:color w:val="auto"/>
        </w:rPr>
      </w:pPr>
    </w:p>
    <w:p>
      <w:pPr>
        <w:ind w:right="620"/>
        <w:spacing w:after="0" w:line="334"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target patient populations are small, and accordingly the pricing, coverage, and reimbursement of our products and product candidates, if approved, must be adequate to support our commercial infrastructure. Our per-patient prices must be sufficient to recover our development and manufacturing costs and potentially achieve profitability. We expect the cost of a single administration of gene therapy products, such as those we are developing, to be substantial, when and if they achieve regulatory approval. Accordingly, the availability and adequacy of coverage and reimbursement by governmental and private payors are essential for most patients to afford expensive treatments such as ours, assuming approval. Sales of our products and product candidates, if approved, will depend substantially, both domestically and abroad, on the extent to which their costs will be paid for by health maintenance, managed care, pharmacy benefit, and similar healthcare management organizations, or reimbursed by government authorities, private health insurers, and other payors. If coverage and reimbursement are not available, are available only to limited levels, or are not available on a timely basis, we may not be able to successfully commercialize our products and product candidates, if approved. For example, deteriorating economic conditions and political instability in certain Latin American countries may cause us to experience significant delays in receiving approval for reimbursement for our products and consequently impact our product commercialization timelines in the region. Even if coverage is provided, the approved reimbursement amount may not be high enough to allow us to establish or maintain pricing sufficient to sustain our overall enterprise.</w:t>
      </w:r>
    </w:p>
    <w:p>
      <w:pPr>
        <w:spacing w:after="0" w:line="3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products such as ours, especially our gene therapy product candidates as there is a limited body of established practices and precedents for gene therapy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6" w:name="page47"/>
    <w:bookmarkEnd w:id="46"/>
    <w:p>
      <w:pPr>
        <w:ind w:right="20" w:firstLine="518"/>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will put pressure on the pricing and usage of our products and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54"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 products and, as a result, they may not cover or provide adequate payment for our products and product candidates. We expect to experience pricing pressures in connection with the sale of any of our products and product candidates due to the trend toward managed healthcare, the increasing influence of health maintenance organizations, additional legislative changes, and statements by elected officials. For example, proposals are being discussed to tie U.S. drug prices to the cost in other countries, several states in the U.S. have introduced legislation to require pharmaceutical companies to disclose their costs to justify the prices of their products, and an “Affordable Drug Pricing Task-Force” has been formed in the U.S. House of Representatives with the goal of combating the increased costs of prescription drugs. The downward pressure on healthcare costs in general, and with respect to prescription drugs, surgical procedures, and other treatments in particular, has become very intense. As a result, increasingly high barriers are being erected to the entry of new products.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 may have a negative effect on our business, global economic conditions, and financial markets.</w:t>
      </w:r>
    </w:p>
    <w:p>
      <w:pPr>
        <w:spacing w:after="0" w:line="35"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On June 23, 2016, the electorate in the United Kingdom voted in favor of leaving the EU, commonly referred to as Brexit. On March 29, 2017, the country formally notified the EU of its intention to withdraw pursuant to Article 50 of the Lisbon Treaty. Since a significant proportion of the regulatory framework in the United Kingdom is derived from EU directives and regulations, Brexit could materially impact the regulatory regime with respect to the approval of product candidates, disrupt the manufacture of our products and product candidates in the United Kingdom or the EU, disrupt the importation and export of active substances and other components of drug formulations, and disrupt the supply chain for clinical trial product and final authorized formulations. Any delay in obtaining, or an inability to obtain, any marketing approvals, or disruption to our and our collaborators’ supply chain as a result of Brexit or otherwise, would prevent us from commercializing our product candidates in the United Kingdom and/or the EU and restrict our ability to generate revenue and achieve and sustain profitability. The cumulative effect of disruptions to the regulatory framework or supply chains may add considerably to the development lead time to, and expense of, marketing authorization and commercialization of products in the EU and/or the United Kingdom. In view of the uncertainty surrounding the Brexit implementation, we are unable to predict the effects of such disruption to the regulatory framework and supply chain in Europe.</w:t>
      </w:r>
    </w:p>
    <w:p>
      <w:pPr>
        <w:spacing w:after="0" w:line="3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Further, these developments, or the perception that any of them could occur, have had and may continue to have a material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future U.K. laws and regulations as the United Kingdom determines which EU laws to replace or replicate in the event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and depress economic activity. If the United Kingdom and the EU are unable to negotiate and obtain the necessary government approvals for acceptable withdrawal terms or if other EU member states pursue withdrawal, barrier-free access between the United Kingdom and other EU member states or among the European economic area overall could be diminished or eliminated. In addition, we expect that Brexit could lead to legal uncertainty and potentially divergent national laws and regulations as the United Kingdom determines which EU laws to replicate or replace. We are taking certain precautionary measures with respect to Brexit and its impact to the EU, and will continue to monitor the situation. If the United Kingdom were to significantly alter its regulations affecting the biotechnology or pharmaceutical industries, we could face significant new costs. It may also be time-consuming and expensive for us to alter our internal operations in order to comply with new regulations. Any of these factors could have a material adverse effect on our business, financial condition and results of operations and affect our strategy in the U.K. and EU biotech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obtain and maintain effective patent rights for our products, product candidates, or any future product candidates, we may not be able to compete effectively in our markets.</w:t>
      </w:r>
    </w:p>
    <w:p>
      <w:pPr>
        <w:spacing w:after="0" w:line="2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our products, and our product candidates. Our success depends in large part on our and our licensors’ ability to obtain and maintain patent and other intellectual property protection in the United States and in other countries with respect to our proprietary technology, our products, and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93" w:right="259" w:bottom="1440" w:gutter="0" w:footer="0" w:header="0"/>
        </w:sectPr>
      </w:pPr>
    </w:p>
    <w:bookmarkStart w:id="47" w:name="page48"/>
    <w:bookmarkEnd w:id="47"/>
    <w:p>
      <w:pPr>
        <w:ind w:right="180" w:firstLine="518"/>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novel technologies and products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52"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products or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products or product candidates, third parties may challenge their validity, enforceability, or scope, which may result in such patents being narrowed, found unenforceable, or invalidated. Furthermore, even if the patents and patent applications we own or in-license are unchallenged, they may not adequately protect our intellectual property, provide exclusivity for our products or product candidates, or prevent others from designing around our claims. Any of these outcomes could impair our ability to prevent competition from third parties, which may have an adverse impact on our business.</w:t>
      </w:r>
    </w:p>
    <w:p>
      <w:pPr>
        <w:spacing w:after="0" w:line="4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products or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0" w:lineRule="exact"/>
        <w:rPr>
          <w:sz w:val="20"/>
          <w:szCs w:val="20"/>
          <w:color w:val="auto"/>
        </w:rPr>
      </w:pPr>
    </w:p>
    <w:p>
      <w:pPr>
        <w:jc w:val="both"/>
        <w:ind w:right="80" w:firstLine="518"/>
        <w:spacing w:after="0" w:line="255" w:lineRule="auto"/>
        <w:rPr>
          <w:sz w:val="20"/>
          <w:szCs w:val="20"/>
          <w:color w:val="auto"/>
        </w:rPr>
      </w:pPr>
      <w:r>
        <w:rPr>
          <w:rFonts w:ascii="Arial" w:cs="Arial" w:eastAsia="Arial" w:hAnsi="Arial"/>
          <w:sz w:val="18"/>
          <w:szCs w:val="18"/>
          <w:color w:val="auto"/>
        </w:rPr>
        <w:t>Although we have a number of patents or applications covering methods of use and certain compositions of matter, we do not have complete patent protection for our products and product candidates in all territories. For example, there are no issued patents covering the Crysvita composition of matter in Latin America where we have rights to commercialize the compound. Therefore, a competitor could develop the same antibody or a similar antibody as well as other approaches that target FGF23 for potential commercialization in Latin America, subject to any intellectual property rights or regulatory exclusivities awarded to us. If we cannot obtain and maintain effective patent rights for our products or product candidates, we may not be able to compete effectively and our business and results of operations would be harmed.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7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medications.</w:t>
      </w:r>
    </w:p>
    <w:p>
      <w:pPr>
        <w:spacing w:after="0" w:line="3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While patent term extensions under the Hatch-Waxman Act in the United States and under supplementary protection certificates in Europe may be available to extend the patent exclusivity term for Crysvita, Mepsevii, UX007, DTX301, and DTX401, we cannot provide any assurances that any such patent term extension will be obtained and, if so, for how long. Furthermore, we may not receive an extension if we fail to apply within applicable deadlines, fail to apply prior to expiration of relevant patents or otherwise fail to satisfy applicable requirements. Moreover, the length of the extension could be less than we request. If we do not have sufficient patent terms or regulatory exclusivity to protect our products, our business and results of operations may be adversely affected.</w:t>
      </w:r>
    </w:p>
    <w:p>
      <w:pPr>
        <w:spacing w:after="0" w:line="2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w:t>
      </w:r>
    </w:p>
    <w:p>
      <w:pPr>
        <w:spacing w:after="0" w:line="2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16,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also moved to a first to file system. The Leahy-Smith Act also includes a number of significant changes that affect the way patent applications will be prosecuted and may also affect patent litigation. The effects of these changes are currently unclear as the courts have only begun to address these provisions.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93" w:right="259" w:bottom="1440" w:gutter="0" w:footer="0" w:header="0"/>
        </w:sectPr>
      </w:pPr>
    </w:p>
    <w:bookmarkStart w:id="48" w:name="page49"/>
    <w:bookmarkEnd w:id="48"/>
    <w:p>
      <w:pPr>
        <w:ind w:right="32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products, product candidates, or any future product candidates, we may not be able to compete effectively in our markets.</w:t>
      </w:r>
    </w:p>
    <w:p>
      <w:pPr>
        <w:spacing w:after="0" w:line="35"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products or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3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intellectual property infringement may prevent or delay our development and commercialization efforts.</w:t>
      </w:r>
    </w:p>
    <w:p>
      <w:pPr>
        <w:spacing w:after="0" w:line="90"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 xml:space="preserve">Our commercial success depends in part on our avoiding infringement of the patents and proprietary rights of others. There have been many lawsuits and other proceedings involving patent and other intellectual property rights in the biotechnology and pharmaceutical industries, including patent infringement lawsuits, interferences,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post grant reviews, oppositions, and reexamination proceedings before the USPTO and corresponding foreign patent offices. Numerous U.S. and foreign issued patents and pending patent applications, which are owned by other parties, exist in the fields in which we are developing product candidates. As the biotechnology and pharmaceutical industries expand and more patents are issued, the risk increases that our products or product candidates may be subject to claims of infringement of the patent rights of these other parties.</w:t>
      </w:r>
    </w:p>
    <w:p>
      <w:pPr>
        <w:spacing w:after="0" w:line="16"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Other parties may assert that we are employing their proprietary technology without authorization. There may be patents or patent applications with claims to materials, formulations, methods of manufacture, or methods for treatment related to the use or manufacture of our products or product candidates. We have conducted freedom to operate analyses with respect only to our products and certain of our product candidates, and therefore we do not know whether there are any patents of other parties that would impair our ability to commercialize all of our product candidates. We also cannot guarantee that any of our analyses are complete and thorough, nor can we be sure that we have identified each and every patent and pending application in the United States and abroad that is relevant or necessary to the commercialization of our products or product candidates. Because patent applications can take many years to issue, there may be currently pending patent applications that may later result in issued patents that our products or product candidates may infringe.</w:t>
      </w:r>
    </w:p>
    <w:p>
      <w:pPr>
        <w:spacing w:after="0" w:line="1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are aware of four third-party patent families that include issued U.S. patents with claims that, if valid and enforceable, could be construed to cover one or more of our gene therapy product candidates, if and when approved, or methods of their manufacture. We are also aware of two third-party patent families that include issued European claims that, if valid and enforceable, could be construed to cover certain methods that may be used in the manufacture of one or more of our gene therapy product candidates. In addition, other parties may obtain patents in the future and claim that use of our technologies infringes upon these patents. If any of these patents were held by a court of competent jurisdiction to cover aspects of our formulations, the manufacturing process of our products or any of our product candidates, methods of use, any molecules formed during the manufacturing process or any final product itself, the holders of any such patents may be able to block our ability to commercialize our products or a product candidate unless we obtained a license under the applicable patents, or until such patents expire or are finally determined to be invalid or unenforceable. Such a license may not be available on commercially reasonable terms or at all.</w:t>
      </w:r>
    </w:p>
    <w:p>
      <w:pPr>
        <w:spacing w:after="0" w:line="47"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continue commercialization of our products, or block our ability to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0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currently have rights to the intellectual property, through licenses from third parties and under patents that we own, to commercialize our product candidates. Because our programs may require the use of proprietary rights held by third parties, the growth of our business will likely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29"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sometimes collaborate with U.S. and foreign academic institutions to accelerate our preclinical research or development under written agreements with these institutions. Typically, these institutions provide us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face competition from biosimilars, which may have a material adverse impact on the future commercial prospects of Crysvita, Mepsevii, DTX301, and DTX401.</w:t>
      </w:r>
    </w:p>
    <w:p>
      <w:pPr>
        <w:spacing w:after="0" w:line="2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we may face competition from biosimilars with respect to Crysvita, Mepsevii, DTX301, and DTX401. In the United States, the Biologics Price Competition and Innovation Act of 2009, or BPCI Act, was included in the Affordable Care Act and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 Act does not prevent another company from developing a product that is highly similar to the innovative product, generating its own data, and seeking approval. Moreover, it is not known whether the BPCI Act will survive in whole or in part if the Affordable Care Act is repealed by Congress or held unconstitutional by courts. As a result, its ultimate impact, implementation, meaning, and long-term existence are subject to uncertainty. Elimination or modification of the BPCI Act, or changes to the FDA’s interpretation or implementation of the BPCI Act, could have a material adverse effect on the future commercial prospects for Crysvita, Mepsevii, DTX301, and DTX401.</w:t>
      </w:r>
    </w:p>
    <w:p>
      <w:pPr>
        <w:spacing w:after="0" w:line="34"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w:t>
      </w:r>
    </w:p>
    <w:p>
      <w:pPr>
        <w:spacing w:after="0" w:line="4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small-molecule product candidates, which may result in a material decline in sales of UX007 or future small-molecule product candidates.</w:t>
      </w:r>
    </w:p>
    <w:p>
      <w:pPr>
        <w:spacing w:after="0" w:line="35"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Under the Hatch-Waxman Act, a pharmaceutical manufacturer may file an abbreviated new drug application, or ANDA, seeking approval of a generic copy of an approved innovator product. Under the Hatch-Waxman Act, a manufacturer may also submit an NDA under section 505(b)(2) that references the FDA’s finding of safety and effectiveness of a previously approved drug. A 505(b)(2) NDA product may be for a new or improved version of the original innovator product. Innovative small molecule drugs may be eligible for certain periods of regulatory exclusivity (</w:t>
      </w:r>
      <w:r>
        <w:rPr>
          <w:rFonts w:ascii="Arial" w:cs="Arial" w:eastAsia="Arial" w:hAnsi="Arial"/>
          <w:sz w:val="17"/>
          <w:szCs w:val="17"/>
          <w:i w:val="1"/>
          <w:iCs w:val="1"/>
          <w:color w:val="auto"/>
        </w:rPr>
        <w:t>e.g.</w:t>
      </w:r>
      <w:r>
        <w:rPr>
          <w:rFonts w:ascii="Arial" w:cs="Arial" w:eastAsia="Arial" w:hAnsi="Arial"/>
          <w:sz w:val="17"/>
          <w:szCs w:val="17"/>
          <w:color w:val="auto"/>
        </w:rPr>
        <w:t>, five years for new chemical entities, three years for changes to an approved drug requiring a new clinical study, and seven years for orphan drugs), which preclude FDA approval (or in some circumstances, FDA filing and review of) an ANDA or 505(b)(2) NDA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“Orange Book.” If there are patents listed in the Orange Book, a generic applicant that seeks to market its product before expiration of the patents must include in the ANDA or 505(b)(2)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enforce its patents, approval of the ANDA is stayed for 30 months, or as lengthened or shortened by the court.</w:t>
      </w:r>
    </w:p>
    <w:p>
      <w:pPr>
        <w:spacing w:after="0" w:line="3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Accordingly, if UX007 is approved, competitors could file ANDAs for generic versions of UX007, or 505(b)(2) NDAs that reference UX007. If there are patents listed for UX007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4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Should sales decline, we may have to write off a portion or all of the intangible assets associated with the affected product and our results of operations and cash flows could be materially and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7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While we normally seek and gain the right to fully prosecute the patents relating to our product candidates, there may be times when patents relating to our product candidates are controlled by our licensors. This is the case with our agreement with KKC, who is primarily responsible for the prosecution of patents and patent applications licensed to us under the collaboration agreement.</w:t>
      </w:r>
    </w:p>
    <w:p>
      <w:pPr>
        <w:spacing w:after="0" w:line="3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we have in-licensed patents and patent applications owned by the University of Pennsylvania, relating to the AAV8 vector used in DTX301 and DTX401. These patents and patent applications are licensed or sublicensed by REGENXBIO and sublicensed to us. We do not have the right to control the prosecution of these patent applications, or the maintenance of any of these patents. In addition, under our agreement with REGENXBIO, we do not have the first right to enforce the licensed patents, and our enforcement rights are subject to certain limitations that may adversely impact our ability to use the licensed patents to exclude others from commercializing competitive products. Moreover, REGENXBIO and the University of Pennsylvania may have interests which differ from ours in determining whether and the manner in which to enforce such patents.</w:t>
      </w:r>
    </w:p>
    <w:p>
      <w:pPr>
        <w:spacing w:after="0" w:line="43" w:lineRule="exact"/>
        <w:rPr>
          <w:sz w:val="20"/>
          <w:szCs w:val="20"/>
          <w:color w:val="auto"/>
        </w:rPr>
      </w:pPr>
    </w:p>
    <w:p>
      <w:pPr>
        <w:jc w:val="both"/>
        <w:ind w:right="100" w:firstLine="518"/>
        <w:spacing w:after="0" w:line="276" w:lineRule="auto"/>
        <w:rPr>
          <w:sz w:val="20"/>
          <w:szCs w:val="20"/>
          <w:color w:val="auto"/>
        </w:rPr>
      </w:pPr>
      <w:r>
        <w:rPr>
          <w:rFonts w:ascii="Arial" w:cs="Arial" w:eastAsia="Arial" w:hAnsi="Arial"/>
          <w:sz w:val="17"/>
          <w:szCs w:val="17"/>
          <w:color w:val="auto"/>
        </w:rPr>
        <w:t>If KKC, the University of Pennsylvania, or any of our future licensing partners fail to appropriately prosecute, maintain, and enforce patent protection for the patents covering any of our product candidates, our ability to develop and commercialize those product candidates may be adversely affected and we may not be able to prevent competitors from making, using, and selling competing products. In addition, even where we now have the right to control patent prosecution of patents and patent applications we have licensed from third parties, we may still be adversely affected or prejudiced by actions or inactions of our licensors and their counsel that took place prior to us assuming control over patent prosecution.</w:t>
      </w:r>
    </w:p>
    <w:p>
      <w:pPr>
        <w:spacing w:after="0" w:line="186" w:lineRule="exact"/>
        <w:rPr>
          <w:sz w:val="20"/>
          <w:szCs w:val="20"/>
          <w:color w:val="auto"/>
        </w:rPr>
      </w:pPr>
    </w:p>
    <w:p>
      <w:pPr>
        <w:ind w:right="220"/>
        <w:spacing w:after="0" w:line="325"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See “Business—License and Collaboration Agreements” in the Annual Report for a description of our license agreements with KKC, Baylor Research Institute, Saint Louis University, Bayer, REGENXBIO, and the University of Pennsylvania, which include descriptions of the termination provisions of these agreements.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1" w:name="page52"/>
    <w:bookmarkEnd w:id="51"/>
    <w:p>
      <w:pPr>
        <w:ind w:right="20" w:firstLine="518"/>
        <w:spacing w:after="0" w:line="259" w:lineRule="auto"/>
        <w:rPr>
          <w:sz w:val="20"/>
          <w:szCs w:val="20"/>
          <w:color w:val="auto"/>
        </w:rPr>
      </w:pPr>
      <w:r>
        <w:rPr>
          <w:rFonts w:ascii="Arial" w:cs="Arial" w:eastAsia="Arial" w:hAnsi="Arial"/>
          <w:sz w:val="18"/>
          <w:szCs w:val="18"/>
          <w:color w:val="auto"/>
        </w:rPr>
        <w:t>In certain cases, we control the prosecution of patents resulting from licensed technology. In the event we breach any of our obligations related to such prosecution, we may incur significant liability to our licensing partners. Licensing of intellectual property is of critical importance to our business and involves complex legal, business, and scientific issues. Disputes may arise regarding intellectual property subject to a licensing agreement, including but not limited to:</w:t>
      </w:r>
    </w:p>
    <w:p>
      <w:pPr>
        <w:spacing w:after="0" w:line="52"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76"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7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Although we are not currently involved in any intellectual property litigation, we may be involved in lawsuits to protect or enforce our patents or the patents of our licensors, which could be expensive, time consuming, and unsuccessful.</w:t>
      </w:r>
    </w:p>
    <w:p>
      <w:pPr>
        <w:spacing w:after="0" w:line="2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Competitors may infringe our patents or the patents of our licensors. Although we are not currently involved in any intellectual property litigation, if we or one of our licensing partners were to initiate legal proceedings against a third party to enforce a patent covering our products or one of our product candidates, the defendant could counterclaim that the patent covering our product or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3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Interference proceedings or derivation proceedings now available under the Leahy-Smith Act provoked by third parties or brought by us or declared or instituted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In addition, the validity of our patents could be challenged in the USPTO by one of the new post grant proceedings (</w:t>
      </w:r>
      <w:r>
        <w:rPr>
          <w:rFonts w:ascii="Arial" w:cs="Arial" w:eastAsia="Arial" w:hAnsi="Arial"/>
          <w:sz w:val="17"/>
          <w:szCs w:val="17"/>
          <w:i w:val="1"/>
          <w:iCs w:val="1"/>
          <w:color w:val="auto"/>
        </w:rPr>
        <w:t>i.e., inter partes</w:t>
      </w:r>
      <w:r>
        <w:rPr>
          <w:rFonts w:ascii="Arial" w:cs="Arial" w:eastAsia="Arial" w:hAnsi="Arial"/>
          <w:sz w:val="17"/>
          <w:szCs w:val="17"/>
          <w:color w:val="auto"/>
        </w:rPr>
        <w:t xml:space="preserve"> review or post grant review) now available under the Leahy-Smith Act. Our defense of litigation, interference proceedings, or post grant proceedings under the Leahy-Smith Act may fail and, even if successful, may result in substantial costs and distract our management and other employees. In addition, the uncertainties associated with litigation could have a material adverse effect on our ability to raise sufficient capital to continue our clinical studies, continue our research programs, license necessary technology from third parties, or enter into development partnerships that would help us bring our product candidates to market.</w:t>
      </w:r>
    </w:p>
    <w:p>
      <w:pPr>
        <w:spacing w:after="0" w:line="3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employ certain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93"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9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to successfully defend against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distract management and other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7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 xml:space="preserve">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For example,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xml:space="preserve">, the Supreme Court ruled that a “naturally occurring DNA segment is a product of nature and not patent eligible merely because it has been isolated,” invalidating Myriad Genetics’ patents on the BRCA1 and BRCA2 genes. Certain claims of our licensed U.S. patents covering DTX301 and DTX401 relate to isolated AAV8 vectors, capsid proteins, or nucleic acids. To the extent that such claims are deemed to be directed to natural products, or to lack an inventive concept above and beyond an isolated natural product, a court may decide the claims are invalid under </w:t>
      </w:r>
      <w:r>
        <w:rPr>
          <w:rFonts w:ascii="Arial" w:cs="Arial" w:eastAsia="Arial" w:hAnsi="Arial"/>
          <w:sz w:val="16"/>
          <w:szCs w:val="16"/>
          <w:i w:val="1"/>
          <w:iCs w:val="1"/>
          <w:color w:val="auto"/>
        </w:rPr>
        <w:t>Myriad</w:t>
      </w:r>
      <w:r>
        <w:rPr>
          <w:rFonts w:ascii="Arial" w:cs="Arial" w:eastAsia="Arial" w:hAnsi="Arial"/>
          <w:sz w:val="16"/>
          <w:szCs w:val="16"/>
          <w:color w:val="auto"/>
        </w:rPr>
        <w: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77"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Filing, prosecuting, and defending patents on our products or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such as KKC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retain our Founder, President, and Chief Executive Officer and to attract, retain, and motivate other qualified personnel.</w:t>
      </w:r>
    </w:p>
    <w:p>
      <w:pPr>
        <w:spacing w:after="0" w:line="22"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We are dependent on Emil D. Kakkis, M.D., Ph.D., our Founder, President, and Chief Executive Officer, the loss of whose services may adversely impact the achievement of our objectives. Dr. Kakkis could leave our employment at any time, as he is an “at will” employee.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studies may make it more challenging to recruit and retain qualified personnel. The inability to recruit and retain qualified personnel, or the loss of the services of Dr. Kakkis, may impede the progress of our research, development, and commercialization objectives.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our products, our competitors may sell products to treat the same conditions and our revenue will be reduced.</w:t>
      </w:r>
    </w:p>
    <w:p>
      <w:pPr>
        <w:spacing w:after="0" w:line="3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business strategy focuses on the development of drugs that are eligible for FDA and EU orphan drug designation. 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8"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Because the extent and scope of patent protection for our products may in some cases be limited, orphan drug designation is especially important for our products for which orphan drug designation may be available. For eligible drugs, we plan to rely on the exclusivity period under the Orphan Drug Act to maintain a competitive position. If we do not obtain orphan drug exclusivity for our drug products and biologic products that do not have broad patent protection, our competitors may then sell the same drug to treat the same condition sooner than if we had obtained orphan drug exclusivity, and our revenue will be reduced.</w:t>
      </w:r>
    </w:p>
    <w:p>
      <w:pPr>
        <w:spacing w:after="0" w:line="40"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Even though we have orphan drug designation for UX007 for the treatment of fatty acid oxidation disorders in the United States and for various subtypes of LC-FAOD in Europe, as well as for Crysvita, Mepsevii, DTX301 and DTX401 in the United States and Europe,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or the same drug can be approved for a different indication unless there are other exclusivities such as new chemical entity exclusivity preventing such approval. Even after an orphan drug is approved, the FDA or EMA can subsequently approve the same drug with the same active moiety for the same condition if the FDA or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organization and we may experience difficulties in managing this growth, which could disrupt our operations.</w:t>
      </w:r>
    </w:p>
    <w:p>
      <w:pPr>
        <w:spacing w:after="0" w:line="88"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As our development and commercialization plans and strategies develop, we expect to need additional managerial, operational, field forces, marketing, financial, legal, and other resources.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Our operating results would be adversely impacted if our intangible assets become impaired.</w:t>
      </w:r>
    </w:p>
    <w:p>
      <w:pPr>
        <w:spacing w:after="0" w:line="90" w:lineRule="exact"/>
        <w:rPr>
          <w:sz w:val="20"/>
          <w:szCs w:val="20"/>
          <w:color w:val="auto"/>
        </w:rPr>
      </w:pPr>
    </w:p>
    <w:p>
      <w:pPr>
        <w:ind w:right="80" w:firstLine="476"/>
        <w:spacing w:after="0" w:line="297" w:lineRule="auto"/>
        <w:rPr>
          <w:sz w:val="20"/>
          <w:szCs w:val="20"/>
          <w:color w:val="auto"/>
        </w:rPr>
      </w:pPr>
      <w:r>
        <w:rPr>
          <w:rFonts w:ascii="Arial" w:cs="Arial" w:eastAsia="Arial" w:hAnsi="Arial"/>
          <w:sz w:val="16"/>
          <w:szCs w:val="16"/>
          <w:color w:val="auto"/>
        </w:rPr>
        <w:t>As a result of the accounting for our acquisition of Dimension Therapeutics, Inc. (Dimension) in November 2017, we have recorded on our balance sheet intangible assets for in-process research and development (“IPR&amp;D”) related to DTX301 and DTX401. We test the intangible assets for impairment annually during the fourth quarter and more frequently if events or changes in circumstances indicate that it is more likely than not that the asset is impaired. If the associated research and development effort is abandoned, the related assets will be written-off and we will record a noncash impairment loss on our statement of operations. We have not recorded any impairments related to our intangible assets through the end of September 30,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license, discover, develop, or commercialize additional product candidates.</w:t>
      </w:r>
    </w:p>
    <w:p>
      <w:pPr>
        <w:spacing w:after="0" w:line="7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Although a substantial amount of our effort will focus on the continued clinical testing, potential approval, and commercialization of our existing product candidates, the success of our business also depends upon our ability to identify, license, discover, develop, or commercialize additional product candidates. Research programs to identify and develop new product candidates, such as those under our collaboration with Arcturus,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58" w:lineRule="exact"/>
        <w:rPr>
          <w:sz w:val="20"/>
          <w:szCs w:val="20"/>
          <w:color w:val="auto"/>
        </w:rPr>
      </w:pPr>
    </w:p>
    <w:p>
      <w:pPr>
        <w:ind w:left="900" w:right="78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not be able or willing to assemble sufficient technical, financial or human resources to acquire or discover additional product candidates;</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face competition in obtaining and/or developing additional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product candidates may not succeed in research, discovery, preclinical or clinical testing;</w:t>
      </w:r>
    </w:p>
    <w:p>
      <w:pPr>
        <w:spacing w:after="0" w:line="76"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market for a product candidate may change during our program so that such a product may become unreasonable to continue to develop;</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regulatory authorities, patients, the medical community, or payors.</w:t>
      </w:r>
    </w:p>
    <w:p>
      <w:pPr>
        <w:spacing w:after="0" w:line="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and could potentially cause us to cease operations.</w:t>
      </w:r>
    </w:p>
    <w:p>
      <w:pPr>
        <w:spacing w:after="0" w:line="1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further develop effective internal control over financial reporting, investors may lose confidence in the accuracy and completeness of our financial reports and the market price of our stock may decrease.</w:t>
      </w:r>
    </w:p>
    <w:p>
      <w:pPr>
        <w:spacing w:after="0" w:line="22"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Sarbanes-Oxley Act requires, among other things, that we maintain effective internal controls for financial reporting and disclosure controls and procedures. In particular, we are required to perform system and process evaluation and testing of our internal controls over financial reporting to allow management to report on the effectiveness of our internal controls over financial reporting, as required by Section 404(a) of the Sarbanes-Oxley Act. We are also subject to the compliance requirements of Section 404(b) of the Sarbanes-Oxley Act, which results in us incurring substantial expenses and expending significant management efforts. We currently do not have a separate internal audit group. We may need to hire additional accounting and financial staff with appropriate public company experience and technical accounting knowledge. If we are not able to comply with the requirements of Section 404(b) or if we or our independent registered public accounting firm identify deficiencies in our internal controls over financial reporting that are deemed to be material weaknesses,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55" w:name="page56"/>
    <w:bookmarkEnd w:id="55"/>
    <w:p>
      <w:pPr>
        <w:ind w:right="960"/>
        <w:spacing w:after="0" w:line="336" w:lineRule="auto"/>
        <w:rPr>
          <w:sz w:val="20"/>
          <w:szCs w:val="20"/>
          <w:color w:val="auto"/>
        </w:rPr>
      </w:pPr>
      <w:r>
        <w:rPr>
          <w:rFonts w:ascii="Arial" w:cs="Arial" w:eastAsia="Arial" w:hAnsi="Arial"/>
          <w:sz w:val="18"/>
          <w:szCs w:val="18"/>
          <w:b w:val="1"/>
          <w:bCs w:val="1"/>
          <w:i w:val="1"/>
          <w:iCs w:val="1"/>
          <w:color w:val="auto"/>
        </w:rPr>
        <w:t xml:space="preserve">Changes to healthcare and FDA laws, regulations, and policies may have a material adverse effect on our business and results of operations. </w:t>
      </w:r>
      <w:r>
        <w:rPr>
          <w:rFonts w:ascii="Arial" w:cs="Arial" w:eastAsia="Arial" w:hAnsi="Arial"/>
          <w:sz w:val="18"/>
          <w:szCs w:val="18"/>
          <w:i w:val="1"/>
          <w:iCs w:val="1"/>
          <w:u w:val="single" w:color="auto"/>
          <w:color w:val="auto"/>
        </w:rPr>
        <w:t>United States</w:t>
      </w:r>
    </w:p>
    <w:p>
      <w:pPr>
        <w:spacing w:after="0" w:line="1"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and to modify the regulation of drug and biologic products. For example, the Affordable Care Act, as amended, substantially changed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and establishes annual fees and taxes on manufacturers of certain branded prescription drugs. A federal district court ruled the entire Affordable Care Act to be unconstitutional in December 2018, but issued a stay, meaning the law will remain in effect while the ruling is appealed. Implementation of the Affordable Care Act remains ongoing, but there is uncertainty as to how the law’s various provisions will ultimately affect the industry and whether the law will remain in place.</w:t>
      </w:r>
    </w:p>
    <w:p>
      <w:pPr>
        <w:spacing w:after="0" w:line="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legislative changes have been adopted in the United States, including the Cures Act and the Budget Control Act of 2011, or the Budget Act, signed into law on August 2, 2011. The Cures Act introduced a wide range of reforms and the Budget Act, among other things, required reductions in federal spending, which eventually triggered Medicare sequestration—the requirement to reduce Medicare payments to providers up to 2% per fiscal year. In 2013, the 2% Medicare payment reductions were applied to fee-for-service claims with dates of service or dates of discharge on or after April 1, 2013. Sequestration was initially set to expire in fiscal year 2021 but has been extended to 2025.</w:t>
      </w:r>
    </w:p>
    <w:p>
      <w:pPr>
        <w:spacing w:after="0" w:line="5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expect that additional state and federal healthcare reform measures and regulations will be adopted in the future, including proposals to reduce the exclusivity protections provided to already approved biological products and to provide biosimilar and interchangeable biologic products an easier path to approval.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w:t>
      </w:r>
    </w:p>
    <w:p>
      <w:pPr>
        <w:spacing w:after="0" w:line="77"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In the EU, the European Commission has adopted detailed rules for the safety features appearing on the packaging of medicinal products for human use. The regulations set forth the rules for the features appearing on the packaging of these medicinal products, including, inter alia, the characteristics and technical specifications of the unique identifier that enables the authenticity of medicinal products to be verified and individual packs to be identified, the modalities for the verification of the safety features, and the list of medicinal products and product categories subject and not subject to prescription which shall not bear and bear (respectively) safety features.</w:t>
      </w:r>
    </w:p>
    <w:p>
      <w:pPr>
        <w:spacing w:after="0" w:line="53"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 European Commission has also launched a series of public consultations that are aimed at the adoption of notices and guidelines which will serve the interpretation of currently applicable regulations and directives. For example, between August 2015 and December 2016, the European Commission launched public consultations which concerned good manufacturing practices, clinical trials for human medicinal products, and orphan medicinal products. The purpose of the consultation on orphan medicinal products (which will be replaced with a Notice) is to streamline the regulatory framework and to adapt the applicable regulations to technical progress. The consultation focuses on a variety of elements of Regulation (EC) No 141/2000, which include the encouragement of development of orphan medicinal products for communicable diseases and the simplification of the procedure for the reassessment of orphan criteria when two authorization application procedures are pending in parallel for two orphan medicinal products.</w:t>
      </w:r>
    </w:p>
    <w:p>
      <w:pPr>
        <w:spacing w:after="0" w:line="181" w:lineRule="exact"/>
        <w:rPr>
          <w:sz w:val="20"/>
          <w:szCs w:val="20"/>
          <w:color w:val="auto"/>
        </w:rPr>
      </w:pPr>
    </w:p>
    <w:p>
      <w:pPr>
        <w:ind w:right="580"/>
        <w:spacing w:after="0" w:line="306" w:lineRule="auto"/>
        <w:rPr>
          <w:sz w:val="20"/>
          <w:szCs w:val="20"/>
          <w:color w:val="auto"/>
        </w:rPr>
      </w:pPr>
      <w:r>
        <w:rPr>
          <w:rFonts w:ascii="Arial" w:cs="Arial" w:eastAsia="Arial" w:hAnsi="Arial"/>
          <w:sz w:val="17"/>
          <w:szCs w:val="17"/>
          <w:b w:val="1"/>
          <w:bCs w:val="1"/>
          <w:i w:val="1"/>
          <w:iCs w:val="1"/>
          <w:color w:val="auto"/>
        </w:rPr>
        <w:t>We are subject, directly and indirectly, to federal and state healthcare fraud and abuse laws, false claims laws, and health information privacy and security laws. If we are unable to comply, or have not fully complied, with such laws, we could face substantial penalties.</w:t>
      </w:r>
    </w:p>
    <w:p>
      <w:pPr>
        <w:spacing w:after="0" w:line="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operations are directly, and indirectly through our customers, subject to various federal and state fraud and abuse laws, including, without limitation, the federal Anti-Kickback Statute, the federal False Claims Act, and physician sunshine laws and regulations. These laws impact, among other things, our field marketing and education programs. In addition, we are subject to patient privacy regulation by both the federal government and the states in which we conduct our business. The laws that may affect our ability to operate are described under “Business—Government Regulation” in the Annual Report. 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6" w:name="page57"/>
    <w:bookmarkEnd w:id="56"/>
    <w:p>
      <w:pPr>
        <w:ind w:right="34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35" w:lineRule="exact"/>
        <w:rPr>
          <w:sz w:val="20"/>
          <w:szCs w:val="20"/>
          <w:color w:val="auto"/>
        </w:rPr>
      </w:pPr>
    </w:p>
    <w:p>
      <w:pPr>
        <w:ind w:right="420" w:firstLine="518"/>
        <w:spacing w:after="0" w:line="306" w:lineRule="auto"/>
        <w:rPr>
          <w:sz w:val="20"/>
          <w:szCs w:val="20"/>
          <w:color w:val="auto"/>
        </w:rPr>
      </w:pPr>
      <w:r>
        <w:rPr>
          <w:rFonts w:ascii="Arial" w:cs="Arial" w:eastAsia="Arial" w:hAnsi="Arial"/>
          <w:sz w:val="17"/>
          <w:szCs w:val="17"/>
          <w:color w:val="auto"/>
        </w:rPr>
        <w:t>Our business strategy includes international expansion. We currently conduct clinical studies and regulatory activities and we also commercialize products outside of the United States. Doing business internationally involves a number of risks, including but not limited to:</w:t>
      </w:r>
    </w:p>
    <w:p>
      <w:pPr>
        <w:spacing w:after="0" w:line="1" w:lineRule="exact"/>
        <w:rPr>
          <w:sz w:val="20"/>
          <w:szCs w:val="20"/>
          <w:color w:val="auto"/>
        </w:rPr>
      </w:pPr>
    </w:p>
    <w:p>
      <w:pPr>
        <w:ind w:left="900" w:right="400" w:hanging="379"/>
        <w:spacing w:after="0" w:line="306"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spacing w:after="0" w:line="1" w:lineRule="exact"/>
        <w:rPr>
          <w:rFonts w:ascii="Arial" w:cs="Arial" w:eastAsia="Arial" w:hAnsi="Arial"/>
          <w:sz w:val="17"/>
          <w:szCs w:val="17"/>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introduction of new health authority requirements and/or changes in health authority expectations;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for, and enforcing, our intellectual property;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76" w:lineRule="exact"/>
        <w:rPr>
          <w:rFonts w:ascii="Arial" w:cs="Arial" w:eastAsia="Arial" w:hAnsi="Arial"/>
          <w:sz w:val="18"/>
          <w:szCs w:val="18"/>
          <w:color w:val="auto"/>
        </w:rPr>
      </w:pPr>
    </w:p>
    <w:p>
      <w:pPr>
        <w:ind w:left="900" w:right="50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21"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natural disasters and political and economic instability, including wars, terrorism, political unrest, results of certain elections and votes, outbreak of disease, boycotts, adoption or expansion of government trade restrictions, and other business restrictions;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76" w:lineRule="exact"/>
        <w:rPr>
          <w:rFonts w:ascii="Arial" w:cs="Arial" w:eastAsia="Arial" w:hAnsi="Arial"/>
          <w:sz w:val="18"/>
          <w:szCs w:val="18"/>
          <w:color w:val="auto"/>
        </w:rPr>
      </w:pPr>
    </w:p>
    <w:p>
      <w:pPr>
        <w:ind w:left="900" w:right="220" w:hanging="379"/>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commercial operations and activities that may fall within the purview of the U.S. Foreign Corrupt Practices Act, or FCPA, its books and records provisions, or its anti-bribery provisions, including those under the U.K. Bribery Act and similar foreign laws and regulations; and</w:t>
      </w:r>
    </w:p>
    <w:p>
      <w:pPr>
        <w:spacing w:after="0" w:line="32"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9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have a multinational tax structure and are subject to income tax in the United States and various foreign jurisdictions.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Significant judgment is required in determining our tax liabilities including management’s judgment for uncertain tax positions. The Internal Revenue Service, other domestic taxing authorities, or foreign taxing authorities may disagree with our interpretation of tax laws as applied to our operations. Our reported effective tax rate and after-tax cash flows may be materially and adversely affected by tax assessments in excess of amounts accrued for our financial statements. This could materially increase our future effective tax rate thereby reducing net income and adversely impacting our results of operations for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 and our reputation.</w:t>
      </w:r>
    </w:p>
    <w:p>
      <w:pPr>
        <w:spacing w:after="0" w:line="7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and tax laws and regulations. In certain jurisdictions, these regulatory requirements may be more stringent than those in the United States, and in other circumstances these requirements may be more stringent in the United States. Noncompliance with applicable regulations or requirements could subject us to investigations, sanctions, mandatory recalls, enforcement actions, disgorgement of profits, fines, damages, civil and criminal penalties, or injunctions. If any governmental sanctions, fines or penalties are imposed, or if we do not prevail in any possible civil or criminal litigation, our business, operating results, financial condition and our reputation could be harmed. In addition, responding to any action will likely result in a significant diversion of management’s attention and resources and an increase in professional fees. Enforcement actions and sanctions could further harm our business, operating results, financial condition, and our reputation.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7" w:name="page58"/>
    <w:bookmarkEnd w:id="57"/>
    <w:p>
      <w:pPr>
        <w:ind w:right="60" w:firstLine="518"/>
        <w:spacing w:after="0" w:line="269" w:lineRule="auto"/>
        <w:rPr>
          <w:sz w:val="20"/>
          <w:szCs w:val="20"/>
          <w:color w:val="auto"/>
        </w:rPr>
      </w:pPr>
      <w:r>
        <w:rPr>
          <w:rFonts w:ascii="Arial" w:cs="Arial" w:eastAsia="Arial" w:hAnsi="Arial"/>
          <w:sz w:val="17"/>
          <w:szCs w:val="17"/>
          <w:color w:val="auto"/>
        </w:rPr>
        <w:t>In particular, our research and development activities and our and our third-party manufacturers’ and suppliers’ activities involve the controlled storage, use, and disposal of hazardous materials, including the components of our product candidates, such as viruses, and other hazardous compounds, which subjects us to laws and regulations governing such activities. In some cases, these hazardous materials and various wastes resulting from their use are stored at our or our manufacturers’ facilities pending their use and disposal. We cannot eliminate the risk of contamination, which could cause an interruption of our commercialization efforts, research and development efforts, and business operations or environmental damage that could result in costly clean-up and liabilities under applicable laws and regulations governing the use, storage, handling, and disposal of these materials and specified waste products. We cannot guarantee that the safety procedures utilized by us and our third-party manufacturers for handling and disposing of these materials comply with the standards prescribed by these laws and regulations, or eliminate the risk of accidental contamination or injury from these materials. In such an event, we may be held liable for any resulting damages—and such liability could exceed our resources—and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Risks generally associated with a company-wide implementation of an enterprise resource planning (ERP) system may adversely affect our business and results of operations or the effectiveness of our internal controls over financial reporting.</w:t>
      </w:r>
    </w:p>
    <w:p>
      <w:pPr>
        <w:spacing w:after="0" w:line="22"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We are in the process of implementing a company-wide ERP system to upgrade certain existing business, operational, and financial processes. Our ERP implementation is a complex and time-consuming project that we expect will require multiple years to complete. Our results of operations could be adversely affected if we experience time delays or cost overruns during the ERP implementation process, or if the ERP system or associated process changes do not give rise to the benefits that we expect. This project has required and may continue to require investment of capital and human resources, the re-engineering of processes of our business, and the attention of many employees who would otherwise be focused on other aspects of our business. Any deficiencies in the design and implementation of the new ERP system could result in potentially much higher costs than we had incurred and could adversely affect our ability to develop and launch solutions, provide services, fulfill contractual obligations, file reports with the SEC in a timely manner, operate our business or otherwise affect our controls environment. Any of these consequences could have an adverse effect on our results of operations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materially adversely affected in the event of computer system failures or security breaches.</w:t>
      </w:r>
    </w:p>
    <w:p>
      <w:pPr>
        <w:spacing w:after="0" w:line="9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third parties on which we rely, are vulnerable to damage from computer viruses, unauthorized access, cyber-attacks, natural disasters, fire, terrorism, war, and telecommunication and electrical failures. If a system failure or security breach occurs and interrupts our operations, it could result in a material disruption of our drug development programs.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loss of trade secrets or inappropriate disclosure of confidential or proprietary information, including protected health information or personal data of employees or former employees, access to our clinical data, or disruption of the manufacturing process, we could incur liability and the further development of our drug candidates could be delayed. We may also be vulnerable to cyber-attacks by hackers or other malfeasance. This type of breach of our cybersecurity may compromise our confidential information and/or our financial information and adversely affect our business or reputation or result in legal proceedings.</w:t>
      </w:r>
    </w:p>
    <w:p>
      <w:pPr>
        <w:spacing w:after="0" w:line="20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22"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Our corporate headquarters and one of our laboratories are located in the San Francisco Bay Area, and our collaboration partner for Crysvita, KKC, is located in Japan, which have both in the past experienced severe earthquakes and other natural disasters. We do not carry earthquake insurance. Earthquakes or other natural disasters could severely disrupt our operations or those of our collaborators,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may be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acquire companies or products or engage in strategic transactions, which could divert our management’s attention and cause us to incur various costs and expenses.</w:t>
      </w:r>
    </w:p>
    <w:p>
      <w:pPr>
        <w:spacing w:after="0" w:line="35"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We may acquire or invest in businesses or products that we believe could complement or expand our business or otherwise offer growth opportunities. For example, we acquired Dimension in November 2017 and during the third quarter 2019, we entered into an agreement with GeneTx Biotherapeutics LLC (GeneTx) to collaborate on the development of a product for the treatment of Angelman Syndrome which included an exclusive option to acquire GeneTx.</w:t>
      </w:r>
    </w:p>
    <w:p>
      <w:pPr>
        <w:ind w:right="100"/>
        <w:spacing w:after="0" w:line="255" w:lineRule="auto"/>
        <w:rPr>
          <w:sz w:val="20"/>
          <w:szCs w:val="20"/>
          <w:color w:val="auto"/>
        </w:rPr>
      </w:pPr>
      <w:r>
        <w:rPr>
          <w:rFonts w:ascii="Arial" w:cs="Arial" w:eastAsia="Arial" w:hAnsi="Arial"/>
          <w:sz w:val="18"/>
          <w:szCs w:val="18"/>
          <w:color w:val="auto"/>
        </w:rPr>
        <w:t>The pursuit of potential acquisitions or investments may divert the attention of management and may cause us to incur various costs and expenses in identifying, investigating, and pursuing them, whether or not they are consummated. We may not be able to identify desirable acquisitions or investments or be successful in completing or realizing anticipated benefits from such transactions.</w:t>
      </w:r>
    </w:p>
    <w:p>
      <w:pPr>
        <w:spacing w:after="0" w:line="4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may receive inquiries relating to potential strategic transactions, including collaborations, licenses, and acquisitions. Such potential transactions may divert the attention of management and may cause us to incur various costs and expenses in investigating and evaluating such transactions, whether or not they are consummated.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substantially increase our costs and harm our business.</w:t>
      </w:r>
    </w:p>
    <w:p>
      <w:pPr>
        <w:spacing w:after="0" w:line="9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have been, and may in the future become, party to lawsuits including, without limitation, actions and proceedings in the ordinary course of business relating to our directors, officers, stockholders, intellectual property, and employment matters, which will cause us to incur legal fees and other costs related thereto, including potential expenses for the reimbursement of legal fees of officers and directors under indemnification obligations. The expense of defending against such litigation may be significant and there can be no assurance that we will be successful in any defense. Further, the amount of time that may be required to resolve such lawsuits is unpredictable, and these actions may divert management’s attention from the day-to-day operations of our business, which could adversely affect our business, results of operations, and cash flows. Litigation is subject to inherent uncertainties, and an adverse result in such matters that may arise from time to time could have a material adverse effect on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market price of our common stock has been, and is likely to continue to be, volatile, including for reasons unrelated to changes in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could be subject to wide fluctuations in response to a variety of factors, including but not limited to the following:</w:t>
      </w:r>
    </w:p>
    <w:p>
      <w:pPr>
        <w:spacing w:after="0" w:line="62" w:lineRule="exact"/>
        <w:rPr>
          <w:sz w:val="20"/>
          <w:szCs w:val="20"/>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results or delays in preclinical or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inability to obtain additional funding;</w:t>
      </w:r>
    </w:p>
    <w:p>
      <w:pPr>
        <w:spacing w:after="0" w:line="76" w:lineRule="exact"/>
        <w:rPr>
          <w:rFonts w:ascii="Arial" w:cs="Arial" w:eastAsia="Arial" w:hAnsi="Arial"/>
          <w:sz w:val="18"/>
          <w:szCs w:val="18"/>
          <w:color w:val="auto"/>
        </w:rPr>
      </w:pPr>
    </w:p>
    <w:p>
      <w:pPr>
        <w:ind w:left="900" w:right="20" w:hanging="379"/>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delay in filing an IND, NDA, BLA, MAA, or other regulatory submission for any of our product candidates and any adverse development or perceived adverse development with respect to the applicable regulatory agency’s review of that IND, NDA, BLA, MAA, or other regulatory submission;</w:t>
      </w:r>
    </w:p>
    <w:p>
      <w:pPr>
        <w:spacing w:after="0" w:line="3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perception of limited market sizes or pricing for our products and product candidates;</w:t>
      </w:r>
    </w:p>
    <w:p>
      <w:pPr>
        <w:spacing w:after="0" w:line="76"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decisions by our collaboration partners with respect to the indications for our products and product candidates in countries where they have the right to commercialize the products and product candidates;</w:t>
      </w:r>
    </w:p>
    <w:p>
      <w:pPr>
        <w:spacing w:after="0" w:line="21"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decisions by our collaboration partners regarding market access and pricing in countries where they have the right to commercialize our products and product candidates;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products and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any revenue we receive from named patient sales;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post-marketing safety issues;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maintain our existing strategic collaborations or enter into new collaborations;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or our licensors and strategic collaboration partners to prosecute, maintain, or enforce our intellectual property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inability to obtain adequate product supply for our products and product candidates or the inability to do so at acceptable prices;</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59" w:name="page60"/>
    <w:bookmarkEnd w:id="59"/>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meet or exceed the financial projections of the investment community;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perception of the pharmaceutical industry or our company by the public, legislatures, regulators, and the investment community;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perception of the pharmaceutical industry’s approach to drug pricing;</w:t>
      </w:r>
    </w:p>
    <w:p>
      <w:pPr>
        <w:spacing w:after="0" w:line="76"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collaboration partners, or our competitors;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integration and performance of any businesses we have acquired or may acquire;</w:t>
      </w:r>
    </w:p>
    <w:p>
      <w:pPr>
        <w:spacing w:after="0" w:line="76"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securities or industry analysts’ reports regarding our stock, or their failure to issue such reports;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market or macroeconomic conditions;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7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2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4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Pursuant to our 2014 Incentive Plan, or the 2014 Plan, our management is authorized to grant stock options and other equity-based awards to our employees, directors, and consultants. At September 30, 2019, 2,648,552 shares were available for future grants under the 2014 Plan. Through January 1, 2024, the number of shares available for future grant under the 2014 Plan will automatically increase on January 1 of each year by the lesser of 2,500,000 shares or 4% of all shares of our capital stock outstanding as of December 31 of the prior calendar year, subject to the ability of our compensation committee to take action to reduce the size of the increase in any given year.</w:t>
      </w:r>
    </w:p>
    <w:p>
      <w:pPr>
        <w:spacing w:after="0" w:line="5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Pursuant to our 2014 Employee Stock Purchase Plan, or 2014 ESPP, eligible employees can acquire shares of our common stock at a discount to the prevailing market price. At September 30, 2019, 2,740,058 shares were available for issuance under the 2014 ESPP. Through January 1, 2024, the number of shares available for issuance under the 2014 ESPP will automatically increase on January 1 of each year by the lesser of 1,200,000 shares or 1% of all shares of our capital stock outstanding as of December 31 of the prior calendar year, subject to the ability of our compensation committee to take action to reduce the size of the increase in any given year.</w:t>
      </w:r>
    </w:p>
    <w:p>
      <w:pPr>
        <w:spacing w:after="0" w:line="4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Currently we plan to register the increased number of shares available under the 2014 Plan and the 2014 ESPP each year. If our board of directors elects to increase the number of shares available for future grant under the 2014 Plan or the 2014 ESPP, our stockholders may experience additional dilution, which could cause our stock price to fall.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9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have incurred substantial losses during our history. To the extent that we continue to generate taxable losses, unused taxable losses will, subject to certain limitations, carry forward to offset future taxable income, if any, until such unused losses expire. Under Sections 382 and 383 of the Internal Revenue Code of 1986, as amended, or the IRC, if a corporation undergoes an “ownership change,” generally defined as a greater than 50% change (by value) in its equity ownership over a three-year period, the corporation’s ability to use its pre-change net operating loss carryforwards, or NOL carryforwards, and other pre-change tax attributes (such as research tax credits) to offset its post-change income may be limited. An analysis to determine limitations upon our NOL carryforwards and other pre-change tax attributes for ownership changes that have occurred previously has been performed, resulting in a permanent decrease of federal and state NOL carryforwards in the amount of $7.2 million and a permanent decrease in federal research tax credit carryforwards in the amount of $0.2 million. As a result of these decreases and others that may occur as a result of future ownership changes, our ability to use our pre-change NOL carryforwards and other tax attribute carryforwards to offset U.S. federal taxable income and tax liabilities is limited and may become subject to even greater limitations, which could potentially accelerate or permanently increase future federal tax liabilities for us. In addition, there may be periods during which the use of state income tax NOL carryforwards and other state tax attribute carryforwards (such as state research tax credits) are suspended or otherwise limited, which could potentially accelerate or permanently increase future state tax liabilities for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7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if any, for the development, operation, and expansion of our business and do not anticipate declaring or paying any cash dividends for the foreseeable future. Any return to stockholders will therefore be limited to the appreciation of their stock.</w:t>
      </w:r>
    </w:p>
    <w:p>
      <w:pPr>
        <w:spacing w:after="0" w:line="208" w:lineRule="exact"/>
        <w:rPr>
          <w:sz w:val="20"/>
          <w:szCs w:val="20"/>
          <w:color w:val="auto"/>
        </w:rPr>
      </w:pPr>
    </w:p>
    <w:p>
      <w:pPr>
        <w:ind w:right="60"/>
        <w:spacing w:after="0" w:line="347"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third-party to acquire us or increase the cost of acquiring us, even if doing so would benefit our stockholders, or remove our current management.</w:t>
      </w:r>
    </w:p>
    <w:p>
      <w:pPr>
        <w:spacing w:after="0" w:line="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33" w:lineRule="exact"/>
        <w:rPr>
          <w:sz w:val="20"/>
          <w:szCs w:val="20"/>
          <w:color w:val="auto"/>
        </w:rPr>
      </w:pPr>
    </w:p>
    <w:p>
      <w:pPr>
        <w:ind w:left="900" w:right="160" w:hanging="379"/>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or the chairperson of our board of directors;</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76"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resolution adopted by the board of directors;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76"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holders of 75% of our outstanding common stock to amend specified provisions of our amended and restated certificate of incorporation and amended and restated by-laws.</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provisions, alone or together, could delay, deter, or prevent hostile takeovers and changes in control or changes in our management.</w:t>
      </w:r>
    </w:p>
    <w:p>
      <w:pPr>
        <w:spacing w:after="0" w:line="102" w:lineRule="exact"/>
        <w:rPr>
          <w:sz w:val="20"/>
          <w:szCs w:val="20"/>
          <w:color w:val="auto"/>
        </w:rPr>
      </w:pPr>
    </w:p>
    <w:p>
      <w:pPr>
        <w:ind w:right="240" w:firstLine="518"/>
        <w:spacing w:after="0" w:line="31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Further, no stockholder is permitted to cumulate votes at any election of directors because this right is not included in our amended and restated certificate of incorporation.</w:t>
      </w:r>
    </w:p>
    <w:p>
      <w:pPr>
        <w:spacing w:after="0" w:line="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61" w:name="page62"/>
    <w:bookmarkEnd w:id="61"/>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sole and exclusive forum for</w:t>
      </w:r>
    </w:p>
    <w:p>
      <w:pPr>
        <w:spacing w:after="0" w:line="46" w:lineRule="exact"/>
        <w:rPr>
          <w:sz w:val="20"/>
          <w:szCs w:val="20"/>
          <w:color w:val="auto"/>
        </w:rPr>
      </w:pPr>
    </w:p>
    <w:p>
      <w:pPr>
        <w:ind w:firstLine="8"/>
        <w:spacing w:after="0" w:line="288" w:lineRule="auto"/>
        <w:tabs>
          <w:tab w:leader="none" w:pos="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 (2) any action asserting a claim of breach of fiduciary duty owed by any of our directors, officers, or other employees to us or to our stockholders, (3) any action asserting a claim against us arising under the Delaware General Corporation Law or under our amended and restated certificate of incorporation or bylaws, or (4) any action against us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0" w:type="dxa"/>
            <w:vAlign w:val="bottom"/>
          </w:tcPr>
          <w:p>
            <w:pPr>
              <w:ind w:left="120"/>
              <w:spacing w:after="0"/>
              <w:rPr>
                <w:sz w:val="20"/>
                <w:szCs w:val="20"/>
                <w:color w:val="auto"/>
              </w:rPr>
            </w:pPr>
            <w:r>
              <w:rPr>
                <w:rFonts w:ascii="Arial" w:cs="Arial" w:eastAsia="Arial" w:hAnsi="Arial"/>
                <w:sz w:val="16"/>
                <w:szCs w:val="16"/>
                <w:b w:val="1"/>
                <w:bCs w:val="1"/>
                <w:color w:val="auto"/>
                <w:w w:val="91"/>
              </w:rPr>
              <w:t>Incorporated by Reference</w:t>
            </w:r>
          </w:p>
        </w:tc>
        <w:tc>
          <w:tcPr>
            <w:tcW w:w="900" w:type="dxa"/>
            <w:vAlign w:val="bottom"/>
          </w:tcPr>
          <w:p>
            <w:pPr>
              <w:spacing w:after="0"/>
              <w:rPr>
                <w:sz w:val="18"/>
                <w:szCs w:val="18"/>
                <w:color w:val="auto"/>
              </w:rPr>
            </w:pPr>
          </w:p>
        </w:tc>
        <w:tc>
          <w:tcPr>
            <w:tcW w:w="1360" w:type="dxa"/>
            <w:vAlign w:val="bottom"/>
            <w:vMerge w:val="restart"/>
          </w:tcPr>
          <w:p>
            <w:pPr>
              <w:jc w:val="center"/>
              <w:ind w:left="219"/>
              <w:spacing w:after="0"/>
              <w:rPr>
                <w:sz w:val="20"/>
                <w:szCs w:val="20"/>
                <w:color w:val="auto"/>
              </w:rPr>
            </w:pPr>
            <w:r>
              <w:rPr>
                <w:rFonts w:ascii="Arial" w:cs="Arial" w:eastAsia="Arial" w:hAnsi="Arial"/>
                <w:sz w:val="16"/>
                <w:szCs w:val="16"/>
                <w:b w:val="1"/>
                <w:bCs w:val="1"/>
                <w:color w:val="auto"/>
                <w:w w:val="91"/>
              </w:rPr>
              <w:t>Furnished or</w:t>
            </w: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900" w:type="dxa"/>
            <w:vAlign w:val="bottom"/>
          </w:tcPr>
          <w:p>
            <w:pPr>
              <w:ind w:left="240"/>
              <w:spacing w:after="0"/>
              <w:rPr>
                <w:sz w:val="20"/>
                <w:szCs w:val="20"/>
                <w:color w:val="auto"/>
              </w:rPr>
            </w:pPr>
            <w:r>
              <w:rPr>
                <w:rFonts w:ascii="Arial" w:cs="Arial" w:eastAsia="Arial" w:hAnsi="Arial"/>
                <w:sz w:val="16"/>
                <w:szCs w:val="16"/>
                <w:b w:val="1"/>
                <w:bCs w:val="1"/>
                <w:color w:val="auto"/>
              </w:rPr>
              <w:t>Exhibit Number</w:t>
            </w:r>
          </w:p>
        </w:tc>
        <w:tc>
          <w:tcPr>
            <w:tcW w:w="4380" w:type="dxa"/>
            <w:vAlign w:val="bottom"/>
            <w:gridSpan w:val="9"/>
          </w:tcPr>
          <w:p>
            <w:pPr>
              <w:ind w:left="1380"/>
              <w:spacing w:after="0"/>
              <w:rPr>
                <w:sz w:val="20"/>
                <w:szCs w:val="20"/>
                <w:color w:val="auto"/>
              </w:rPr>
            </w:pPr>
            <w:r>
              <w:rPr>
                <w:rFonts w:ascii="Arial" w:cs="Arial" w:eastAsia="Arial" w:hAnsi="Arial"/>
                <w:sz w:val="16"/>
                <w:szCs w:val="16"/>
                <w:b w:val="1"/>
                <w:bCs w:val="1"/>
                <w:color w:val="auto"/>
              </w:rPr>
              <w:t>Exhibit Description</w:t>
            </w:r>
          </w:p>
        </w:tc>
        <w:tc>
          <w:tcPr>
            <w:tcW w:w="780" w:type="dxa"/>
            <w:vAlign w:val="bottom"/>
          </w:tcPr>
          <w:p>
            <w:pPr>
              <w:jc w:val="center"/>
              <w:ind w:left="39"/>
              <w:spacing w:after="0"/>
              <w:rPr>
                <w:sz w:val="20"/>
                <w:szCs w:val="20"/>
                <w:color w:val="auto"/>
              </w:rPr>
            </w:pPr>
            <w:r>
              <w:rPr>
                <w:rFonts w:ascii="Arial" w:cs="Arial" w:eastAsia="Arial" w:hAnsi="Arial"/>
                <w:sz w:val="16"/>
                <w:szCs w:val="16"/>
                <w:b w:val="1"/>
                <w:bCs w:val="1"/>
                <w:color w:val="auto"/>
                <w:w w:val="94"/>
              </w:rPr>
              <w:t>Form</w:t>
            </w:r>
          </w:p>
        </w:tc>
        <w:tc>
          <w:tcPr>
            <w:tcW w:w="200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tcPr>
          <w:p>
            <w:pPr>
              <w:jc w:val="center"/>
              <w:ind w:right="219"/>
              <w:spacing w:after="0"/>
              <w:rPr>
                <w:sz w:val="20"/>
                <w:szCs w:val="20"/>
                <w:color w:val="auto"/>
              </w:rPr>
            </w:pPr>
            <w:r>
              <w:rPr>
                <w:rFonts w:ascii="Arial" w:cs="Arial" w:eastAsia="Arial" w:hAnsi="Arial"/>
                <w:sz w:val="16"/>
                <w:szCs w:val="16"/>
                <w:b w:val="1"/>
                <w:bCs w:val="1"/>
                <w:color w:val="auto"/>
                <w:w w:val="92"/>
              </w:rPr>
              <w:t>Number</w:t>
            </w:r>
          </w:p>
        </w:tc>
        <w:tc>
          <w:tcPr>
            <w:tcW w:w="1360" w:type="dxa"/>
            <w:vAlign w:val="bottom"/>
          </w:tcPr>
          <w:p>
            <w:pPr>
              <w:jc w:val="center"/>
              <w:ind w:left="239"/>
              <w:spacing w:after="0"/>
              <w:rPr>
                <w:sz w:val="20"/>
                <w:szCs w:val="20"/>
                <w:color w:val="auto"/>
              </w:rPr>
            </w:pPr>
            <w:r>
              <w:rPr>
                <w:rFonts w:ascii="Arial" w:cs="Arial" w:eastAsia="Arial" w:hAnsi="Arial"/>
                <w:sz w:val="16"/>
                <w:szCs w:val="16"/>
                <w:b w:val="1"/>
                <w:bCs w:val="1"/>
                <w:color w:val="auto"/>
                <w:w w:val="95"/>
              </w:rPr>
              <w:t>Filed Herewith</w:t>
            </w:r>
          </w:p>
        </w:tc>
        <w:tc>
          <w:tcPr>
            <w:tcW w:w="0" w:type="dxa"/>
            <w:vAlign w:val="bottom"/>
          </w:tcPr>
          <w:p>
            <w:pPr>
              <w:spacing w:after="0"/>
              <w:rPr>
                <w:sz w:val="1"/>
                <w:szCs w:val="1"/>
                <w:color w:val="auto"/>
              </w:rPr>
            </w:pPr>
          </w:p>
        </w:tc>
      </w:tr>
      <w:tr>
        <w:trPr>
          <w:trHeight w:val="172"/>
        </w:trPr>
        <w:tc>
          <w:tcPr>
            <w:tcW w:w="1900" w:type="dxa"/>
            <w:vAlign w:val="bottom"/>
          </w:tcPr>
          <w:p>
            <w:pPr>
              <w:spacing w:after="0" w:line="172" w:lineRule="exact"/>
              <w:rPr>
                <w:sz w:val="20"/>
                <w:szCs w:val="20"/>
                <w:color w:val="auto"/>
              </w:rPr>
            </w:pPr>
            <w:r>
              <w:rPr>
                <w:rFonts w:ascii="Arial" w:cs="Arial" w:eastAsia="Arial" w:hAnsi="Arial"/>
                <w:sz w:val="16"/>
                <w:szCs w:val="16"/>
                <w:color w:val="auto"/>
              </w:rPr>
              <w:t>3.1</w:t>
            </w:r>
          </w:p>
        </w:tc>
        <w:tc>
          <w:tcPr>
            <w:tcW w:w="4380" w:type="dxa"/>
            <w:vAlign w:val="bottom"/>
            <w:gridSpan w:val="9"/>
          </w:tcPr>
          <w:p>
            <w:pPr>
              <w:spacing w:after="0" w:line="172" w:lineRule="exact"/>
              <w:rPr>
                <w:rFonts w:ascii="Arial" w:cs="Arial" w:eastAsia="Arial" w:hAnsi="Arial"/>
                <w:sz w:val="16"/>
                <w:szCs w:val="16"/>
                <w:color w:val="0000EE"/>
              </w:rPr>
            </w:pPr>
            <w:hyperlink r:id="rId83">
              <w:r>
                <w:rPr>
                  <w:rFonts w:ascii="Arial" w:cs="Arial" w:eastAsia="Arial" w:hAnsi="Arial"/>
                  <w:sz w:val="16"/>
                  <w:szCs w:val="16"/>
                  <w:color w:val="0000EE"/>
                </w:rPr>
                <w:t>Amended and Restated Certificate of Incorporation</w:t>
              </w:r>
            </w:hyperlink>
          </w:p>
        </w:tc>
        <w:tc>
          <w:tcPr>
            <w:tcW w:w="780" w:type="dxa"/>
            <w:vAlign w:val="bottom"/>
          </w:tcPr>
          <w:p>
            <w:pPr>
              <w:jc w:val="center"/>
              <w:ind w:left="39"/>
              <w:spacing w:after="0" w:line="172" w:lineRule="exact"/>
              <w:rPr>
                <w:sz w:val="20"/>
                <w:szCs w:val="20"/>
                <w:color w:val="auto"/>
              </w:rPr>
            </w:pPr>
            <w:r>
              <w:rPr>
                <w:rFonts w:ascii="Arial" w:cs="Arial" w:eastAsia="Arial" w:hAnsi="Arial"/>
                <w:sz w:val="16"/>
                <w:szCs w:val="16"/>
                <w:color w:val="auto"/>
              </w:rPr>
              <w:t>8-K</w:t>
            </w:r>
          </w:p>
        </w:tc>
        <w:tc>
          <w:tcPr>
            <w:tcW w:w="2000" w:type="dxa"/>
            <w:vAlign w:val="bottom"/>
          </w:tcPr>
          <w:p>
            <w:pPr>
              <w:jc w:val="center"/>
              <w:ind w:right="59"/>
              <w:spacing w:after="0" w:line="172" w:lineRule="exact"/>
              <w:rPr>
                <w:sz w:val="20"/>
                <w:szCs w:val="20"/>
                <w:color w:val="auto"/>
              </w:rPr>
            </w:pPr>
            <w:r>
              <w:rPr>
                <w:rFonts w:ascii="Arial" w:cs="Arial" w:eastAsia="Arial" w:hAnsi="Arial"/>
                <w:sz w:val="16"/>
                <w:szCs w:val="16"/>
                <w:color w:val="auto"/>
                <w:w w:val="93"/>
              </w:rPr>
              <w:t>2/5/2014</w:t>
            </w:r>
          </w:p>
        </w:tc>
        <w:tc>
          <w:tcPr>
            <w:tcW w:w="900" w:type="dxa"/>
            <w:vAlign w:val="bottom"/>
          </w:tcPr>
          <w:p>
            <w:pPr>
              <w:jc w:val="center"/>
              <w:ind w:right="219"/>
              <w:spacing w:after="0" w:line="172" w:lineRule="exact"/>
              <w:rPr>
                <w:sz w:val="20"/>
                <w:szCs w:val="20"/>
                <w:color w:val="auto"/>
              </w:rPr>
            </w:pPr>
            <w:r>
              <w:rPr>
                <w:rFonts w:ascii="Arial" w:cs="Arial" w:eastAsia="Arial" w:hAnsi="Arial"/>
                <w:sz w:val="16"/>
                <w:szCs w:val="16"/>
                <w:color w:val="auto"/>
                <w:w w:val="89"/>
              </w:rPr>
              <w:t>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00" w:type="dxa"/>
            <w:vAlign w:val="bottom"/>
          </w:tcPr>
          <w:p>
            <w:pPr>
              <w:spacing w:after="0" w:line="183" w:lineRule="exact"/>
              <w:rPr>
                <w:sz w:val="20"/>
                <w:szCs w:val="20"/>
                <w:color w:val="auto"/>
              </w:rPr>
            </w:pPr>
            <w:r>
              <w:rPr>
                <w:rFonts w:ascii="Arial" w:cs="Arial" w:eastAsia="Arial" w:hAnsi="Arial"/>
                <w:sz w:val="16"/>
                <w:szCs w:val="16"/>
                <w:color w:val="auto"/>
              </w:rPr>
              <w:t>3.2</w:t>
            </w:r>
          </w:p>
        </w:tc>
        <w:tc>
          <w:tcPr>
            <w:tcW w:w="3320" w:type="dxa"/>
            <w:vAlign w:val="bottom"/>
            <w:tcBorders>
              <w:top w:val="single" w:sz="8" w:color="0000EE"/>
            </w:tcBorders>
            <w:gridSpan w:val="3"/>
          </w:tcPr>
          <w:p>
            <w:pPr>
              <w:spacing w:after="0" w:line="183" w:lineRule="exact"/>
              <w:rPr>
                <w:rFonts w:ascii="Arial" w:cs="Arial" w:eastAsia="Arial" w:hAnsi="Arial"/>
                <w:sz w:val="16"/>
                <w:szCs w:val="16"/>
                <w:color w:val="0000EE"/>
              </w:rPr>
            </w:pPr>
            <w:hyperlink r:id="rId84">
              <w:r>
                <w:rPr>
                  <w:rFonts w:ascii="Arial" w:cs="Arial" w:eastAsia="Arial" w:hAnsi="Arial"/>
                  <w:sz w:val="16"/>
                  <w:szCs w:val="16"/>
                  <w:color w:val="0000EE"/>
                </w:rPr>
                <w:t>Amended and Restated Bylaws</w:t>
              </w:r>
            </w:hyperlink>
          </w:p>
        </w:tc>
        <w:tc>
          <w:tcPr>
            <w:tcW w:w="1060" w:type="dxa"/>
            <w:vAlign w:val="bottom"/>
            <w:gridSpan w:val="6"/>
          </w:tcPr>
          <w:p>
            <w:pPr>
              <w:spacing w:after="0"/>
              <w:rPr>
                <w:sz w:val="15"/>
                <w:szCs w:val="15"/>
                <w:color w:val="auto"/>
              </w:rPr>
            </w:pPr>
          </w:p>
        </w:tc>
        <w:tc>
          <w:tcPr>
            <w:tcW w:w="780" w:type="dxa"/>
            <w:vAlign w:val="bottom"/>
          </w:tcPr>
          <w:p>
            <w:pPr>
              <w:jc w:val="center"/>
              <w:ind w:left="39"/>
              <w:spacing w:after="0" w:line="183" w:lineRule="exact"/>
              <w:rPr>
                <w:sz w:val="20"/>
                <w:szCs w:val="20"/>
                <w:color w:val="auto"/>
              </w:rPr>
            </w:pPr>
            <w:r>
              <w:rPr>
                <w:rFonts w:ascii="Arial" w:cs="Arial" w:eastAsia="Arial" w:hAnsi="Arial"/>
                <w:sz w:val="16"/>
                <w:szCs w:val="16"/>
                <w:color w:val="auto"/>
              </w:rPr>
              <w:t>8-K</w:t>
            </w:r>
          </w:p>
        </w:tc>
        <w:tc>
          <w:tcPr>
            <w:tcW w:w="2000" w:type="dxa"/>
            <w:vAlign w:val="bottom"/>
          </w:tcPr>
          <w:p>
            <w:pPr>
              <w:jc w:val="center"/>
              <w:ind w:right="59"/>
              <w:spacing w:after="0" w:line="183" w:lineRule="exact"/>
              <w:rPr>
                <w:sz w:val="20"/>
                <w:szCs w:val="20"/>
                <w:color w:val="auto"/>
              </w:rPr>
            </w:pPr>
            <w:r>
              <w:rPr>
                <w:rFonts w:ascii="Arial" w:cs="Arial" w:eastAsia="Arial" w:hAnsi="Arial"/>
                <w:sz w:val="16"/>
                <w:szCs w:val="16"/>
                <w:color w:val="auto"/>
                <w:w w:val="93"/>
              </w:rPr>
              <w:t>2/5/2014</w:t>
            </w:r>
          </w:p>
        </w:tc>
        <w:tc>
          <w:tcPr>
            <w:tcW w:w="900" w:type="dxa"/>
            <w:vAlign w:val="bottom"/>
          </w:tcPr>
          <w:p>
            <w:pPr>
              <w:jc w:val="center"/>
              <w:ind w:right="219"/>
              <w:spacing w:after="0" w:line="183" w:lineRule="exact"/>
              <w:rPr>
                <w:sz w:val="20"/>
                <w:szCs w:val="20"/>
                <w:color w:val="auto"/>
              </w:rPr>
            </w:pPr>
            <w:r>
              <w:rPr>
                <w:rFonts w:ascii="Arial" w:cs="Arial" w:eastAsia="Arial" w:hAnsi="Arial"/>
                <w:sz w:val="16"/>
                <w:szCs w:val="16"/>
                <w:color w:val="auto"/>
                <w:w w:val="89"/>
              </w:rPr>
              <w:t>3.2</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tcPr>
          <w:p>
            <w:pPr>
              <w:spacing w:after="0" w:line="183" w:lineRule="exact"/>
              <w:rPr>
                <w:sz w:val="20"/>
                <w:szCs w:val="20"/>
                <w:color w:val="auto"/>
              </w:rPr>
            </w:pPr>
            <w:r>
              <w:rPr>
                <w:rFonts w:ascii="Arial" w:cs="Arial" w:eastAsia="Arial" w:hAnsi="Arial"/>
                <w:sz w:val="16"/>
                <w:szCs w:val="16"/>
                <w:color w:val="auto"/>
              </w:rPr>
              <w:t>31.1</w:t>
            </w:r>
          </w:p>
        </w:tc>
        <w:tc>
          <w:tcPr>
            <w:tcW w:w="3900" w:type="dxa"/>
            <w:vAlign w:val="bottom"/>
            <w:tcBorders>
              <w:bottom w:val="single" w:sz="8" w:color="0000EE"/>
            </w:tcBorders>
            <w:gridSpan w:val="7"/>
          </w:tcPr>
          <w:p>
            <w:pPr>
              <w:spacing w:after="0" w:line="183" w:lineRule="exact"/>
              <w:rPr>
                <w:rFonts w:ascii="Arial" w:cs="Arial" w:eastAsia="Arial" w:hAnsi="Arial"/>
                <w:sz w:val="16"/>
                <w:szCs w:val="16"/>
                <w:color w:val="0000EE"/>
                <w:w w:val="94"/>
              </w:rPr>
            </w:pPr>
            <w:hyperlink w:anchor="page65">
              <w:r>
                <w:rPr>
                  <w:rFonts w:ascii="Arial" w:cs="Arial" w:eastAsia="Arial" w:hAnsi="Arial"/>
                  <w:sz w:val="16"/>
                  <w:szCs w:val="16"/>
                  <w:color w:val="0000EE"/>
                  <w:w w:val="94"/>
                </w:rPr>
                <w:t>Certification of Principal Executive Officer Required Under</w:t>
              </w:r>
            </w:hyperlink>
          </w:p>
        </w:tc>
        <w:tc>
          <w:tcPr>
            <w:tcW w:w="48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center"/>
              <w:ind w:left="239"/>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4380" w:type="dxa"/>
            <w:vAlign w:val="bottom"/>
            <w:gridSpan w:val="9"/>
          </w:tcPr>
          <w:p>
            <w:pPr>
              <w:spacing w:after="0" w:line="183" w:lineRule="exact"/>
              <w:rPr>
                <w:rFonts w:ascii="Arial" w:cs="Arial" w:eastAsia="Arial" w:hAnsi="Arial"/>
                <w:sz w:val="16"/>
                <w:szCs w:val="16"/>
                <w:color w:val="0000EE"/>
              </w:rPr>
            </w:pPr>
            <w:hyperlink w:anchor="page65">
              <w:r>
                <w:rPr>
                  <w:rFonts w:ascii="Arial" w:cs="Arial" w:eastAsia="Arial" w:hAnsi="Arial"/>
                  <w:sz w:val="16"/>
                  <w:szCs w:val="16"/>
                  <w:color w:val="0000EE"/>
                </w:rPr>
                <w:t>Rule 13a-14(a) or Rule 15d-14(a) of the Exchange Act</w:t>
              </w:r>
            </w:hyperlink>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tcPr>
          <w:p>
            <w:pPr>
              <w:spacing w:after="0" w:line="183" w:lineRule="exact"/>
              <w:rPr>
                <w:sz w:val="20"/>
                <w:szCs w:val="20"/>
                <w:color w:val="auto"/>
              </w:rPr>
            </w:pPr>
            <w:r>
              <w:rPr>
                <w:rFonts w:ascii="Arial" w:cs="Arial" w:eastAsia="Arial" w:hAnsi="Arial"/>
                <w:sz w:val="16"/>
                <w:szCs w:val="16"/>
                <w:color w:val="auto"/>
              </w:rPr>
              <w:t>31.2</w:t>
            </w:r>
          </w:p>
        </w:tc>
        <w:tc>
          <w:tcPr>
            <w:tcW w:w="4380" w:type="dxa"/>
            <w:vAlign w:val="bottom"/>
            <w:gridSpan w:val="9"/>
          </w:tcPr>
          <w:p>
            <w:pPr>
              <w:spacing w:after="0" w:line="183" w:lineRule="exact"/>
              <w:rPr>
                <w:rFonts w:ascii="Arial" w:cs="Arial" w:eastAsia="Arial" w:hAnsi="Arial"/>
                <w:sz w:val="16"/>
                <w:szCs w:val="16"/>
                <w:color w:val="0000EE"/>
              </w:rPr>
            </w:pPr>
            <w:hyperlink w:anchor="page66">
              <w:r>
                <w:rPr>
                  <w:rFonts w:ascii="Arial" w:cs="Arial" w:eastAsia="Arial" w:hAnsi="Arial"/>
                  <w:sz w:val="16"/>
                  <w:szCs w:val="16"/>
                  <w:color w:val="0000EE"/>
                </w:rPr>
                <w:t>Certification of Principal Financial Officer Required Under</w:t>
              </w:r>
            </w:hyperlink>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center"/>
              <w:ind w:left="239"/>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3840" w:type="dxa"/>
            <w:vAlign w:val="bottom"/>
            <w:tcBorders>
              <w:top w:val="single" w:sz="8" w:color="0000EE"/>
            </w:tcBorders>
            <w:gridSpan w:val="6"/>
          </w:tcPr>
          <w:p>
            <w:pPr>
              <w:spacing w:after="0" w:line="183" w:lineRule="exact"/>
              <w:rPr>
                <w:rFonts w:ascii="Arial" w:cs="Arial" w:eastAsia="Arial" w:hAnsi="Arial"/>
                <w:sz w:val="16"/>
                <w:szCs w:val="16"/>
                <w:color w:val="0000EE"/>
                <w:w w:val="99"/>
              </w:rPr>
            </w:pPr>
            <w:hyperlink w:anchor="page66">
              <w:r>
                <w:rPr>
                  <w:rFonts w:ascii="Arial" w:cs="Arial" w:eastAsia="Arial" w:hAnsi="Arial"/>
                  <w:sz w:val="16"/>
                  <w:szCs w:val="16"/>
                  <w:color w:val="0000EE"/>
                  <w:w w:val="99"/>
                </w:rPr>
                <w:t>Rule 13a-14(a) or Rule 15d-14(a) of the Exchange Act</w:t>
              </w:r>
            </w:hyperlink>
          </w:p>
        </w:tc>
        <w:tc>
          <w:tcPr>
            <w:tcW w:w="54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tcPr>
          <w:p>
            <w:pPr>
              <w:spacing w:after="0" w:line="183" w:lineRule="exact"/>
              <w:rPr>
                <w:sz w:val="20"/>
                <w:szCs w:val="20"/>
                <w:color w:val="auto"/>
              </w:rPr>
            </w:pPr>
            <w:r>
              <w:rPr>
                <w:rFonts w:ascii="Arial" w:cs="Arial" w:eastAsia="Arial" w:hAnsi="Arial"/>
                <w:sz w:val="16"/>
                <w:szCs w:val="16"/>
                <w:color w:val="auto"/>
              </w:rPr>
              <w:t>32.1*</w:t>
            </w:r>
          </w:p>
        </w:tc>
        <w:tc>
          <w:tcPr>
            <w:tcW w:w="3720" w:type="dxa"/>
            <w:vAlign w:val="bottom"/>
            <w:tcBorders>
              <w:bottom w:val="single" w:sz="8" w:color="0000EE"/>
            </w:tcBorders>
            <w:gridSpan w:val="5"/>
          </w:tcPr>
          <w:p>
            <w:pPr>
              <w:spacing w:after="0" w:line="183" w:lineRule="exact"/>
              <w:rPr>
                <w:rFonts w:ascii="Arial" w:cs="Arial" w:eastAsia="Arial" w:hAnsi="Arial"/>
                <w:sz w:val="16"/>
                <w:szCs w:val="16"/>
                <w:color w:val="0000EE"/>
                <w:w w:val="94"/>
              </w:rPr>
            </w:pPr>
            <w:hyperlink w:anchor="page67">
              <w:r>
                <w:rPr>
                  <w:rFonts w:ascii="Arial" w:cs="Arial" w:eastAsia="Arial" w:hAnsi="Arial"/>
                  <w:sz w:val="16"/>
                  <w:szCs w:val="16"/>
                  <w:color w:val="0000EE"/>
                  <w:w w:val="94"/>
                </w:rPr>
                <w:t>Certification of Principal Executive Officer and Principal</w:t>
              </w:r>
            </w:hyperlink>
          </w:p>
        </w:tc>
        <w:tc>
          <w:tcPr>
            <w:tcW w:w="660" w:type="dxa"/>
            <w:vAlign w:val="bottom"/>
            <w:gridSpan w:val="4"/>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center"/>
              <w:ind w:left="239"/>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4080" w:type="dxa"/>
            <w:vAlign w:val="bottom"/>
            <w:tcBorders>
              <w:bottom w:val="single" w:sz="8" w:color="0000EE"/>
            </w:tcBorders>
            <w:gridSpan w:val="8"/>
          </w:tcPr>
          <w:p>
            <w:pPr>
              <w:spacing w:after="0" w:line="183" w:lineRule="exact"/>
              <w:rPr>
                <w:rFonts w:ascii="Arial" w:cs="Arial" w:eastAsia="Arial" w:hAnsi="Arial"/>
                <w:sz w:val="16"/>
                <w:szCs w:val="16"/>
                <w:color w:val="0000EE"/>
                <w:w w:val="92"/>
              </w:rPr>
            </w:pPr>
            <w:hyperlink w:anchor="page67">
              <w:r>
                <w:rPr>
                  <w:rFonts w:ascii="Arial" w:cs="Arial" w:eastAsia="Arial" w:hAnsi="Arial"/>
                  <w:sz w:val="16"/>
                  <w:szCs w:val="16"/>
                  <w:color w:val="0000EE"/>
                  <w:w w:val="92"/>
                </w:rPr>
                <w:t>Financial Officer Required Under Rule 13a-14(b) or Rule 15d-</w:t>
              </w:r>
            </w:hyperlink>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3040" w:type="dxa"/>
            <w:vAlign w:val="bottom"/>
            <w:tcBorders>
              <w:bottom w:val="single" w:sz="8" w:color="0000EE"/>
            </w:tcBorders>
            <w:gridSpan w:val="2"/>
          </w:tcPr>
          <w:p>
            <w:pPr>
              <w:spacing w:after="0" w:line="183" w:lineRule="exact"/>
              <w:rPr>
                <w:rFonts w:ascii="Arial" w:cs="Arial" w:eastAsia="Arial" w:hAnsi="Arial"/>
                <w:sz w:val="16"/>
                <w:szCs w:val="16"/>
                <w:color w:val="0000EE"/>
                <w:w w:val="91"/>
              </w:rPr>
            </w:pPr>
            <w:hyperlink w:anchor="page67">
              <w:r>
                <w:rPr>
                  <w:rFonts w:ascii="Arial" w:cs="Arial" w:eastAsia="Arial" w:hAnsi="Arial"/>
                  <w:sz w:val="16"/>
                  <w:szCs w:val="16"/>
                  <w:color w:val="0000EE"/>
                  <w:w w:val="91"/>
                </w:rPr>
                <w:t>14(b) of the Exchange Act and 18 U.S.C. 1350</w:t>
              </w:r>
            </w:hyperlink>
          </w:p>
        </w:tc>
        <w:tc>
          <w:tcPr>
            <w:tcW w:w="1340" w:type="dxa"/>
            <w:vAlign w:val="bottom"/>
            <w:gridSpan w:val="7"/>
          </w:tcPr>
          <w:p>
            <w:pPr>
              <w:spacing w:after="0"/>
              <w:rPr>
                <w:sz w:val="15"/>
                <w:szCs w:val="15"/>
                <w:color w:val="auto"/>
              </w:rPr>
            </w:pPr>
          </w:p>
        </w:tc>
        <w:tc>
          <w:tcPr>
            <w:tcW w:w="7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900" w:type="dxa"/>
            <w:vAlign w:val="bottom"/>
          </w:tcPr>
          <w:p>
            <w:pPr>
              <w:spacing w:after="0"/>
              <w:rPr>
                <w:sz w:val="20"/>
                <w:szCs w:val="20"/>
                <w:color w:val="auto"/>
              </w:rPr>
            </w:pPr>
            <w:r>
              <w:rPr>
                <w:rFonts w:ascii="Arial" w:cs="Arial" w:eastAsia="Arial" w:hAnsi="Arial"/>
                <w:sz w:val="16"/>
                <w:szCs w:val="16"/>
                <w:color w:val="auto"/>
              </w:rPr>
              <w:t>101.INS</w:t>
            </w:r>
          </w:p>
        </w:tc>
        <w:tc>
          <w:tcPr>
            <w:tcW w:w="4380" w:type="dxa"/>
            <w:vAlign w:val="bottom"/>
            <w:gridSpan w:val="9"/>
          </w:tcPr>
          <w:p>
            <w:pPr>
              <w:spacing w:after="0"/>
              <w:rPr>
                <w:sz w:val="20"/>
                <w:szCs w:val="20"/>
                <w:color w:val="auto"/>
              </w:rPr>
            </w:pPr>
            <w:r>
              <w:rPr>
                <w:rFonts w:ascii="Arial" w:cs="Arial" w:eastAsia="Arial" w:hAnsi="Arial"/>
                <w:sz w:val="16"/>
                <w:szCs w:val="16"/>
                <w:color w:val="auto"/>
              </w:rPr>
              <w:t>XBRL Instance Document, formatted in Inline XBRL</w:t>
            </w:r>
          </w:p>
        </w:tc>
        <w:tc>
          <w:tcPr>
            <w:tcW w:w="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jc w:val="center"/>
              <w:ind w:left="23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101.SCH</w:t>
            </w:r>
          </w:p>
        </w:tc>
        <w:tc>
          <w:tcPr>
            <w:tcW w:w="438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jc w:val="center"/>
              <w:ind w:left="23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101.CAL</w:t>
            </w:r>
          </w:p>
        </w:tc>
        <w:tc>
          <w:tcPr>
            <w:tcW w:w="438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jc w:val="center"/>
              <w:ind w:left="23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438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101.DEF</w:t>
            </w:r>
          </w:p>
        </w:tc>
        <w:tc>
          <w:tcPr>
            <w:tcW w:w="438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jc w:val="center"/>
              <w:ind w:left="23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438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101.LAB</w:t>
            </w:r>
          </w:p>
        </w:tc>
        <w:tc>
          <w:tcPr>
            <w:tcW w:w="4380" w:type="dxa"/>
            <w:vAlign w:val="bottom"/>
            <w:gridSpan w:val="9"/>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jc w:val="center"/>
              <w:ind w:left="23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101.PRE</w:t>
            </w:r>
          </w:p>
        </w:tc>
        <w:tc>
          <w:tcPr>
            <w:tcW w:w="438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jc w:val="center"/>
              <w:ind w:left="23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438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104</w:t>
            </w:r>
          </w:p>
        </w:tc>
        <w:tc>
          <w:tcPr>
            <w:tcW w:w="4380" w:type="dxa"/>
            <w:vAlign w:val="bottom"/>
            <w:gridSpan w:val="9"/>
          </w:tcPr>
          <w:p>
            <w:pPr>
              <w:spacing w:after="0"/>
              <w:rPr>
                <w:sz w:val="20"/>
                <w:szCs w:val="20"/>
                <w:color w:val="auto"/>
              </w:rPr>
            </w:pPr>
            <w:r>
              <w:rPr>
                <w:rFonts w:ascii="Arial" w:cs="Arial" w:eastAsia="Arial" w:hAnsi="Arial"/>
                <w:sz w:val="16"/>
                <w:szCs w:val="16"/>
                <w:color w:val="auto"/>
                <w:w w:val="97"/>
              </w:rPr>
              <w:t>The cover page from the Company’s Quarterly Report on Form</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4380" w:type="dxa"/>
            <w:vAlign w:val="bottom"/>
            <w:gridSpan w:val="9"/>
          </w:tcPr>
          <w:p>
            <w:pPr>
              <w:spacing w:after="0"/>
              <w:rPr>
                <w:sz w:val="20"/>
                <w:szCs w:val="20"/>
                <w:color w:val="auto"/>
              </w:rPr>
            </w:pPr>
            <w:r>
              <w:rPr>
                <w:rFonts w:ascii="Arial" w:cs="Arial" w:eastAsia="Arial" w:hAnsi="Arial"/>
                <w:sz w:val="16"/>
                <w:szCs w:val="16"/>
                <w:color w:val="auto"/>
              </w:rPr>
              <w:t>10-Q for the quarter ended September 30, 2019, formatted in</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00" w:type="dxa"/>
            <w:vAlign w:val="bottom"/>
          </w:tcPr>
          <w:p>
            <w:pPr>
              <w:spacing w:after="0"/>
              <w:rPr>
                <w:sz w:val="17"/>
                <w:szCs w:val="17"/>
                <w:color w:val="auto"/>
              </w:rPr>
            </w:pPr>
          </w:p>
        </w:tc>
        <w:tc>
          <w:tcPr>
            <w:tcW w:w="4380" w:type="dxa"/>
            <w:vAlign w:val="bottom"/>
            <w:gridSpan w:val="9"/>
          </w:tcPr>
          <w:p>
            <w:pPr>
              <w:spacing w:after="0"/>
              <w:rPr>
                <w:sz w:val="20"/>
                <w:szCs w:val="20"/>
                <w:color w:val="auto"/>
              </w:rPr>
            </w:pPr>
            <w:r>
              <w:rPr>
                <w:rFonts w:ascii="Arial" w:cs="Arial" w:eastAsia="Arial" w:hAnsi="Arial"/>
                <w:sz w:val="16"/>
                <w:szCs w:val="16"/>
                <w:color w:val="auto"/>
              </w:rPr>
              <w:t>Inline XBRL.</w:t>
            </w: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8"/>
        <w:spacing w:after="0" w:line="264" w:lineRule="auto"/>
        <w:tabs>
          <w:tab w:leader="none" w:pos="7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Quarterly Report is furnished to, and not deemed filed with, the SEC and is not to be incorporated by reference into any filing of the Registrant under the Securities Act or the Exchange Act,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3120"/>
              <w:spacing w:after="0"/>
              <w:rPr>
                <w:sz w:val="20"/>
                <w:szCs w:val="20"/>
                <w:color w:val="auto"/>
              </w:rPr>
            </w:pPr>
            <w:r>
              <w:rPr>
                <w:rFonts w:ascii="Arial" w:cs="Arial" w:eastAsia="Arial" w:hAnsi="Arial"/>
                <w:sz w:val="18"/>
                <w:szCs w:val="18"/>
                <w:color w:val="auto"/>
              </w:rPr>
              <w:t>ULTRAGENYX PHARMACEUTICAL INC.</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5, 2019</w:t>
            </w:r>
          </w:p>
        </w:tc>
        <w:tc>
          <w:tcPr>
            <w:tcW w:w="3420" w:type="dxa"/>
            <w:vAlign w:val="bottom"/>
          </w:tcPr>
          <w:p>
            <w:pPr>
              <w:ind w:left="312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Emil D. Kakkis</w:t>
            </w:r>
          </w:p>
        </w:tc>
      </w:tr>
      <w:tr>
        <w:trPr>
          <w:trHeight w:val="195"/>
        </w:trPr>
        <w:tc>
          <w:tcPr>
            <w:tcW w:w="37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300" w:type="dxa"/>
            <w:vAlign w:val="bottom"/>
          </w:tcPr>
          <w:p>
            <w:pPr>
              <w:jc w:val="center"/>
              <w:spacing w:after="0" w:line="195" w:lineRule="exact"/>
              <w:rPr>
                <w:sz w:val="20"/>
                <w:szCs w:val="20"/>
                <w:color w:val="auto"/>
              </w:rPr>
            </w:pPr>
            <w:r>
              <w:rPr>
                <w:rFonts w:ascii="Arial" w:cs="Arial" w:eastAsia="Arial" w:hAnsi="Arial"/>
                <w:sz w:val="18"/>
                <w:szCs w:val="18"/>
                <w:color w:val="auto"/>
                <w:w w:val="95"/>
              </w:rPr>
              <w:t>Emil D. Kakkis, M.D., Ph.D.</w:t>
            </w:r>
          </w:p>
        </w:tc>
      </w:tr>
      <w:tr>
        <w:trPr>
          <w:trHeight w:val="216"/>
        </w:trPr>
        <w:tc>
          <w:tcPr>
            <w:tcW w:w="3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37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6"/>
              </w:rPr>
              <w:t>(Duly Authorized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5, 2019</w:t>
            </w:r>
          </w:p>
        </w:tc>
        <w:tc>
          <w:tcPr>
            <w:tcW w:w="3420" w:type="dxa"/>
            <w:vAlign w:val="bottom"/>
          </w:tcPr>
          <w:p>
            <w:pPr>
              <w:ind w:left="312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Shalini Sharp</w:t>
            </w:r>
          </w:p>
        </w:tc>
      </w:tr>
      <w:tr>
        <w:trPr>
          <w:trHeight w:val="195"/>
        </w:trPr>
        <w:tc>
          <w:tcPr>
            <w:tcW w:w="37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300" w:type="dxa"/>
            <w:vAlign w:val="bottom"/>
          </w:tcPr>
          <w:p>
            <w:pPr>
              <w:jc w:val="center"/>
              <w:spacing w:after="0" w:line="195" w:lineRule="exact"/>
              <w:rPr>
                <w:sz w:val="20"/>
                <w:szCs w:val="20"/>
                <w:color w:val="auto"/>
              </w:rPr>
            </w:pPr>
            <w:r>
              <w:rPr>
                <w:rFonts w:ascii="Arial" w:cs="Arial" w:eastAsia="Arial" w:hAnsi="Arial"/>
                <w:sz w:val="18"/>
                <w:szCs w:val="18"/>
                <w:color w:val="auto"/>
                <w:w w:val="91"/>
              </w:rPr>
              <w:t>Shalini Sharp</w:t>
            </w:r>
          </w:p>
        </w:tc>
      </w:tr>
      <w:tr>
        <w:trPr>
          <w:trHeight w:val="216"/>
        </w:trPr>
        <w:tc>
          <w:tcPr>
            <w:tcW w:w="3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37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5, 2019</w:t>
            </w:r>
          </w:p>
        </w:tc>
        <w:tc>
          <w:tcPr>
            <w:tcW w:w="3420" w:type="dxa"/>
            <w:vAlign w:val="bottom"/>
          </w:tcPr>
          <w:p>
            <w:pPr>
              <w:ind w:left="312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Theodore A. Huizenga</w:t>
            </w:r>
          </w:p>
        </w:tc>
      </w:tr>
      <w:tr>
        <w:trPr>
          <w:trHeight w:val="195"/>
        </w:trPr>
        <w:tc>
          <w:tcPr>
            <w:tcW w:w="37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300" w:type="dxa"/>
            <w:vAlign w:val="bottom"/>
          </w:tcPr>
          <w:p>
            <w:pPr>
              <w:jc w:val="center"/>
              <w:spacing w:after="0" w:line="195" w:lineRule="exact"/>
              <w:rPr>
                <w:sz w:val="20"/>
                <w:szCs w:val="20"/>
                <w:color w:val="auto"/>
              </w:rPr>
            </w:pPr>
            <w:r>
              <w:rPr>
                <w:rFonts w:ascii="Arial" w:cs="Arial" w:eastAsia="Arial" w:hAnsi="Arial"/>
                <w:sz w:val="18"/>
                <w:szCs w:val="18"/>
                <w:color w:val="auto"/>
                <w:w w:val="91"/>
              </w:rPr>
              <w:t>Theodore A. Huizenga</w:t>
            </w:r>
          </w:p>
        </w:tc>
      </w:tr>
      <w:tr>
        <w:trPr>
          <w:trHeight w:val="216"/>
        </w:trPr>
        <w:tc>
          <w:tcPr>
            <w:tcW w:w="3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Senior Vice President and Corporate Controller</w:t>
            </w:r>
          </w:p>
        </w:tc>
      </w:tr>
      <w:tr>
        <w:trPr>
          <w:trHeight w:val="230"/>
        </w:trPr>
        <w:tc>
          <w:tcPr>
            <w:tcW w:w="37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648"/>
        </w:trPr>
        <w:tc>
          <w:tcPr>
            <w:tcW w:w="3700" w:type="dxa"/>
            <w:vAlign w:val="bottom"/>
          </w:tcPr>
          <w:p>
            <w:pPr>
              <w:spacing w:after="0"/>
              <w:rPr>
                <w:sz w:val="24"/>
                <w:szCs w:val="24"/>
                <w:color w:val="auto"/>
              </w:rPr>
            </w:pPr>
          </w:p>
        </w:tc>
        <w:tc>
          <w:tcPr>
            <w:tcW w:w="3420" w:type="dxa"/>
            <w:vAlign w:val="bottom"/>
          </w:tcPr>
          <w:p>
            <w:pPr>
              <w:ind w:left="1920"/>
              <w:spacing w:after="0"/>
              <w:rPr>
                <w:sz w:val="20"/>
                <w:szCs w:val="20"/>
                <w:color w:val="auto"/>
              </w:rPr>
            </w:pPr>
            <w:r>
              <w:rPr>
                <w:rFonts w:ascii="Arial" w:cs="Arial" w:eastAsia="Arial" w:hAnsi="Arial"/>
                <w:sz w:val="18"/>
                <w:szCs w:val="18"/>
                <w:color w:val="auto"/>
              </w:rPr>
              <w:t>62</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202"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Emil D. Kakkis, certify that:</w:t>
      </w:r>
    </w:p>
    <w:p>
      <w:pPr>
        <w:spacing w:after="0" w:line="117"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Ultragenyx Pharmaceutical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60" w:type="dxa"/>
            <w:vAlign w:val="bottom"/>
          </w:tcPr>
          <w:p>
            <w:pPr>
              <w:spacing w:after="0"/>
              <w:rPr>
                <w:sz w:val="20"/>
                <w:szCs w:val="20"/>
                <w:color w:val="auto"/>
              </w:rPr>
            </w:pPr>
            <w:r>
              <w:rPr>
                <w:rFonts w:ascii="Arial" w:cs="Arial" w:eastAsia="Arial" w:hAnsi="Arial"/>
                <w:sz w:val="18"/>
                <w:szCs w:val="18"/>
                <w:color w:val="auto"/>
              </w:rPr>
              <w:t>Dated: November 5,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 D Kakkis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Emil D. Kakkis, M.D., Ph.D.</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Shalini Sharp,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Ultragenyx Pharmaceutical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60" w:type="dxa"/>
            <w:vAlign w:val="bottom"/>
          </w:tcPr>
          <w:p>
            <w:pPr>
              <w:spacing w:after="0"/>
              <w:rPr>
                <w:sz w:val="20"/>
                <w:szCs w:val="20"/>
                <w:color w:val="auto"/>
              </w:rPr>
            </w:pPr>
            <w:r>
              <w:rPr>
                <w:rFonts w:ascii="Arial" w:cs="Arial" w:eastAsia="Arial" w:hAnsi="Arial"/>
                <w:sz w:val="18"/>
                <w:szCs w:val="18"/>
                <w:color w:val="auto"/>
              </w:rPr>
              <w:t>Dated: November 5,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Shalini Sharp</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Shalini Sharp</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and Executive Vice President</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(18 U.S.C. SECTION 1350)</w:t>
      </w:r>
    </w:p>
    <w:p>
      <w:pPr>
        <w:spacing w:after="0" w:line="21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In connection with the accompanying Quarterly Report of Ultragenyx Pharmaceutical Inc. (the “Company”) on Form 10-Q for the quarter ended September 30, 2019 (the “Report”), I, Emil D. Kakkis, M.D., Ph.D., as President and Chief Executive Officer of the Company, and Shalini Sharp, as Chief Financial Officer and Executive Vice President of the Company, certify, pursuant to 18 U.S.C. Section 1350, as adopted pursuant to Section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Dated: November 5, 2019</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 D. Kakkis</w:t>
            </w:r>
          </w:p>
        </w:tc>
      </w:tr>
      <w:tr>
        <w:trPr>
          <w:trHeight w:val="195"/>
        </w:trPr>
        <w:tc>
          <w:tcPr>
            <w:tcW w:w="620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Emil D. Kakkis, M.D., Ph.D.</w:t>
            </w:r>
          </w:p>
        </w:tc>
      </w:tr>
      <w:tr>
        <w:trPr>
          <w:trHeight w:val="216"/>
        </w:trPr>
        <w:tc>
          <w:tcPr>
            <w:tcW w:w="6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Dated: November 5, 2019</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Shalini Sharp</w:t>
            </w:r>
          </w:p>
        </w:tc>
      </w:tr>
      <w:tr>
        <w:trPr>
          <w:trHeight w:val="195"/>
        </w:trPr>
        <w:tc>
          <w:tcPr>
            <w:tcW w:w="620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Shalini Sharp</w:t>
            </w:r>
          </w:p>
        </w:tc>
      </w:tr>
      <w:tr>
        <w:trPr>
          <w:trHeight w:val="216"/>
        </w:trPr>
        <w:tc>
          <w:tcPr>
            <w:tcW w:w="6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and Executive Vice President</w:t>
            </w:r>
          </w:p>
        </w:tc>
      </w:tr>
      <w:tr>
        <w:trPr>
          <w:trHeight w:val="230"/>
        </w:trPr>
        <w:tc>
          <w:tcPr>
            <w:tcW w:w="62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1."/>
      <w:numFmt w:val="decimal"/>
      <w:start w:val="3"/>
    </w:lvl>
  </w:abstractNum>
  <w:abstractNum w:abstractNumId="6">
    <w:nsid w:val="189A769B"/>
    <w:multiLevelType w:val="hybridMultilevel"/>
    <w:lvl w:ilvl="0">
      <w:lvlJc w:val="left"/>
      <w:lvlText w:val="%1."/>
      <w:numFmt w:val="decimal"/>
      <w:start w:val="4"/>
    </w:lvl>
  </w:abstractNum>
  <w:abstractNum w:abstractNumId="7">
    <w:nsid w:val="54E49EB4"/>
    <w:multiLevelType w:val="hybridMultilevel"/>
    <w:lvl w:ilvl="0">
      <w:lvlJc w:val="left"/>
      <w:lvlText w:val="%1."/>
      <w:numFmt w:val="decimal"/>
      <w:start w:val="5"/>
    </w:lvl>
  </w:abstractNum>
  <w:abstractNum w:abstractNumId="8">
    <w:nsid w:val="71F32454"/>
    <w:multiLevelType w:val="hybridMultilevel"/>
    <w:lvl w:ilvl="0">
      <w:lvlJc w:val="left"/>
      <w:lvlText w:val="%1."/>
      <w:numFmt w:val="decimal"/>
      <w:start w:val="6"/>
    </w:lvl>
  </w:abstractNum>
  <w:abstractNum w:abstractNumId="9">
    <w:nsid w:val="2CA88611"/>
    <w:multiLevelType w:val="hybridMultilevel"/>
    <w:lvl w:ilvl="0">
      <w:lvlJc w:val="left"/>
      <w:lvlText w:val="%1."/>
      <w:numFmt w:val="decimal"/>
      <w:start w:val="7"/>
    </w:lvl>
  </w:abstractNum>
  <w:abstractNum w:abstractNumId="10">
    <w:nsid w:val="836C40E"/>
    <w:multiLevelType w:val="hybridMultilevel"/>
    <w:lvl w:ilvl="0">
      <w:lvlJc w:val="left"/>
      <w:lvlText w:val="%1."/>
      <w:numFmt w:val="decimal"/>
      <w:start w:val="8"/>
    </w:lvl>
  </w:abstractNum>
  <w:abstractNum w:abstractNumId="11">
    <w:nsid w:val="2901D82"/>
    <w:multiLevelType w:val="hybridMultilevel"/>
    <w:lvl w:ilvl="0">
      <w:lvlJc w:val="left"/>
      <w:lvlText w:val="%1."/>
      <w:numFmt w:val="decimal"/>
      <w:start w:val="9"/>
    </w:lvl>
  </w:abstractNum>
  <w:abstractNum w:abstractNumId="12">
    <w:nsid w:val="3A95F874"/>
    <w:multiLevelType w:val="hybridMultilevel"/>
    <w:lvl w:ilvl="0">
      <w:lvlJc w:val="left"/>
      <w:lvlText w:val="%1."/>
      <w:numFmt w:val="decimal"/>
      <w:start w:val="10"/>
    </w:lvl>
  </w:abstractNum>
  <w:abstractNum w:abstractNumId="13">
    <w:nsid w:val="8138641"/>
    <w:multiLevelType w:val="hybridMultilevel"/>
    <w:lvl w:ilvl="0">
      <w:lvlJc w:val="left"/>
      <w:lvlText w:val="%1."/>
      <w:numFmt w:val="decimal"/>
      <w:start w:val="11"/>
    </w:lvl>
  </w:abstractNum>
  <w:abstractNum w:abstractNumId="14">
    <w:nsid w:val="1E7FF521"/>
    <w:multiLevelType w:val="hybridMultilevel"/>
    <w:lvl w:ilvl="0">
      <w:lvlJc w:val="left"/>
      <w:lvlText w:val="%1."/>
      <w:numFmt w:val="decimal"/>
      <w:start w:val="12"/>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3" Type="http://schemas.openxmlformats.org/officeDocument/2006/relationships/hyperlink" Target="http://www.sec.gov/Archives/edgar/data/1515673/000119312514036944/d670959dex31.htm" TargetMode="External"/><Relationship Id="rId84" Type="http://schemas.openxmlformats.org/officeDocument/2006/relationships/hyperlink" Target="http://www.sec.gov/Archives/edgar/data/1515673/000119312514036944/d67095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2019-12-28T02:30:10Z</dcterms:created>
  <dcterms:modified xsi:type="dcterms:W3CDTF">2019-12-28T02:30:10Z</dcterms:modified>
</cp:coreProperties>
</file>