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April 02,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197485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Ultragenyx Pharmaceutical Inc.</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232410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3140" w:type="dxa"/>
            <w:vAlign w:val="bottom"/>
          </w:tcPr>
          <w:p>
            <w:pPr>
              <w:jc w:val="center"/>
              <w:ind w:right="501"/>
              <w:spacing w:after="0"/>
              <w:rPr>
                <w:sz w:val="20"/>
                <w:szCs w:val="20"/>
                <w:color w:val="auto"/>
              </w:rPr>
            </w:pPr>
            <w:r>
              <w:rPr>
                <w:rFonts w:ascii="Arial" w:cs="Arial" w:eastAsia="Arial" w:hAnsi="Arial"/>
                <w:sz w:val="18"/>
                <w:szCs w:val="18"/>
                <w:b w:val="1"/>
                <w:bCs w:val="1"/>
                <w:color w:val="auto"/>
              </w:rPr>
              <w:t>Delaware</w:t>
            </w:r>
          </w:p>
        </w:tc>
        <w:tc>
          <w:tcPr>
            <w:tcW w:w="3240" w:type="dxa"/>
            <w:vAlign w:val="bottom"/>
          </w:tcPr>
          <w:p>
            <w:pPr>
              <w:jc w:val="right"/>
              <w:ind w:right="1281"/>
              <w:spacing w:after="0"/>
              <w:rPr>
                <w:sz w:val="20"/>
                <w:szCs w:val="20"/>
                <w:color w:val="auto"/>
              </w:rPr>
            </w:pPr>
            <w:r>
              <w:rPr>
                <w:rFonts w:ascii="Arial" w:cs="Arial" w:eastAsia="Arial" w:hAnsi="Arial"/>
                <w:sz w:val="18"/>
                <w:szCs w:val="18"/>
                <w:b w:val="1"/>
                <w:bCs w:val="1"/>
                <w:color w:val="auto"/>
              </w:rPr>
              <w:t>001-36276</w:t>
            </w:r>
          </w:p>
        </w:tc>
        <w:tc>
          <w:tcPr>
            <w:tcW w:w="2080" w:type="dxa"/>
            <w:vAlign w:val="bottom"/>
          </w:tcPr>
          <w:p>
            <w:pPr>
              <w:jc w:val="right"/>
              <w:ind w:right="4"/>
              <w:spacing w:after="0"/>
              <w:rPr>
                <w:sz w:val="20"/>
                <w:szCs w:val="20"/>
                <w:color w:val="auto"/>
              </w:rPr>
            </w:pPr>
            <w:r>
              <w:rPr>
                <w:rFonts w:ascii="Arial" w:cs="Arial" w:eastAsia="Arial" w:hAnsi="Arial"/>
                <w:sz w:val="18"/>
                <w:szCs w:val="18"/>
                <w:b w:val="1"/>
                <w:bCs w:val="1"/>
                <w:color w:val="auto"/>
              </w:rPr>
              <w:t>27-2546083</w:t>
            </w:r>
          </w:p>
        </w:tc>
      </w:tr>
      <w:tr>
        <w:trPr>
          <w:trHeight w:val="149"/>
        </w:trPr>
        <w:tc>
          <w:tcPr>
            <w:tcW w:w="3140" w:type="dxa"/>
            <w:vAlign w:val="bottom"/>
          </w:tcPr>
          <w:p>
            <w:pPr>
              <w:jc w:val="center"/>
              <w:ind w:right="501"/>
              <w:spacing w:after="0"/>
              <w:rPr>
                <w:sz w:val="20"/>
                <w:szCs w:val="20"/>
                <w:color w:val="auto"/>
              </w:rPr>
            </w:pPr>
            <w:r>
              <w:rPr>
                <w:rFonts w:ascii="Arial" w:cs="Arial" w:eastAsia="Arial" w:hAnsi="Arial"/>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Arial" w:cs="Arial" w:eastAsia="Arial" w:hAnsi="Arial"/>
                <w:sz w:val="13"/>
                <w:szCs w:val="13"/>
                <w:b w:val="1"/>
                <w:bCs w:val="1"/>
                <w:color w:val="auto"/>
              </w:rPr>
              <w:t>(Commission File Number)</w:t>
            </w:r>
          </w:p>
        </w:tc>
        <w:tc>
          <w:tcPr>
            <w:tcW w:w="2080" w:type="dxa"/>
            <w:vAlign w:val="bottom"/>
          </w:tcPr>
          <w:p>
            <w:pPr>
              <w:jc w:val="center"/>
              <w:ind w:left="884"/>
              <w:spacing w:after="0"/>
              <w:rPr>
                <w:sz w:val="20"/>
                <w:szCs w:val="20"/>
                <w:color w:val="auto"/>
              </w:rPr>
            </w:pPr>
            <w:r>
              <w:rPr>
                <w:rFonts w:ascii="Arial" w:cs="Arial" w:eastAsia="Arial" w:hAnsi="Arial"/>
                <w:sz w:val="13"/>
                <w:szCs w:val="13"/>
                <w:b w:val="1"/>
                <w:bCs w:val="1"/>
                <w:color w:val="auto"/>
              </w:rPr>
              <w:t>(IRS Employer</w:t>
            </w:r>
          </w:p>
        </w:tc>
      </w:tr>
      <w:tr>
        <w:trPr>
          <w:trHeight w:val="186"/>
        </w:trPr>
        <w:tc>
          <w:tcPr>
            <w:tcW w:w="3140" w:type="dxa"/>
            <w:vAlign w:val="bottom"/>
          </w:tcPr>
          <w:p>
            <w:pPr>
              <w:jc w:val="center"/>
              <w:ind w:right="501"/>
              <w:spacing w:after="0"/>
              <w:rPr>
                <w:sz w:val="20"/>
                <w:szCs w:val="20"/>
                <w:color w:val="auto"/>
              </w:rPr>
            </w:pPr>
            <w:r>
              <w:rPr>
                <w:rFonts w:ascii="Arial" w:cs="Arial" w:eastAsia="Arial" w:hAnsi="Arial"/>
                <w:sz w:val="13"/>
                <w:szCs w:val="13"/>
                <w:b w:val="1"/>
                <w:bCs w:val="1"/>
                <w:color w:val="auto"/>
              </w:rPr>
              <w:t>of Incorporation)</w:t>
            </w:r>
          </w:p>
        </w:tc>
        <w:tc>
          <w:tcPr>
            <w:tcW w:w="3240" w:type="dxa"/>
            <w:vAlign w:val="bottom"/>
          </w:tcPr>
          <w:p>
            <w:pPr>
              <w:spacing w:after="0"/>
              <w:rPr>
                <w:sz w:val="16"/>
                <w:szCs w:val="16"/>
                <w:color w:val="auto"/>
              </w:rPr>
            </w:pPr>
          </w:p>
        </w:tc>
        <w:tc>
          <w:tcPr>
            <w:tcW w:w="2080" w:type="dxa"/>
            <w:vAlign w:val="bottom"/>
          </w:tcPr>
          <w:p>
            <w:pPr>
              <w:jc w:val="center"/>
              <w:ind w:left="864"/>
              <w:spacing w:after="0"/>
              <w:rPr>
                <w:sz w:val="20"/>
                <w:szCs w:val="20"/>
                <w:color w:val="auto"/>
              </w:rPr>
            </w:pPr>
            <w:r>
              <w:rPr>
                <w:rFonts w:ascii="Arial" w:cs="Arial" w:eastAsia="Arial" w:hAnsi="Arial"/>
                <w:sz w:val="13"/>
                <w:szCs w:val="13"/>
                <w:b w:val="1"/>
                <w:bCs w:val="1"/>
                <w:color w:val="auto"/>
              </w:rPr>
              <w:t>Identification No.)</w:t>
            </w:r>
          </w:p>
        </w:tc>
      </w:tr>
      <w:tr>
        <w:trPr>
          <w:trHeight w:val="363"/>
        </w:trPr>
        <w:tc>
          <w:tcPr>
            <w:tcW w:w="3140" w:type="dxa"/>
            <w:vAlign w:val="bottom"/>
          </w:tcPr>
          <w:p>
            <w:pPr>
              <w:jc w:val="center"/>
              <w:ind w:right="501"/>
              <w:spacing w:after="0"/>
              <w:rPr>
                <w:sz w:val="20"/>
                <w:szCs w:val="20"/>
                <w:color w:val="auto"/>
              </w:rPr>
            </w:pPr>
            <w:r>
              <w:rPr>
                <w:rFonts w:ascii="Arial" w:cs="Arial" w:eastAsia="Arial" w:hAnsi="Arial"/>
                <w:sz w:val="18"/>
                <w:szCs w:val="18"/>
                <w:b w:val="1"/>
                <w:bCs w:val="1"/>
                <w:color w:val="auto"/>
                <w:w w:val="99"/>
              </w:rPr>
              <w:t>60 Leveroni Court</w:t>
            </w:r>
          </w:p>
        </w:tc>
        <w:tc>
          <w:tcPr>
            <w:tcW w:w="32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07"/>
        </w:trPr>
        <w:tc>
          <w:tcPr>
            <w:tcW w:w="3140" w:type="dxa"/>
            <w:vAlign w:val="bottom"/>
          </w:tcPr>
          <w:p>
            <w:pPr>
              <w:jc w:val="center"/>
              <w:ind w:right="521"/>
              <w:spacing w:after="0"/>
              <w:rPr>
                <w:sz w:val="20"/>
                <w:szCs w:val="20"/>
                <w:color w:val="auto"/>
              </w:rPr>
            </w:pPr>
            <w:r>
              <w:rPr>
                <w:rFonts w:ascii="Arial" w:cs="Arial" w:eastAsia="Arial" w:hAnsi="Arial"/>
                <w:sz w:val="18"/>
                <w:szCs w:val="18"/>
                <w:b w:val="1"/>
                <w:bCs w:val="1"/>
                <w:color w:val="auto"/>
                <w:w w:val="99"/>
              </w:rPr>
              <w:t>Novato, California</w:t>
            </w:r>
          </w:p>
        </w:tc>
        <w:tc>
          <w:tcPr>
            <w:tcW w:w="3240" w:type="dxa"/>
            <w:vAlign w:val="bottom"/>
          </w:tcPr>
          <w:p>
            <w:pPr>
              <w:spacing w:after="0"/>
              <w:rPr>
                <w:sz w:val="17"/>
                <w:szCs w:val="17"/>
                <w:color w:val="auto"/>
              </w:rPr>
            </w:pPr>
          </w:p>
        </w:tc>
        <w:tc>
          <w:tcPr>
            <w:tcW w:w="2080" w:type="dxa"/>
            <w:vAlign w:val="bottom"/>
          </w:tcPr>
          <w:p>
            <w:pPr>
              <w:jc w:val="right"/>
              <w:ind w:right="244"/>
              <w:spacing w:after="0"/>
              <w:rPr>
                <w:sz w:val="20"/>
                <w:szCs w:val="20"/>
                <w:color w:val="auto"/>
              </w:rPr>
            </w:pPr>
            <w:r>
              <w:rPr>
                <w:rFonts w:ascii="Arial" w:cs="Arial" w:eastAsia="Arial" w:hAnsi="Arial"/>
                <w:sz w:val="18"/>
                <w:szCs w:val="18"/>
                <w:b w:val="1"/>
                <w:bCs w:val="1"/>
                <w:color w:val="auto"/>
              </w:rPr>
              <w:t>94949</w:t>
            </w:r>
          </w:p>
        </w:tc>
      </w:tr>
      <w:tr>
        <w:trPr>
          <w:trHeight w:val="186"/>
        </w:trPr>
        <w:tc>
          <w:tcPr>
            <w:tcW w:w="3140" w:type="dxa"/>
            <w:vAlign w:val="bottom"/>
          </w:tcPr>
          <w:p>
            <w:pPr>
              <w:jc w:val="center"/>
              <w:ind w:right="501"/>
              <w:spacing w:after="0"/>
              <w:rPr>
                <w:sz w:val="20"/>
                <w:szCs w:val="20"/>
                <w:color w:val="auto"/>
              </w:rPr>
            </w:pPr>
            <w:r>
              <w:rPr>
                <w:rFonts w:ascii="Arial" w:cs="Arial" w:eastAsia="Arial" w:hAnsi="Arial"/>
                <w:sz w:val="13"/>
                <w:szCs w:val="13"/>
                <w:b w:val="1"/>
                <w:bCs w:val="1"/>
                <w:color w:val="auto"/>
              </w:rPr>
              <w:t>(Address of Principal Executive Offices)</w:t>
            </w:r>
          </w:p>
        </w:tc>
        <w:tc>
          <w:tcPr>
            <w:tcW w:w="3240" w:type="dxa"/>
            <w:vAlign w:val="bottom"/>
          </w:tcPr>
          <w:p>
            <w:pPr>
              <w:spacing w:after="0"/>
              <w:rPr>
                <w:sz w:val="16"/>
                <w:szCs w:val="16"/>
                <w:color w:val="auto"/>
              </w:rPr>
            </w:pPr>
          </w:p>
        </w:tc>
        <w:tc>
          <w:tcPr>
            <w:tcW w:w="2080" w:type="dxa"/>
            <w:vAlign w:val="bottom"/>
          </w:tcPr>
          <w:p>
            <w:pPr>
              <w:jc w:val="center"/>
              <w:ind w:left="884"/>
              <w:spacing w:after="0"/>
              <w:rPr>
                <w:sz w:val="20"/>
                <w:szCs w:val="20"/>
                <w:color w:val="auto"/>
              </w:rPr>
            </w:pPr>
            <w:r>
              <w:rPr>
                <w:rFonts w:ascii="Arial" w:cs="Arial" w:eastAsia="Arial" w:hAnsi="Arial"/>
                <w:sz w:val="13"/>
                <w:szCs w:val="13"/>
                <w:b w:val="1"/>
                <w:bCs w:val="1"/>
                <w:color w:val="auto"/>
              </w:rPr>
              <w:t>(Zip Code)</w:t>
            </w:r>
          </w:p>
        </w:tc>
      </w:tr>
    </w:tbl>
    <w:p>
      <w:pPr>
        <w:spacing w:after="0" w:line="39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415 483-8800</w:t>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248920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14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2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Symbol(s)</w:t>
            </w:r>
          </w:p>
        </w:tc>
        <w:tc>
          <w:tcPr>
            <w:tcW w:w="120" w:type="dxa"/>
            <w:vAlign w:val="bottom"/>
          </w:tcPr>
          <w:p>
            <w:pPr>
              <w:spacing w:after="0"/>
              <w:rPr>
                <w:sz w:val="19"/>
                <w:szCs w:val="19"/>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$0.001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RARE</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61" w:lineRule="exact"/>
        <w:rPr>
          <w:sz w:val="24"/>
          <w:szCs w:val="24"/>
          <w:color w:val="auto"/>
        </w:rPr>
      </w:pPr>
    </w:p>
    <w:p>
      <w:pPr>
        <w:ind w:right="8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98" w:lineRule="exact"/>
        <w:rPr>
          <w:sz w:val="20"/>
          <w:szCs w:val="20"/>
          <w:color w:val="auto"/>
        </w:rPr>
      </w:pPr>
    </w:p>
    <w:p>
      <w:pPr>
        <w:ind w:right="40" w:firstLine="749"/>
        <w:spacing w:after="0" w:line="247" w:lineRule="auto"/>
        <w:rPr>
          <w:sz w:val="20"/>
          <w:szCs w:val="20"/>
          <w:color w:val="auto"/>
        </w:rPr>
      </w:pPr>
      <w:r>
        <w:rPr>
          <w:rFonts w:ascii="Arial" w:cs="Arial" w:eastAsia="Arial" w:hAnsi="Arial"/>
          <w:sz w:val="18"/>
          <w:szCs w:val="18"/>
          <w:color w:val="auto"/>
        </w:rPr>
        <w:t>On April 2, 2026, Ultragenyx Pharmaceutical Inc. (the “Company”) issued a press release announcing that the U.S. Food and Drug Administration (the “FDA”) has accepted for review the Company’s resubmitted Biologics License Application seeking accelerated approval for UX111 (rebisufligene etisparvovec) AAV9 gene therapy as a treatment for patients with Sanfilippo syndrome Type A (MPS IIIA). The FDA set a Prescription Drug User Fee Act (PDUFA) action date of September 19, 2026.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56" w:lineRule="exact"/>
        <w:rPr>
          <w:sz w:val="20"/>
          <w:szCs w:val="20"/>
          <w:color w:val="auto"/>
        </w:rPr>
      </w:pPr>
    </w:p>
    <w:p>
      <w:pPr>
        <w:ind w:right="200" w:firstLine="749"/>
        <w:spacing w:after="0" w:line="221" w:lineRule="exact"/>
        <w:rPr>
          <w:sz w:val="20"/>
          <w:szCs w:val="20"/>
          <w:color w:val="auto"/>
        </w:rPr>
      </w:pPr>
      <w:r>
        <w:rPr>
          <w:rFonts w:ascii="Arial" w:cs="Arial" w:eastAsia="Arial" w:hAnsi="Arial"/>
          <w:sz w:val="18"/>
          <w:szCs w:val="18"/>
          <w:color w:val="auto"/>
        </w:rPr>
        <w:t>This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contains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within the meaning of the Private Securities Litigation Reform Act of 1995. These statements may be identified by the use of words such as, but not limited to, “anticipates,” “expects,” “plans,” “continues,” “will,” “may,” “potential,” or other similar terms or expressions that concern the Company’s expectations, plans, objectives, and intentions.</w:t>
      </w:r>
    </w:p>
    <w:p>
      <w:pPr>
        <w:spacing w:after="0" w:line="129" w:lineRule="exact"/>
        <w:rPr>
          <w:sz w:val="20"/>
          <w:szCs w:val="20"/>
          <w:color w:val="auto"/>
        </w:rPr>
      </w:pPr>
    </w:p>
    <w:p>
      <w:pPr>
        <w:ind w:firstLine="749"/>
        <w:spacing w:after="0" w:line="220" w:lineRule="exact"/>
        <w:rPr>
          <w:sz w:val="20"/>
          <w:szCs w:val="20"/>
          <w:color w:val="auto"/>
        </w:rPr>
      </w:pPr>
      <w:r>
        <w:rPr>
          <w:rFonts w:ascii="Arial" w:cs="Arial" w:eastAsia="Arial" w:hAnsi="Arial"/>
          <w:sz w:val="18"/>
          <w:szCs w:val="18"/>
          <w:color w:val="auto"/>
        </w:rPr>
        <w:t>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include, without limitation, statements related to the Company’s expectations and projections, the development, regulatory status, review, timing and potential approval of UX111 (rebisufligene etisparvovec), including the anticipated PDUFA action date, the potential for accelerated approval, the outcome of the FDA’s review of the resubmitted Biologics License Application (BLA), the timing and outcome of any regulatory inspections, the sufficiency of clinical, biomarker and long</w:t>
      </w:r>
      <w:r>
        <w:rPr>
          <w:rFonts w:ascii="MS PGothic" w:cs="MS PGothic" w:eastAsia="MS PGothic" w:hAnsi="MS PGothic"/>
          <w:sz w:val="18"/>
          <w:szCs w:val="18"/>
          <w:color w:val="auto"/>
        </w:rPr>
        <w:t>‑</w:t>
      </w:r>
      <w:r>
        <w:rPr>
          <w:rFonts w:ascii="Arial" w:cs="Arial" w:eastAsia="Arial" w:hAnsi="Arial"/>
          <w:sz w:val="18"/>
          <w:szCs w:val="18"/>
          <w:color w:val="auto"/>
        </w:rPr>
        <w:t>term follow</w:t>
      </w:r>
      <w:r>
        <w:rPr>
          <w:rFonts w:ascii="MS PGothic" w:cs="MS PGothic" w:eastAsia="MS PGothic" w:hAnsi="MS PGothic"/>
          <w:sz w:val="18"/>
          <w:szCs w:val="18"/>
          <w:color w:val="auto"/>
        </w:rPr>
        <w:t>‑</w:t>
      </w:r>
      <w:r>
        <w:rPr>
          <w:rFonts w:ascii="Arial" w:cs="Arial" w:eastAsia="Arial" w:hAnsi="Arial"/>
          <w:sz w:val="18"/>
          <w:szCs w:val="18"/>
          <w:color w:val="auto"/>
        </w:rPr>
        <w:t>up data to support regulatory approval, expectations regarding the safety, tolerability and durability of UX111, manufacturing readiness and capabilities, including at third</w:t>
      </w:r>
      <w:r>
        <w:rPr>
          <w:rFonts w:ascii="MS PGothic" w:cs="MS PGothic" w:eastAsia="MS PGothic" w:hAnsi="MS PGothic"/>
          <w:sz w:val="18"/>
          <w:szCs w:val="18"/>
          <w:color w:val="auto"/>
        </w:rPr>
        <w:t>‑</w:t>
      </w:r>
      <w:r>
        <w:rPr>
          <w:rFonts w:ascii="Arial" w:cs="Arial" w:eastAsia="Arial" w:hAnsi="Arial"/>
          <w:sz w:val="18"/>
          <w:szCs w:val="18"/>
          <w:color w:val="auto"/>
        </w:rPr>
        <w:t>party and company</w:t>
      </w:r>
      <w:r>
        <w:rPr>
          <w:rFonts w:ascii="MS PGothic" w:cs="MS PGothic" w:eastAsia="MS PGothic" w:hAnsi="MS PGothic"/>
          <w:sz w:val="18"/>
          <w:szCs w:val="18"/>
          <w:color w:val="auto"/>
        </w:rPr>
        <w:t>‑</w:t>
      </w:r>
      <w:r>
        <w:rPr>
          <w:rFonts w:ascii="Arial" w:cs="Arial" w:eastAsia="Arial" w:hAnsi="Arial"/>
          <w:sz w:val="18"/>
          <w:szCs w:val="18"/>
          <w:color w:val="auto"/>
        </w:rPr>
        <w:t>owned manufacturing facilities, and the potential availability and commercial launch of UX111. Such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involve substantial risks and uncertainties that could cause actual results to differ materially from those</w:t>
      </w:r>
    </w:p>
    <w:p>
      <w:pPr>
        <w:spacing w:after="0" w:line="6" w:lineRule="exact"/>
        <w:rPr>
          <w:sz w:val="20"/>
          <w:szCs w:val="20"/>
          <w:color w:val="auto"/>
        </w:rPr>
      </w:pPr>
    </w:p>
    <w:p>
      <w:pPr>
        <w:spacing w:after="0" w:line="208" w:lineRule="exact"/>
        <w:rPr>
          <w:sz w:val="20"/>
          <w:szCs w:val="20"/>
          <w:color w:val="auto"/>
        </w:rPr>
      </w:pPr>
      <w:r>
        <w:rPr>
          <w:rFonts w:ascii="Arial" w:cs="Arial" w:eastAsia="Arial" w:hAnsi="Arial"/>
          <w:sz w:val="18"/>
          <w:szCs w:val="18"/>
          <w:color w:val="auto"/>
        </w:rPr>
        <w:t>expressed or implied by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These risks and uncertainties include, among others, the uncertainty and unpredictability inherent in clinical drug development and the regulatory review and approval process; the possibility that the FDA may not accept or agree that the submitted data are sufficient to support accelerated or full approval of UX111; the risk that additional data, analyses or studies may be required; the timing, scope and outcome of regulatory inspections; risks related to the manufacture of UX111, including reliance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and the Company’s limited experience operating its own manufacturing facilities; the ability of the Company and its manufacturing partners to comply with regulatory requirements; potential safety or tolerability issues; competition from other therapies or products; smaller than anticipated market opportunities; and other risks related to the Company’s ability to fund operations, future operating results and financial performance.</w:t>
      </w:r>
    </w:p>
    <w:p>
      <w:pPr>
        <w:spacing w:after="0" w:line="173" w:lineRule="exact"/>
        <w:rPr>
          <w:sz w:val="20"/>
          <w:szCs w:val="20"/>
          <w:color w:val="auto"/>
        </w:rPr>
      </w:pPr>
    </w:p>
    <w:p>
      <w:pPr>
        <w:ind w:right="100" w:firstLine="749"/>
        <w:spacing w:after="0" w:line="247" w:lineRule="auto"/>
        <w:rPr>
          <w:sz w:val="20"/>
          <w:szCs w:val="20"/>
          <w:color w:val="auto"/>
        </w:rPr>
      </w:pPr>
      <w:r>
        <w:rPr>
          <w:rFonts w:ascii="Arial" w:cs="Arial" w:eastAsia="Arial" w:hAnsi="Arial"/>
          <w:sz w:val="18"/>
          <w:szCs w:val="18"/>
          <w:color w:val="auto"/>
        </w:rPr>
        <w:t>The Company undertakes no obligation to update or revise any forward-looking statements. For a further description of the risks and uncertainties that could cause actual results to differ from those expressed in these forward-looking statements, as well as risks relating to the business of the Company in general, see the Company's Annual Report on Form 10-K filed with the Securities and Exchange Commission (SEC) on February 18, 2026, and its subsequent periodic reports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Ultragenyx Pharmaceutical Inc.</w:t>
      </w:r>
    </w:p>
    <w:p>
      <w:pPr>
        <w:spacing w:after="0" w:line="347"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Arial" w:cs="Arial" w:eastAsia="Arial" w:hAnsi="Arial"/>
          <w:sz w:val="18"/>
          <w:szCs w:val="18"/>
          <w:color w:val="auto"/>
        </w:rPr>
        <w:t>Date:</w:t>
        <w:tab/>
        <w:t>April 2,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Howard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Howard Horn</w:t>
      </w:r>
    </w:p>
    <w:p>
      <w:pPr>
        <w:ind w:left="6080"/>
        <w:spacing w:after="0"/>
        <w:rPr>
          <w:sz w:val="20"/>
          <w:szCs w:val="20"/>
          <w:color w:val="auto"/>
        </w:rPr>
      </w:pPr>
      <w:r>
        <w:rPr>
          <w:rFonts w:ascii="Arial" w:cs="Arial" w:eastAsia="Arial" w:hAnsi="Arial"/>
          <w:sz w:val="18"/>
          <w:szCs w:val="18"/>
          <w:color w:val="auto"/>
        </w:rPr>
        <w:t>Executive Vice President, Chief Financial Officer, Corporate</w:t>
      </w:r>
    </w:p>
    <w:p>
      <w:pPr>
        <w:ind w:left="6080"/>
        <w:spacing w:after="0"/>
        <w:rPr>
          <w:sz w:val="20"/>
          <w:szCs w:val="20"/>
          <w:color w:val="auto"/>
        </w:rPr>
      </w:pPr>
      <w:r>
        <w:rPr>
          <w:rFonts w:ascii="Arial" w:cs="Arial" w:eastAsia="Arial" w:hAnsi="Arial"/>
          <w:sz w:val="18"/>
          <w:szCs w:val="18"/>
          <w:color w:val="auto"/>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71" w:right="45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2026-04-02T07:46:45Z</dcterms:created>
  <dcterms:modified xsi:type="dcterms:W3CDTF">2026-04-02T07:46:45Z</dcterms:modified>
</cp:coreProperties>
</file>