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4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457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Parschauer Karah Herdman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17" w:lineRule="auto"/>
        <w:rPr>
          <w:sz w:val="20"/>
          <w:szCs w:val="20"/>
          <w:color w:val="auto"/>
        </w:rPr>
      </w:pPr>
      <w:r>
        <w:rPr>
          <w:rFonts w:ascii="Arial" w:cs="Arial" w:eastAsia="Arial" w:hAnsi="Arial"/>
          <w:sz w:val="17"/>
          <w:szCs w:val="17"/>
          <w:color w:val="0000FF"/>
        </w:rPr>
        <w:t>C/O ULTRAGENYX PHARMACEUTICAL INC. 60 LEVERONI COURT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Ultragenyx Pharmaceutical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RARE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03/01/2017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EVP and General Counsel</w:t>
      </w:r>
    </w:p>
    <w:p>
      <w:pPr>
        <w:spacing w:after="0" w:line="456" w:lineRule="exact"/>
        <w:rPr>
          <w:sz w:val="24"/>
          <w:szCs w:val="24"/>
          <w:color w:val="auto"/>
        </w:rPr>
      </w:pPr>
    </w:p>
    <w:p>
      <w:pPr>
        <w:sectPr>
          <w:pgSz w:w="11900" w:h="16838" w:orient="portrait"/>
          <w:cols w:equalWidth="0" w:num="3">
            <w:col w:w="3680" w:space="400"/>
            <w:col w:w="3480" w:space="49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9"/>
          </w:tcPr>
          <w:p>
            <w:pPr>
              <w:jc w:val="center"/>
              <w:ind w:right="31"/>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NOVATO</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94949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03/01/2017</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5"/>
              </w:rPr>
              <w:t>2,000</w:t>
            </w:r>
            <w:r>
              <w:rPr>
                <w:rFonts w:ascii="Arial" w:cs="Arial" w:eastAsia="Arial" w:hAnsi="Arial"/>
                <w:sz w:val="22"/>
                <w:szCs w:val="22"/>
                <w:color w:val="008000"/>
                <w:w w:val="85"/>
                <w:vertAlign w:val="superscript"/>
              </w:rPr>
              <w:t>(1)</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9,500</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12,000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88.8</w:t>
            </w:r>
          </w:p>
        </w:tc>
        <w:tc>
          <w:tcPr>
            <w:tcW w:w="140" w:type="dxa"/>
            <w:vAlign w:val="bottom"/>
          </w:tcPr>
          <w:p>
            <w:pPr>
              <w:spacing w:after="0"/>
              <w:rPr>
                <w:sz w:val="11"/>
                <w:szCs w:val="11"/>
                <w:color w:val="auto"/>
              </w:rPr>
            </w:pP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03/01/2017</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12,000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03/01/2027</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12,000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("RSUs") under the Company's 2014 Incentive Plan. The RSUs shall vest with respect to 1/4th of the underlying shares on each anniversary of the grant date, such that the RSUs are fully vested on the fourth anniversary of the grant date.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previously reported shares of common stock underlying RSUs granted to the Reporting Person, which are subject to certain vesting conditions.</w:t>
      </w:r>
    </w:p>
    <w:p>
      <w:pPr>
        <w:spacing w:after="0" w:line="51"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the first anniversary of the grant date of the option (the "Option Anniversary Date"), 1/4th of the shares initially subject to the option shall vest; thereafter, 1/48th of the shares initially subject to the option shall vest on each month as measured from the Option Anniversary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List: Exhibit 24 - Limited Power of Attorney</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Ruben A. Garcia,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03/01/2017</w:t>
            </w:r>
          </w:p>
        </w:tc>
        <w:tc>
          <w:tcPr>
            <w:tcW w:w="0" w:type="dxa"/>
            <w:vAlign w:val="bottom"/>
          </w:tcPr>
          <w:p>
            <w:pPr>
              <w:spacing w:after="0"/>
              <w:rPr>
                <w:sz w:val="1"/>
                <w:szCs w:val="1"/>
                <w:color w:val="auto"/>
              </w:rPr>
            </w:pPr>
          </w:p>
        </w:tc>
      </w:tr>
      <w:tr>
        <w:trPr>
          <w:trHeight w:val="92"/>
        </w:trPr>
        <w:tc>
          <w:tcPr>
            <w:tcW w:w="4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4"/>
              </w:rPr>
              <w:t>in-fact</w:t>
            </w:r>
          </w:p>
        </w:tc>
        <w:tc>
          <w:tcPr>
            <w:tcW w:w="164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60" w:type="dxa"/>
            <w:vAlign w:val="bottom"/>
            <w:tcBorders>
              <w:bottom w:val="single" w:sz="8" w:color="auto"/>
            </w:tcBorders>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200" w:lineRule="exact"/>
        <w:rPr>
          <w:sz w:val="20"/>
          <w:szCs w:val="20"/>
          <w:color w:val="auto"/>
        </w:rPr>
      </w:pPr>
    </w:p>
    <w:p>
      <w:pPr>
        <w:spacing w:after="0" w:line="211" w:lineRule="exact"/>
        <w:rPr>
          <w:sz w:val="20"/>
          <w:szCs w:val="20"/>
          <w:color w:val="auto"/>
        </w:rPr>
      </w:pPr>
    </w:p>
    <w:p>
      <w:pPr>
        <w:ind w:right="1219" w:firstLine="837"/>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Shalini Sharp, Karah Parschauer, Ruben Garcia and Ryan Murr signing singly and each acting individually, as the undersigned's true and</w:t>
      </w:r>
    </w:p>
    <w:p>
      <w:pPr>
        <w:spacing w:after="0" w:line="2" w:lineRule="exact"/>
        <w:rPr>
          <w:sz w:val="20"/>
          <w:szCs w:val="20"/>
          <w:color w:val="auto"/>
        </w:rPr>
      </w:pPr>
    </w:p>
    <w:p>
      <w:pPr>
        <w:ind w:right="2059"/>
        <w:spacing w:after="0" w:line="256" w:lineRule="auto"/>
        <w:rPr>
          <w:sz w:val="20"/>
          <w:szCs w:val="20"/>
          <w:color w:val="auto"/>
        </w:rPr>
      </w:pPr>
      <w:r>
        <w:rPr>
          <w:rFonts w:ascii="Courier New" w:cs="Courier New" w:eastAsia="Courier New" w:hAnsi="Courier New"/>
          <w:sz w:val="17"/>
          <w:szCs w:val="17"/>
          <w:color w:val="auto"/>
        </w:rPr>
        <w:t>lawful attorney in fact with full power and authority as hereinafter described to:</w:t>
      </w:r>
    </w:p>
    <w:p>
      <w:pPr>
        <w:spacing w:after="0" w:line="193" w:lineRule="exact"/>
        <w:rPr>
          <w:sz w:val="20"/>
          <w:szCs w:val="20"/>
          <w:color w:val="auto"/>
        </w:rPr>
      </w:pPr>
    </w:p>
    <w:p>
      <w:pPr>
        <w:ind w:right="151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and/or stockholder of Ultragenyx Pharmaceutical Inc. (the "Company"), Forms 3, 4, and 5 (including any amendments thereto) in accordance with Section 16(a) of the Securities Exchange Act of 1934 and the rules thereunder (the "Exchange Act");</w:t>
      </w:r>
    </w:p>
    <w:p>
      <w:pPr>
        <w:spacing w:after="0" w:line="196" w:lineRule="exact"/>
        <w:rPr>
          <w:rFonts w:ascii="Courier New" w:cs="Courier New" w:eastAsia="Courier New" w:hAnsi="Courier New"/>
          <w:sz w:val="17"/>
          <w:szCs w:val="17"/>
          <w:color w:val="auto"/>
        </w:rPr>
      </w:pPr>
    </w:p>
    <w:p>
      <w:pPr>
        <w:ind w:right="1639" w:firstLine="7"/>
        <w:spacing w:after="0" w:line="251"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Forms 3, 4, or 5, prepare, complete and execute any amendment or amendments thereto, and deliver and file such form(s) with the United States Securities and Exchange Commission (the "SEC") and any stock exchange or similar authority, including without limitation the filing of a Form ID or any other application materials to enable the undersigned to gain or maintain access to the Electronic Data Gathering, Analysis and Retrieval system of the SEC;</w:t>
      </w:r>
    </w:p>
    <w:p>
      <w:pPr>
        <w:spacing w:after="0" w:line="199" w:lineRule="exact"/>
        <w:rPr>
          <w:rFonts w:ascii="Courier New" w:cs="Courier New" w:eastAsia="Courier New" w:hAnsi="Courier New"/>
          <w:sz w:val="17"/>
          <w:szCs w:val="17"/>
          <w:color w:val="auto"/>
        </w:rPr>
      </w:pPr>
    </w:p>
    <w:p>
      <w:pPr>
        <w:ind w:right="1419" w:firstLine="7"/>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 in fact and approves and ratifies any such release of information; and</w:t>
      </w:r>
    </w:p>
    <w:p>
      <w:pPr>
        <w:spacing w:after="0" w:line="397" w:lineRule="exact"/>
        <w:rPr>
          <w:rFonts w:ascii="Courier New" w:cs="Courier New" w:eastAsia="Courier New" w:hAnsi="Courier New"/>
          <w:sz w:val="17"/>
          <w:szCs w:val="17"/>
          <w:color w:val="auto"/>
        </w:rPr>
      </w:pPr>
    </w:p>
    <w:p>
      <w:pPr>
        <w:ind w:right="1839" w:firstLine="7"/>
        <w:spacing w:after="0" w:line="251"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200" w:lineRule="exact"/>
        <w:rPr>
          <w:sz w:val="20"/>
          <w:szCs w:val="20"/>
          <w:color w:val="auto"/>
        </w:rPr>
      </w:pPr>
    </w:p>
    <w:p>
      <w:pPr>
        <w:ind w:right="1639" w:firstLine="837"/>
        <w:spacing w:after="0" w:line="250" w:lineRule="auto"/>
        <w:rPr>
          <w:sz w:val="20"/>
          <w:szCs w:val="20"/>
          <w:color w:val="auto"/>
        </w:rPr>
      </w:pPr>
      <w:r>
        <w:rPr>
          <w:rFonts w:ascii="Courier New" w:cs="Courier New" w:eastAsia="Courier New" w:hAnsi="Courier New"/>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 in fact assume</w:t>
      </w:r>
    </w:p>
    <w:p>
      <w:pPr>
        <w:spacing w:after="0" w:line="7" w:lineRule="exact"/>
        <w:rPr>
          <w:sz w:val="20"/>
          <w:szCs w:val="20"/>
          <w:color w:val="auto"/>
        </w:rPr>
      </w:pPr>
    </w:p>
    <w:p>
      <w:pPr>
        <w:ind w:right="1939" w:firstLine="7"/>
        <w:spacing w:after="0" w:line="252" w:lineRule="auto"/>
        <w:tabs>
          <w:tab w:leader="none" w:pos="41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398" w:lineRule="exact"/>
        <w:rPr>
          <w:sz w:val="20"/>
          <w:szCs w:val="20"/>
          <w:color w:val="auto"/>
        </w:rPr>
      </w:pPr>
    </w:p>
    <w:p>
      <w:pPr>
        <w:jc w:val="both"/>
        <w:ind w:right="1939" w:firstLine="837"/>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196" w:lineRule="exact"/>
        <w:rPr>
          <w:sz w:val="20"/>
          <w:szCs w:val="20"/>
          <w:color w:val="auto"/>
        </w:rPr>
      </w:pPr>
    </w:p>
    <w:p>
      <w:pPr>
        <w:ind w:right="1519" w:firstLine="837"/>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8 day of December,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 Karah Parschauer</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Karah Parschauer</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4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7455" TargetMode="External"/><Relationship Id="rId13" Type="http://schemas.openxmlformats.org/officeDocument/2006/relationships/hyperlink" Target="http://www.sec.gov/cgi-bin/browse-edgar?action=getcompany&amp;CIK=00015156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2019-12-04T02:10:40Z</dcterms:created>
  <dcterms:modified xsi:type="dcterms:W3CDTF">2019-12-04T02:10:40Z</dcterms:modified>
</cp:coreProperties>
</file>