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re-20261008.htm"/>
      <w:bookmarkStart w:id="1" w:name="ksrare20261008"/>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sans-serif" w:hAnsi="sans-serif"/>
          <w:sz w:val="24"/>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sans-serif" w:hAnsi="sans-serif"/>
          <w:sz w:val="36"/>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546" w:type="dxa"/>
        <w:jc w:val="left"/>
        <w:tblInd w:w="0" w:type="dxa"/>
        <w:tblLayout w:type="fixed"/>
        <w:tblCellMar>
          <w:top w:w="28" w:type="dxa"/>
          <w:left w:w="28" w:type="dxa"/>
          <w:bottom w:w="28" w:type="dxa"/>
          <w:right w:w="28" w:type="dxa"/>
        </w:tblCellMar>
      </w:tblPr>
      <w:tblGrid>
        <w:gridCol w:w="7546"/>
      </w:tblGrid>
      <w:tr>
        <w:trPr/>
        <w:tc>
          <w:tcPr>
            <w:tcW w:w="7546" w:type="dxa"/>
            <w:tcBorders/>
            <w:vAlign w:val="center"/>
          </w:tcPr>
          <w:p>
            <w:pPr>
              <w:pStyle w:val="TableContents"/>
              <w:bidi w:val="0"/>
              <w:spacing w:before="0" w:after="283"/>
              <w:jc w:val="left"/>
              <w:rPr>
                <w:sz w:val="4"/>
                <w:szCs w:val="4"/>
              </w:rPr>
            </w:pPr>
            <w:r>
              <w:rPr>
                <w:sz w:val="4"/>
                <w:szCs w:val="4"/>
              </w:rPr>
            </w:r>
          </w:p>
        </w:tc>
      </w:tr>
      <w:tr>
        <w:trPr/>
        <w:tc>
          <w:tcPr>
            <w:tcW w:w="75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October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Ultragenyx Pharmaceutical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1" w:type="dxa"/>
        <w:jc w:val="left"/>
        <w:tblInd w:w="0" w:type="dxa"/>
        <w:tblLayout w:type="fixed"/>
        <w:tblCellMar>
          <w:top w:w="28" w:type="dxa"/>
          <w:left w:w="28" w:type="dxa"/>
          <w:bottom w:w="28" w:type="dxa"/>
          <w:right w:w="28" w:type="dxa"/>
        </w:tblCellMar>
      </w:tblPr>
      <w:tblGrid>
        <w:gridCol w:w="1216"/>
        <w:gridCol w:w="1104"/>
        <w:gridCol w:w="1114"/>
        <w:gridCol w:w="2296"/>
        <w:gridCol w:w="1681"/>
      </w:tblGrid>
      <w:tr>
        <w:trPr/>
        <w:tc>
          <w:tcPr>
            <w:tcW w:w="121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001-36276</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27-2546083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60 Leveroni Court</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Novato, California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94949</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636" w:type="dxa"/>
        <w:jc w:val="left"/>
        <w:tblInd w:w="0" w:type="dxa"/>
        <w:tblLayout w:type="fixed"/>
        <w:tblCellMar>
          <w:top w:w="28" w:type="dxa"/>
          <w:left w:w="28" w:type="dxa"/>
          <w:bottom w:w="28" w:type="dxa"/>
          <w:right w:w="28" w:type="dxa"/>
        </w:tblCellMar>
      </w:tblPr>
      <w:tblGrid>
        <w:gridCol w:w="7636"/>
      </w:tblGrid>
      <w:tr>
        <w:trPr/>
        <w:tc>
          <w:tcPr>
            <w:tcW w:w="7636" w:type="dxa"/>
            <w:tcBorders/>
            <w:vAlign w:val="center"/>
          </w:tcPr>
          <w:p>
            <w:pPr>
              <w:pStyle w:val="TableContents"/>
              <w:bidi w:val="0"/>
              <w:spacing w:before="0" w:after="283"/>
              <w:jc w:val="left"/>
              <w:rPr>
                <w:sz w:val="4"/>
                <w:szCs w:val="4"/>
              </w:rPr>
            </w:pPr>
            <w:r>
              <w:rPr>
                <w:sz w:val="4"/>
                <w:szCs w:val="4"/>
              </w:rPr>
            </w:r>
          </w:p>
        </w:tc>
      </w:tr>
      <w:tr>
        <w:trPr/>
        <w:tc>
          <w:tcPr>
            <w:tcW w:w="7636" w:type="dxa"/>
            <w:tcBorders/>
            <w:tcMar>
              <w:top w:w="0" w:type="dxa"/>
              <w:left w:w="0" w:type="dxa"/>
              <w:bottom w:w="0" w:type="dxa"/>
              <w:right w:w="0" w:type="dxa"/>
            </w:tcMar>
            <w:vAlign w:val="center"/>
          </w:tcPr>
          <w:p>
            <w:pPr>
              <w:pStyle w:val="TableContents"/>
              <w:bidi w:val="0"/>
              <w:spacing w:before="0" w:after="283"/>
              <w:jc w:val="center"/>
              <w:rPr>
                <w:rFonts w:ascii="sans-serif" w:hAnsi="sans-serif"/>
                <w:sz w:val="20"/>
              </w:rPr>
            </w:pPr>
            <w:r>
              <w:rPr>
                <w:rFonts w:ascii="sans-serif" w:hAnsi="sans-serif"/>
                <w:b/>
                <w:color w:val="000000"/>
                <w:sz w:val="20"/>
              </w:rPr>
              <w:t>Registrant’s Telephone Number, Including Area Code:</w:t>
            </w:r>
            <w:r>
              <w:rPr>
                <w:rFonts w:ascii="sans-serif" w:hAnsi="sans-serif"/>
                <w:color w:val="000000"/>
                <w:sz w:val="20"/>
              </w:rPr>
              <w:t xml:space="preserve"> </w:t>
            </w:r>
            <w:r>
              <w:rPr>
                <w:rFonts w:ascii="sans-serif" w:hAnsi="sans-serif"/>
                <w:b/>
                <w:color w:val="000000"/>
                <w:sz w:val="20"/>
              </w:rPr>
              <w:t>415</w:t>
            </w:r>
            <w:r>
              <w:rPr>
                <w:rFonts w:ascii="sans-serif" w:hAnsi="sans-serif"/>
                <w:color w:val="000000"/>
                <w:sz w:val="20"/>
              </w:rPr>
              <w:t xml:space="preserve"> </w:t>
            </w:r>
            <w:r>
              <w:rPr>
                <w:rFonts w:ascii="sans-serif" w:hAnsi="sans-serif"/>
                <w:b/>
                <w:color w:val="000000"/>
                <w:sz w:val="20"/>
              </w:rPr>
              <w:t>483-8800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sans-serif" w:hAnsi="sans-serif"/>
          <w:color w:val="000000"/>
          <w:sz w:val="20"/>
        </w:rPr>
      </w:pPr>
      <w:r>
        <w:rPr>
          <w:rFonts w:ascii="sans-serif" w:hAnsi="sans-serif"/>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9925" w:type="dxa"/>
        <w:jc w:val="left"/>
        <w:tblInd w:w="0" w:type="dxa"/>
        <w:tblLayout w:type="fixed"/>
        <w:tblCellMar>
          <w:top w:w="28" w:type="dxa"/>
          <w:left w:w="28" w:type="dxa"/>
          <w:bottom w:w="28" w:type="dxa"/>
          <w:right w:w="28" w:type="dxa"/>
        </w:tblCellMar>
      </w:tblPr>
      <w:tblGrid>
        <w:gridCol w:w="3361"/>
        <w:gridCol w:w="146"/>
        <w:gridCol w:w="1201"/>
        <w:gridCol w:w="146"/>
        <w:gridCol w:w="507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50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Nasdaq Global Select Market</w:t>
            </w:r>
          </w:p>
        </w:tc>
      </w:tr>
    </w:tbl>
    <w:p>
      <w:pPr>
        <w:pStyle w:val="TextBody"/>
        <w:bidi w:val="0"/>
        <w:spacing w:before="240" w:after="283"/>
        <w:jc w:val="left"/>
        <w:rPr>
          <w:rFonts w:ascii="sans-serif" w:hAnsi="sans-serif"/>
          <w:color w:val="000000"/>
          <w:sz w:val="20"/>
        </w:rPr>
      </w:pPr>
      <w:r>
        <w:rPr>
          <w:rFonts w:ascii="sans-serif" w:hAnsi="sans-serif"/>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37" w:type="dxa"/>
        <w:jc w:val="left"/>
        <w:tblInd w:w="0" w:type="dxa"/>
        <w:tblLayout w:type="fixed"/>
        <w:tblCellMar>
          <w:top w:w="28" w:type="dxa"/>
          <w:left w:w="28" w:type="dxa"/>
          <w:bottom w:w="28" w:type="dxa"/>
          <w:right w:w="28" w:type="dxa"/>
        </w:tblCellMar>
      </w:tblPr>
      <w:tblGrid>
        <w:gridCol w:w="1246"/>
        <w:gridCol w:w="4891"/>
      </w:tblGrid>
      <w:tr>
        <w:trPr/>
        <w:tc>
          <w:tcPr>
            <w:tcW w:w="1246"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sans-serif" w:hAnsi="sans-serif"/>
                <w:sz w:val="20"/>
              </w:rPr>
            </w:pPr>
            <w:r>
              <w:rPr>
                <w:rFonts w:ascii="sans-serif" w:hAnsi="sans-serif"/>
                <w:b/>
                <w:color w:val="000000"/>
                <w:sz w:val="20"/>
              </w:rPr>
              <w:t>Item 1.01</w:t>
            </w:r>
            <w:r>
              <w:rPr>
                <w:rFonts w:ascii="sans-serif" w:hAnsi="sans-serif"/>
                <w:color w:val="000000"/>
                <w:sz w:val="20"/>
              </w:rPr>
              <w:t xml:space="preserve"> </w:t>
            </w:r>
          </w:p>
        </w:tc>
        <w:tc>
          <w:tcPr>
            <w:tcW w:w="489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Entry into a Material Definitive Agreement.</w:t>
            </w:r>
          </w:p>
        </w:tc>
      </w:tr>
    </w:tbl>
    <w:p>
      <w:pPr>
        <w:pStyle w:val="TextBody"/>
        <w:bidi w:val="0"/>
        <w:jc w:val="left"/>
        <w:rPr/>
      </w:pPr>
      <w:r>
        <w:rPr/>
        <w:t> </w:t>
      </w:r>
    </w:p>
    <w:p>
      <w:pPr>
        <w:pStyle w:val="TextBody"/>
        <w:bidi w:val="0"/>
        <w:spacing w:lineRule="auto" w:line="360"/>
        <w:jc w:val="left"/>
        <w:rPr>
          <w:rFonts w:ascii="sans-serif" w:hAnsi="sans-serif"/>
          <w:sz w:val="13"/>
        </w:rPr>
      </w:pPr>
      <w:r>
        <w:rPr>
          <w:rFonts w:ascii="sans-serif" w:hAnsi="sans-serif"/>
          <w:color w:val="000000"/>
          <w:sz w:val="20"/>
        </w:rPr>
        <w:t>On October 8, 2026, Ultragenyx Pharmaceutical Inc. (the “Company”) entered into an asset purchase agreement (the “PRV Asset Purchase Agreement”), pursuant to which the Company agreed to sell a Rare Pediatric Disease Priority Review Voucher (“PRV”) to the buyer. The Company was awarded the PRV by the U.S. Food and Drug Administration (“FDA”) on September 17, 2026 upon approval of FAYUVI</w:t>
      </w:r>
      <w:r>
        <w:rPr>
          <w:rFonts w:ascii="sans-serif" w:hAnsi="sans-serif"/>
          <w:color w:val="000000"/>
          <w:sz w:val="13"/>
        </w:rPr>
        <w:t xml:space="preserve">TM </w:t>
      </w:r>
      <w:r>
        <w:rPr>
          <w:rFonts w:ascii="sans-serif" w:hAnsi="sans-serif"/>
          <w:color w:val="000000"/>
          <w:sz w:val="20"/>
        </w:rPr>
        <w:t>(rebisufligene etisparvovec-hopf) also known as UX111, for the treatment of pediatric patients with mucopolysaccharidosis type IIIA (MPS IIIA, Sanfilippo syndrome Type A). Pursuant to the PRV Asset Purchase Agreement, the buyer agreed to pay the Company $203 million, payable in cash, upon the closing of the transaction.</w:t>
      </w:r>
      <w:r>
        <w:rPr>
          <w:rFonts w:ascii="sans-serif" w:hAnsi="sans-serif"/>
          <w:color w:val="000000"/>
          <w:sz w:val="13"/>
        </w:rPr>
        <w:t xml:space="preserve"> </w:t>
      </w:r>
    </w:p>
    <w:p>
      <w:pPr>
        <w:pStyle w:val="TextBody"/>
        <w:bidi w:val="0"/>
        <w:jc w:val="left"/>
        <w:rPr>
          <w:rFonts w:ascii="sans-serif" w:hAnsi="sans-serif"/>
          <w:color w:val="000000"/>
          <w:sz w:val="20"/>
        </w:rPr>
      </w:pPr>
      <w:r>
        <w:rPr>
          <w:rFonts w:ascii="sans-serif" w:hAnsi="sans-serif"/>
          <w:color w:val="000000"/>
          <w:sz w:val="20"/>
        </w:rPr>
        <w:t>The PRV Asset Purchase Agreement contains customary representations, warranties, covenants, and indemnification provisions subject to certain limitations. The transaction remains subject to customary closing conditions, including the expiration or termination of the applicable waiting period under the Hart-Scott-Rodino Antitrust Improvements Act of 1976.</w:t>
      </w:r>
    </w:p>
    <w:p>
      <w:pPr>
        <w:pStyle w:val="TextBody"/>
        <w:bidi w:val="0"/>
        <w:jc w:val="left"/>
        <w:rPr>
          <w:rFonts w:ascii="sans-serif" w:hAnsi="sans-serif"/>
          <w:color w:val="000000"/>
          <w:sz w:val="20"/>
        </w:rPr>
      </w:pPr>
      <w:r>
        <w:rPr>
          <w:rFonts w:ascii="sans-serif" w:hAnsi="sans-serif"/>
          <w:color w:val="000000"/>
          <w:sz w:val="20"/>
        </w:rPr>
        <w:t>The foregoing description of the PRV Asset Purchase Agreement does not purport to be complete and is qualified in its entirety by the full text of the PRV Asset Purchase Agreement, a copy of which will be filed with the Company’s Annual Report on Form 10-K for the year ended December 31,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sans-serif" w:hAnsi="sans-serif"/>
          <w:b/>
          <w:color w:val="000000"/>
          <w:sz w:val="20"/>
        </w:rPr>
      </w:pPr>
      <w:r>
        <w:rPr>
          <w:rFonts w:ascii="sans-serif" w:hAnsi="sans-serif"/>
          <w:b/>
          <w:color w:val="000000"/>
          <w:sz w:val="20"/>
        </w:rPr>
        <w:t>SIGNATURES</w:t>
      </w:r>
    </w:p>
    <w:p>
      <w:pPr>
        <w:pStyle w:val="TextBody"/>
        <w:bidi w:val="0"/>
        <w:spacing w:before="0" w:after="187"/>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9694" w:type="dxa"/>
        <w:jc w:val="left"/>
        <w:tblInd w:w="0" w:type="dxa"/>
        <w:tblLayout w:type="fixed"/>
        <w:tblCellMar>
          <w:top w:w="28" w:type="dxa"/>
          <w:left w:w="28" w:type="dxa"/>
          <w:bottom w:w="28" w:type="dxa"/>
          <w:right w:w="28" w:type="dxa"/>
        </w:tblCellMar>
      </w:tblPr>
      <w:tblGrid>
        <w:gridCol w:w="646"/>
        <w:gridCol w:w="1771"/>
        <w:gridCol w:w="481"/>
        <w:gridCol w:w="6796"/>
      </w:tblGrid>
      <w:tr>
        <w:trPr/>
        <w:tc>
          <w:tcPr>
            <w:tcW w:w="6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86" w:after="86"/>
              <w:jc w:val="left"/>
              <w:rPr>
                <w:rFonts w:ascii="sans-serif" w:hAnsi="sans-serif"/>
                <w:color w:val="000000"/>
                <w:sz w:val="20"/>
              </w:rPr>
            </w:pPr>
            <w:r>
              <w:rPr>
                <w:rFonts w:ascii="sans-serif" w:hAnsi="sans-serif"/>
                <w:color w:val="000000"/>
                <w:sz w:val="20"/>
              </w:rPr>
              <w:t>Ultragenyx Pharmaceutical,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Date:</w:t>
            </w:r>
          </w:p>
        </w:tc>
        <w:tc>
          <w:tcPr>
            <w:tcW w:w="177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October 14, 2026</w:t>
            </w:r>
          </w:p>
        </w:tc>
        <w:tc>
          <w:tcPr>
            <w:tcW w:w="481" w:type="dxa"/>
            <w:tcBorders/>
            <w:tcMar>
              <w:top w:w="0" w:type="dxa"/>
              <w:left w:w="0" w:type="dxa"/>
              <w:bottom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 xml:space="preserve">By: </w:t>
            </w:r>
          </w:p>
        </w:tc>
        <w:tc>
          <w:tcPr>
            <w:tcW w:w="67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sans-serif" w:hAnsi="sans-serif"/>
                <w:color w:val="000000"/>
                <w:sz w:val="20"/>
              </w:rPr>
            </w:pPr>
            <w:r>
              <w:rPr>
                <w:rFonts w:ascii="sans-serif" w:hAnsi="sans-serif"/>
                <w:color w:val="000000"/>
                <w:sz w:val="20"/>
              </w:rPr>
              <w:t>/s/ Howard 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14" w:after="187"/>
              <w:jc w:val="left"/>
              <w:rPr>
                <w:rFonts w:ascii="sans-serif" w:hAnsi="sans-serif"/>
                <w:color w:val="000000"/>
                <w:sz w:val="20"/>
              </w:rPr>
            </w:pPr>
            <w:r>
              <w:rPr>
                <w:rFonts w:ascii="sans-serif" w:hAnsi="sans-serif"/>
                <w:color w:val="000000"/>
                <w:sz w:val="20"/>
              </w:rPr>
              <w:t>Howard Horn</w:t>
              <w:br/>
              <w:t>Executive Vice President, Chief Financial Officer, Corporate Strategy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559</Words>
  <Characters>3169</Characters>
  <CharactersWithSpaces>3730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