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333-197008</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2,017,349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135255</wp:posOffset>
            </wp:positionV>
            <wp:extent cx="3044190" cy="1217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44190" cy="1217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Ultragenyx Pharmaceutical Inc. is offering 1,311,277 shares of its common stock and the selling stockholders identified in this prospectus are offering 706,072 shares of our common stock. We will not receive any proceeds from the sale of any shares by the selling stockholders.</w:t>
      </w:r>
    </w:p>
    <w:p>
      <w:pPr>
        <w:spacing w:after="0" w:line="5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“RARE”. The last reported sale price of our common stock on The NASDAQ Global Select Market on July 8, 2014 was $41.40 per share.</w:t>
      </w:r>
    </w:p>
    <w:p>
      <w:pPr>
        <w:spacing w:after="0" w:line="5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32" w:lineRule="exact"/>
        <w:rPr>
          <w:sz w:val="24"/>
          <w:szCs w:val="24"/>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15.</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4"/>
              </w:rPr>
              <w:t>Per 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9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40.00</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80,693,960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1"/>
                <w:szCs w:val="11"/>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4,841,638</w:t>
            </w:r>
          </w:p>
        </w:tc>
        <w:tc>
          <w:tcPr>
            <w:tcW w:w="100" w:type="dxa"/>
            <w:vAlign w:val="bottom"/>
          </w:tcPr>
          <w:p>
            <w:pPr>
              <w:spacing w:after="0"/>
              <w:rPr>
                <w:sz w:val="18"/>
                <w:szCs w:val="18"/>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Proceeds to Ultragenyx Pharmaceutical Inc., before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49,304,015</w:t>
            </w:r>
          </w:p>
        </w:tc>
        <w:tc>
          <w:tcPr>
            <w:tcW w:w="100" w:type="dxa"/>
            <w:vAlign w:val="bottom"/>
            <w:shd w:val="clear" w:color="auto" w:fill="CCEEFF"/>
          </w:tcPr>
          <w:p>
            <w:pPr>
              <w:spacing w:after="0"/>
              <w:rPr>
                <w:sz w:val="18"/>
                <w:szCs w:val="18"/>
                <w:color w:val="auto"/>
              </w:rPr>
            </w:pP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Proceeds to selling 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37.60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26,548,307</w:t>
            </w:r>
          </w:p>
        </w:tc>
        <w:tc>
          <w:tcPr>
            <w:tcW w:w="10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4"/>
          <w:szCs w:val="24"/>
          <w:color w:val="auto"/>
        </w:rPr>
      </w:pPr>
    </w:p>
    <w:p>
      <w:pPr>
        <w:ind w:right="1820" w:firstLine="8"/>
        <w:spacing w:after="0" w:line="383" w:lineRule="auto"/>
        <w:tabs>
          <w:tab w:leader="none" w:pos="446"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“Underwriting” for additional disclosure regarding underwriting discounts, commissions and estimated offering expenses. We have granted the underwriters an option for a period of 30 days to purchase up to an additional 302,602 shares of our common stock.</w:t>
      </w:r>
    </w:p>
    <w:p>
      <w:pPr>
        <w:spacing w:after="0" w:line="1" w:lineRule="exact"/>
        <w:rPr>
          <w:sz w:val="24"/>
          <w:szCs w:val="24"/>
          <w:color w:val="auto"/>
        </w:rPr>
      </w:pPr>
    </w:p>
    <w:p>
      <w:pPr>
        <w:ind w:right="2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shares of common stock to purchasers on or about July 14, 2014.</w:t>
      </w:r>
    </w:p>
    <w:p>
      <w:pPr>
        <w:spacing w:after="0" w:line="57" w:lineRule="exact"/>
        <w:rPr>
          <w:sz w:val="24"/>
          <w:szCs w:val="24"/>
          <w:color w:val="auto"/>
        </w:rPr>
      </w:pPr>
    </w:p>
    <w:p>
      <w:pPr>
        <w:spacing w:after="0"/>
        <w:tabs>
          <w:tab w:leader="none" w:pos="9180" w:val="left"/>
        </w:tabs>
        <w:rPr>
          <w:sz w:val="20"/>
          <w:szCs w:val="20"/>
          <w:color w:val="auto"/>
        </w:rPr>
      </w:pP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29"/>
          <w:szCs w:val="29"/>
          <w:b w:val="1"/>
          <w:bCs w:val="1"/>
          <w:color w:val="auto"/>
        </w:rPr>
        <w:t>Morgan Stanley</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Cowen and Company</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Baird</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July 8, 2014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80" w:type="dxa"/>
            <w:vAlign w:val="bottom"/>
            <w:gridSpan w:val="5"/>
            <w:vMerge w:val="restart"/>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Prospectus Summary</w:t>
              </w:r>
            </w:hyperlink>
          </w:p>
        </w:tc>
        <w:tc>
          <w:tcPr>
            <w:tcW w:w="3620" w:type="dxa"/>
            <w:vAlign w:val="bottom"/>
            <w:gridSpan w:val="4"/>
            <w:vMerge w:val="restart"/>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color w:val="auto"/>
                <w:w w:val="73"/>
              </w:rPr>
              <w:t>Page</w:t>
            </w:r>
          </w:p>
        </w:tc>
        <w:tc>
          <w:tcPr>
            <w:tcW w:w="2440" w:type="dxa"/>
            <w:vAlign w:val="bottom"/>
            <w:gridSpan w:val="8"/>
            <w:vMerge w:val="restart"/>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Principal and Selling Stockholders</w:t>
              </w:r>
            </w:hyperlink>
          </w:p>
        </w:tc>
        <w:tc>
          <w:tcPr>
            <w:tcW w:w="2320" w:type="dxa"/>
            <w:vAlign w:val="bottom"/>
            <w:gridSpan w:val="4"/>
            <w:vMerge w:val="restart"/>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1"/>
        </w:trPr>
        <w:tc>
          <w:tcPr>
            <w:tcW w:w="1480" w:type="dxa"/>
            <w:vAlign w:val="bottom"/>
            <w:tcBorders>
              <w:bottom w:val="single" w:sz="8" w:color="0000EE"/>
            </w:tcBorders>
            <w:gridSpan w:val="5"/>
            <w:vMerge w:val="continue"/>
          </w:tcPr>
          <w:p>
            <w:pPr>
              <w:spacing w:after="0"/>
              <w:rPr>
                <w:sz w:val="13"/>
                <w:szCs w:val="13"/>
                <w:color w:val="auto"/>
              </w:rPr>
            </w:pPr>
          </w:p>
        </w:tc>
        <w:tc>
          <w:tcPr>
            <w:tcW w:w="3620" w:type="dxa"/>
            <w:vAlign w:val="bottom"/>
            <w:gridSpan w:val="4"/>
            <w:vMerge w:val="continue"/>
          </w:tcPr>
          <w:p>
            <w:pPr>
              <w:spacing w:after="0"/>
              <w:rPr>
                <w:sz w:val="13"/>
                <w:szCs w:val="13"/>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40" w:type="dxa"/>
            <w:vAlign w:val="bottom"/>
          </w:tcPr>
          <w:p>
            <w:pPr>
              <w:spacing w:after="0"/>
              <w:rPr>
                <w:sz w:val="13"/>
                <w:szCs w:val="13"/>
                <w:color w:val="auto"/>
              </w:rPr>
            </w:pPr>
          </w:p>
        </w:tc>
        <w:tc>
          <w:tcPr>
            <w:tcW w:w="2440" w:type="dxa"/>
            <w:vAlign w:val="bottom"/>
            <w:tcBorders>
              <w:bottom w:val="single" w:sz="8" w:color="0000EE"/>
            </w:tcBorders>
            <w:gridSpan w:val="8"/>
            <w:vMerge w:val="continue"/>
          </w:tcPr>
          <w:p>
            <w:pPr>
              <w:spacing w:after="0"/>
              <w:rPr>
                <w:sz w:val="13"/>
                <w:szCs w:val="13"/>
                <w:color w:val="auto"/>
              </w:rPr>
            </w:pPr>
          </w:p>
        </w:tc>
        <w:tc>
          <w:tcPr>
            <w:tcW w:w="232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4220" w:type="dxa"/>
            <w:vAlign w:val="bottom"/>
            <w:gridSpan w:val="7"/>
          </w:tcPr>
          <w:p>
            <w:pPr>
              <w:spacing w:after="0"/>
              <w:rPr>
                <w:sz w:val="18"/>
                <w:szCs w:val="18"/>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4760" w:type="dxa"/>
            <w:vAlign w:val="bottom"/>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Description of Capital Stock</w:t>
              </w:r>
            </w:hyperlink>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gridSpan w:val="8"/>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Cautionary Note Regarding Forward-Looking Statements</w:t>
              </w:r>
            </w:hyperlink>
          </w:p>
        </w:tc>
        <w:tc>
          <w:tcPr>
            <w:tcW w:w="1060" w:type="dxa"/>
            <w:vAlign w:val="bottom"/>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17</w:t>
            </w:r>
          </w:p>
        </w:tc>
        <w:tc>
          <w:tcPr>
            <w:tcW w:w="4760" w:type="dxa"/>
            <w:vAlign w:val="bottom"/>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Shares Eligible For Future Sale</w:t>
              </w:r>
            </w:hyperlink>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20">
              <w:r>
                <w:rPr>
                  <w:rFonts w:ascii="Arial" w:cs="Arial" w:eastAsia="Arial" w:hAnsi="Arial"/>
                  <w:sz w:val="18"/>
                  <w:szCs w:val="18"/>
                  <w:color w:val="0000EE"/>
                  <w:w w:val="84"/>
                </w:rPr>
                <w:t>Use of Proceeds</w:t>
              </w:r>
            </w:hyperlink>
          </w:p>
        </w:tc>
        <w:tc>
          <w:tcPr>
            <w:tcW w:w="290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18</w:t>
            </w:r>
          </w:p>
        </w:tc>
        <w:tc>
          <w:tcPr>
            <w:tcW w:w="44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Material U.S. Federal Income Tax Consequences To Non-U.S.</w:t>
              </w:r>
            </w:hyperlink>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Price Range of Common Stock</w:t>
              </w:r>
            </w:hyperlink>
          </w:p>
        </w:tc>
        <w:tc>
          <w:tcPr>
            <w:tcW w:w="2920" w:type="dxa"/>
            <w:vAlign w:val="bottom"/>
            <w:gridSpan w:val="3"/>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38">
              <w:r>
                <w:rPr>
                  <w:rFonts w:ascii="Arial" w:cs="Arial" w:eastAsia="Arial" w:hAnsi="Arial"/>
                  <w:sz w:val="18"/>
                  <w:szCs w:val="18"/>
                  <w:color w:val="0000EE"/>
                  <w:w w:val="86"/>
                </w:rPr>
                <w:t>Holders</w:t>
              </w:r>
            </w:hyperlink>
          </w:p>
        </w:tc>
        <w:tc>
          <w:tcPr>
            <w:tcW w:w="3980" w:type="dxa"/>
            <w:vAlign w:val="bottom"/>
            <w:gridSpan w:val="9"/>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Dividend Policy</w:t>
              </w:r>
            </w:hyperlink>
          </w:p>
        </w:tc>
        <w:tc>
          <w:tcPr>
            <w:tcW w:w="3960" w:type="dxa"/>
            <w:vAlign w:val="bottom"/>
            <w:gridSpan w:val="5"/>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20</w:t>
            </w:r>
          </w:p>
        </w:tc>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Underwriting</w:t>
              </w:r>
            </w:hyperlink>
          </w:p>
        </w:tc>
        <w:tc>
          <w:tcPr>
            <w:tcW w:w="3800" w:type="dxa"/>
            <w:vAlign w:val="bottom"/>
            <w:gridSpan w:val="8"/>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980" w:type="dxa"/>
            <w:vAlign w:val="bottom"/>
            <w:gridSpan w:val="3"/>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Capitalization</w:t>
              </w:r>
            </w:hyperlink>
          </w:p>
        </w:tc>
        <w:tc>
          <w:tcPr>
            <w:tcW w:w="4120" w:type="dxa"/>
            <w:vAlign w:val="bottom"/>
            <w:gridSpan w:val="6"/>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21</w:t>
            </w:r>
          </w:p>
        </w:tc>
        <w:tc>
          <w:tcPr>
            <w:tcW w:w="4760" w:type="dxa"/>
            <w:vAlign w:val="bottom"/>
            <w:gridSpan w:val="1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Dilution</w:t>
              </w:r>
            </w:hyperlink>
          </w:p>
        </w:tc>
        <w:tc>
          <w:tcPr>
            <w:tcW w:w="400" w:type="dxa"/>
            <w:vAlign w:val="bottom"/>
            <w:tcBorders>
              <w:top w:val="single" w:sz="8" w:color="0000EE"/>
            </w:tcBorders>
            <w:gridSpan w:val="2"/>
          </w:tcPr>
          <w:p>
            <w:pPr>
              <w:spacing w:after="0"/>
              <w:rPr>
                <w:sz w:val="17"/>
                <w:szCs w:val="17"/>
                <w:color w:val="auto"/>
              </w:rPr>
            </w:pPr>
          </w:p>
        </w:tc>
        <w:tc>
          <w:tcPr>
            <w:tcW w:w="4120" w:type="dxa"/>
            <w:vAlign w:val="bottom"/>
            <w:gridSpan w:val="6"/>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22</w:t>
            </w:r>
          </w:p>
        </w:tc>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3780" w:type="dxa"/>
            <w:vAlign w:val="bottom"/>
            <w:gridSpan w:val="7"/>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Certain Relationships and Related-Party Transactions</w:t>
              </w:r>
            </w:hyperlink>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23</w:t>
            </w:r>
          </w:p>
        </w:tc>
        <w:tc>
          <w:tcPr>
            <w:tcW w:w="4760" w:type="dxa"/>
            <w:vAlign w:val="bottom"/>
            <w:gridSpan w:val="1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60" w:type="dxa"/>
            <w:vAlign w:val="bottom"/>
            <w:gridSpan w:val="1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Incorporation of Certain Information by Reference</w:t>
              </w:r>
            </w:hyperlink>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Neither we nor the selling stockholders have authorized anyone to provide you with information other than that contained in this prospectus or in any free writing prospectus prepared by or on behalf of us or to which we have referred you. We and the selling stockholders take no responsibility for, and can provide no assurance as to the reliability of, any other information that others may give to you. We and the selling stockholders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our common stock. Our business, financial condition, results of operations, and prospects may have changed since that date.</w:t>
      </w:r>
    </w:p>
    <w:p>
      <w:pPr>
        <w:spacing w:after="0" w:line="3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96" w:lineRule="exact"/>
        <w:rPr>
          <w:sz w:val="20"/>
          <w:szCs w:val="20"/>
          <w:color w:val="auto"/>
        </w:rPr>
      </w:pPr>
    </w:p>
    <w:p>
      <w:pPr>
        <w:jc w:val="both"/>
        <w:ind w:left="200" w:firstLine="443"/>
        <w:spacing w:after="0" w:line="291" w:lineRule="auto"/>
        <w:rPr>
          <w:sz w:val="20"/>
          <w:szCs w:val="20"/>
          <w:color w:val="auto"/>
        </w:rPr>
      </w:pPr>
      <w:r>
        <w:rPr>
          <w:rFonts w:ascii="Arial" w:cs="Arial" w:eastAsia="Arial" w:hAnsi="Arial"/>
          <w:sz w:val="16"/>
          <w:szCs w:val="16"/>
          <w:i w:val="1"/>
          <w:iCs w:val="1"/>
          <w:color w:val="auto"/>
        </w:rPr>
        <w:t>The items in the following summary are described in more detail later in this prospectus. This summary provides an overview of selected information and does not contain all of the information you should consider before buying our common stock. Therefore, you should read the entire prospectus carefully, including the information in our filings with the Securities and Exchange Commission, or SEC, incorporated by reference in this prospectus, before deciding to invest in our common stock. Investors should carefully consider the information set forth under “Risk Factors” beginning on page 15 of this prospectus and those identified in our Quarterly Report on Form 10-Q for the quarter ended March 31, 2014. In this prospectus, unless the context otherwise requires, references to “the Company,” “we,” “us,” “our,” or “Ultragenyx” refer to Ultragenyx Pharmaceutical Inc.</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left="200" w:firstLine="443"/>
        <w:spacing w:after="0" w:line="254" w:lineRule="auto"/>
        <w:rPr>
          <w:sz w:val="20"/>
          <w:szCs w:val="20"/>
          <w:color w:val="auto"/>
        </w:rPr>
      </w:pPr>
      <w:r>
        <w:rPr>
          <w:rFonts w:ascii="Arial" w:cs="Arial" w:eastAsia="Arial" w:hAnsi="Arial"/>
          <w:sz w:val="18"/>
          <w:szCs w:val="18"/>
          <w:color w:val="auto"/>
        </w:rPr>
        <w:t>We are a development-stage biopharmaceutical company focused on the identification, acquisition, development, and commercialization of novel products for the treatment of rare and ultra-rare diseases, with an initial focus on serious, debilitating genetic diseases. We focus on diseases for which the unmet medical need is high, the biology for treatment is clear, and for which there are no approved therapies. Since our inception in 2010, we have in-licensed potential treatments for five different diseases that are currently in or have completed Phase 1/2 or Phase 2 clinical studies. Our strategy, which is predicated upon time- and cost-efficient drug development, allows us to pursue multiple programs in parallel with the goal of delivering safe and effective therapies to patients with the utmost urgency.</w:t>
      </w:r>
    </w:p>
    <w:p>
      <w:pPr>
        <w:spacing w:after="0" w:line="63"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Our current product candidate pipeline has been either in-licensed from academic institutions or derived from partnerships with other pharmaceutical companies. Our strategy is to acquire and retain global commercialization rights to our products to maximize long-term value, where possible. Over time, we intend to build our own commercial organization, which we believe will be of modest size due to the relatively small number of specialists who treat patients with rare and ultra-rare diseases.</w:t>
      </w:r>
    </w:p>
    <w:p>
      <w:pPr>
        <w:spacing w:after="0" w:line="62"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The patients we seek to treat have diseases with limited or no treatment options, and we recognize that their lives and well-being are highly dependent upon our efforts to develop new therapies. For this reason, we are passionate about developing these therapies with the utmost urgency and care. We strive to build a company that is faster, better, and smarter about advancing multiple product candidates through approval.</w:t>
      </w:r>
    </w:p>
    <w:p>
      <w:pPr>
        <w:spacing w:after="0" w:line="26"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We were founded in April 2010 by our current President and Chief Executive Officer, Dr. Emil Kakkis, M.D., Ph.D. We have assembled an experienced team with extensive rare disease drug development and commercialization capabilities. Dr. Kakkis and the team at Ultragenyx have been previously involved at other companies in the development and/or commercialization of many therapies approved or in development for rare metabolic genetic diseases, including Aldurazyme, Naglazyme, Kuvan, and Vimizim (BioMarin); Lumizyme/Myozyme (Sanofi-Genzyme); and asfotase alpha (Enobia; now Alexion).</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Our strategy is to identify, acquire, develop, and commercialize novel products for the treatment of rare and ultra-rare diseases in the United States, the European Union, and select international markets, with the goal of becoming a leading rare disease company. The critical components of our business strategy include the following:</w:t>
      </w:r>
    </w:p>
    <w:p>
      <w:pPr>
        <w:spacing w:after="0" w:line="59"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Focus on rare and ultra-rare diseases with significant unmet medical need;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Focus on diseases and therapies with clear mechanisms of action;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our experience and relationships to in-license promising product candidates;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 and commercialize multiple product candidates in parallel;</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814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2814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on excellent and rapid clinical and regulatory execution;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to retain global commercialization rights to product candidates.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 Candidates</w:t>
      </w:r>
    </w:p>
    <w:p>
      <w:pPr>
        <w:spacing w:after="0" w:line="96"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Our current pipeline consists of two product categories: biologics, including a monoclonal antibody and enzyme replacement therapies; and small-molecule substrate replacement therapies. Enzymes are proteins that the body uses to process materials needed for normal cellular function, and substrates are the materials upon which enzymes act. When enzymes or substrates are missing, the body is unable to perform its normal cellular functions, often leading to significant clinical disease. Several of our therapies are intended to replace deficient enzymes or substrates and one product candidate is an antibody that decreases the activity of an elevated hormone.</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KRN23 (UX023) for the treatment of XLH</w:t>
      </w:r>
    </w:p>
    <w:p>
      <w:pPr>
        <w:spacing w:after="0" w:line="90" w:lineRule="exact"/>
        <w:rPr>
          <w:sz w:val="20"/>
          <w:szCs w:val="20"/>
          <w:color w:val="auto"/>
        </w:rPr>
      </w:pPr>
    </w:p>
    <w:p>
      <w:pPr>
        <w:jc w:val="both"/>
        <w:ind w:left="200" w:firstLine="443"/>
        <w:spacing w:after="0" w:line="287" w:lineRule="auto"/>
        <w:rPr>
          <w:sz w:val="20"/>
          <w:szCs w:val="20"/>
          <w:color w:val="auto"/>
        </w:rPr>
      </w:pPr>
      <w:r>
        <w:rPr>
          <w:rFonts w:ascii="Arial" w:cs="Arial" w:eastAsia="Arial" w:hAnsi="Arial"/>
          <w:sz w:val="16"/>
          <w:szCs w:val="16"/>
          <w:color w:val="auto"/>
        </w:rPr>
        <w:t>KRN23 is a fully human monoclonal antibody administered via subcutaneous injection that is designed to bind and reduce the biological activity of FGF23 to increase abnormally low phosphate levels in patients with X-linked hypophosphatemia, or XLH. Patients with XLH have low serum phosphate levels due to excessive phosphate loss into the urine, which is directly caused by the effect on kidney function of excess FGF23 production in bone cells. Low phosphate levels lead to poor bone mineralization and a variety of clinical manifestations, including rickets leading to bowing and other skeletal deformities, short stature, bone pain and fractures, poor quality bone, and muscle weakness. There is no approved drug therapy or treatment for the underlying cause of XLH. Most patients are managed using frequently divided doses of oral phosphate and vitamin D therapy, which has significant side effects. Oral phosphate/vitamin D replacement therapy requires extremely close monitoring due to the potential for excessive phosphate levels and secondary increases in calcium, which can result in severe damage to the kidneys from excess calcium phosphate deposits and other complications. Additionally, some patients are unable to tolerate the regimen due to the chalky stool that results from taking large amounts of oral phosphate or the high frequency of dosing required.</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In August 2013, we formed a collaboration with Kyowa Hakko Kirin Co., Ltd., or KHK, to jointly develop and commercialize KRN23 for the treatment of XLH. KHK has conducted one Phase 1 study, one Phase 1/2 study, and one longer-term Phase 1/2 study of KRN23 in adults with XLH. We reviewed safety and efficacy data from the Phase 1 and Phase 1/2 studies prior to entering into our collaboration with KHK, and we entered into the collaboration based in part upon our conclusion that these data were supportive of further development (serum phosphate, renal tubular reabsorption of phosphate, and vitamin D levels were increased, and the product appeared well tolerated).</w:t>
      </w:r>
    </w:p>
    <w:p>
      <w:pPr>
        <w:spacing w:after="0" w:line="62"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6"/>
          <w:szCs w:val="16"/>
          <w:color w:val="auto"/>
        </w:rPr>
        <w:t>Results from the Phase 1 single dose study in 38 adult XLH patients were presented at the American Society for Bone and Mineral Research Annual Meeting in October 2013 and published in the Journal of Clinical Investigation in February 2014. The data demonstrated that KRN23 was well tolerated and increased serum phosphate, or phosphorus, as well as vitamin D levels. Of the 38 adult XLH patients, 12 received a single subcutaneous injection of KRN23 (at doses of 0.1, 0.3, 0.6, or 1.0 mg/kg), 17 received a single intravenous injection of KRN23 (at doses of 0.003, 0.01, 0.03, 0.1, or 0.3 mg/kg) and 9 received placebo. The effect of KRN23 on the increase in serum phosphate levels was comparable between intravenous and subcutaneous administration; however, time to reach peak effect was slower and duration of effect was greater with subcutaneous administration compared with intravenous administration. The demonstrated improvement in serum phosphate levels suggests that significant benefit could be expected. Corresponding changes were observed in renal tubular reabsorption of phosphate. Increases in vitamin D were also observed, suggesting improved intestinal absorption of both phosphate and calcium. Changes were not observed in serum calcium.</w:t>
      </w:r>
    </w:p>
    <w:p>
      <w:pPr>
        <w:spacing w:after="0" w:line="39"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color w:val="auto"/>
        </w:rPr>
        <w:t>No serious adverse events were reported in the Phase 1 study. Approximately 83% of the subjects experienced at least one non-serious treatment-emergent adverse event, the most common of which were nausea and headache; no patients in the placebo or subcutaneous treatment arms reported these events. In the subcutaneous arm, two patients (approximately 17%) experienced elevated levels of the enzyme amylase in the blood, and two other patients (approximately 17%) experienced back pain. The elevations of the enzyme amylase were modest and not clinically significant. There did not appear to be a relationship between the incidence and types of adverse events and the dose administered following a single dose of study drug.</w:t>
      </w:r>
    </w:p>
    <w:p>
      <w:pPr>
        <w:spacing w:after="0" w:line="35" w:lineRule="exact"/>
        <w:rPr>
          <w:sz w:val="20"/>
          <w:szCs w:val="20"/>
          <w:color w:val="auto"/>
        </w:rPr>
      </w:pPr>
    </w:p>
    <w:p>
      <w:pPr>
        <w:jc w:val="both"/>
        <w:ind w:left="200" w:firstLine="443"/>
        <w:spacing w:after="0" w:line="291" w:lineRule="auto"/>
        <w:rPr>
          <w:sz w:val="20"/>
          <w:szCs w:val="20"/>
          <w:color w:val="auto"/>
        </w:rPr>
      </w:pPr>
      <w:r>
        <w:rPr>
          <w:rFonts w:ascii="Arial" w:cs="Arial" w:eastAsia="Arial" w:hAnsi="Arial"/>
          <w:sz w:val="16"/>
          <w:szCs w:val="16"/>
          <w:color w:val="auto"/>
        </w:rPr>
        <w:t>Results from a multiple-dose Phase 1/2 study with up to four escalating doses from 0.05 mg/kg to 0.6 mg/kg that was completed in 28 adult XLH patients were presented at the 2014 ICE/ENDO joint meeting of The Endocrine Society and the International Congress on Endocrinology in June 2014. The data demonstrated that repeat doses of KRN23 over four months led to an increase in serum phosphate in 100% of patients, with approximately 89% of patients reaching the low end of the normal range. Peak mean serum phosphorus increased to 3.03 ± 0.42 mg/dL after the fourth dose, which is an approximately 60% increase from the mean of 1.89 ± 0.33 mg/dL at baseline. Comparable increases were observed in mean reabsorption of phosphate from the urine (TmP/GFR) and mean serum 1,25 dihydroxy vitamin D levels.</w:t>
      </w:r>
    </w:p>
    <w:p>
      <w:pPr>
        <w:spacing w:after="0" w:line="39"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Increases in bone remodeling markers of bone formation and bone resorption were also observed in this Phase 1/2 study. The increase in P1NP (procollagen type I N propeptide) from baseline was statistically significant (p&lt;0.05) after all doses and the increase in osteocalcin was statistically significant (p&lt;0.05) after the fourth dose. These data support the concept that KRN23’s impact on improving phosphate metabolism will improve bone remodeling, a critical part of creating strong, properly-formed bones. Increases in quality of life and disability measures were also observed and we intend to objectively evaluate these in a future randomized controlled study.</w:t>
      </w:r>
    </w:p>
    <w:p>
      <w:pPr>
        <w:spacing w:after="0" w:line="62"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There were no significant changes in parathyroid hormone, serum calcium, or urinary calcium excretion in this Phase 1/2 study, consistent with the Phase 1 data showing that KRN23 can specifically improve phosphate control without interfering with calcium control. The most common adverse events were nasopharyngitis, joint pain, diarrhea, back pain, and restless leg syndrome. Joint pain and back pain are both known symptoms of XLH in adults. There were no serious adverse events related to treatment or renal or cardiac tissue calcification. One patient discontinued treatment due to an injection site reaction. No anti-KRN23 antibodies were observed.</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firstLine="443"/>
        <w:spacing w:after="0" w:line="268" w:lineRule="auto"/>
        <w:rPr>
          <w:sz w:val="20"/>
          <w:szCs w:val="20"/>
          <w:color w:val="auto"/>
        </w:rPr>
      </w:pPr>
      <w:r>
        <w:rPr>
          <w:rFonts w:ascii="Arial" w:cs="Arial" w:eastAsia="Arial" w:hAnsi="Arial"/>
          <w:sz w:val="18"/>
          <w:szCs w:val="18"/>
          <w:color w:val="auto"/>
        </w:rPr>
        <w:t>Data from the long-term Phase 1/2 study to evaluate KRN23 treatment for an additional 12 doses is expected to be presented at the American Society for Bone and Mineral Research (ASBMR) Annual Meeting in September 2014.</w:t>
      </w:r>
    </w:p>
    <w:p>
      <w:pPr>
        <w:spacing w:after="0" w:line="51" w:lineRule="exact"/>
        <w:rPr>
          <w:sz w:val="20"/>
          <w:szCs w:val="20"/>
          <w:color w:val="auto"/>
        </w:rPr>
      </w:pPr>
    </w:p>
    <w:p>
      <w:pPr>
        <w:jc w:val="both"/>
        <w:ind w:left="200" w:firstLine="443"/>
        <w:spacing w:after="0" w:line="291" w:lineRule="auto"/>
        <w:rPr>
          <w:sz w:val="20"/>
          <w:szCs w:val="20"/>
          <w:color w:val="auto"/>
        </w:rPr>
      </w:pPr>
      <w:r>
        <w:rPr>
          <w:rFonts w:ascii="Arial" w:cs="Arial" w:eastAsia="Arial" w:hAnsi="Arial"/>
          <w:sz w:val="16"/>
          <w:szCs w:val="16"/>
          <w:color w:val="auto"/>
        </w:rPr>
        <w:t>In July 2014, we announced the first patient screened and enrolled in the Phase 2 pediatric study of KRN23 in patients with XLH. We expect to enroll approximately 30 prepubertal patients in this study. The primary objectives of the study are to identify a dose and dosing regimen and to establish the safety profile of treatment with KRN23 in pediatric XLH patients. We will also assess preliminary clinical effects of KRN23 treatment on bone health and deformity as measured by radiographic assessments, growth, muscle strength, and motor function, as well as markers of bone health and patient-reported outcomes of pain, disability, and quality of life. The study has been evaluated and accepted for conduct by the United States Food and Drug Administration, or FDA, the United Kingdom Medicinal and Health Regulatory Authority, and the Dutch Medicines Evaluation Board.</w:t>
      </w:r>
    </w:p>
    <w:p>
      <w:pPr>
        <w:spacing w:after="0" w:line="39"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color w:val="auto"/>
        </w:rPr>
        <w:t>The study will consist of a 16-week individual dose-titration period followed by a 48-week treatment period. The goal of the dose-titration period is to identify the individualized dose of KRN23 required to achieve stable serum phosphorus levels in the target range. Patients will be divided into three cohorts of escalating starting dose levels of KRN23 with either monthly or biweekly dosing regimens. At the end of the 16-week dose-titration period, patients will receive their individually-optimized dose of KRN23 on a monthly or biweekly basis for the 48-week treatment period. An interim analysis of safety and pharmacodynamic data will be conducted after 24 weeks of the treatment period.</w:t>
      </w:r>
    </w:p>
    <w:p>
      <w:pPr>
        <w:spacing w:after="0" w:line="35"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color w:val="auto"/>
        </w:rPr>
        <w:t>Depending on the results of our Phase 2 pediatric study, we intend to conduct a Phase 3 pediatric trial. In our recent meeting with the FDA, the FDA agreed that blinded radiographic assessments of changes in bone abnormalities, i.e. rickets and bowing, and changes in growth may be used as primary endpoint measures in the pediatric development program and a potential Phase 3 study. The FDA also indicated that a Phase 3 study in pediatric patients could be open-label, but recommended inclusion of a standard of care control arm for comparison on a non-inferiority basis. We expect that the final design of a pediatric Phase 3 study would be determined once sufficient safety and efficacy data are available and after further consultation with the FDA.</w:t>
      </w:r>
    </w:p>
    <w:p>
      <w:pPr>
        <w:spacing w:after="0" w:line="35"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color w:val="auto"/>
        </w:rPr>
        <w:t>Given the high turnover and growth of bone during childhood and the critical role phosphate plays in bone growth, pediatric XLH patients have the highest morbidity and potential for benefit in a shorter timeframe. As a result, pediatric XLH patients may also have the greatest potential for improvement based on third-party data regarding enzyme replacement therapy in hypophosphatasia, which is another genetic bone disease with poor bone mineralization related to phosphate metabolism caused by a different, unrelated mechanism. We also expect to continue to develop KRN23 in adults with XLH and plan to conduct an adult Phase 2b study in parallel with our Phase 3 pediatric trial.</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Potential market opportunity</w:t>
      </w:r>
    </w:p>
    <w:p>
      <w:pPr>
        <w:spacing w:after="0" w:line="96"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Based on incidence and prevalence rates published in a Danish epidemiologic study and surveys of physicians in the United States, we estimate that there are approximately 3,000 cases of XLH in pediatric patients in the United States. Further, there are an estimated 9,000 cases of XLH in adult patients in the United States. However, we expect that many of these adult patients may not seek treatment if their bone disease is not too severe.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rhGUS (UX003) for the treatment of MPS 7</w:t>
      </w:r>
    </w:p>
    <w:p>
      <w:pPr>
        <w:spacing w:after="0" w:line="90"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Recombinant human beta-glucuronidase, or rhGUS, is an intravenous, or IV, enzyme replacement therapy for the treatment of mucopolysaccharidosis 7, or MPS 7, also known as Sly Syndrome. Patients with MPS 7 suffer from severe cellular and organ dysfunction that typically leads to death in the teens or early adulthood. MPS 7 is caused by a deficiency of the lysosomal enzyme beta-glucuronidase, which is required for the breakdown of certain complex carbohydrates known as glycosaminoglycans, or GAGs. The inability to properly</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break down GAGs leads to their accumulation in many tissues, resulting in a serious multi-system disease. Patients with MPS 7 may have abnormal coarsened facial features, enlargement of the liver and spleen, airway obstruction, lung disease, cardiovascular complications, joint stiffness, short stature, and a skeletal disease known as dysostosis multiplex. In addition, many patients experience progressive lung problems as a result of airway obstruction and mucous production, often leading to sleep apnea and pulmonary insufficiency, and eventually requiring tracheostomy. There are currently no approved drug therapies for MPS 7.</w:t>
      </w:r>
    </w:p>
    <w:p>
      <w:pPr>
        <w:spacing w:after="0" w:line="62"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We licensed exclusive worldwide rights to rhGUS-related know-how and cell lines from Saint Louis University in November 2010 and initiated development in 2012. We have conducted preclinical studies to support the chronic IV administration of rhGUS. Administration of rhGUS resulted in substantial distribution of enzyme, as well as reduction in tissue pathology in a wide variety of tissues, including the liver, spleen, lung, heart, kidney, muscle, bone, and brain. No adverse toxicology related to rhGUS was noted in these studies.</w:t>
      </w:r>
    </w:p>
    <w:p>
      <w:pPr>
        <w:spacing w:after="0" w:line="62"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In December 2013, we initiated an open-label, Phase 1/2 study in the United Kingdom to evaluate the safety, tolerability, efficacy, and dose of IV administration every other week of rhGUS in up to five patients with MPS 7 who are between five and 30 years of age. The initial 12-week treatment period will be followed by a dose-titration period and a long-term extension study. We expect to release interim data from this study during 2014.</w:t>
      </w:r>
    </w:p>
    <w:p>
      <w:pPr>
        <w:spacing w:after="0" w:line="26" w:lineRule="exact"/>
        <w:rPr>
          <w:sz w:val="20"/>
          <w:szCs w:val="20"/>
          <w:color w:val="auto"/>
        </w:rPr>
      </w:pPr>
    </w:p>
    <w:p>
      <w:pPr>
        <w:jc w:val="both"/>
        <w:ind w:left="200" w:firstLine="443"/>
        <w:spacing w:after="0" w:line="289" w:lineRule="auto"/>
        <w:rPr>
          <w:sz w:val="20"/>
          <w:szCs w:val="20"/>
          <w:color w:val="auto"/>
        </w:rPr>
      </w:pPr>
      <w:r>
        <w:rPr>
          <w:rFonts w:ascii="Arial" w:cs="Arial" w:eastAsia="Arial" w:hAnsi="Arial"/>
          <w:sz w:val="16"/>
          <w:szCs w:val="16"/>
          <w:color w:val="auto"/>
        </w:rPr>
        <w:t>Preliminary data from the Phase 1/2 study were presented at the American College of Medical Genetics and Genomics Annual Clinical Genetics Meeting in March 2014. Results from three patients who had been administered 2 mg/kg of rhGUS every other week for two, six, and 12 weeks showed evidence of clearance of lysosomal storage as indicated by the decrease in urinary GAG excretion beginning at two weeks of treatment of approximately 30-50%. At the 12 week assessment of the first patient, absolute liver size was reduced by approximately 11%. This represents a 46% decrease in the excess liver size above normal for age and gender. The remaining patients have not yet reached the 12 week time point for liver size assessment. No serious adverse events were observed during up to 12 weeks of treatment, and no infusion-associated reactions were observed after a total of 13 infusions to date in these three subjects. The Phase 1/2 study will continue, and additional 12-week interim data are expected in the second half of 2014. If these results are supportive, we plan to initiate a pivotal Phase 3 study in 2014.</w:t>
      </w:r>
    </w:p>
    <w:p>
      <w:pPr>
        <w:spacing w:after="0" w:line="37"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color w:val="auto"/>
        </w:rPr>
        <w:t>We are also supplying rhGUS to an investigator who is treating a single U.S. patient under an emergency investigational new drug, or eIND, application. Preliminary results from the treatment of this patient were presented at the Lysosomal Disease Network’s 10</w:t>
      </w:r>
      <w:r>
        <w:rPr>
          <w:rFonts w:ascii="Arial" w:cs="Arial" w:eastAsia="Arial" w:hAnsi="Arial"/>
          <w:sz w:val="10"/>
          <w:szCs w:val="10"/>
          <w:color w:val="auto"/>
        </w:rPr>
        <w:t>th</w:t>
      </w:r>
      <w:r>
        <w:rPr>
          <w:rFonts w:ascii="Arial" w:cs="Arial" w:eastAsia="Arial" w:hAnsi="Arial"/>
          <w:sz w:val="16"/>
          <w:szCs w:val="16"/>
          <w:color w:val="auto"/>
        </w:rPr>
        <w:t xml:space="preserve"> Annual World Symposium in February 2014. Preliminary data showed evidence of a reduction in lysosomal storage based on reduced excretion of urinary GAG of 50% and a reduction in the size of the enlarged liver and spleen. The patient showed an improvement of pulmonary function and no infusion-associated reactions during the first 14 weeks of treatment. The patient’s caregivers also reported the patient’s improved stamina and increased time spent in school.</w:t>
      </w:r>
    </w:p>
    <w:p>
      <w:pPr>
        <w:spacing w:after="0" w:line="35" w:lineRule="exact"/>
        <w:rPr>
          <w:sz w:val="20"/>
          <w:szCs w:val="20"/>
          <w:color w:val="auto"/>
        </w:rPr>
      </w:pPr>
    </w:p>
    <w:p>
      <w:pPr>
        <w:jc w:val="both"/>
        <w:ind w:left="200" w:firstLine="443"/>
        <w:spacing w:after="0" w:line="290" w:lineRule="auto"/>
        <w:rPr>
          <w:sz w:val="20"/>
          <w:szCs w:val="20"/>
          <w:color w:val="auto"/>
        </w:rPr>
      </w:pPr>
      <w:r>
        <w:rPr>
          <w:rFonts w:ascii="Arial" w:cs="Arial" w:eastAsia="Arial" w:hAnsi="Arial"/>
          <w:sz w:val="16"/>
          <w:szCs w:val="16"/>
          <w:color w:val="auto"/>
        </w:rPr>
        <w:t>The European Medicines Agency, or EMA, has agreed that approval under exceptional circumstances could be possible for a proposed 12-patient placebo-controlled pivotal study in this disease with urinary GAG levels as a surrogate primary endpoint provided the data was strongly supportive of a favorable benefit/risk ratio. The EMA requested that some evidence of trend in improvement in clinical endpoints be observed to support the primary endpoint, but recognized that a statistically significant result on clinical endpoints was unlikely given the small number of patients expected to be enrolled in the study. The FDA has not yet agreed to the pivotal study plan or study design and primary endpoint and would like to see additional data correlating urinary GAG levels with other clinical endpoints, which we are collecting and will submit to the FDA. We expect to meet with the FDA to discuss the Phase 3 plan, although our plan is currently based on our agreement with the EMA.</w:t>
      </w:r>
    </w:p>
    <w:p>
      <w:pPr>
        <w:spacing w:after="0" w:line="37"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In addition to the above development plan, we intend to study MPS 7 patients under the age of five years, including potentially young infants born with hydrops fetalis. Currently, these infants often die within a few months to one year, but enzyme replacement therapy might be able to reduce GAG storage and improve health</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60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3605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268" w:lineRule="auto"/>
        <w:rPr>
          <w:sz w:val="20"/>
          <w:szCs w:val="20"/>
          <w:color w:val="auto"/>
        </w:rPr>
      </w:pPr>
      <w:r>
        <w:rPr>
          <w:rFonts w:ascii="Arial" w:cs="Arial" w:eastAsia="Arial" w:hAnsi="Arial"/>
          <w:sz w:val="18"/>
          <w:szCs w:val="18"/>
          <w:color w:val="auto"/>
        </w:rPr>
        <w:t>and survival in these patients. This program would not start until we had obtained sufficient information from the Phase 1/2 study to support the initiation of a trial in younger patients.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rhPPCA (UX004) for the treatment of galactosialidosis</w:t>
      </w:r>
    </w:p>
    <w:p>
      <w:pPr>
        <w:spacing w:after="0" w:line="90"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color w:val="auto"/>
        </w:rPr>
        <w:t>Recombinant human protective protein cathepsin-A, or rhPPCA, which was in-licensed from St. Jude Children’s Research Hospital in September 2012, is in preclinical development as an enzyme replacement therapy for galactosialidosis, a rare lysosomal storage disease for which there are currently no approved drug therapies. Similar to MPS patients, patients with galactosialidosis present with both soft tissue storage in the liver, spleen, and other tissues, as well as connective tissue (bone and cartilage) related disease. As with MPS 7, an enzyme deficiency results in accumulation of substrates in the lysosomes, causing skeletal and organ dysfunction, and death. We plan to continue preclinical development of rhPPCA during 2014.</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Triheptanoin (UX007) for the treatment of LC-FAOD</w:t>
      </w:r>
    </w:p>
    <w:p>
      <w:pPr>
        <w:spacing w:after="0" w:line="90" w:lineRule="exact"/>
        <w:rPr>
          <w:sz w:val="20"/>
          <w:szCs w:val="20"/>
          <w:color w:val="auto"/>
        </w:rPr>
      </w:pPr>
    </w:p>
    <w:p>
      <w:pPr>
        <w:jc w:val="both"/>
        <w:ind w:left="200" w:firstLine="443"/>
        <w:spacing w:after="0" w:line="290" w:lineRule="auto"/>
        <w:rPr>
          <w:sz w:val="20"/>
          <w:szCs w:val="20"/>
          <w:color w:val="auto"/>
        </w:rPr>
      </w:pPr>
      <w:r>
        <w:rPr>
          <w:rFonts w:ascii="Arial" w:cs="Arial" w:eastAsia="Arial" w:hAnsi="Arial"/>
          <w:sz w:val="16"/>
          <w:szCs w:val="16"/>
          <w:color w:val="auto"/>
        </w:rPr>
        <w:t>We are developing triheptanoin for oral administration intended as a substrate replacement therapy for patients with long-chain fatty acid oxidation disorders, or LC-FAOD. Triheptanoin is a medium odd-chain triglyceride of three seven-carbon fatty acids designed to provide substrate replacement for fatty acid metabolism and restore production of energy. Patients with LC-FAOD have a deficiency that impairs the ability to produce energy from fat, which can lead to depletion of glucose in the body, and severe liver, muscle, and heart disease, as well as death. There are currently no approved drugs or treatments specifically for LC-FAOD. The current standard of care for LC-FAOD includes diligent prevention of fasting combined with the use of low-fat/high-carbohydrate diets, carnitine supplementation in some cases, and medium even-chain triglyceride oil supplementation. Despite treatment with the current standard of care, many patients continue to suffer significant morbidity and mortality.</w:t>
      </w:r>
    </w:p>
    <w:p>
      <w:pPr>
        <w:spacing w:after="0" w:line="37" w:lineRule="exact"/>
        <w:rPr>
          <w:sz w:val="20"/>
          <w:szCs w:val="20"/>
          <w:color w:val="auto"/>
        </w:rPr>
      </w:pPr>
    </w:p>
    <w:p>
      <w:pPr>
        <w:jc w:val="both"/>
        <w:ind w:left="200" w:firstLine="443"/>
        <w:spacing w:after="0" w:line="287" w:lineRule="auto"/>
        <w:rPr>
          <w:sz w:val="20"/>
          <w:szCs w:val="20"/>
          <w:color w:val="auto"/>
        </w:rPr>
      </w:pPr>
      <w:r>
        <w:rPr>
          <w:rFonts w:ascii="Arial" w:cs="Arial" w:eastAsia="Arial" w:hAnsi="Arial"/>
          <w:sz w:val="16"/>
          <w:szCs w:val="16"/>
          <w:color w:val="auto"/>
        </w:rPr>
        <w:t>We licensed certain intellectual property rights for triheptanoin from Baylor Research Institute in August 2012. Triheptanoin has been studied clinically for 13 years in approximately 130 human subjects affected by a variety of diseases, including more than 60 patients with LC-FAOD. Multiple investigator-sponsored open-label studies suggest clinical improvements with triheptanoin treatment, even for patients who were on standard of care. We recently presented a retrospective medical record review study assessing the clinical outcome of triheptanoin treatment on LC-FAOD subjects who have been participating in a compassionate use program at the University of Pittsburgh Medical Center. The data showed that treatment with triheptanoin appeared to reduce the frequency and severity of hospitalizations previously experienced by these patients for disease-related causes, including muscle rupture, hypoglycemia, and cardiomyopathy. Among a number of results suggesting significant improvement after crossing over onto triheptanoin treatment, a reduction in mean total hospital days per year from 17.55 to 5.40 (69%; p = 0.0242) was observed after transitioning from standard of care to triheptanoin therapy. These results are clinically important but are derived from a retrospective medical review, and not from a randomized controlled study. The preliminary results of our retrospective medical review are as follows:</w:t>
      </w: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5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 w:hanging="32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data for four infants dosed within first six months of life.</w:t>
      </w:r>
    </w:p>
    <w:p>
      <w:pPr>
        <w:spacing w:after="0" w:line="90" w:lineRule="exact"/>
        <w:rPr>
          <w:rFonts w:ascii="Arial" w:cs="Arial" w:eastAsia="Arial" w:hAnsi="Arial"/>
          <w:sz w:val="18"/>
          <w:szCs w:val="18"/>
          <w:color w:val="auto"/>
        </w:rPr>
      </w:pPr>
    </w:p>
    <w:p>
      <w:pPr>
        <w:ind w:left="520" w:hanging="32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hospitalizations with unknown discharge dates.</w:t>
      </w:r>
    </w:p>
    <w:p>
      <w:pPr>
        <w:spacing w:after="0" w:line="90" w:lineRule="exact"/>
        <w:rPr>
          <w:rFonts w:ascii="Arial" w:cs="Arial" w:eastAsia="Arial" w:hAnsi="Arial"/>
          <w:sz w:val="18"/>
          <w:szCs w:val="18"/>
          <w:color w:val="auto"/>
        </w:rPr>
      </w:pPr>
    </w:p>
    <w:p>
      <w:pPr>
        <w:ind w:left="520" w:hanging="32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 infants were dosed within the first six months of life.</w:t>
      </w:r>
    </w:p>
    <w:p>
      <w:pPr>
        <w:spacing w:after="0" w:line="90" w:lineRule="exact"/>
        <w:rPr>
          <w:rFonts w:ascii="Arial" w:cs="Arial" w:eastAsia="Arial" w:hAnsi="Arial"/>
          <w:sz w:val="18"/>
          <w:szCs w:val="18"/>
          <w:color w:val="auto"/>
        </w:rPr>
      </w:pPr>
    </w:p>
    <w:p>
      <w:pPr>
        <w:ind w:left="520" w:hanging="32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only those patients with hypoglycemia events prior to treatment.</w:t>
      </w:r>
    </w:p>
    <w:p>
      <w:pPr>
        <w:spacing w:after="0" w:line="90" w:lineRule="exact"/>
        <w:rPr>
          <w:rFonts w:ascii="Arial" w:cs="Arial" w:eastAsia="Arial" w:hAnsi="Arial"/>
          <w:sz w:val="18"/>
          <w:szCs w:val="18"/>
          <w:color w:val="auto"/>
        </w:rPr>
      </w:pPr>
    </w:p>
    <w:p>
      <w:pPr>
        <w:ind w:left="520" w:hanging="32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only those patients with rhabdomyolysis events prior to treatment.</w:t>
      </w:r>
    </w:p>
    <w:p>
      <w:pPr>
        <w:spacing w:after="0" w:line="90"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6"/>
          <w:szCs w:val="16"/>
          <w:color w:val="auto"/>
        </w:rPr>
        <w:t>Triheptanoin is currently being evaluated in a prospective international open-label Phase 2 study in approximately 30 severely affected LC-FAOD patients. The principal goals of the study are to determine the appropriate clinical endpoints and patient population for testing in potential later-stage pivotal studies. The study will evaluate patients, ages six months to 35 years, exhibiting significant clinical manifestations of LC-FAOD despite current therapy. Prior to initiating treatment with triheptanoin, subjects will continue current therapy for four weeks to establish their baseline condition. Triheptanoin will then be titrated to an expected target dose of 25-35% of total daily caloric intake via oral administration, while ensuring tolerability. The study will assess the impact of triheptanoin on several endpoints, including cycle ergometer performance, 12-minute walk test, muscle strength, creatine kinase levels, hypoglycemia, liver size, cardiac disease, and major medical events. The patients will be followed to evaluate the effects of triheptanoin treatment on acute clinical pathophysiology associated with LC-FAOD over 24 weeks, then may continue treatment for an additional 54 weeks for observation of major medical events. We expect data from this study to be available in 2015.</w:t>
      </w:r>
    </w:p>
    <w:p>
      <w:pPr>
        <w:spacing w:after="0" w:line="3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Potential market opportunity</w:t>
      </w:r>
    </w:p>
    <w:p>
      <w:pPr>
        <w:spacing w:after="0" w:line="96" w:lineRule="exact"/>
        <w:rPr>
          <w:sz w:val="20"/>
          <w:szCs w:val="20"/>
          <w:color w:val="auto"/>
        </w:rPr>
      </w:pPr>
    </w:p>
    <w:p>
      <w:pPr>
        <w:jc w:val="both"/>
        <w:ind w:left="200" w:firstLine="443"/>
        <w:spacing w:after="0" w:line="268" w:lineRule="auto"/>
        <w:rPr>
          <w:sz w:val="20"/>
          <w:szCs w:val="20"/>
          <w:color w:val="auto"/>
        </w:rPr>
      </w:pPr>
      <w:r>
        <w:rPr>
          <w:rFonts w:ascii="Arial" w:cs="Arial" w:eastAsia="Arial" w:hAnsi="Arial"/>
          <w:sz w:val="18"/>
          <w:szCs w:val="18"/>
          <w:color w:val="auto"/>
        </w:rPr>
        <w:t>Based upon data from the National Newborn Screening Information System, we estimate that there are approximately 2,000 to 3,500 LC-FAOD patients in the United States, depending on the assumed mortality rate.</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256" w:lineRule="auto"/>
        <w:rPr>
          <w:sz w:val="20"/>
          <w:szCs w:val="20"/>
          <w:color w:val="auto"/>
        </w:rPr>
      </w:pPr>
      <w:r>
        <w:rPr>
          <w:rFonts w:ascii="Arial" w:cs="Arial" w:eastAsia="Arial" w:hAnsi="Arial"/>
          <w:sz w:val="18"/>
          <w:szCs w:val="18"/>
          <w:color w:val="auto"/>
        </w:rPr>
        <w:t>It is unclear how many of these patients are currently diagnosed because the availability of newborn screening in all 50 states in the United States is a relatively new development. Furthermore, until further clinical development of triheptanoin is conducted, it is not clear which subsets of diagnosed patients would be considered by clinicians to be good candidates for triheptanoin treatment. Outside of the United States, where newborn screening is not consistently done, figures regarding the prevalence of LC-FAOD are more uncertain.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Triheptanoin (UX007) for the treatment of Glut1 DS</w:t>
      </w:r>
    </w:p>
    <w:p>
      <w:pPr>
        <w:spacing w:after="0" w:line="90"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6"/>
          <w:szCs w:val="16"/>
          <w:color w:val="auto"/>
        </w:rPr>
        <w:t>We are also developing triheptanoin for patients with glucose transporter type 1 deficiency syndrome, or Glut1 DS. Glut1 DS is caused by a mutation affecting the gene for Glut1, a protein that transports glucose from the blood into the brain. Because glucose is the primary source of energy for the brain, Glut1 DS results in a chronic state of brain energy deficiency and is characterized by seizures, developmental delay, and movement disorder. There are currently no approved drugs specific to Glut1 DS. The current standard of care for Glut1 DS is the ketogenic diet, an extreme high-fat (70-80% of daily calories as fat)/low-carbohydrate diet, which generates ketone bodies as an alternative energy source to glucose, and one or more antiepileptic drugs. The ketogenic diet can be effective in reducing seizures but compliance can be difficult, and the diet has demonstrated limited effectiveness in the treatment of developmental delay and movement disorders. In addition, ketogenic diet can lead to side effects including renal stones. In general, Glut1 DS patients are considered relatively refractory to antiepileptic drugs with only approximately 8% achieving seizure control on antiepileptic drugs alone. There are currently no antiepileptic drugs approved specifically for patients with Glut1 DS.</w:t>
      </w:r>
    </w:p>
    <w:p>
      <w:pPr>
        <w:spacing w:after="0" w:line="39" w:lineRule="exact"/>
        <w:rPr>
          <w:sz w:val="20"/>
          <w:szCs w:val="20"/>
          <w:color w:val="auto"/>
        </w:rPr>
      </w:pPr>
    </w:p>
    <w:p>
      <w:pPr>
        <w:jc w:val="both"/>
        <w:ind w:left="200" w:firstLine="443"/>
        <w:spacing w:after="0" w:line="289" w:lineRule="auto"/>
        <w:rPr>
          <w:sz w:val="20"/>
          <w:szCs w:val="20"/>
          <w:color w:val="auto"/>
        </w:rPr>
      </w:pPr>
      <w:r>
        <w:rPr>
          <w:rFonts w:ascii="Arial" w:cs="Arial" w:eastAsia="Arial" w:hAnsi="Arial"/>
          <w:sz w:val="16"/>
          <w:szCs w:val="16"/>
          <w:color w:val="auto"/>
        </w:rPr>
        <w:t>Triheptanoin is intended as a substrate replacement therapy to provide an alternative source of energy to the brain in Glut1 DS patients. Although there are open-label investigator-sponsored clinical studies ongoing and the results have not yet been reported publicly, there are anecdotal reports of benefit in terms of reduced seizures and improved developmental function in some Glut1 DS subjects taking triheptanoin. In March 2014, we initiated a Phase 2 global, randomized, double-blind, placebo-controlled, parallel-group study that may enroll up to 50 patients who are currently not fully compliant with ketogenic diet and continue to have seizures. The primary efficacy objective is the reduction in frequency of seizures compared to placebo following a six-week baseline period and subsequent eight-week placebo-controlled treatment period. The blinded treatment period will be followed by an open-label extension period in which patients will be treated with triheptanoin through week 52. Patient enrollment may be modified based on an interim analysis. Assuming timely patient enrollment in this study, we expect to release data from this trial in 2015.</w:t>
      </w:r>
    </w:p>
    <w:p>
      <w:pPr>
        <w:spacing w:after="0" w:line="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continue to support investigator-sponsored trials studying triheptanoin across multiple indications.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Potential market opportunity</w:t>
      </w:r>
    </w:p>
    <w:p>
      <w:pPr>
        <w:spacing w:after="0" w:line="96"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While a comprehensive genetic analysis of birth incidence has not been conducted, published literature suggests a range of 3,000 to 7,000 Glut1 DS patients in the United States based on evaluations of generalized or absence seizures. The increasing recognition of alternative or variable motor forms of the disease suggests that older patients may be discovered over time. Given that the disease can be inherited as an autosomal dominant disease, the discovery of one patient may be used to identify other affected relatives in some cases, which can be important in marketing of the product.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SA-ER (UX001) for the treatment of HIBM</w:t>
      </w:r>
    </w:p>
    <w:p>
      <w:pPr>
        <w:spacing w:after="0" w:line="90"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We are developing an extended-release, oral formulation of sialic acid, or SA-ER, for the treatment of hereditary inclusion body myopathy, or HIBM, which is also known as GNE myopathy. HIBM is characterized by severe progressive muscular myopathy, or disease in which muscle fibers do not function properly, with onset typically in the late teens or twenties. Patients with HIBM have a genetic defect in the gene coding for a particular enzyme that is involved in the first step in the biosynthesis of sialic acid. Therefore, HIBM patients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268" w:lineRule="auto"/>
        <w:rPr>
          <w:sz w:val="20"/>
          <w:szCs w:val="20"/>
          <w:color w:val="auto"/>
        </w:rPr>
      </w:pPr>
      <w:r>
        <w:rPr>
          <w:rFonts w:ascii="Arial" w:cs="Arial" w:eastAsia="Arial" w:hAnsi="Arial"/>
          <w:sz w:val="18"/>
          <w:szCs w:val="18"/>
          <w:color w:val="auto"/>
        </w:rPr>
        <w:t>have a sialic acid deficiency, which interferes with muscle function, leading to myopathy and atrophy. Patients typically lose a substantial amount of muscle function within ten to 20 years of diagnosis. There is no approved drug therapy for HIBM.</w:t>
      </w:r>
    </w:p>
    <w:p>
      <w:pPr>
        <w:spacing w:after="0" w:line="51" w:lineRule="exact"/>
        <w:rPr>
          <w:sz w:val="20"/>
          <w:szCs w:val="20"/>
          <w:color w:val="auto"/>
        </w:rPr>
      </w:pPr>
    </w:p>
    <w:p>
      <w:pPr>
        <w:jc w:val="both"/>
        <w:ind w:left="200" w:firstLine="443"/>
        <w:spacing w:after="0" w:line="290" w:lineRule="auto"/>
        <w:rPr>
          <w:sz w:val="20"/>
          <w:szCs w:val="20"/>
          <w:color w:val="auto"/>
        </w:rPr>
      </w:pPr>
      <w:r>
        <w:rPr>
          <w:rFonts w:ascii="Arial" w:cs="Arial" w:eastAsia="Arial" w:hAnsi="Arial"/>
          <w:sz w:val="16"/>
          <w:szCs w:val="16"/>
          <w:color w:val="auto"/>
        </w:rPr>
        <w:t>We are studying SA-ER as a potential substrate replacement therapy designed to address sialic acid deficiency and restore muscle function in HIBM patients. We have conducted a Phase 2 randomized, double-blind, placebo-controlled study of SA-ER in 47 HIBM patients. Data from this study were presented at the American Academy of Neurology Annual Meeting in April 2014. Patients in the study were initially randomized to receive placebo, three grams, or six grams of SA-ER per day. After 24 weeks, placebo patients crossed over to either three grams or six grams total daily dose, on a blinded basis, for an additional 24 weeks. The final analysis compared change at week 48 from baseline for the combined groups at six grams versus three grams of SA-ER. Assessments included pharmacokinetics, composites of upper extremity and lower extremity muscle strength as measured by dynamometry, other clinical endpoints, patient reported outcomes, and safety.</w:t>
      </w:r>
    </w:p>
    <w:p>
      <w:pPr>
        <w:spacing w:after="0" w:line="37" w:lineRule="exact"/>
        <w:rPr>
          <w:sz w:val="20"/>
          <w:szCs w:val="20"/>
          <w:color w:val="auto"/>
        </w:rPr>
      </w:pPr>
    </w:p>
    <w:p>
      <w:pPr>
        <w:jc w:val="both"/>
        <w:ind w:left="200" w:firstLine="443"/>
        <w:spacing w:after="0" w:line="309" w:lineRule="auto"/>
        <w:rPr>
          <w:sz w:val="20"/>
          <w:szCs w:val="20"/>
          <w:color w:val="auto"/>
        </w:rPr>
      </w:pPr>
      <w:r>
        <w:rPr>
          <w:rFonts w:ascii="Arial" w:cs="Arial" w:eastAsia="Arial" w:hAnsi="Arial"/>
          <w:sz w:val="15"/>
          <w:szCs w:val="15"/>
          <w:color w:val="auto"/>
        </w:rPr>
        <w:t>At 24 weeks, assessments of upper extremity composite of muscle strength showed a statistically significant difference in the six gram group compared to placebo (+2.33 kg; 5.5% relative difference from baseline; p=0.040). At 48 weeks, a statistically significant difference between the combined six gram group and the combined three gram group was observed (+3.44 kg; 8.5% relative difference from baseline; p=0.0033). Patients with less advanced disease (able to walk more than 200 meters at baseline), a predefined subset, showed a more pronounced difference (+4.69 kg; 9.6% relative difference from baseline; p=0.00055). The lower extremity composite showed a similar pattern of response but did not show a statistically significant difference between the dose groups. None of the groups showed a significant decline in the lower extremity composite during the treatment period. A positive trend was seen in patient-reported outcomes of functional activity consistent with the potential clinical meaningfulness of the muscle strength assessment. SA-ER appeared to be well tolerated with no serious adverse events observed to date in either dose group, and no dose-dependent treatment-emergent adverse events were identified. Most adverse events were mild to moderate and most commonly were gastrointestinal in nature and pain related to muscle biopsy procedures.</w:t>
      </w:r>
    </w:p>
    <w:p>
      <w:pPr>
        <w:spacing w:after="0" w:line="27"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We continue to treat these patients in an extension study evaluating an increased daily dosage of 12 grams of sialic acid based on the dose dependence observed at weeks 24 and 48. We anticipate that data from the extension study should be available in late 2014. We also plan to discuss data from this program with regulatory authorities during 2014 with the objective of agreeing on the design and primary endpoint for a pivotal study.</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Potential market opportunity</w:t>
      </w:r>
    </w:p>
    <w:p>
      <w:pPr>
        <w:spacing w:after="0" w:line="96"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Approximately 400 HIBM cases have been reported in the published literature. HIBM is expected to occur in one in every 1,600 persons of Persian Jewish descent. Patients have also been identified in Asian Indian, European, Chinese, Japanese, Korean, and Middle Eastern populations. To better understand the patient population, we conducted an initial survey of 420 myopathy clinics in the United States, and the extrapolated results suggest a patient population of 300 to 400 in the United States and 1,200 to 2,000 worldwide.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96"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and in our Quarterly Report on Form 10-Q for the quarter ended March 31, 2014, incorporated by reference herein. These risks include, among others:</w:t>
      </w:r>
    </w:p>
    <w:p>
      <w:pPr>
        <w:spacing w:after="0" w:line="26" w:lineRule="exact"/>
        <w:rPr>
          <w:sz w:val="20"/>
          <w:szCs w:val="20"/>
          <w:color w:val="auto"/>
        </w:rPr>
      </w:pPr>
    </w:p>
    <w:p>
      <w:pPr>
        <w:ind w:left="106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development-stage company and have a limited operating history on which to assess our business, have incurred significant losses since our inception, and anticipate that we will continue to incur significant losses for the foreseeable future;</w:t>
      </w: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31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36315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2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heavily dependent upon the success of our product candidates, which are in the early stages of clinical development, and we cannot provide any assurance that any of our product candidates will receive regulatory approval;</w:t>
      </w:r>
    </w:p>
    <w:p>
      <w:pPr>
        <w:spacing w:after="0" w:line="50" w:lineRule="exact"/>
        <w:rPr>
          <w:rFonts w:ascii="Arial" w:cs="Arial" w:eastAsia="Arial" w:hAnsi="Arial"/>
          <w:sz w:val="18"/>
          <w:szCs w:val="18"/>
          <w:color w:val="auto"/>
        </w:rPr>
      </w:pPr>
    </w:p>
    <w:p>
      <w:pPr>
        <w:ind w:left="1060" w:hanging="323"/>
        <w:spacing w:after="0" w:line="33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Because the target patient populations of our product candidates are small, and the addressable patient populations potentially even smaller, we must be able to successfully identify patients and acquire a significant market share to achieve profitability and growth;</w:t>
      </w:r>
    </w:p>
    <w:p>
      <w:pPr>
        <w:spacing w:after="0" w:line="4" w:lineRule="exact"/>
        <w:rPr>
          <w:rFonts w:ascii="Arial" w:cs="Arial" w:eastAsia="Arial" w:hAnsi="Arial"/>
          <w:sz w:val="16"/>
          <w:szCs w:val="16"/>
          <w:color w:val="auto"/>
        </w:rPr>
      </w:pPr>
    </w:p>
    <w:p>
      <w:pPr>
        <w:ind w:left="106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this offering is successful, we expect that we will need to raise additional funding before we can expect to become profitable from sales of our products;</w:t>
      </w:r>
    </w:p>
    <w:p>
      <w:pPr>
        <w:spacing w:after="0" w:line="50" w:lineRule="exact"/>
        <w:rPr>
          <w:rFonts w:ascii="Arial" w:cs="Arial" w:eastAsia="Arial" w:hAnsi="Arial"/>
          <w:sz w:val="18"/>
          <w:szCs w:val="18"/>
          <w:color w:val="auto"/>
        </w:rPr>
      </w:pPr>
    </w:p>
    <w:p>
      <w:pPr>
        <w:ind w:left="1060" w:hanging="323"/>
        <w:spacing w:after="0" w:line="33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insurance coverage and reimbursement status of newly-approved products is uncertain and failure to obtain or maintain adequate coverage and reimbursement for new or current products could limit our ability to market those products and decrease our ability to generate revenue;</w:t>
      </w:r>
    </w:p>
    <w:p>
      <w:pPr>
        <w:spacing w:after="0" w:line="4" w:lineRule="exact"/>
        <w:rPr>
          <w:rFonts w:ascii="Arial" w:cs="Arial" w:eastAsia="Arial" w:hAnsi="Arial"/>
          <w:sz w:val="16"/>
          <w:szCs w:val="16"/>
          <w:color w:val="auto"/>
        </w:rPr>
      </w:pPr>
    </w:p>
    <w:p>
      <w:pPr>
        <w:ind w:left="106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effective patent rights for our product candidates or any future product candidates, we may not be able to compete effectively in our markets; and</w:t>
      </w:r>
    </w:p>
    <w:p>
      <w:pPr>
        <w:spacing w:after="0" w:line="50" w:lineRule="exact"/>
        <w:rPr>
          <w:rFonts w:ascii="Arial" w:cs="Arial" w:eastAsia="Arial" w:hAnsi="Arial"/>
          <w:sz w:val="18"/>
          <w:szCs w:val="18"/>
          <w:color w:val="auto"/>
        </w:rPr>
      </w:pPr>
    </w:p>
    <w:p>
      <w:pPr>
        <w:ind w:left="1060" w:right="2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success depends in part upon our ability to retain our Founder, President, and Chief Executive Officer and to attract, retain, and motivate other qualified personnel.</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 xml:space="preserve">We were founded in April 2010 as a California corporation, and we reincorporated as a Delaware corporation in June 2011. Our principal executive offices are located at 60 Leveroni Court, Novato, CA 94949, and our telephone number is (415) 483-8800. Our web site address is </w:t>
      </w:r>
      <w:r>
        <w:rPr>
          <w:rFonts w:ascii="Arial" w:cs="Arial" w:eastAsia="Arial" w:hAnsi="Arial"/>
          <w:sz w:val="18"/>
          <w:szCs w:val="18"/>
          <w:i w:val="1"/>
          <w:iCs w:val="1"/>
          <w:color w:val="auto"/>
        </w:rPr>
        <w:t>www.ultragenyx.com</w:t>
      </w:r>
      <w:r>
        <w:rPr>
          <w:rFonts w:ascii="Arial" w:cs="Arial" w:eastAsia="Arial" w:hAnsi="Arial"/>
          <w:sz w:val="18"/>
          <w:szCs w:val="18"/>
          <w:color w:val="auto"/>
        </w:rPr>
        <w:t>. The information on, or that can be accessed through, our web site is not part of this prospectus. We have included our web site address as an inactive textual reference only.</w:t>
      </w:r>
    </w:p>
    <w:p>
      <w:pPr>
        <w:spacing w:after="0" w:line="62"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have filed trademark applications with the U.S. Patent and Trademark Office for the marks Ultragenyx™ and Ultragenyx Pharmaceutical™, and we are developing commercial names for our product candidates. This prospectus, and the information incorporated by reference herein, also contains trademarks of others, including Aldurazyme</w:t>
      </w:r>
      <w:r>
        <w:rPr>
          <w:rFonts w:ascii="Arial" w:cs="Arial" w:eastAsia="Arial" w:hAnsi="Arial"/>
          <w:sz w:val="10"/>
          <w:szCs w:val="10"/>
          <w:color w:val="auto"/>
        </w:rPr>
        <w:t>®</w:t>
      </w:r>
      <w:r>
        <w:rPr>
          <w:rFonts w:ascii="Arial" w:cs="Arial" w:eastAsia="Arial" w:hAnsi="Arial"/>
          <w:sz w:val="16"/>
          <w:szCs w:val="16"/>
          <w:color w:val="auto"/>
        </w:rPr>
        <w:t>, Naglazyme</w:t>
      </w:r>
      <w:r>
        <w:rPr>
          <w:rFonts w:ascii="Arial" w:cs="Arial" w:eastAsia="Arial" w:hAnsi="Arial"/>
          <w:sz w:val="10"/>
          <w:szCs w:val="10"/>
          <w:color w:val="auto"/>
        </w:rPr>
        <w:t>®</w:t>
      </w:r>
      <w:r>
        <w:rPr>
          <w:rFonts w:ascii="Arial" w:cs="Arial" w:eastAsia="Arial" w:hAnsi="Arial"/>
          <w:sz w:val="16"/>
          <w:szCs w:val="16"/>
          <w:color w:val="auto"/>
        </w:rPr>
        <w:t>, Kuvan</w:t>
      </w:r>
      <w:r>
        <w:rPr>
          <w:rFonts w:ascii="Arial" w:cs="Arial" w:eastAsia="Arial" w:hAnsi="Arial"/>
          <w:sz w:val="10"/>
          <w:szCs w:val="10"/>
          <w:color w:val="auto"/>
        </w:rPr>
        <w:t>®</w:t>
      </w:r>
      <w:r>
        <w:rPr>
          <w:rFonts w:ascii="Arial" w:cs="Arial" w:eastAsia="Arial" w:hAnsi="Arial"/>
          <w:sz w:val="16"/>
          <w:szCs w:val="16"/>
          <w:color w:val="auto"/>
        </w:rPr>
        <w:t>, Vimizim™, Lumizyme</w:t>
      </w:r>
      <w:r>
        <w:rPr>
          <w:rFonts w:ascii="Arial" w:cs="Arial" w:eastAsia="Arial" w:hAnsi="Arial"/>
          <w:sz w:val="10"/>
          <w:szCs w:val="10"/>
          <w:color w:val="auto"/>
        </w:rPr>
        <w:t>®</w:t>
      </w:r>
      <w:r>
        <w:rPr>
          <w:rFonts w:ascii="Arial" w:cs="Arial" w:eastAsia="Arial" w:hAnsi="Arial"/>
          <w:sz w:val="16"/>
          <w:szCs w:val="16"/>
          <w:color w:val="auto"/>
        </w:rPr>
        <w:t>, Myozyme</w:t>
      </w:r>
      <w:r>
        <w:rPr>
          <w:rFonts w:ascii="Arial" w:cs="Arial" w:eastAsia="Arial" w:hAnsi="Arial"/>
          <w:sz w:val="10"/>
          <w:szCs w:val="10"/>
          <w:color w:val="auto"/>
        </w:rPr>
        <w:t>®</w:t>
      </w:r>
      <w:r>
        <w:rPr>
          <w:rFonts w:ascii="Arial" w:cs="Arial" w:eastAsia="Arial" w:hAnsi="Arial"/>
          <w:sz w:val="16"/>
          <w:szCs w:val="16"/>
          <w:color w:val="auto"/>
        </w:rPr>
        <w:t xml:space="preserve"> and asfotase alpha. We do not intend our use or display of other companies’ trade names or trademarks to imply a relationship with, or endorsement or sponsorship of us by, any other companies.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69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269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1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1,311,277 shares</w:t>
      </w:r>
    </w:p>
    <w:p>
      <w:pPr>
        <w:spacing w:after="0" w:line="138"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706,072 shares</w:t>
      </w:r>
    </w:p>
    <w:p>
      <w:pPr>
        <w:spacing w:after="0" w:line="138" w:lineRule="exact"/>
        <w:rPr>
          <w:sz w:val="20"/>
          <w:szCs w:val="20"/>
          <w:color w:val="auto"/>
        </w:rPr>
      </w:pPr>
    </w:p>
    <w:p>
      <w:pPr>
        <w:sectPr>
          <w:pgSz w:w="11900" w:h="16838" w:orient="portrait"/>
          <w:cols w:equalWidth="0" w:num="2">
            <w:col w:w="3740" w:space="66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31,360,927 shares (31,663,529 shares if the underwriters exercise their option to purchase additional shares in full)</w:t>
      </w:r>
    </w:p>
    <w:p>
      <w:pPr>
        <w:spacing w:after="0" w:line="51" w:lineRule="exact"/>
        <w:rPr>
          <w:sz w:val="20"/>
          <w:szCs w:val="20"/>
          <w:color w:val="auto"/>
        </w:rPr>
      </w:pPr>
    </w:p>
    <w:p>
      <w:pPr>
        <w:sectPr>
          <w:pgSz w:w="11900" w:h="16838" w:orient="portrait"/>
          <w:cols w:equalWidth="0" w:num="2">
            <w:col w:w="3780" w:space="6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We have granted the underwriters a 30-day option to purchase up to an additional 302,602 shares of our common stock.</w:t>
      </w:r>
    </w:p>
    <w:p>
      <w:pPr>
        <w:spacing w:after="0" w:line="51" w:lineRule="exact"/>
        <w:rPr>
          <w:sz w:val="20"/>
          <w:szCs w:val="20"/>
          <w:color w:val="auto"/>
        </w:rPr>
      </w:pPr>
    </w:p>
    <w:p>
      <w:pPr>
        <w:sectPr>
          <w:pgSz w:w="11900" w:h="16838" w:orient="portrait"/>
          <w:cols w:equalWidth="0" w:num="2">
            <w:col w:w="3760" w:space="64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We estimate that the net proceeds to us from this offering will be approximately $48.8 million, or approximately $60.2 million if the underwriters exercise their option to purchase additional shares in full, after deducting the underwriting discounts and commissions and estimated offering expenses payable by us. We intend to use the net proceeds from this offering, together with our existing cash, cash equivalents, and short-term investments to continue to advance our clinical and preclinical pipeline, including potential new formulations of or indications for our existing product candidates or potential new product candidates, and to increase investment in early-stage research capabilities and general infrastructure, with any remaining proceeds to be used for other ongoing research and development, working capital and other general corporate purposes. We may also use a portion of the net proceeds to us to in-license, acquire, or invest in additional businesses, technologies, products, or assets, though we currently have no specific agreements, commitments, or understandings with respect to any in-licensing or acquisitions. See “Use of Proceeds.”</w:t>
      </w:r>
    </w:p>
    <w:p>
      <w:pPr>
        <w:spacing w:after="0" w:line="4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We will not receive any proceeds from the sale of any shares by the selling stockholders.</w:t>
      </w:r>
    </w:p>
    <w:p>
      <w:pPr>
        <w:sectPr>
          <w:pgSz w:w="11900" w:h="16838" w:orient="portrait"/>
          <w:cols w:equalWidth="0" w:num="1">
            <w:col w:w="11260"/>
          </w:cols>
          <w:pgMar w:left="240" w:top="459" w:right="399" w:bottom="1440" w:gutter="0" w:footer="0" w:header="0"/>
          <w:type w:val="continuous"/>
        </w:sectPr>
      </w:pPr>
    </w:p>
    <w:p>
      <w:pPr>
        <w:spacing w:after="0" w:line="1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You should read the “Risk Factors” section of this prospectus and our Quarterly Report on Form 10-Q for the quarter ended March 31, 2014, incorporated by reference herein, for a discussion of factors to consider carefully before deciding to invest in shares of our common stock.</w:t>
      </w:r>
    </w:p>
    <w:p>
      <w:pPr>
        <w:spacing w:after="0" w:line="26"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“RARE”</w:t>
      </w:r>
    </w:p>
    <w:p>
      <w:pPr>
        <w:spacing w:after="0" w:line="104"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firstLine="443"/>
        <w:spacing w:after="0" w:line="268" w:lineRule="auto"/>
        <w:rPr>
          <w:sz w:val="20"/>
          <w:szCs w:val="20"/>
          <w:color w:val="auto"/>
        </w:rPr>
      </w:pPr>
      <w:r>
        <w:rPr>
          <w:rFonts w:ascii="Arial" w:cs="Arial" w:eastAsia="Arial" w:hAnsi="Arial"/>
          <w:sz w:val="18"/>
          <w:szCs w:val="18"/>
          <w:color w:val="auto"/>
        </w:rPr>
        <w:t>The number of shares of common stock to be outstanding after this offering is based on 30,049,650 shares of common stock outstanding as of March 31, 2014.</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to be outstanding after this offering excludes the following:</w:t>
      </w:r>
    </w:p>
    <w:p>
      <w:pPr>
        <w:spacing w:after="0" w:line="90" w:lineRule="exact"/>
        <w:rPr>
          <w:sz w:val="20"/>
          <w:szCs w:val="20"/>
          <w:color w:val="auto"/>
        </w:rPr>
      </w:pPr>
    </w:p>
    <w:p>
      <w:pPr>
        <w:ind w:left="1060" w:right="20" w:hanging="323"/>
        <w:spacing w:after="0" w:line="26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2,396,323 shares of common stock issuable upon the exercise of outstanding stock options as of March 31, 2014 having a weighted-average exercise price of $6.35 per share;</w:t>
      </w:r>
    </w:p>
    <w:p>
      <w:pPr>
        <w:spacing w:after="0" w:line="50" w:lineRule="exact"/>
        <w:rPr>
          <w:rFonts w:ascii="Arial" w:cs="Arial" w:eastAsia="Arial" w:hAnsi="Arial"/>
          <w:sz w:val="18"/>
          <w:szCs w:val="18"/>
          <w:color w:val="auto"/>
        </w:rPr>
      </w:pPr>
    </w:p>
    <w:p>
      <w:pPr>
        <w:ind w:left="1060" w:right="20" w:hanging="323"/>
        <w:spacing w:after="0" w:line="26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353,459 shares of common stock issuable upon the exercise of outstanding warrants as of March 31, 2014 having a weighted-average exercise price of $3.01 per share;</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402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14020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line="33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2,167,000 shares of common stock reserved for issuance pursuant to future equity awards under our 2014 Incentive Plan as of March 31, 2014, as well as any future increases in the number of shares of our common stock reserved for future issuance under this plan; and</w:t>
      </w:r>
    </w:p>
    <w:p>
      <w:pPr>
        <w:spacing w:after="0" w:line="4" w:lineRule="exact"/>
        <w:rPr>
          <w:rFonts w:ascii="Arial" w:cs="Arial" w:eastAsia="Arial" w:hAnsi="Arial"/>
          <w:sz w:val="16"/>
          <w:szCs w:val="16"/>
          <w:color w:val="auto"/>
        </w:rPr>
      </w:pPr>
    </w:p>
    <w:p>
      <w:pPr>
        <w:ind w:left="1060" w:hanging="323"/>
        <w:spacing w:after="0" w:line="33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600,000 shares of common stock reserved for future issuance under our 2014 Employee Stock Purchase Plan, or 2014 ESPP, as of March 31, 2014, as well as any future increases in the number of shares of our common stock reserved for future issuance under the 2014 ESPP.</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contained in this prospectus:</w:t>
      </w:r>
    </w:p>
    <w:p>
      <w:pPr>
        <w:spacing w:after="0" w:line="90"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that the underwriters do not exercise their option to purchase additional shares;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no exercise of outstanding options or warrants after March 31, 2014.</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96" w:lineRule="exact"/>
        <w:rPr>
          <w:sz w:val="20"/>
          <w:szCs w:val="20"/>
          <w:color w:val="auto"/>
        </w:rPr>
      </w:pPr>
    </w:p>
    <w:p>
      <w:pPr>
        <w:jc w:val="both"/>
        <w:ind w:left="200" w:right="200" w:firstLine="443"/>
        <w:spacing w:after="0" w:line="288" w:lineRule="auto"/>
        <w:rPr>
          <w:sz w:val="20"/>
          <w:szCs w:val="20"/>
          <w:color w:val="auto"/>
        </w:rPr>
      </w:pPr>
      <w:r>
        <w:rPr>
          <w:rFonts w:ascii="Arial" w:cs="Arial" w:eastAsia="Arial" w:hAnsi="Arial"/>
          <w:sz w:val="16"/>
          <w:szCs w:val="16"/>
          <w:color w:val="auto"/>
        </w:rPr>
        <w:t>The following table summarizes our statements of operations and balance sheet data. We have derived the following statements of operations data for the years ended December 31, 2011, 2012, and 2013 from our audited financial statements incorporated by reference in this prospectus from our Annual Report on Form 10-K for the fiscal year ended December 31, 2013, or our 2013 Annual Report, and we have derived the following statements of operations data for the three months ended March 31, 2013 and March 31, 2014 and the balance sheet data as of March 31, 2014 from our unaudited interim financial statements incorporated by reference in this prospectus from our Quarterly Report on Form 10-Q for the quarter ended March 31, 2014, or our March 2014 Quarterly Report. You should read this data together with our financial statements and related notes, as well as the information under the captions “Selected Financial Data” and “Management’s Discussion and Analysis of Financial Condition and Results of Operations” appearing in our 2013 Annual Report and our March 2014 Quarterly Report, which are incorporated by reference herein. Our historical results are not necessarily indicative of our future results, and results of interim periods are not necessarily indicative of results for the entire year.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97"/>
              <w:spacing w:after="0"/>
              <w:rPr>
                <w:sz w:val="20"/>
                <w:szCs w:val="20"/>
                <w:color w:val="auto"/>
              </w:rPr>
            </w:pPr>
            <w:r>
              <w:rPr>
                <w:rFonts w:ascii="Arial" w:cs="Arial" w:eastAsia="Arial" w:hAnsi="Arial"/>
                <w:sz w:val="14"/>
                <w:szCs w:val="14"/>
                <w:b w:val="1"/>
                <w:bCs w:val="1"/>
                <w:color w:val="auto"/>
                <w:w w:val="92"/>
              </w:rPr>
              <w:t>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9"/>
          </w:tcPr>
          <w:p>
            <w:pPr>
              <w:jc w:val="right"/>
              <w:ind w:right="672"/>
              <w:spacing w:after="0" w:line="129"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27,829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5,664</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4,451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1,083</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15,985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32,280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6,747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(6,561)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(15,985)</w:t>
            </w: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(32,280)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right"/>
              <w:ind w:right="412"/>
              <w:spacing w:after="0"/>
              <w:rPr>
                <w:sz w:val="20"/>
                <w:szCs w:val="20"/>
                <w:color w:val="auto"/>
              </w:rPr>
            </w:pPr>
            <w:r>
              <w:rPr>
                <w:rFonts w:ascii="Arial" w:cs="Arial" w:eastAsia="Arial" w:hAnsi="Arial"/>
                <w:sz w:val="18"/>
                <w:szCs w:val="18"/>
                <w:color w:val="auto"/>
              </w:rPr>
              <w:t>(6,747)</w:t>
            </w:r>
          </w:p>
        </w:tc>
        <w:tc>
          <w:tcPr>
            <w:tcW w:w="2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(10,339)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(6,849)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(16,334)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(35,070)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12"/>
              <w:spacing w:after="0"/>
              <w:rPr>
                <w:sz w:val="20"/>
                <w:szCs w:val="20"/>
                <w:color w:val="auto"/>
              </w:rPr>
            </w:pPr>
            <w:r>
              <w:rPr>
                <w:rFonts w:ascii="Arial" w:cs="Arial" w:eastAsia="Arial" w:hAnsi="Arial"/>
                <w:sz w:val="18"/>
                <w:szCs w:val="18"/>
                <w:color w:val="auto"/>
              </w:rPr>
              <w:t>(6,735)</w:t>
            </w:r>
          </w:p>
        </w:tc>
        <w:tc>
          <w:tcPr>
            <w:tcW w:w="280" w:type="dxa"/>
            <w:vAlign w:val="bottom"/>
          </w:tcPr>
          <w:p>
            <w:pPr>
              <w:jc w:val="right"/>
              <w:ind w:right="9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(13,630)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r>
              <w:rPr>
                <w:rFonts w:ascii="Arial" w:cs="Arial" w:eastAsia="Arial" w:hAnsi="Arial"/>
                <w:sz w:val="11"/>
                <w:szCs w:val="1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(19,561)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(50,289)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(8,205)</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(18,438)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(14.20)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(14.87)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12"/>
              <w:spacing w:after="0"/>
              <w:rPr>
                <w:sz w:val="20"/>
                <w:szCs w:val="20"/>
                <w:color w:val="auto"/>
              </w:rPr>
            </w:pPr>
            <w:r>
              <w:rPr>
                <w:rFonts w:ascii="Arial" w:cs="Arial" w:eastAsia="Arial" w:hAnsi="Arial"/>
                <w:sz w:val="18"/>
                <w:szCs w:val="18"/>
                <w:color w:val="auto"/>
              </w:rPr>
              <w:t>(2.84)</w:t>
            </w:r>
          </w:p>
        </w:tc>
        <w:tc>
          <w:tcPr>
            <w:tcW w:w="280" w:type="dxa"/>
            <w:vAlign w:val="bottom"/>
          </w:tcPr>
          <w:p>
            <w:pPr>
              <w:jc w:val="right"/>
              <w:ind w:right="9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4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Shares used in computing net loss per share attributable to</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stockholders, basic and diluted</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1,617,384</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1,377,207</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3,382,489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4"/>
              </w:rPr>
              <w:t>2,893,997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21,582,435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As of March 31, 2014</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652"/>
              <w:spacing w:after="0" w:line="142" w:lineRule="exact"/>
              <w:rPr>
                <w:sz w:val="20"/>
                <w:szCs w:val="20"/>
                <w:color w:val="auto"/>
              </w:rPr>
            </w:pPr>
            <w:r>
              <w:rPr>
                <w:rFonts w:ascii="Arial" w:cs="Arial" w:eastAsia="Arial" w:hAnsi="Arial"/>
                <w:sz w:val="14"/>
                <w:szCs w:val="14"/>
                <w:b w:val="1"/>
                <w:bCs w:val="1"/>
                <w:color w:val="auto"/>
              </w:rPr>
              <w:t>Actual</w:t>
            </w:r>
          </w:p>
        </w:tc>
        <w:tc>
          <w:tcPr>
            <w:tcW w:w="88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6"/>
                <w:szCs w:val="16"/>
                <w:b w:val="1"/>
                <w:bCs w:val="1"/>
                <w:color w:val="auto"/>
                <w:vertAlign w:val="superscript"/>
              </w:rPr>
              <w:t>(2)</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left="518"/>
              <w:spacing w:after="0" w:line="129"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gridSpan w:val="2"/>
          </w:tcPr>
          <w:p>
            <w:pPr>
              <w:jc w:val="center"/>
              <w:ind w:right="17"/>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8"/>
              </w:rPr>
              <w:t>$165,397</w:t>
            </w:r>
          </w:p>
        </w:tc>
        <w:tc>
          <w:tcPr>
            <w:tcW w:w="54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214,241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162,825</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211,669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172,707</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221,551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(92,869)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(92,869)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165,714</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214,558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66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486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620" w:right="200" w:hanging="423"/>
        <w:spacing w:after="0" w:line="259"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(a) Notes 2 and 14 to our audited financial statements included in our 2013 Annual Report incorporated by reference herein and (b) Notes 2 and 11 to our interim financial statements included in our March 2014 Quarterly Report incorporated herein by reference for an explanation of the calculations of our basic and diluted net loss per share attributable to common stockholders.</w:t>
      </w:r>
    </w:p>
    <w:p>
      <w:pPr>
        <w:spacing w:after="0" w:line="59" w:lineRule="exact"/>
        <w:rPr>
          <w:rFonts w:ascii="Arial" w:cs="Arial" w:eastAsia="Arial" w:hAnsi="Arial"/>
          <w:sz w:val="18"/>
          <w:szCs w:val="18"/>
          <w:color w:val="auto"/>
        </w:rPr>
      </w:pPr>
    </w:p>
    <w:p>
      <w:pPr>
        <w:jc w:val="both"/>
        <w:ind w:left="620" w:right="200" w:hanging="423"/>
        <w:spacing w:after="0" w:line="256"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as-adjusted balance sheet data reflects the sale of 1,311,277 shares of common stock offered by us in this offering at the public offering price of $40.00 per share, after deducting underwriting discounts and commissions and estimated offering expenses payable by us. We will not receive any proceeds from any sale of shares of our common stock in this offering by the selling stockholders; accordingly, there is no impact upon the adjusted balance sheet for these sales.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Quarterly Financial Data (unaudited)</w:t>
      </w:r>
    </w:p>
    <w:p>
      <w:pPr>
        <w:spacing w:after="0" w:line="96" w:lineRule="exact"/>
        <w:rPr>
          <w:sz w:val="20"/>
          <w:szCs w:val="20"/>
          <w:color w:val="auto"/>
        </w:rPr>
      </w:pPr>
    </w:p>
    <w:p>
      <w:pPr>
        <w:jc w:val="both"/>
        <w:ind w:left="200" w:right="200" w:firstLine="443"/>
        <w:spacing w:after="0" w:line="255" w:lineRule="auto"/>
        <w:rPr>
          <w:sz w:val="20"/>
          <w:szCs w:val="20"/>
          <w:color w:val="auto"/>
        </w:rPr>
      </w:pPr>
      <w:r>
        <w:rPr>
          <w:rFonts w:ascii="Arial" w:cs="Arial" w:eastAsia="Arial" w:hAnsi="Arial"/>
          <w:sz w:val="18"/>
          <w:szCs w:val="18"/>
          <w:color w:val="auto"/>
        </w:rPr>
        <w:t>The following tables present certain unaudited quarterly financial information. This information has been prepared on the same basis as the audited financial statements and includes all adjustments (consisting only of normal recurring adjustments) necessary to present fairly the unaudited quarterly results of operations set forth herein. The operating results for any quarter are not necessarily indicative of results for any future period. Net loss per share for all periods presented has been retroactively adjusted to reflect the 1-for-3.1345 reverse stock-split effected on January 17, 2014. All data is in thousands except per share data.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Q1</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200" w:type="dxa"/>
            <w:vAlign w:val="bottom"/>
          </w:tcPr>
          <w:p>
            <w:pPr>
              <w:spacing w:after="0"/>
              <w:rPr>
                <w:sz w:val="18"/>
                <w:szCs w:val="18"/>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$ 10,339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(13,630)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(18,438)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89"/>
              </w:rPr>
              <w:t>Net loss per share attributable to common stockholders, basic and diluted</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42"/>
        </w:trPr>
        <w:tc>
          <w:tcPr>
            <w:tcW w:w="2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320" w:type="dxa"/>
            <w:vAlign w:val="bottom"/>
            <w:gridSpan w:val="2"/>
          </w:tcPr>
          <w:p>
            <w:pPr>
              <w:spacing w:after="0"/>
              <w:rPr>
                <w:sz w:val="12"/>
                <w:szCs w:val="12"/>
                <w:color w:val="auto"/>
              </w:rPr>
            </w:pPr>
          </w:p>
        </w:tc>
      </w:tr>
      <w:tr>
        <w:trPr>
          <w:trHeight w:val="210"/>
        </w:trPr>
        <w:tc>
          <w:tcPr>
            <w:tcW w:w="20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$ 6,747</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9,525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2320" w:type="dxa"/>
            <w:vAlign w:val="bottom"/>
            <w:gridSpan w:val="3"/>
          </w:tcPr>
          <w:p>
            <w:pPr>
              <w:jc w:val="right"/>
              <w:ind w:right="280"/>
              <w:spacing w:after="0"/>
              <w:rPr>
                <w:sz w:val="20"/>
                <w:szCs w:val="20"/>
                <w:color w:val="auto"/>
              </w:rPr>
            </w:pPr>
            <w:r>
              <w:rPr>
                <w:rFonts w:ascii="Arial" w:cs="Arial" w:eastAsia="Arial" w:hAnsi="Arial"/>
                <w:sz w:val="18"/>
                <w:szCs w:val="18"/>
                <w:color w:val="auto"/>
              </w:rPr>
              <w:t>(6,735)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(8,591)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(11,317)</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(10,830)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(12,589)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(18,665)</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89"/>
              </w:rPr>
              <w:t>Net loss per share attributable to common stockholders, basic and diluted</w:t>
            </w:r>
          </w:p>
        </w:tc>
        <w:tc>
          <w:tcPr>
            <w:tcW w:w="2320" w:type="dxa"/>
            <w:vAlign w:val="bottom"/>
            <w:gridSpan w:val="3"/>
          </w:tcPr>
          <w:p>
            <w:pPr>
              <w:jc w:val="right"/>
              <w:ind w:right="280"/>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(3.32)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9"/>
                <w:szCs w:val="19"/>
                <w:color w:val="auto"/>
              </w:rPr>
            </w:pPr>
          </w:p>
        </w:tc>
      </w:tr>
      <w:tr>
        <w:trPr>
          <w:trHeight w:val="358"/>
        </w:trPr>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2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320" w:type="dxa"/>
            <w:vAlign w:val="bottom"/>
            <w:gridSpan w:val="2"/>
          </w:tcPr>
          <w:p>
            <w:pPr>
              <w:spacing w:after="0"/>
              <w:rPr>
                <w:sz w:val="12"/>
                <w:szCs w:val="12"/>
                <w:color w:val="auto"/>
              </w:rPr>
            </w:pPr>
          </w:p>
        </w:tc>
      </w:tr>
      <w:tr>
        <w:trPr>
          <w:trHeight w:val="210"/>
        </w:trPr>
        <w:tc>
          <w:tcPr>
            <w:tcW w:w="20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$ 3,092</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4,678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2320" w:type="dxa"/>
            <w:vAlign w:val="bottom"/>
            <w:gridSpan w:val="3"/>
          </w:tcPr>
          <w:p>
            <w:pPr>
              <w:jc w:val="right"/>
              <w:ind w:right="280"/>
              <w:spacing w:after="0"/>
              <w:rPr>
                <w:sz w:val="20"/>
                <w:szCs w:val="20"/>
                <w:color w:val="auto"/>
              </w:rPr>
            </w:pPr>
            <w:r>
              <w:rPr>
                <w:rFonts w:ascii="Arial" w:cs="Arial" w:eastAsia="Arial" w:hAnsi="Arial"/>
                <w:sz w:val="18"/>
                <w:szCs w:val="18"/>
                <w:color w:val="auto"/>
              </w:rPr>
              <w:t>(3,103)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(3,672)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(4,930)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(5,302)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(6,812)</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89"/>
              </w:rPr>
              <w:t>Net loss per share attributable to common stockholders, basic and diluted</w:t>
            </w:r>
          </w:p>
        </w:tc>
        <w:tc>
          <w:tcPr>
            <w:tcW w:w="2320" w:type="dxa"/>
            <w:vAlign w:val="bottom"/>
            <w:gridSpan w:val="3"/>
          </w:tcPr>
          <w:p>
            <w:pPr>
              <w:jc w:val="right"/>
              <w:ind w:right="280"/>
              <w:spacing w:after="0"/>
              <w:rPr>
                <w:sz w:val="20"/>
                <w:szCs w:val="20"/>
                <w:color w:val="auto"/>
              </w:rPr>
            </w:pPr>
            <w:r>
              <w:rPr>
                <w:rFonts w:ascii="Arial" w:cs="Arial" w:eastAsia="Arial" w:hAnsi="Arial"/>
                <w:sz w:val="18"/>
                <w:szCs w:val="18"/>
                <w:color w:val="auto"/>
              </w:rPr>
              <w:t>(6.96)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(5.72)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9"/>
                <w:szCs w:val="19"/>
                <w:color w:val="auto"/>
              </w:rPr>
            </w:pPr>
          </w:p>
        </w:tc>
      </w:tr>
      <w:tr>
        <w:trPr>
          <w:trHeight w:val="139"/>
        </w:trPr>
        <w:tc>
          <w:tcPr>
            <w:tcW w:w="200" w:type="dxa"/>
            <w:vAlign w:val="bottom"/>
            <w:tcBorders>
              <w:bottom w:val="single" w:sz="8" w:color="auto"/>
            </w:tcBorders>
          </w:tcPr>
          <w:p>
            <w:pPr>
              <w:spacing w:after="0"/>
              <w:rPr>
                <w:sz w:val="12"/>
                <w:szCs w:val="12"/>
                <w:color w:val="auto"/>
              </w:rPr>
            </w:pPr>
          </w:p>
        </w:tc>
        <w:tc>
          <w:tcPr>
            <w:tcW w:w="5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359"/>
        </w:trPr>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20" w:type="dxa"/>
            <w:vAlign w:val="bottom"/>
          </w:tcPr>
          <w:p>
            <w:pPr>
              <w:jc w:val="right"/>
              <w:ind w:right="1012"/>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Before investing in our common stock, you should consider carefully the risks described below, together with the other information contained in this prospectus or incorporated by reference in this prospectus, including the risks and uncertainties discussed under “Risk Factors” in our Quarterly Report on Form 10-Q for the quarter ended March 31, 2014, which are incorporated by reference herein in their entirety. If any of the risks incorporated by reference herein or set forth below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as-adjusted book value per share of our tangible assets after subtracting our liabilities. As a result, investors purchasing shares of common stock in this offering will incur immediate dilution of $33.16 per share, based on the public offering price of $40.00 per share, and our as-adjusted net tangible book value as of March 31, 2014 after giving effect to this offering. For information on how the foregoing amounts were calculated, see “Dilution.”</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the public in this offering, and the exercise of stock options granted to our employees. In addition, as of March 31, 2014, we had outstanding options and warrants to purchase 2,749,782 shares of our common stock; the exercise of any of these options or warrants would result in additional dilution. As a result of the dilution to investors purchasing shares in this offering, investors may receive significantly less than the purchase price paid in this offering, if anything, in the event of our liquidation.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outstanding as of March 31, 2014, upon the closing of this offering we will have outstanding a total of approximately 31,360,927 shares of common stock. Of these shares, the shares of our common stock sold in our initial public offering (other than any shares purchased by our then-existing investors and directors and officers), which was completed in February 2014, are currently freely tradable, and the shares to be sold in this offering, plus any shares sold upon exercise of the underwriters’ option to purchase additional shares, will be freely tradable, without restriction, in the public market immediately following this offering. J.P. Morgan Securities LLC and Morgan Stanley &amp; Co. LLC, however, may, in their sole discretion, permit our officers, directors and stockholders who are subject to these lock-up agreements to sell shares prior to the expiration of the lock-up agreements.</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March 31, 2014, we had a total of 30,049,650 shares of common stock issued and outstanding. The lock-up agreements pertaining to our initial public offering will expire on July 29, 2014, following which at least approximately 23.4 million shares of common stock will be eligible for sale in the public market, subject to any additional restrictions, including a lock-up in connection with this offering. The lock-up agreements pertaining to this offering will expire 90 days from the date of this prospectus, following which approximately 7.2 million shares of common stock will be eligible for sale in the public market, all of which shares are held by current directors, executive officers and the selling stockholders and may be subject to Rule 144 under the Securities Act.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addition, as of March 31, 2014, approximately 5.5 million shares of common stock that are either subject to outstanding options, reserved for future issuance under our equity incentive plans, or subject to outstanding warrants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After this offering, the holders of approximately 19.4 million shares of our common stock, or 19.7 million including the shares underlying outstanding warrants, will be entitled to rights with respect to the registration of their shares under the Securities Act, subject to the vesting schedules and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receive only limited proceeds from this offering and will have broad discretion in the use of the net proceeds to us from this offering; we may not use the offering proceeds that we receive effectively.</w:t>
      </w:r>
    </w:p>
    <w:p>
      <w:pPr>
        <w:spacing w:after="0" w:line="5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will receive only limited proceeds from this offering, as a portion of the proceeds will be paid to the selling stockholders. We will receive net proceeds of only $48.8 million from this offering, after deducting the underwriting discounts and commissions and estimated offering expenses payable by us.</w:t>
      </w:r>
    </w:p>
    <w:p>
      <w:pPr>
        <w:spacing w:after="0" w:line="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management will have broad discretion in the application of the net proceeds to us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to us from this offering, their ultimate use may vary from their currently intended use. The failure by our management to apply these funds effectively could harm our business. Pending their use, we may invest the net proceeds to us from this offering in investment-grade, interest-bearing securities. These investments may not yield a favorable return to our stockholders.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This prospectus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35"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timing of commencing our clinical studies and reporting results from same;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likelihood of regulatory approvals for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market opportunities for commercializing our product candidates;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initiation, timing, progress, and results of future preclinical studies and clinical studies, and our research and development programs;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use of proceeds from this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 and expansion of our 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supply of our product candidates;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Any forward-looking statements in this prospectus reflect our current views with respect to future events or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“Risk Factors” and elsewhere and incorporated by reference in this prospectus.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3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This prospectus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estimate that the net proceeds to us from the sale of 1,311,277 shares of common stock offered by us in this offering will be approximately $48.8 million, based on the public offering price of $40.00 per share, after deducting the underwriting discounts and commissions and estimated offering expenses payable by us. If the underwriters exercise their option to purchase additional shares in full, we estimate that our net proceeds will be approximately $60.2 million, after deducting the underwriting discounts and commissions and estimated offering expenses payable by us. We will not receive any of the proceeds from any sale of shares in this offering by the selling stockholders.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intend to use the net proceeds to us of this offering, together with our existing cash, cash equivalents and short-term investments, for the following purposes:</w:t>
      </w:r>
    </w:p>
    <w:p>
      <w:pPr>
        <w:spacing w:after="0" w:line="51" w:lineRule="exact"/>
        <w:rPr>
          <w:sz w:val="20"/>
          <w:szCs w:val="20"/>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advancement of our clinical and preclinical pipeline, including potential new formulations of or indications for our existing product candidates or potential new product candidates;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investment in early-stage research capabilities and general infrastructure;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remainder for other ongoing research and development, working capital, and other general corporate purposes.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expected use of net proceeds to us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 We may also use a portion of the net proceeds to us to in-license, acquire, or invest in additional businesses, technologies, products, or assets. Although we have no specific agreements, commitments, or understandings with respect to any in-license or acquisition, we evaluate such opportunities and engage in related discussions with other companies from time to time. Due to the many variables inherent to the development of our product candidates, we cannot currently predict the stage of development we expect the net proceeds to us of this offering to achieve for our clinical studies and product candidates.</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amount and timing of our actual expenditures will depend upon numerous factors, including the results of our research and development efforts, the timing and success of preclinical studies, our ongoing clinical studies or clinical studies we may commence in the future and the timing of regulatory submissions. As a result, our management will have broad discretion over the use of the net proceeds to us from this offering.</w:t>
      </w:r>
    </w:p>
    <w:p>
      <w:pPr>
        <w:spacing w:after="0" w:line="2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Pending the use of the proceeds to us from this offering, we intend to invest these proceeds in interest-bearing, investment-grade securities, certificates of deposit, or government securities.</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estimate that, with our current operating plan, the proceeds from this offering, together with our existing cash, cash equivalents and short-term investments, will fund our activities through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common stock has been publicly traded on The NASDAQ Global Select Market under the symbol “RARE” since January 31, 2014. Prior to that time, there was no public market for our common stock. The following table sets forth the high and low sale prices per share for our common stock on The NASDAQ Global Select Market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3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First Quarter (beginning January 31, 2014)</w:t>
            </w:r>
          </w:p>
        </w:tc>
        <w:tc>
          <w:tcPr>
            <w:tcW w:w="4360" w:type="dxa"/>
            <w:vAlign w:val="bottom"/>
            <w:gridSpan w:val="3"/>
          </w:tcPr>
          <w:p>
            <w:pPr>
              <w:jc w:val="center"/>
              <w:ind w:left="2932"/>
              <w:spacing w:after="0"/>
              <w:rPr>
                <w:sz w:val="20"/>
                <w:szCs w:val="20"/>
                <w:color w:val="auto"/>
              </w:rPr>
            </w:pPr>
            <w:r>
              <w:rPr>
                <w:rFonts w:ascii="Arial" w:cs="Arial" w:eastAsia="Arial" w:hAnsi="Arial"/>
                <w:sz w:val="18"/>
                <w:szCs w:val="18"/>
                <w:color w:val="auto"/>
                <w:w w:val="90"/>
              </w:rPr>
              <w:t>$69.77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$35.15</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360" w:type="dxa"/>
            <w:vAlign w:val="bottom"/>
            <w:gridSpan w:val="3"/>
            <w:shd w:val="clear" w:color="auto" w:fill="CCEEFF"/>
          </w:tcPr>
          <w:p>
            <w:pPr>
              <w:jc w:val="center"/>
              <w:ind w:left="2932"/>
              <w:spacing w:after="0"/>
              <w:rPr>
                <w:sz w:val="20"/>
                <w:szCs w:val="20"/>
                <w:color w:val="auto"/>
              </w:rPr>
            </w:pPr>
            <w:r>
              <w:rPr>
                <w:rFonts w:ascii="Arial" w:cs="Arial" w:eastAsia="Arial" w:hAnsi="Arial"/>
                <w:sz w:val="18"/>
                <w:szCs w:val="18"/>
                <w:color w:val="auto"/>
                <w:w w:val="90"/>
              </w:rPr>
              <w:t>$60.00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$32.02</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On July 8, 2014, the last reported sale price of our common stock on The NASDAQ Global Select Market was $41.40 per share. As of July 2, 2014, we had approximately 67 holders of record of our common stock. This number does not include beneficial owners whose shares are held by nominees in street name.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never declared or paid cash dividends on our common stock. Although we have paid dividends to our holders of preferred stock in the past, including a $4.3 million cash dividend paid in February 2014 in connection with our initial public offering, all dividends were agreed to at the time of the private placement financings. We currently intend to retain all available funds and any future earnings, if any, to fund the development and expansion of our business, and we do not anticipate paying any cash dividends on our common stock in the foreseeable future. Any future determination to pay dividends will be made at the discretion of our board of directors or any authorized committee thereof.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cash equivalents and short-term investments and capitalization as of March 31, 2014:</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an as-adjusted basis to reflect the issuance and sale by us of 1,311,277 shares of our common stock in this offering at the public offering price of $40.00 per share, after deducting underwriting discounts and commissions and estimated offering expenses payable by us.</w:t>
      </w:r>
    </w:p>
    <w:p>
      <w:pPr>
        <w:spacing w:after="0" w:line="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You should read this information together with our financial statements and related notes and the information under the captions “Selected Financial Data” and “Management’s Discussion and Analysis of Financial Condition and Results of Operations,” appearing in our 2013 Annual Report and March 2014 Quarterly Report, incorporated by reference in this prospectus. For more details on how you can obtain our Commission reports and other information, you should read the section of the prospectus entitled “Where You Can Find More Information.”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As of March 31, 2014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56"/>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752"/>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4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84"/>
              </w:rPr>
              <w:t>(in thousands, except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and per share data)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6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165,397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214,241</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Preferred stock, par value $0.001 per share—25,000,000 shares authorized; no shares issued or outstanding, actual and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adjusted</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w w:val="89"/>
              </w:rPr>
              <w:t>Common stock, par value $0.001 per share—250,000,000 shares authorized; 30,049,650 shares issued and outstanding,</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actual; 250,000,000 shares authorized, 31,360,927 shares issued and outstanding, as adjusted</w:t>
            </w:r>
          </w:p>
        </w:tc>
        <w:tc>
          <w:tcPr>
            <w:tcW w:w="1620" w:type="dxa"/>
            <w:vAlign w:val="bottom"/>
            <w:gridSpan w:val="3"/>
          </w:tcPr>
          <w:p>
            <w:pPr>
              <w:jc w:val="right"/>
              <w:ind w:right="59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6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258,599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20" w:type="dxa"/>
            <w:vAlign w:val="bottom"/>
            <w:gridSpan w:val="3"/>
          </w:tcPr>
          <w:p>
            <w:pPr>
              <w:jc w:val="right"/>
              <w:ind w:right="5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Deficit accumulated during the development stage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(92,869)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165,714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capitalization</w:t>
            </w:r>
          </w:p>
        </w:tc>
        <w:tc>
          <w:tcPr>
            <w:tcW w:w="16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165,714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common stock issued and outstanding in the table above excludes the following shares as of March 31, 2014:</w:t>
      </w:r>
    </w:p>
    <w:p>
      <w:pPr>
        <w:spacing w:after="0" w:line="90" w:lineRule="exact"/>
        <w:rPr>
          <w:sz w:val="20"/>
          <w:szCs w:val="20"/>
          <w:color w:val="auto"/>
        </w:rPr>
      </w:pPr>
    </w:p>
    <w:p>
      <w:pPr>
        <w:ind w:left="900" w:right="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2,396,323 shares of common stock issuable upon the exercise of outstanding stock options as of March 31, 2014 having a weighted-average exercise price of $6.35 per share;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353,459 shares of common stock issuable upon the exercise of outstanding warrants as of March 31, 2014 having a weighted-average exercise price of $3.01 per share;</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2,167,000 shares of common stock reserved for issuance pursuant to future equity awards under our 2014 Incentive Plan as of March 31, 2014, as well as any future increases in the number of shares of our common stock reserved for future issuance under this plan; and</w:t>
      </w:r>
    </w:p>
    <w:p>
      <w:pPr>
        <w:spacing w:after="0" w:line="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600,000 shares of common stock reserved for future issuance under our 2014 Employee Stock Purchase Plan, or 2014 ESPP, as well as any future increases in the number of shares of our common stock reserved for future issuance under the 2014 ESPP.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public offering price per share of our common stock and the as-adjusted net tangible book value per share of our common stock immediately after this offering.</w:t>
      </w:r>
    </w:p>
    <w:p>
      <w:pPr>
        <w:spacing w:after="0" w:line="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Net tangible book value per share is determined by dividing our total tangible assets less our total liabilities by the number of shares of common stock outstanding. Our historical net tangible book value as of March 31, 2014 was approximately $165.7 million, or $5.51 per share.</w:t>
      </w:r>
    </w:p>
    <w:p>
      <w:pPr>
        <w:spacing w:after="0" w:line="5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shares of common stock in this offering and the as-adjusted net tangible book value per share of common stock immediately after completion of this offering. After giving effect to the sale of 1,311,277 shares of common stock in this offering by us at the public offering price of $40.00 per share, and after deducting the underwriting discounts and commissions and estimated offering expenses payable by us, our as-adjusted net tangible book value as of March 31, 2014 would have been $214.6 million, or $6.84 per share. This represents an immediate increase in net tangible book value of $1.33 per share to existing stockholders and an immediate dilution of $33.16 per share to investors participating in this offering, as illustrated in the following table: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Historical net tangible book value per share as of March 31, 2014</w:t>
            </w:r>
          </w:p>
        </w:tc>
        <w:tc>
          <w:tcPr>
            <w:tcW w:w="2720" w:type="dxa"/>
            <w:vAlign w:val="bottom"/>
            <w:gridSpan w:val="3"/>
          </w:tcPr>
          <w:p>
            <w:pPr>
              <w:jc w:val="right"/>
              <w:ind w:right="420"/>
              <w:spacing w:after="0"/>
              <w:rPr>
                <w:sz w:val="20"/>
                <w:szCs w:val="20"/>
                <w:color w:val="auto"/>
              </w:rPr>
            </w:pPr>
            <w:r>
              <w:rPr>
                <w:rFonts w:ascii="Arial" w:cs="Arial" w:eastAsia="Arial" w:hAnsi="Arial"/>
                <w:sz w:val="18"/>
                <w:szCs w:val="18"/>
                <w:color w:val="auto"/>
              </w:rPr>
              <w:t>$5.51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as-adjusted net tangible book value per share attributable to new investors</w:t>
            </w:r>
          </w:p>
        </w:tc>
        <w:tc>
          <w:tcPr>
            <w:tcW w:w="18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As-adjusted net tangible book value per share after this offering</w:t>
            </w:r>
          </w:p>
        </w:tc>
        <w:tc>
          <w:tcPr>
            <w:tcW w:w="2720" w:type="dxa"/>
            <w:vAlign w:val="bottom"/>
            <w:gridSpan w:val="3"/>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calculations exclude the following shares as of March 31, 2014:</w:t>
      </w:r>
    </w:p>
    <w:p>
      <w:pPr>
        <w:spacing w:after="0" w:line="90" w:lineRule="exact"/>
        <w:rPr>
          <w:sz w:val="20"/>
          <w:szCs w:val="20"/>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2,396,323 shares of common stock issuable upon the exercise of outstanding stock options as of March 31, 2014 having a weighted-average exercise price of $6.35 per share;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353,459 shares of common stock issuable upon the exercise of outstanding warrants as of March 31, 2014 having a weighted-average exercise price of $3.01 per share;</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2,167,000 shares of common stock reserved for issuance pursuant to future equity awards under our 2014 Incentive Plan as of March 31, 2014, as well as any future increases in the number of shares of our common stock reserved for future issuance under this plan; and</w:t>
      </w:r>
    </w:p>
    <w:p>
      <w:pPr>
        <w:spacing w:after="0" w:line="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600,000 shares of common stock reserved for future issuance under our 2014 Employee Stock Purchase Plan, or 2014 ESPP, as well as any future increases in the number of shares of our common stock reserved for future issuance under the 2014 ESPP.</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securities or convertible debt securities in the future.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following is a description of transactions since January 1, 2010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Purchases of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 Financing</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June 16, 2011, we sold an aggregate of 18,052,464 shares of our Series A convertible preferred stock to eight investors at a purchase price of $1.034 per share, for an aggregate purchase price of approximately $15.0 million in cash and $3.7 million in converted bridge notes. On July 16, 2012, we sold, pursuant to a second tranche closing, an aggregate of 14,604,895 shares of our Series A convertible preferred stock to six investors at a purchase price of $1.034 per share, for an aggregate purchase price of $15.1 million in cash. The table below sets forth the aggregate number of shares of Series A convertible preferred stock sold to our directors, executive officers or holders of more than 5% of our capital stock, or an immediate family member thereof, as applicable: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5860" w:type="dxa"/>
            <w:vAlign w:val="bottom"/>
            <w:vMerge w:val="restart"/>
          </w:tcPr>
          <w:p>
            <w:pPr>
              <w:spacing w:after="0"/>
              <w:rPr>
                <w:sz w:val="14"/>
                <w:szCs w:val="14"/>
                <w:color w:val="auto"/>
              </w:rPr>
            </w:pPr>
          </w:p>
        </w:tc>
        <w:tc>
          <w:tcPr>
            <w:tcW w:w="2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Number of Shares of Series A</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00" w:type="dxa"/>
            <w:vAlign w:val="bottom"/>
            <w:tcBorders>
              <w:bottom w:val="single" w:sz="8" w:color="auto"/>
            </w:tcBorders>
            <w:vMerge w:val="continue"/>
          </w:tcPr>
          <w:p>
            <w:pPr>
              <w:spacing w:after="0"/>
              <w:rPr>
                <w:sz w:val="14"/>
                <w:szCs w:val="14"/>
                <w:color w:val="auto"/>
              </w:rPr>
            </w:pPr>
          </w:p>
        </w:tc>
        <w:tc>
          <w:tcPr>
            <w:tcW w:w="5860" w:type="dxa"/>
            <w:vAlign w:val="bottom"/>
            <w:vMerge w:val="continue"/>
          </w:tcPr>
          <w:p>
            <w:pPr>
              <w:spacing w:after="0"/>
              <w:rPr>
                <w:sz w:val="14"/>
                <w:szCs w:val="14"/>
                <w:color w:val="auto"/>
              </w:rPr>
            </w:pPr>
          </w:p>
        </w:tc>
        <w:tc>
          <w:tcPr>
            <w:tcW w:w="232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8"/>
              </w:rPr>
              <w:t>Convertible Preferred Stock</w:t>
            </w:r>
          </w:p>
        </w:tc>
        <w:tc>
          <w:tcPr>
            <w:tcW w:w="640" w:type="dxa"/>
            <w:vAlign w:val="bottom"/>
          </w:tcPr>
          <w:p>
            <w:pPr>
              <w:spacing w:after="0"/>
              <w:rPr>
                <w:sz w:val="14"/>
                <w:szCs w:val="14"/>
                <w:color w:val="auto"/>
              </w:rPr>
            </w:pPr>
          </w:p>
        </w:tc>
        <w:tc>
          <w:tcPr>
            <w:tcW w:w="13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2"/>
              </w:rPr>
              <w:t>Total Purchase Price</w:t>
            </w: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Emil D. Kakkis, M.D., Ph.D.</w:t>
            </w: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1,814,944</w:t>
            </w: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1,876,471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William Aliski</w:t>
            </w:r>
          </w:p>
        </w:tc>
        <w:tc>
          <w:tcPr>
            <w:tcW w:w="2320" w:type="dxa"/>
            <w:vAlign w:val="bottom"/>
            <w:gridSpan w:val="2"/>
          </w:tcPr>
          <w:p>
            <w:pPr>
              <w:jc w:val="right"/>
              <w:ind w:right="620"/>
              <w:spacing w:after="0"/>
              <w:rPr>
                <w:sz w:val="20"/>
                <w:szCs w:val="20"/>
                <w:color w:val="auto"/>
              </w:rPr>
            </w:pPr>
            <w:r>
              <w:rPr>
                <w:rFonts w:ascii="Arial" w:cs="Arial" w:eastAsia="Arial" w:hAnsi="Arial"/>
                <w:sz w:val="18"/>
                <w:szCs w:val="18"/>
                <w:color w:val="auto"/>
              </w:rPr>
              <w:t>247,049</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Series A Convertible Preferred Stock Warrants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June 30, 2010, we entered into a Note and Warrant Purchase Agreement with Emil D. Kakkis, M.D., Ph.D. Pursuant to the Note and Warrant Purchase Agreement, we issued a convertible promissory note in the amount of $1.0 million to Dr. Kakkis and also issued him a warrant to purchase up to 241,803 shares of our Series A convertible preferred stock. Emil D. Kakkis, M.D., Ph.D. is our President and Chief Executive Officer and one of our directors.</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23, 2011, we entered into a Note and Warrant Purchase Agreement with William Aliski. Pursuant to the Note and Warrant Purchase Agreement, we issued a convertible promissory note in the amount of $250,000 to Mr. Aliski and also issued him a warrant to purchase up to 84,631 shares of our Series A convertible preferred stock. William Aliski is one of our directors.</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June 14, 2011, we entered into a Note and Warrant Purchase Agreement with Emil D. Kakkis, M.D., Ph.D. Pursuant to the Note and Warrant Purchase Agreement, we issued a convertible promissory note in the amount of $300,000 to Dr. Kakkis and also issued him a warrant to purchase up to 72,541 shares of our Series A convertible preferred stock.</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June 14, 2011, we entered into a second Note and Warrant Purchase Agreement with Emil D. Kakkis, M.D., Ph.D. Pursuant to the Note and Warrant Purchase Agreement, we issued a convertible promissory note in the amount of $500,000 to Dr. Kakkis and also issued him a warrant to purchase up to 120,901 shares of our Series A convertible preferred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 Financing</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On December 18, 2012, we sold an aggregate of 27,081,680 shares of our Series B convertible preferred stock to 34 investors at a purchase price of $2.769 per share, for an aggregate purchase price of approximately $75 million in cash. The table below sets forth the aggregate number of shares of Series B convertible preferred stock sold to our directors, executive officers or holders of more than 5% of our capital stock, or an immediate family member thereof, as applicable:</w:t>
      </w:r>
    </w:p>
    <w:tbl>
      <w:tblPr>
        <w:tblLayout w:type="fixed"/>
        <w:tblInd w:w="0" w:type="dxa"/>
        <w:tblCellMar>
          <w:top w:w="0" w:type="dxa"/>
          <w:left w:w="0" w:type="dxa"/>
          <w:bottom w:w="0" w:type="dxa"/>
          <w:right w:w="0" w:type="dxa"/>
        </w:tblCellMar>
      </w:tblPr>
      <w:tr>
        <w:trPr>
          <w:trHeight w:val="151"/>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5780" w:type="dxa"/>
            <w:vAlign w:val="bottom"/>
            <w:vMerge w:val="restart"/>
          </w:tcPr>
          <w:p>
            <w:pPr>
              <w:spacing w:after="0"/>
              <w:rPr>
                <w:sz w:val="13"/>
                <w:szCs w:val="13"/>
                <w:color w:val="auto"/>
              </w:rPr>
            </w:pPr>
          </w:p>
        </w:tc>
        <w:tc>
          <w:tcPr>
            <w:tcW w:w="170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84"/>
              </w:rPr>
              <w:t>Number of Shares of Series B</w:t>
            </w: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300" w:type="dxa"/>
            <w:vAlign w:val="bottom"/>
            <w:tcBorders>
              <w:bottom w:val="single" w:sz="8" w:color="auto"/>
            </w:tcBorders>
            <w:vMerge w:val="continue"/>
          </w:tcPr>
          <w:p>
            <w:pPr>
              <w:spacing w:after="0"/>
              <w:rPr>
                <w:sz w:val="14"/>
                <w:szCs w:val="14"/>
                <w:color w:val="auto"/>
              </w:rPr>
            </w:pPr>
          </w:p>
        </w:tc>
        <w:tc>
          <w:tcPr>
            <w:tcW w:w="5780" w:type="dxa"/>
            <w:vAlign w:val="bottom"/>
            <w:vMerge w:val="continue"/>
          </w:tcPr>
          <w:p>
            <w:pPr>
              <w:spacing w:after="0"/>
              <w:rPr>
                <w:sz w:val="14"/>
                <w:szCs w:val="14"/>
                <w:color w:val="auto"/>
              </w:rPr>
            </w:pPr>
          </w:p>
        </w:tc>
        <w:tc>
          <w:tcPr>
            <w:tcW w:w="17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9"/>
              </w:rPr>
              <w:t>Convertible Preferred Stock</w:t>
            </w:r>
          </w:p>
        </w:tc>
        <w:tc>
          <w:tcPr>
            <w:tcW w:w="1340" w:type="dxa"/>
            <w:vAlign w:val="bottom"/>
          </w:tcPr>
          <w:p>
            <w:pPr>
              <w:spacing w:after="0"/>
              <w:rPr>
                <w:sz w:val="14"/>
                <w:szCs w:val="14"/>
                <w:color w:val="auto"/>
              </w:rPr>
            </w:pPr>
          </w:p>
        </w:tc>
        <w:tc>
          <w:tcPr>
            <w:tcW w:w="13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2"/>
              </w:rPr>
              <w:t>Total Purchase Price</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TPG Biotechnology Partners III, L.P.</w:t>
            </w: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541,634</w:t>
            </w:r>
          </w:p>
        </w:tc>
        <w:tc>
          <w:tcPr>
            <w:tcW w:w="1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Beacon Bioventures Fund II Limited Partnership</w:t>
            </w:r>
          </w:p>
        </w:tc>
        <w:tc>
          <w:tcPr>
            <w:tcW w:w="1700" w:type="dxa"/>
            <w:vAlign w:val="bottom"/>
          </w:tcPr>
          <w:p>
            <w:pPr>
              <w:jc w:val="right"/>
              <w:spacing w:after="0"/>
              <w:rPr>
                <w:sz w:val="20"/>
                <w:szCs w:val="20"/>
                <w:color w:val="auto"/>
              </w:rPr>
            </w:pPr>
            <w:r>
              <w:rPr>
                <w:rFonts w:ascii="Arial" w:cs="Arial" w:eastAsia="Arial" w:hAnsi="Arial"/>
                <w:sz w:val="18"/>
                <w:szCs w:val="18"/>
                <w:color w:val="auto"/>
              </w:rPr>
              <w:t>541,634</w:t>
            </w:r>
          </w:p>
        </w:tc>
        <w:tc>
          <w:tcPr>
            <w:tcW w:w="16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HealthCap VI L.P.</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481,452</w:t>
            </w:r>
          </w:p>
        </w:tc>
        <w:tc>
          <w:tcPr>
            <w:tcW w:w="16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Entities affiliated with A.M. Pappas Life Science Ventures IV, L.P.</w:t>
            </w:r>
          </w:p>
        </w:tc>
        <w:tc>
          <w:tcPr>
            <w:tcW w:w="1700" w:type="dxa"/>
            <w:vAlign w:val="bottom"/>
          </w:tcPr>
          <w:p>
            <w:pPr>
              <w:jc w:val="right"/>
              <w:spacing w:after="0"/>
              <w:rPr>
                <w:sz w:val="20"/>
                <w:szCs w:val="20"/>
                <w:color w:val="auto"/>
              </w:rPr>
            </w:pPr>
            <w:r>
              <w:rPr>
                <w:rFonts w:ascii="Arial" w:cs="Arial" w:eastAsia="Arial" w:hAnsi="Arial"/>
                <w:sz w:val="18"/>
                <w:szCs w:val="18"/>
                <w:color w:val="auto"/>
              </w:rPr>
              <w:t>240,727</w:t>
            </w:r>
          </w:p>
        </w:tc>
        <w:tc>
          <w:tcPr>
            <w:tcW w:w="16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666,669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Participation in our Initial Public Offering</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connection with our initial public offering, or IPO, the underwriters allocated shares of our common stock in the offering to certain of our greater than 5% holders on the same terms as the other shares that were offered and sold in our IPO. These allocations included allocations of 240,000 shares to Adage Capital Partners, L.P. and 175,000 shares to Beacon Bioventures Fund II Limited Partnership. All of these shares were sold at $21.00, which was the price at which our common stock was sold in the IPO.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and certain of our stockholders have entered into an investor rights agreement pursuant to which these stockholders have, among other things, registration rights under the Securities Act of 1933, as amended, with respect to common stock that they hold. See “Description of Capital Stock — Registration Rights” for a further description of the terms of this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Related Party Transactions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have adopted a related person transaction approval policy that governs the review, approval and/or ratification of related person transactions. Pursuant to this policy, if we want to enter into a transaction with a related person or an affiliate or immediate family member of a related person, our Chief Financial Officer will review the proposed transaction to determine, based on applicable NASDAQ and SEC rules, if such transaction qualifies as a related person transaction. If the Chief Financial Officer determines that the proposed transaction is a related person transaction, then the proposed transaction shall be submitted to the Audit Committee for pre-approval at the next regular or special Audit Committee meeting; if the Chief Financial Officer, in consultation with the Chief Executive Officer, determines that it is not practicable to wait until the next meeting of the Audit Committee, then the Chief Financial Officer shall submit the proposed transaction to the chairperson of the Audit Committee. In the event that our Chief Executive Officer or Chief Financial Officer becomes aware of a related person transaction that has not been previously approved or previously ratified under our related person transaction approval policy, the transaction, if pending or ongoing, will be promptly submitted to the Audit Committee or the chairperson of the Audit Committee for consideration. If the transaction is already completed, the Audit Committee or the chairperson of the Audit Committee shall evaluate the transaction to determine if rescission of the transaction and/or any disciplinary action is appropriate.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PRINCIPAL AND SELLING STOCKHOLDERS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as of June 20, 2014 by:</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our outstanding shares of common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directors and executive officers as a group;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number of shares beneficially owned by each entity, person, director, executive officer or selling stockholder is determined in accordance with the rules of the SEC and the information is not necessarily indicative of beneficial ownership for any other purpose. Under such rules, beneficial ownership includes any shares over which the individual or entity has sole or shared voting power or investment power as well as any shares that the individual or entity has the right to acquire within 60 days of June 20, 2014 through the exercise of any stock option, warrants or other rights. Except as otherwise indicated, and subject to applicable community property laws, the persons named in the table have sole voting and investment power with respect to all shares of common stock held by that person or entity.</w:t>
      </w:r>
    </w:p>
    <w:p>
      <w:pPr>
        <w:spacing w:after="0" w:line="6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percentage of shares beneficially owned is computed on the basis of 30,059,288 shares of our common stock outstanding as of June 20, 2014. Shares of our common stock that a person or entity has the right to acquire within 60 days of June 20, 2014 are deemed outstanding for purposes of computing the percentage ownership of the person or entity holding such rights, but are not deemed outstanding for purposes of computing the percentage ownership of any other person or entity, except with respect to the percentage ownership of all directors and executive officers as a group. Unless otherwise indicated below, the address for each beneficial owner listed is c/o Ultragenyx Pharmaceutical Inc., at 60 Leveroni Court, Novato, California 94949.</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in the table below with respect to each selling stockholder has been obtained from that selling stockholder. When we refer to the “selling stockholder” in this prospectus, we mean those persons listed in the table below as offering shares, as well as the pledgees, donees, assignees, transferees, successors and others who may hold any of the selling stockholders’ interest.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jc w:val="center"/>
              <w:ind w:left="2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jc w:val="center"/>
              <w:ind w:left="24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jc w:val="center"/>
              <w:ind w:left="220"/>
              <w:spacing w:after="0" w:line="149" w:lineRule="exact"/>
              <w:rPr>
                <w:sz w:val="20"/>
                <w:szCs w:val="20"/>
                <w:color w:val="auto"/>
              </w:rPr>
            </w:pPr>
            <w:r>
              <w:rPr>
                <w:rFonts w:ascii="Arial" w:cs="Arial" w:eastAsia="Arial" w:hAnsi="Arial"/>
                <w:sz w:val="14"/>
                <w:szCs w:val="14"/>
                <w:b w:val="1"/>
                <w:bCs w:val="1"/>
                <w:color w:val="auto"/>
                <w:w w:val="91"/>
              </w:rPr>
              <w:t>Offering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80" w:type="dxa"/>
            <w:vAlign w:val="bottom"/>
            <w:gridSpan w:val="3"/>
          </w:tcPr>
          <w:p>
            <w:pPr>
              <w:jc w:val="center"/>
              <w:ind w:left="258"/>
              <w:spacing w:after="0" w:line="149" w:lineRule="exact"/>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center"/>
              <w:ind w:left="238"/>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jc w:val="center"/>
              <w:ind w:left="220"/>
              <w:spacing w:after="0" w:line="149" w:lineRule="exact"/>
              <w:rPr>
                <w:sz w:val="20"/>
                <w:szCs w:val="20"/>
                <w:color w:val="auto"/>
              </w:rPr>
            </w:pPr>
            <w:r>
              <w:rPr>
                <w:rFonts w:ascii="Arial" w:cs="Arial" w:eastAsia="Arial" w:hAnsi="Arial"/>
                <w:sz w:val="14"/>
                <w:szCs w:val="14"/>
                <w:b w:val="1"/>
                <w:bCs w:val="1"/>
                <w:color w:val="auto"/>
                <w:w w:val="85"/>
              </w:rPr>
              <w:t>Assuming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80" w:type="dxa"/>
            <w:vAlign w:val="bottom"/>
            <w:gridSpan w:val="3"/>
          </w:tcPr>
          <w:p>
            <w:pPr>
              <w:jc w:val="center"/>
              <w:ind w:left="238"/>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Shares</w:t>
            </w:r>
          </w:p>
        </w:tc>
        <w:tc>
          <w:tcPr>
            <w:tcW w:w="1080" w:type="dxa"/>
            <w:vAlign w:val="bottom"/>
            <w:gridSpan w:val="3"/>
          </w:tcPr>
          <w:p>
            <w:pPr>
              <w:jc w:val="center"/>
              <w:ind w:left="238"/>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jc w:val="center"/>
              <w:ind w:left="220"/>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Owned Before</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 be</w:t>
            </w:r>
          </w:p>
        </w:tc>
        <w:tc>
          <w:tcPr>
            <w:tcW w:w="1080" w:type="dxa"/>
            <w:vAlign w:val="bottom"/>
            <w:gridSpan w:val="3"/>
          </w:tcPr>
          <w:p>
            <w:pPr>
              <w:jc w:val="center"/>
              <w:ind w:left="238"/>
              <w:spacing w:after="0" w:line="149" w:lineRule="exact"/>
              <w:rPr>
                <w:sz w:val="20"/>
                <w:szCs w:val="20"/>
                <w:color w:val="auto"/>
              </w:rPr>
            </w:pPr>
            <w:r>
              <w:rPr>
                <w:rFonts w:ascii="Arial" w:cs="Arial" w:eastAsia="Arial" w:hAnsi="Arial"/>
                <w:sz w:val="14"/>
                <w:szCs w:val="14"/>
                <w:b w:val="1"/>
                <w:bCs w:val="1"/>
                <w:color w:val="auto"/>
                <w:w w:val="88"/>
              </w:rPr>
              <w:t>Owned after</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jc w:val="center"/>
              <w:ind w:lef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680" w:type="dxa"/>
            <w:vAlign w:val="bottom"/>
            <w:vMerge w:val="restart"/>
          </w:tcPr>
          <w:p>
            <w:pPr>
              <w:spacing w:after="0"/>
              <w:rPr>
                <w:sz w:val="14"/>
                <w:szCs w:val="14"/>
                <w:color w:val="auto"/>
              </w:rPr>
            </w:pPr>
          </w:p>
        </w:tc>
        <w:tc>
          <w:tcPr>
            <w:tcW w:w="1080" w:type="dxa"/>
            <w:vAlign w:val="bottom"/>
            <w:gridSpan w:val="3"/>
          </w:tcPr>
          <w:p>
            <w:pPr>
              <w:jc w:val="center"/>
              <w:ind w:left="258"/>
              <w:spacing w:after="0"/>
              <w:rPr>
                <w:sz w:val="20"/>
                <w:szCs w:val="20"/>
                <w:color w:val="auto"/>
              </w:rPr>
            </w:pPr>
            <w:r>
              <w:rPr>
                <w:rFonts w:ascii="Arial" w:cs="Arial" w:eastAsia="Arial" w:hAnsi="Arial"/>
                <w:sz w:val="14"/>
                <w:szCs w:val="14"/>
                <w:b w:val="1"/>
                <w:bCs w:val="1"/>
                <w:color w:val="auto"/>
                <w:w w:val="91"/>
              </w:rPr>
              <w:t>Offering</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Sold in</w:t>
            </w:r>
          </w:p>
        </w:tc>
        <w:tc>
          <w:tcPr>
            <w:tcW w:w="1080" w:type="dxa"/>
            <w:vAlign w:val="bottom"/>
            <w:gridSpan w:val="3"/>
          </w:tcPr>
          <w:p>
            <w:pPr>
              <w:jc w:val="center"/>
              <w:ind w:left="238"/>
              <w:spacing w:after="0"/>
              <w:rPr>
                <w:sz w:val="20"/>
                <w:szCs w:val="20"/>
                <w:color w:val="auto"/>
              </w:rPr>
            </w:pPr>
            <w:r>
              <w:rPr>
                <w:rFonts w:ascii="Arial" w:cs="Arial" w:eastAsia="Arial" w:hAnsi="Arial"/>
                <w:sz w:val="14"/>
                <w:szCs w:val="14"/>
                <w:b w:val="1"/>
                <w:bCs w:val="1"/>
                <w:color w:val="auto"/>
                <w:w w:val="88"/>
              </w:rPr>
              <w:t>Offering</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Option in Full</w:t>
            </w:r>
          </w:p>
        </w:tc>
        <w:tc>
          <w:tcPr>
            <w:tcW w:w="0" w:type="dxa"/>
            <w:vAlign w:val="bottom"/>
          </w:tcPr>
          <w:p>
            <w:pPr>
              <w:spacing w:after="0"/>
              <w:rPr>
                <w:sz w:val="1"/>
                <w:szCs w:val="1"/>
                <w:color w:val="auto"/>
              </w:rPr>
            </w:pPr>
          </w:p>
        </w:tc>
      </w:tr>
      <w:tr>
        <w:trPr>
          <w:trHeight w:val="149"/>
        </w:trPr>
        <w:tc>
          <w:tcPr>
            <w:tcW w:w="1620" w:type="dxa"/>
            <w:vAlign w:val="bottom"/>
            <w:tcBorders>
              <w:bottom w:val="single" w:sz="8" w:color="auto"/>
            </w:tcBorders>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108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4"/>
                <w:szCs w:val="14"/>
                <w:b w:val="1"/>
                <w:bCs w:val="1"/>
                <w:color w:val="auto"/>
              </w:rPr>
              <w:t>Number</w:t>
            </w:r>
          </w:p>
        </w:tc>
        <w:tc>
          <w:tcPr>
            <w:tcW w:w="32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9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1"/>
              </w:rPr>
              <w:t>Offering</w:t>
            </w:r>
          </w:p>
        </w:tc>
        <w:tc>
          <w:tcPr>
            <w:tcW w:w="108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4"/>
                <w:szCs w:val="14"/>
                <w:b w:val="1"/>
                <w:bCs w:val="1"/>
                <w:color w:val="auto"/>
              </w:rPr>
              <w:t>Number</w:t>
            </w:r>
          </w:p>
        </w:tc>
        <w:tc>
          <w:tcPr>
            <w:tcW w:w="3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08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4"/>
                <w:szCs w:val="14"/>
                <w:b w:val="1"/>
                <w:bCs w:val="1"/>
                <w:color w:val="auto"/>
              </w:rPr>
              <w:t>Number</w:t>
            </w:r>
          </w:p>
        </w:tc>
        <w:tc>
          <w:tcPr>
            <w:tcW w:w="3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Stockholders Owning Greater than 5%:</w:t>
            </w: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TPG Biotechnology Partners III, L.P.</w:t>
            </w:r>
            <w:r>
              <w:rPr>
                <w:rFonts w:ascii="Arial" w:cs="Arial" w:eastAsia="Arial" w:hAnsi="Arial"/>
                <w:sz w:val="11"/>
                <w:szCs w:val="11"/>
                <w:color w:val="auto"/>
              </w:rPr>
              <w:t>(1)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3,085,240</w:t>
            </w:r>
          </w:p>
        </w:tc>
        <w:tc>
          <w:tcPr>
            <w:tcW w:w="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488,820</w:t>
            </w: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2,596,420</w:t>
            </w:r>
          </w:p>
        </w:tc>
        <w:tc>
          <w:tcPr>
            <w:tcW w:w="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2,596,420</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Beacon Bioventures Fund II Limited Partnership</w:t>
            </w:r>
            <w:r>
              <w:rPr>
                <w:rFonts w:ascii="Arial" w:cs="Arial" w:eastAsia="Arial" w:hAnsi="Arial"/>
                <w:sz w:val="11"/>
                <w:szCs w:val="11"/>
                <w:color w:val="auto"/>
              </w:rPr>
              <w:t>(2)</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3,260,240</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10.9%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3,260,240</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10.4%</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3,260,240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HealthCap VI, L.P.</w:t>
            </w:r>
            <w:r>
              <w:rPr>
                <w:rFonts w:ascii="Arial" w:cs="Arial" w:eastAsia="Arial" w:hAnsi="Arial"/>
                <w:sz w:val="11"/>
                <w:szCs w:val="11"/>
                <w:color w:val="auto"/>
              </w:rPr>
              <w:t>(3)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2,742,436</w:t>
            </w:r>
          </w:p>
        </w:tc>
        <w:tc>
          <w:tcPr>
            <w:tcW w:w="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2,742,436</w:t>
            </w:r>
          </w:p>
        </w:tc>
        <w:tc>
          <w:tcPr>
            <w:tcW w:w="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2,742,436</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Adage Capital Partners, L.P.</w:t>
            </w:r>
            <w:r>
              <w:rPr>
                <w:rFonts w:ascii="Arial" w:cs="Arial" w:eastAsia="Arial" w:hAnsi="Arial"/>
                <w:sz w:val="11"/>
                <w:szCs w:val="11"/>
                <w:color w:val="auto"/>
              </w:rPr>
              <w:t>(4)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1,867,713</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1,867,713</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1,867,713</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Additional Selling Stockholder:</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Entities affiliated with A.M. Pappas Life Science Ventures IV, L.P.</w:t>
            </w:r>
            <w:r>
              <w:rPr>
                <w:rFonts w:ascii="Arial" w:cs="Arial" w:eastAsia="Arial" w:hAnsi="Arial"/>
                <w:sz w:val="11"/>
                <w:szCs w:val="11"/>
                <w:color w:val="auto"/>
                <w:w w:val="98"/>
              </w:rPr>
              <w:t>(5)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1,371,213</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217,252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1,153,961</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1,153,961</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Eran Nadav, Ph.D.</w:t>
            </w:r>
            <w:r>
              <w:rPr>
                <w:rFonts w:ascii="Arial" w:cs="Arial" w:eastAsia="Arial" w:hAnsi="Arial"/>
                <w:sz w:val="11"/>
                <w:szCs w:val="11"/>
                <w:color w:val="auto"/>
              </w:rPr>
              <w:t>(6)</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2,917</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2,917</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Mårten Steen, M.D., Ph.D.</w:t>
            </w:r>
            <w:r>
              <w:rPr>
                <w:rFonts w:ascii="Arial" w:cs="Arial" w:eastAsia="Arial" w:hAnsi="Arial"/>
                <w:sz w:val="11"/>
                <w:szCs w:val="11"/>
                <w:color w:val="auto"/>
              </w:rPr>
              <w:t>(7)</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2,917</w:t>
            </w: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2,917</w:t>
            </w:r>
          </w:p>
        </w:tc>
        <w:tc>
          <w:tcPr>
            <w:tcW w:w="4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2,917</w:t>
            </w:r>
          </w:p>
        </w:tc>
        <w:tc>
          <w:tcPr>
            <w:tcW w:w="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Aliski</w:t>
            </w:r>
            <w:r>
              <w:rPr>
                <w:rFonts w:ascii="Arial" w:cs="Arial" w:eastAsia="Arial" w:hAnsi="Arial"/>
                <w:sz w:val="11"/>
                <w:szCs w:val="11"/>
                <w:color w:val="auto"/>
              </w:rPr>
              <w:t>(8)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68,928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68,928</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68,928</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Matthew K. Fust</w:t>
            </w:r>
            <w:r>
              <w:rPr>
                <w:rFonts w:ascii="Arial" w:cs="Arial" w:eastAsia="Arial" w:hAnsi="Arial"/>
                <w:sz w:val="11"/>
                <w:szCs w:val="11"/>
                <w:color w:val="auto"/>
              </w:rPr>
              <w:t>(9)</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7,917</w:t>
            </w: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7,917</w:t>
            </w:r>
          </w:p>
        </w:tc>
        <w:tc>
          <w:tcPr>
            <w:tcW w:w="4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7,917</w:t>
            </w:r>
          </w:p>
        </w:tc>
        <w:tc>
          <w:tcPr>
            <w:tcW w:w="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Clay B. Siegall, Ph.D.</w:t>
            </w:r>
            <w:r>
              <w:rPr>
                <w:rFonts w:ascii="Arial" w:cs="Arial" w:eastAsia="Arial" w:hAnsi="Arial"/>
                <w:sz w:val="11"/>
                <w:szCs w:val="11"/>
                <w:color w:val="auto"/>
              </w:rPr>
              <w:t>(10)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2,917</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2,917</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Emil D. Kakkis, M.D., Ph.D</w:t>
            </w:r>
            <w:r>
              <w:rPr>
                <w:rFonts w:ascii="Arial" w:cs="Arial" w:eastAsia="Arial" w:hAnsi="Arial"/>
                <w:sz w:val="11"/>
                <w:szCs w:val="11"/>
                <w:color w:val="auto"/>
              </w:rPr>
              <w:t>(11)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3,326,181</w:t>
            </w:r>
          </w:p>
        </w:tc>
        <w:tc>
          <w:tcPr>
            <w:tcW w:w="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11.0%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3,326,181</w:t>
            </w:r>
          </w:p>
        </w:tc>
        <w:tc>
          <w:tcPr>
            <w:tcW w:w="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10.6%</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3,326,181</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Kassberg</w:t>
            </w:r>
            <w:r>
              <w:rPr>
                <w:rFonts w:ascii="Arial" w:cs="Arial" w:eastAsia="Arial" w:hAnsi="Arial"/>
                <w:sz w:val="11"/>
                <w:szCs w:val="11"/>
                <w:color w:val="auto"/>
              </w:rPr>
              <w:t>(12)</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172,230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172,230</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172,230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Shalini Sharp</w:t>
            </w:r>
            <w:r>
              <w:rPr>
                <w:rFonts w:ascii="Arial" w:cs="Arial" w:eastAsia="Arial" w:hAnsi="Arial"/>
                <w:sz w:val="11"/>
                <w:szCs w:val="11"/>
                <w:color w:val="auto"/>
              </w:rPr>
              <w:t>(13)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108,184</w:t>
            </w: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108,184</w:t>
            </w:r>
          </w:p>
        </w:tc>
        <w:tc>
          <w:tcPr>
            <w:tcW w:w="4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108,184</w:t>
            </w:r>
          </w:p>
        </w:tc>
        <w:tc>
          <w:tcPr>
            <w:tcW w:w="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r>
              <w:rPr>
                <w:rFonts w:ascii="Arial" w:cs="Arial" w:eastAsia="Arial" w:hAnsi="Arial"/>
                <w:sz w:val="11"/>
                <w:szCs w:val="11"/>
                <w:color w:val="auto"/>
              </w:rPr>
              <w:t>(14)</w:t>
            </w:r>
            <w:r>
              <w:rPr>
                <w:rFonts w:ascii="Arial" w:cs="Arial" w:eastAsia="Arial" w:hAnsi="Arial"/>
                <w:sz w:val="18"/>
                <w:szCs w:val="18"/>
                <w:color w:val="auto"/>
              </w:rPr>
              <w:t xml:space="preserve"> (8 persons)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3,692,191</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12.2%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3,692,191</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11.8%</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3,692,191</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common stock.</w:t>
      </w:r>
    </w:p>
    <w:p>
      <w:pPr>
        <w:spacing w:after="0" w:line="90" w:lineRule="exact"/>
        <w:rPr>
          <w:sz w:val="20"/>
          <w:szCs w:val="20"/>
          <w:color w:val="auto"/>
        </w:rPr>
      </w:pPr>
    </w:p>
    <w:p>
      <w:pPr>
        <w:jc w:val="both"/>
        <w:ind w:left="460" w:hanging="452"/>
        <w:spacing w:after="0" w:line="309"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information set forth in a Form 4 filed with the SEC by TPG Group Holdings (SBS) Advisors, Inc. on February 7, 2014. TPG Biotechnology Partners III, L.P. is a Delaware limited partnership, whose general partner is TPG Biotechnology GenPar III, L.P., a Delaware limited partnership, whose general partner is TPG Biotechnology GenPar III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or Group Advisors, a Delaware corporation. Messrs. David Bonderman and James G. Coulter are officers and sole shareholders of Group Advisors and may therefore be deemed to be the beneficial owners of the shares held by TPG Biotechnology Partners III, L.P. Each of Messrs. Bonderman and Coulter and TPG Biotechnology Partners III, L.P. expressly disclaims beneficial ownership of the securities listed above except to the extent of any pecuniary interest therein. The address for Messrs. Bonderman and Coulter and TPG Biotechnology Partners III, L.P. is c/o TPG Global, LLC, 301 Commerce Street, Suite 3300, Fort Worth, TX 76102.</w:t>
      </w:r>
    </w:p>
    <w:p>
      <w:pPr>
        <w:spacing w:after="0" w:line="27" w:lineRule="exact"/>
        <w:rPr>
          <w:rFonts w:ascii="Arial" w:cs="Arial" w:eastAsia="Arial" w:hAnsi="Arial"/>
          <w:sz w:val="15"/>
          <w:szCs w:val="15"/>
          <w:color w:val="auto"/>
        </w:rPr>
      </w:pPr>
    </w:p>
    <w:p>
      <w:pPr>
        <w:jc w:val="both"/>
        <w:ind w:left="460" w:hanging="452"/>
        <w:spacing w:after="0" w:line="29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information set forth in a Schedule 13G filed with the SEC by FMR LLC on February 14, 2014. Beacon Bioventures Advisors Fund II Limited Partnership is the general partner of Beacon Bioventures Fund II Limited Partnership. Beacon Bioventures Advisors Fund II Limited Partnership is solely managed by Northern Neck Investors LLC, its general partner and investment manager. Northern Neck Investors LLC is owned by the shareholders and certain employees of FMR LLC, including certain members of the family of Edward C. Johnson 3d. Members of the family of Edward C. Johnson 3d,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Each of the individuals and entities listed above expressly disclaims beneficial ownership of the securities listed above except to the extent of any pecuniary interest therein. The address for each of the individuals and entities listed above is 82 Devonshire Street, Boston, Massachusetts 02109.</w:t>
      </w:r>
    </w:p>
    <w:p>
      <w:pPr>
        <w:spacing w:after="0" w:line="62" w:lineRule="exact"/>
        <w:rPr>
          <w:sz w:val="20"/>
          <w:szCs w:val="20"/>
          <w:color w:val="auto"/>
        </w:rPr>
      </w:pPr>
    </w:p>
    <w:p>
      <w:pPr>
        <w:jc w:val="both"/>
        <w:ind w:left="46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HealthCap VI GP SA, L.L.C. (“HCSA”) is the sole general partner of HealthCap VI, L.P. HCSA has voting and dispositive power over the shares held by HealthCap VI, L.P. HCSA disclaims beneficial ownership of such shares, except to the extent of its pecuniary interest therein. Francois Kaiser, Dag Richter, and Daniel Schafer, the members of the board of HCSA, share voting and dispositive power over the shares held by HealthCap VI, L.P. and may be deemed to have indirect beneficial ownership of the shares held by such entities. The members of the board of HCSA disclaim beneficial ownership of shares held by HealthCap VI, L.P. except to the extent of any pecuniary interest therein. The address of HealthCap VI, L.P. is c/o HealthCap VI GP SA, 18, Avenue d Ouchy, 1006 Lausanne, Switzerland.</w:t>
      </w:r>
    </w:p>
    <w:p>
      <w:pPr>
        <w:spacing w:after="0" w:line="63" w:lineRule="exact"/>
        <w:rPr>
          <w:rFonts w:ascii="Arial" w:cs="Arial" w:eastAsia="Arial" w:hAnsi="Arial"/>
          <w:sz w:val="18"/>
          <w:szCs w:val="18"/>
          <w:color w:val="auto"/>
        </w:rPr>
      </w:pPr>
    </w:p>
    <w:p>
      <w:pPr>
        <w:jc w:val="both"/>
        <w:ind w:left="460" w:hanging="452"/>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Adage Capital Partners, GP, LLC (“ACPGP”), serves as the general partner of Adage Capital Partners, L.P., a Delaware limited partnership (the “Fund”) and as such has discretion over the portfolio of securities beneficially owned by the Fund. Adage Capital Advisors, LLC, a Delaware limited liability company (“ACA”), is managing member of ACPGP and directs ACPGP’s operations. Robert Atchinson and Phillip Gross are the managing members of ACPGP and ACA and general partners of the Fund. Robert Atchinson and Phillip Gross disclaim beneficial ownership of the reported securities except to the extent of their pecuniary interest therein. The address of Adage Capital Partners, L.P. is 200 Clarendon Street, 52</w:t>
      </w:r>
      <w:r>
        <w:rPr>
          <w:rFonts w:ascii="Arial" w:cs="Arial" w:eastAsia="Arial" w:hAnsi="Arial"/>
          <w:sz w:val="10"/>
          <w:szCs w:val="10"/>
          <w:color w:val="auto"/>
        </w:rPr>
        <w:t>nd</w:t>
      </w:r>
      <w:r>
        <w:rPr>
          <w:rFonts w:ascii="Arial" w:cs="Arial" w:eastAsia="Arial" w:hAnsi="Arial"/>
          <w:sz w:val="16"/>
          <w:szCs w:val="16"/>
          <w:color w:val="auto"/>
        </w:rPr>
        <w:t xml:space="preserve"> Floor, Boston, MA 02116.</w:t>
      </w:r>
    </w:p>
    <w:p>
      <w:pPr>
        <w:spacing w:after="0" w:line="34" w:lineRule="exact"/>
        <w:rPr>
          <w:rFonts w:ascii="Arial" w:cs="Arial" w:eastAsia="Arial" w:hAnsi="Arial"/>
          <w:sz w:val="16"/>
          <w:szCs w:val="16"/>
          <w:color w:val="auto"/>
        </w:rPr>
      </w:pPr>
    </w:p>
    <w:p>
      <w:pPr>
        <w:jc w:val="both"/>
        <w:ind w:left="460" w:hanging="452"/>
        <w:spacing w:after="0" w:line="29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(a) 1,308,916 shares of common stock held by A.M. Pappas Life Science Ventures IV, L.P., and (b) 62,297 shares of common stock held by PV IV CEO Fund, L.P. AMP&amp;A Management IV, LLC is the general partner of each of A.M. Pappas Life Science Ventures IV, L.P. and PV IV CEO Fund, L.P. (collectively, the “Pappas Funds”), and AMP&amp;A Management IV, LLC has a management agreement with A.M. Pappas &amp; Associates, LLC whereby A.M. Pappas &amp; Associates, LLC provides management services for the Pappas Funds. As a result, A.M. Pappas &amp; Associates, LLC’s investment committee exercises sole dispositive and voting power over the shares owned by the Pappas Funds. The address for each of A.M. Pappas Life Science Ventures IV, L.P. and PV IV CEO Fund, L.P. is c/o Pappas Ventures, 2520 Meridian Parkway, Suite 400, Durham, NC 27713.</w:t>
      </w:r>
    </w:p>
    <w:p>
      <w:pPr>
        <w:spacing w:after="0" w:line="39"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2,917 shares of common stock issuable pursuant to stock options exercisable within 60 days of June 20, 2014.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2,917 shares of common stock issuable pursuant to stock options exercisable within 60 days of June 20, 2014.</w:t>
      </w:r>
    </w:p>
    <w:p>
      <w:pPr>
        <w:spacing w:after="0" w:line="9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(a) 36,903 shares of common stock, (b) 29,108 shares of common stock that may be acquired pursuant to the exercise of a warrant held by Mr. Aliski and (c) 2,917 shares of common stock issuable pursuant to stock options exercisable within 60 days of June 20, 2014.</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(a) 5,000 shares of common stock and (b) 2,917 shares of common stock issuable pursuant to stock options exercisable within 60 days of June 20, 2014.</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2,917 shares of common stock issuable pursuant to stock options exercisable within 60 days of June 20, 2014.</w:t>
      </w:r>
    </w:p>
    <w:p>
      <w:pPr>
        <w:spacing w:after="0" w:line="90" w:lineRule="exact"/>
        <w:rPr>
          <w:rFonts w:ascii="Arial" w:cs="Arial" w:eastAsia="Arial" w:hAnsi="Arial"/>
          <w:sz w:val="18"/>
          <w:szCs w:val="18"/>
          <w:color w:val="auto"/>
        </w:rPr>
      </w:pPr>
    </w:p>
    <w:p>
      <w:pPr>
        <w:jc w:val="both"/>
        <w:ind w:left="460" w:hanging="452"/>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(a) 2,552,241 shares of common stock held by the Emil Kakkis and Jenny Soriano Living Trust, dated June 18, 2009, (b) 624,240 shares of common stock held by Dr. Kakkis and (c) 149,700 shares of common stock that may be acquired pursuant to the exercise of warrants held by Dr. Kakkis. Dr. Kakkis shares voting and dispositive power over the 2,552,241 shares of common stock held by the Emil Kakkis and Jenny Soriano Living Trust, dated June 18, 2009; each of Dr. Kakkis and Dr. Soriano is a trustee of such trust. Dr. Kakkis has sole voting and dispositive power over the 624,240 shares of common stock held by him and the 149,700 shares of common stock that may be acquired pursuant to the exercise of warrants held by Dr. Kakkis.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(a) 125,804 shares of common stock and (b) 46,426 shares of common stock issuable pursuant to stock options exercisable within 60 days of June 20, 2014.</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(a) 84,255 shares of common stock and (b) 23,929 shares of common stock issuable pursuant to stock options exercisable within 60 days of June 20, 2014.</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(a) 3,428,443 shares held by our directors and officers and entities affiliated with certain of our directors, (b) 178,808 shares of common stock that may be acquired pursuant to the exercise of warrants by certain of our directors and officers, and (c) 84,940 shares of common stock issuable pursuant to stock options exercisable within 60 days of June 20, 2014 held by our directors and officers.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authorized capital stock consists of 250,000,000 shares of common stock, par value $0.001 per share, and 25,000,000 shares of preferred stock, par value $0.001 per share. The following description of our capital stock is intended as a summary only and is qualified in its entirety by reference to our amended and restated certificate of incorporation, and amended and restated by-laws, copies of which are incorporated by reference as exhibits to the registration statement, of which this prospectus forms a part, and to the applicable provisions of the Delaware General Corporation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As of March 31, 2014, there were 30,049,650 shares of our common stock outstanding, held of record by approximately 65 stockholders. Based on shares outstanding as of March 31, 2014, upon completion of this offering, there will be 31,360,927 shares of our common stock outstanding.</w:t>
      </w:r>
    </w:p>
    <w:p>
      <w:pPr>
        <w:spacing w:after="0" w:line="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Except as described below in “Anti-Takeover Effects of Delaware Law, Our Certificate of Incorporation and Our By-laws,” the affirmative vote of a majority of our outstanding shares of capital stock is generally required to take action under our amended and restated certificate of incorporation and amended and restated by-laws.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board of directors is authorized, without action by the stockholders, to designate and issue up to an aggregate of 25,000,000 shares of preferred stock in one or more series. The board of directors can fix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delaying or preventing a change in control of our company and might harm the market price of our common stock.</w:t>
      </w:r>
    </w:p>
    <w:p>
      <w:pPr>
        <w:spacing w:after="0" w:line="3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board of directors will make any determination to issue such shares based on its judgment as to our best interests and the best interests of our stockholders. We have no current plans to issue any shares of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2014, warrants to purchase a total of 353,459 shares of our common stock were outstanding with an exercise price of $3.01 per share. These warrants are exercisable immediately and each expire on the first to occur of (i) the closing date of any reorganization, consolidation or merger of the Company, transfer of all or substantially all of the assets of the Company or any simultaneous sale of more than a majority of the then outstanding securities of the Company other than a mere reincorporation transaction, or (ii) the 10 year anniversary of the date of such warrant which in the case of the outstanding warrants of the Company is June 2020, February 2021 and June 2021,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are party to an amended and restated investors’ rights agreement, dated as of December 18, 2012, with certain holders of our common stock. Following this offering, the holders of approximately 19.4 million shares, or 19.7 million including the shares underlying outstanding warrants, will have the right to require us to register their shares under the Securities Act of 1933, as amended. These shares will represent approximately 63% of our outstanding common stock after this offering, or approximately 62% if the underwriters exercise their option to purchase additional shares in full. These shares also may be sold under Rule 144 under the Securities Act of 1933, depending on their holding period and subject to restrictions in the case of shares held by persons deemed to be our affiliates. The registration rights will terminate (i) on February 5, 2019, which is the fifth anniversary of the closing of our initial public offering, or (ii) after this offering, as to any holder of registrable securities, when such holder holds 1% or less of our common stock and all registrable securities held by such holder can be sold in any 90-day period without registration in compliance with Rule 144.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Under the amended and restated investors’ rights agreement, beginning July 29, 2014, which is the date that is 180 days after the effective date of the registration statement for our initial public offering, or 45 days following the effective date of any other Company-initiated registration statement, the holders of at least 50% of the registrable shares (or a lesser percentage if the anticipated aggregate offering price is not less than $10 million) then outstanding can, on not more than two occasions, demand that we file a registration statement or request that their shares be included on a registration statement that we are otherwise filing, in either case, registering the resale of their shares of common stock. We are required to use our best efforts to effect the registration and will pay all registration expenses, other than underwriting discounts and commissions, related to any demand registration.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we propose to register any of our securities under the Securities Act for our own account or the account of any other holder, the “significant holders” (as defined in the amended and restated investors’ rights agreement) are entitled to notice of such registration and to request that we include registrable shares for resale on such registration statement, subject to the right of any underwriter to limit the number of shares included in such registration.</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will pay all registration expenses, other than underwriting discounts and commissions, related to any piggyback registration. The amended and restated investors’ rights agreement contains customary cross-indemnification provisions, pursuant to which we are obligated to indemnify the selling stockholders, in the event of misstatements or omissions in the registration statement attributable to us and they are obligated to indemnify us for misstatements or omissions attributable to them.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90"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The holders of at least 10% of the registrable securities outstanding can make a written request that we register their shares on Form S-3 if we are eligible to file a registration statement on Form S-3 and if the aggregate price to the public of the shares offered is at least $1 million. These stockholders may make an unlimited number of requests for registration on Form S-3. However, we will not be required to effect a registration on Form S-3 if we determine that such a registration would be seriously detrimental to us and our stockholders or if we have already effected three registration statements on Form S-3 in the 12-month period preceding the date of the request. We will pay all registration expenses, other than underwriting discounts and commissions, related to any S-3 registration.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our Certificate of Incorporation and Our By-laws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accordance with our certificate of incorporation, our board is divided into three classes serving three-year terms, with one class being elected each year. Our certificate of incorporation also provides that directors may be removed only for cause. Furthermore, any vacancy on our board of directors, however occurring, including a vacancy resulting from an increase in the size of our board, may only be filled by a resolution of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certificate of incorporation and by-laws provide that, subject to any rights of holders of any series of preferred stock, only the board or the chairman of the board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By-laws and Certificate of Incorporation</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required by the Delaware General Corporation Law, any amendment of our certificate of 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directors, stockholders, the amendment of our by-laws and certificate of incorporation and exclusive jurisdiction of Delaware Courts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certificate of incorporation provides for 25,000,000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6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Under Section 203, a business combination between a corporation and an interested stockholder is prohibited unless it satisfies one of the following conditions:</w:t>
      </w:r>
    </w:p>
    <w:p>
      <w:pPr>
        <w:spacing w:after="0" w:line="51" w:lineRule="exact"/>
        <w:rPr>
          <w:sz w:val="20"/>
          <w:szCs w:val="20"/>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5" w:lineRule="exact"/>
        <w:rPr>
          <w:rFonts w:ascii="Arial" w:cs="Arial" w:eastAsia="Arial" w:hAnsi="Arial"/>
          <w:sz w:val="16"/>
          <w:szCs w:val="16"/>
          <w:color w:val="auto"/>
        </w:rPr>
      </w:pPr>
    </w:p>
    <w:p>
      <w:pPr>
        <w:jc w:val="both"/>
        <w:ind w:left="900" w:right="2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certificate of incorporation requires, to the fullest extent permitted by law, that derivative actions brought in 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Delaware law in the types of lawsuits to which it applies, the provision may have the effect of discouraging lawsuits against our directors and officers.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“RARE”.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 15th Avenue, Brooklyn, New York 11219.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completion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9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As of March 31, 2014, based on the number of shares of our common stock then outstanding, upon the closing of this offering, and assuming no exercise of outstanding options or warrants and no exercise of the underwriters’ option to purchase additional shares, we would have had outstanding an aggregate of approximately 31,360,927 shares of common stock. Of these shares, the 6,624,423 shares sold in our initial public offering (other than any shares purchased by our then-existing investors and directors and officers), the 2,017,349 shares of common stock to be sold in this offering, including both the shares sold by us and any shares sold by the selling stockholders, as well as any shares sold upon exercise of the underwriters’ option to purchase additional shares, will be freely tradable in the public market without restriction or further registration under the Securities Act of 1933, as amended, or the Securities Act, unless the shares are held by any of our “affiliates” as such term is defined in Rule 144 of the Securities Act. All remaining shares of common stock held by existing stockholders immediately prior to the completion of this offering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connection with this offering, we, our directors, our executive officers, and each of the selling stockholders have agreed, subject to certain exceptions, with the underwriters not to dispose of or hedge any shares of our common stock or securities convertible into or exchangeable for shares of common stock during the period from the date of the lock-up agreement continuing through the date 90 days after the date of this prospectus, except with the prior written consent of J.P. Morgan Securities LLC and Morgan Stanley &amp; Co. LLC, together the representatives of the underwriters. The representatives of the underwriters have advised us that they have no current intent or arrangement to release any of the shares subject to the lock-up agreements prior to the expiration of the lock-up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Securities Exchange Act of 1934, as amended, or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such shares in the public market without complying with any of the requirements of Rule 144 (subject to the lock-up agreement referred to above, if applicable).</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62" w:lineRule="exact"/>
        <w:rPr>
          <w:sz w:val="20"/>
          <w:szCs w:val="20"/>
          <w:color w:val="auto"/>
        </w:rPr>
      </w:pPr>
    </w:p>
    <w:p>
      <w:pPr>
        <w:jc w:val="both"/>
        <w:ind w:left="900" w:hanging="325"/>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one percent of the number of common shares then outstanding, which will equal approximately 313,609 shares of common stock immediately after this offering (calculated on the basis of the number of shares of our common stock outstanding as of March 31, 2014, and assuming no exercise of the underwriter’s option to purchase additional shares and no exercise of outstanding options or warrants); or</w:t>
      </w:r>
    </w:p>
    <w:p>
      <w:pPr>
        <w:spacing w:after="0" w:line="25"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such sale.</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to the availability of current public information about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general, under Rule 701 of the Securities Act, any of our employees, directors, officers, consultants or advisors, other than our affiliates, who purchased shares from us in connection with a qualified compensatory stock plan or other written agreement in compliance with Rule 701 before the effective date of a registration statement under the Securities Act is entitled to rely on Rule 701 to resell such shares in reliance on Rule 144. An affiliate of the issuer can resell shares in reliance on Rule 144 without having to comply with the holding period requirements of Rule 144, and a non-affiliate of the issuer can resell shares in reliance on Rule 144 without having to comply with the holding period requirements of Rule 144 and without regard to the volume of such sales or the availability of public information about the issuer.</w:t>
      </w:r>
    </w:p>
    <w:p>
      <w:pPr>
        <w:spacing w:after="0" w:line="6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 and Employee Stock Purchase Plan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filed with the SEC a registration statement under the Securities Act covering the shares of common stock that we may issue (i) upon exercise of outstanding options under the 2011 Equity Incentive Plan, as amended, exercise of outstanding options under the 2014 Incentive Plan, and options reserved for issuance under the 2014 Incentive Plan, and (ii) pursuant to the 2014 Employee Stock Purchase Plan. Such registration statement was filed and became effective in March 2014. Accordingly, shares registered under such registration statement are available for sale in the open market, subject to Rule 144 volume limitations for affiliates and the lock-up agreements described above, if applicable.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Internal Revenue Code of 1986, as amended, or the Code, Treasury Regulations promulgated under the Code, judicial decisions, and published rulings and administrative pronouncements of the U.S. Internal Revenue Service, or IRS, in effect as of the date of this offering. These authorities may change or be subject to differing interpretations. Any such change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regarding the tax consequences of the purchase, ownership and disposition of our common stock.</w:t>
      </w:r>
    </w:p>
    <w:p>
      <w:pPr>
        <w:spacing w:after="0" w:line="3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particular rules, including, without limitation:</w:t>
      </w:r>
    </w:p>
    <w:p>
      <w:pPr>
        <w:spacing w:after="0" w:line="6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If a partnership (or other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THIS DISCUSSION IS FOR INFORMATION PURPOSES ONLY AND IS NOT INTENDED AS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discussion, a “non-U.S. holder” is any beneficial owner of our common stock that is neither a “U.S. person” nor a partnership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United States federal income tax purposes. A U.S. person is any of the following:</w:t>
      </w:r>
    </w:p>
    <w:p>
      <w:pPr>
        <w:spacing w:after="0" w:line="8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9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on our common stock, such distributions of cash or property on our common stock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in the section titled “— Sale or Other Taxable Disposition.”</w:t>
      </w:r>
    </w:p>
    <w:p>
      <w:pPr>
        <w:spacing w:after="0" w:line="6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Dividends paid to a non-U.S. holder of our common stock generally will be subject to U.S. federal withholding tax at a rate of 30% of the gross amount of the dividends (or such lower rate specified by an applicable income tax treaty). Even if a non-U.S. holder is eligible for a lower treaty rate, dividend payments will generally be subject to withholding at a 30% rate (rather than the lower treaty rate) unless the non-U.S. holder provides a valid IRS Form W-8BEN or W-8BEN-E (or applicable successor form) certifying such holder’s qualification for the reduced rate.</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Non-U.S. holders who do not timely provide us or our paying agent with the required certification, but who qualify for a reduced treaty rate, may obtain a refund of any excess amounts withheld by timely filing an appropriate claim for refund with the IRS. Non-U.S. holders should consult their tax advisors regarding their entitlement to benefits under a tax treaty.</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Subject to the discussions below regarding backup withholding and foreign accounts, 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U.S. federal withholding tax. To claim the exemption, the non-U.S. holder must furnish to us or our paying agent a valid IRS Form W-8ECI (or applicable successor form), certifying that the dividends are effectively connected with the non-U.S. holder’s conduct of a trade or business within the United States.</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Any dividends paid on our common stock that are effectively connected with a non-U.S. holder’s U.S. trade or business (and, if required by an applicable tax treaty, attributable to a permanent establishment maintained by the non-U.S. holder in the United States) generally will be subject to U.S. federal income tax on a net income basis in the same manner as if such holder were a U.S. person. A non-U.S. holder that is a corporation also may, under certain circumstances, be subject to a branch profits tax at a rate of 30% (or such lower rate specified by an applicable tax treaty) on any effectively connected dividends that it receives. Non-U.S. holders should consult their tax advisors regarding any applicable tax treaties that may provide for different rules.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the discussions below regarding backup withholding and foreign accounts, a non-U.S. holder will not be subject to U.S. federal income tax on any gain realized upon the sale or other disposition of our common stock unless:</w:t>
      </w:r>
    </w:p>
    <w:p>
      <w:pPr>
        <w:spacing w:after="0" w:line="51" w:lineRule="exact"/>
        <w:rPr>
          <w:sz w:val="20"/>
          <w:szCs w:val="20"/>
          <w:color w:val="auto"/>
        </w:rPr>
      </w:pPr>
    </w:p>
    <w:p>
      <w:pPr>
        <w:ind w:left="90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a USRPHC, for U.S. federal income tax purposes.</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Gain described in the first bullet point above will generally be subject to U.S. federal income tax on a net income basis at the regular graduated U.S. federal income tax rates. If a non-U.S. holder is eligible for the benefits of a tax treaty between the United States and its country of residence, any such gain will be subject to U.S. federal income tax in the manner specified by the treaty. To claim the benefit of a treaty, a non-U.S. holder must properly submit an IRS Form W-8BEN (or suitable successor or substitute form). A non-U.S. holder that is a foreign corporation also may be subject to a branch profits tax at a rate of 30% (or such lower rate specified by an applicable income tax treaty) on such effectively connected gain, as adjusted for certain items.</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6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With respect to the third bullet point above, we believe we are not currently and do not anticipate becoming a USRPHC. However, because the determination of whether we are a USRPHC depends on the fair market value of our USRPIs relative to the fair market value of our other business assets and our non-U.S. real property interests,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or constructively, 5% or less of our common stock throughout the shorter of the five-year period ending on the date of the sale or other disposition or the non-U.S. holder’s holding period.</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 non-U.S. holder will not be subject to backup withholding with respect to payments of dividends on our common stock we make to the non-U.S. holder, provided the holder certifies its non-U.S. status, such as by providing a valid IRS Form W-8BEN, W-8ECI, or other applicable IRS Form, or otherwise establishes an exemption. However, information returns will be filed with the IRS in connection with any dividends on our common stock paid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U.S.-related financial intermediaries, unless the beneficial owner certifies under penalty of perjury that it is a non-U.S. holder on Form W-8BEN or other applicable form or such owner otherwise establishes an exemption.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Tax on Payments Made to Foreign Accounts</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Legislation incorporating provisions referred to as the Foreign Account Tax Compliance Act, or “FATCA,” was enacted March 18, 2010. A 30% withholding tax may be imposed on dividends paid on, and the gross proceeds from the sale or other disposition of, our common stock paid to a “foreign financial institution” (as defined in the Code) or to a “non-financial foreign entity” (as defined in the Code) (whether such foreign financial institution or non-financial foreign entity is the beneficial owner or an intermediary), unless (1) in the case of a foreign financial institution, the entity undertakes certain diligence and reporting obligations, (2) in the case of a non-financial foreign entity, the entity either certifies that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U.S. persons or U.S.-owned foreign entities (as defined in applicable Treasury Regulations), annually report certain information about such accounts, and withhold 30% on payments to non-compliant foreign financial institutions and certain other account holders. Foreign governments may enter into an agreement with the IRS to implement FATCA in a different manner. Under current IRS guidance, FATCA withholding will apply to payments of dividends on our common stock made on or after July 1, 2014, and to payments of gross proceeds from the sale or other disposition of such stock on or after January 1, 2017. Prospective investors should consult their tax advisors regarding these withholding provisions.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and the selling stockholders are offering the shares of common stock described in this prospectus through a number of underwriters. J.P. Morgan Securities LLC and Morgan Stanley &amp; Co. LLC are acting as joint book-running managers of the offering and as representatives of the underwriters. We and the selling stockholders have entered into an underwriting agreement with the underwriters. Subject to the terms and conditions of the underwriting agreement, we and the selling stockholders have severally agreed to sell to the underwriters, and each underwriter has severally agreed to purchase, at the public offering price less the underwriting discounts and commissions set forth on the cover of this prospectus, the number of shares of common stock listed next to its name in the following table:</w:t>
      </w:r>
    </w:p>
    <w:p>
      <w:pPr>
        <w:spacing w:after="0" w:line="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160" w:type="dxa"/>
            <w:vAlign w:val="bottom"/>
            <w:vMerge w:val="restart"/>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160" w:type="dxa"/>
            <w:vAlign w:val="bottom"/>
            <w:vMerge w:val="continue"/>
          </w:tcPr>
          <w:p>
            <w:pPr>
              <w:spacing w:after="0"/>
              <w:rPr>
                <w:sz w:val="14"/>
                <w:szCs w:val="14"/>
                <w:color w:val="auto"/>
              </w:rPr>
            </w:pP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203"/>
        </w:trPr>
        <w:tc>
          <w:tcPr>
            <w:tcW w:w="9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LLC</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806,940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685,899</w:t>
            </w: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423,643</w:t>
            </w:r>
          </w:p>
        </w:tc>
        <w:tc>
          <w:tcPr>
            <w:tcW w:w="0" w:type="dxa"/>
            <w:vAlign w:val="bottom"/>
          </w:tcPr>
          <w:p>
            <w:pPr>
              <w:spacing w:after="0"/>
              <w:rPr>
                <w:sz w:val="1"/>
                <w:szCs w:val="1"/>
                <w:color w:val="auto"/>
              </w:rPr>
            </w:pPr>
          </w:p>
        </w:tc>
      </w:tr>
      <w:tr>
        <w:trPr>
          <w:trHeight w:val="223"/>
        </w:trPr>
        <w:tc>
          <w:tcPr>
            <w:tcW w:w="9540" w:type="dxa"/>
            <w:vAlign w:val="bottom"/>
            <w:gridSpan w:val="2"/>
          </w:tcPr>
          <w:p>
            <w:pPr>
              <w:spacing w:after="0"/>
              <w:rPr>
                <w:sz w:val="20"/>
                <w:szCs w:val="20"/>
                <w:color w:val="auto"/>
              </w:rPr>
            </w:pPr>
            <w:r>
              <w:rPr>
                <w:rFonts w:ascii="Arial" w:cs="Arial" w:eastAsia="Arial" w:hAnsi="Arial"/>
                <w:sz w:val="18"/>
                <w:szCs w:val="18"/>
                <w:color w:val="auto"/>
              </w:rPr>
              <w:t>Robert W. Baird &amp; Co. Incorporated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2,017,349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underwriters are committed to purchase all the shares of common stock offered by us and the selling stockholders if they purchase any shares. The underwriting agreement also provides that if an underwriter defaults, the purchase commitments of non-defaulting underwriters may also be increased or the offering may be terminated. The shares to be sold by us and the selling stockholders are subject to lock-up restrictions agreed to in connection with our initial public offering, which closed in February 2014. The underwriters for our initial public offering have consented to the release of the lock-up restrictions with respect to the shares to be sold in this offering.</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underwriters propose to offer the shares of common stock directly to the public at the public offering price set forth on the cover of this prospectus and to certain dealers at that price less a concession not in excess of $1.44 per share. Any such dealers may resell shares to certain other brokers or dealers at a discount of up to $1.44 per share from the public offering price. After the public offering of the shares, the offering price and other selling terms may be changed by the underwriters. Sales of shares made outside of the United States may be made by affiliates of the underwriters.</w:t>
      </w:r>
    </w:p>
    <w:p>
      <w:pPr>
        <w:spacing w:after="0" w:line="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have granted the underwriters an option to buy up to an additional 302,602 shares of our common stock.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and the selling stockholders per share of common stock. The underwriting fee is $2.40 per share. The following table shows the per share and total underwriting discounts and commissions to be paid to the underwriters assuming both no exercise and full exercise of the underwriters’ option to purchase additional shares.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2"/>
              </w:rPr>
              <w:t>Without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7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option</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With full</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7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5"/>
              </w:rPr>
              <w:t>to purchase</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exercise of option</w:t>
            </w:r>
          </w:p>
        </w:tc>
        <w:tc>
          <w:tcPr>
            <w:tcW w:w="0" w:type="dxa"/>
            <w:vAlign w:val="bottom"/>
          </w:tcPr>
          <w:p>
            <w:pPr>
              <w:spacing w:after="0"/>
              <w:rPr>
                <w:sz w:val="1"/>
                <w:szCs w:val="1"/>
                <w:color w:val="auto"/>
              </w:rPr>
            </w:pPr>
          </w:p>
        </w:tc>
      </w:tr>
      <w:tr>
        <w:trPr>
          <w:trHeight w:val="149"/>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8"/>
              </w:rPr>
              <w:t>Paid by us</w:t>
            </w:r>
          </w:p>
        </w:tc>
        <w:tc>
          <w:tcPr>
            <w:tcW w:w="1300" w:type="dxa"/>
            <w:vAlign w:val="bottom"/>
            <w:vMerge w:val="restart"/>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to purchase</w:t>
            </w:r>
          </w:p>
        </w:tc>
        <w:tc>
          <w:tcPr>
            <w:tcW w:w="0" w:type="dxa"/>
            <w:vAlign w:val="bottom"/>
          </w:tcPr>
          <w:p>
            <w:pPr>
              <w:spacing w:after="0"/>
              <w:rPr>
                <w:sz w:val="1"/>
                <w:szCs w:val="1"/>
                <w:color w:val="auto"/>
              </w:rPr>
            </w:pPr>
          </w:p>
        </w:tc>
      </w:tr>
      <w:tr>
        <w:trPr>
          <w:trHeight w:val="168"/>
        </w:trPr>
        <w:tc>
          <w:tcPr>
            <w:tcW w:w="640" w:type="dxa"/>
            <w:vAlign w:val="bottom"/>
            <w:tcBorders>
              <w:bottom w:val="single" w:sz="8" w:color="auto"/>
            </w:tcBorders>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79"/>
              </w:rPr>
              <w:t>shares</w:t>
            </w:r>
          </w:p>
        </w:tc>
        <w:tc>
          <w:tcPr>
            <w:tcW w:w="11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3"/>
              </w:rPr>
              <w:t>additional shares</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5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2.40</w:t>
            </w: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$3,147,065</w:t>
            </w:r>
          </w:p>
        </w:tc>
        <w:tc>
          <w:tcPr>
            <w:tcW w:w="9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3,873,310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2"/>
              </w:rPr>
              <w:t>Without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7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option</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With full</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7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5"/>
              </w:rPr>
              <w:t>to purchase</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exercise of option</w:t>
            </w: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Paid by the selling stockholders</w:t>
            </w: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to purchase</w:t>
            </w:r>
          </w:p>
        </w:tc>
        <w:tc>
          <w:tcPr>
            <w:tcW w:w="0" w:type="dxa"/>
            <w:vAlign w:val="bottom"/>
          </w:tcPr>
          <w:p>
            <w:pPr>
              <w:spacing w:after="0"/>
              <w:rPr>
                <w:sz w:val="1"/>
                <w:szCs w:val="1"/>
                <w:color w:val="auto"/>
              </w:rPr>
            </w:pPr>
          </w:p>
        </w:tc>
      </w:tr>
      <w:tr>
        <w:trPr>
          <w:trHeight w:val="168"/>
        </w:trPr>
        <w:tc>
          <w:tcPr>
            <w:tcW w:w="1940" w:type="dxa"/>
            <w:vAlign w:val="bottom"/>
            <w:tcBorders>
              <w:bottom w:val="single" w:sz="8" w:color="auto"/>
            </w:tcBorders>
            <w:gridSpan w:val="2"/>
            <w:vMerge w:val="continue"/>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79"/>
              </w:rPr>
              <w:t>shares</w:t>
            </w:r>
          </w:p>
        </w:tc>
        <w:tc>
          <w:tcPr>
            <w:tcW w:w="11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3"/>
              </w:rPr>
              <w:t>additional shares</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5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2.40</w:t>
            </w: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520" w:type="dxa"/>
            <w:vAlign w:val="bottom"/>
            <w:gridSpan w:val="3"/>
          </w:tcPr>
          <w:p>
            <w:pPr>
              <w:jc w:val="right"/>
              <w:spacing w:after="0"/>
              <w:rPr>
                <w:sz w:val="20"/>
                <w:szCs w:val="20"/>
                <w:color w:val="auto"/>
              </w:rPr>
            </w:pPr>
            <w:r>
              <w:rPr>
                <w:rFonts w:ascii="Arial" w:cs="Arial" w:eastAsia="Arial" w:hAnsi="Arial"/>
                <w:sz w:val="18"/>
                <w:szCs w:val="18"/>
                <w:color w:val="auto"/>
              </w:rPr>
              <w:t>$1,694,573</w:t>
            </w:r>
          </w:p>
        </w:tc>
        <w:tc>
          <w:tcPr>
            <w:tcW w:w="9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1,694,573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approximately $460,000. We have agreed to reimburse the underwriters for all expenses relating to the clearance of this offering with the Financial Industry Regulatory Authority (in an amount not to exceed $25,000).</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62" w:lineRule="exact"/>
        <w:rPr>
          <w:sz w:val="20"/>
          <w:szCs w:val="20"/>
          <w:color w:val="auto"/>
        </w:rPr>
      </w:pPr>
    </w:p>
    <w:p>
      <w:pPr>
        <w:jc w:val="both"/>
        <w:ind w:firstLine="456"/>
        <w:spacing w:after="0" w:line="305" w:lineRule="auto"/>
        <w:rPr>
          <w:sz w:val="20"/>
          <w:szCs w:val="20"/>
          <w:color w:val="auto"/>
        </w:rPr>
      </w:pPr>
      <w:r>
        <w:rPr>
          <w:rFonts w:ascii="Arial" w:cs="Arial" w:eastAsia="Arial" w:hAnsi="Arial"/>
          <w:sz w:val="15"/>
          <w:szCs w:val="15"/>
          <w:color w:val="auto"/>
        </w:rPr>
        <w:t>We have agreed that we will not (i) offer, pledge, sell, contract to sell, sell any option or contract to purchase, purchase any option or contract to sell, grant any option, right or warrant to purchase, or otherwise transfer or dispose of, directly or indirectly, or file with the Securities and Exchange Commission a registration statement under the Securities Act of 1933, as amended (the “Securities Act”), relating to, any shares of our common stock or any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our common stock or any such other securities (regardless of whether any of these transactions are to be settled by the delivery of shares of our common stock or such other securities, in cash or otherwise), in each case without the prior written consent of J.P. Morgan Securities LLC and Morgan Stanley &amp; Co. LLC for a period of 90 days after the date of this prospectus, other than (i) the shares of our common stock to be sold hereunder, (ii) any shares of our common stock issued upon the exercise of options granted under our existing management incentive plans or warrants described as outstanding in the registration statement of which this prospectus forms a part, (iii) any options and other awards granted under an equity incentive plan described in the registration statement of which this prospectus forms a part, (iv) our filing of any registration statement on Form S-8 or a successor form thereto relating to an equity incentive plan described in the registration statement of which this prospectus forms a part, and (v) shares of common stock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 provided that (x) the aggregate number of shares issued pursuant to this clause (v) shall not exceed five percent (5%) of the total number of outstanding shares of common stock immediately following the issuance and sale of the shares of common stock in this offering and (y) the recipient of any such shares of common stock and securities issued pursuant to this clause (v) during the 90-day restricted period described above shall enter into a lock-up agreement.</w:t>
      </w:r>
    </w:p>
    <w:p>
      <w:pPr>
        <w:spacing w:after="0" w:line="247"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6"/>
          <w:szCs w:val="16"/>
          <w:color w:val="auto"/>
        </w:rPr>
        <w:t>Our directors and executive officers as well as the selling stockholders have entered into lock-up agreements with the underwriters prior to the commencement of this offering pursuant to which each of these persons or entities, with limited exceptions, for a period of 90 days after the date of this prospectus, may not, without the prior written consent of J.P. Morgan Securities LLC and Morgan Stanley &amp; Co. LLC,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and shareholders in accordance with the rules and regulations of the Securities and Exchange Commission and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our common stock or such other securities, whether any such transaction described in clause (1) or</w:t>
      </w:r>
    </w:p>
    <w:p>
      <w:pPr>
        <w:spacing w:after="0" w:line="5" w:lineRule="exact"/>
        <w:rPr>
          <w:sz w:val="20"/>
          <w:szCs w:val="20"/>
          <w:color w:val="auto"/>
        </w:rPr>
      </w:pPr>
    </w:p>
    <w:p>
      <w:pPr>
        <w:jc w:val="both"/>
        <w:ind w:firstLine="8"/>
        <w:spacing w:after="0" w:line="255" w:lineRule="auto"/>
        <w:tabs>
          <w:tab w:leader="none" w:pos="2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The restrictions described in the immediately preceding paragraph to do not apply to:</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any security convertible into or exercisable or exchangeable for common stock):</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as a bona fide gift;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any trust for the direct or indirect benefit of the party subject to the lock-up restrictions or the immediate family of such person;</w:t>
      </w:r>
    </w:p>
    <w:p>
      <w:pPr>
        <w:spacing w:after="0" w:line="113" w:lineRule="exact"/>
        <w:rPr>
          <w:rFonts w:ascii="Arial" w:cs="Arial" w:eastAsia="Arial" w:hAnsi="Arial"/>
          <w:sz w:val="16"/>
          <w:szCs w:val="16"/>
          <w:color w:val="auto"/>
        </w:rPr>
      </w:pPr>
    </w:p>
    <w:p>
      <w:pPr>
        <w:ind w:left="1480" w:right="20" w:hanging="446"/>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any corporation, partnership, limited liability company, investment fund or other entity controlled or managed, or under common control or management by the party subject to the lock-up restrictions or the immediate family of such person;</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will, other testamentary document or intestate succession to the legal representative, heir, beneficiary or a member of the immediate family of the party subject to the lockup restrictions;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distributions to partners, members or stockholders of the party subject to the lock-up restrictions,</w:t>
      </w:r>
    </w:p>
    <w:p>
      <w:pPr>
        <w:spacing w:after="0" w:line="90" w:lineRule="exact"/>
        <w:rPr>
          <w:sz w:val="20"/>
          <w:szCs w:val="20"/>
          <w:color w:val="auto"/>
        </w:rPr>
      </w:pPr>
    </w:p>
    <w:p>
      <w:pPr>
        <w:jc w:val="both"/>
        <w:ind w:left="920"/>
        <w:spacing w:after="0" w:line="25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above five subclauses, (i) each donee or distributee shall sign and deliver a</w:t>
      </w:r>
      <w:r>
        <w:rPr>
          <w:rFonts w:ascii="Arial" w:cs="Arial" w:eastAsia="Arial" w:hAnsi="Arial"/>
          <w:sz w:val="18"/>
          <w:szCs w:val="18"/>
          <w:i w:val="1"/>
          <w:iCs w:val="1"/>
          <w:color w:val="auto"/>
        </w:rPr>
        <w:t xml:space="preserve"> </w:t>
      </w:r>
      <w:r>
        <w:rPr>
          <w:rFonts w:ascii="Arial" w:cs="Arial" w:eastAsia="Arial" w:hAnsi="Arial"/>
          <w:sz w:val="18"/>
          <w:szCs w:val="18"/>
          <w:color w:val="auto"/>
        </w:rPr>
        <w:t>lock-up letter substantially in the form executed by the party subject to the lock-up restrictions and (ii) no filing under Section 16(a) of the Exchange Act, reporting a reduction in beneficial ownership of shares of common stock, shall be required or shall be voluntarily made during the restricted period (other than a filing on Form 5);</w:t>
      </w:r>
    </w:p>
    <w:p>
      <w:pPr>
        <w:spacing w:after="0" w:line="62" w:lineRule="exact"/>
        <w:rPr>
          <w:sz w:val="20"/>
          <w:szCs w:val="20"/>
          <w:color w:val="auto"/>
        </w:rPr>
      </w:pPr>
    </w:p>
    <w:p>
      <w:pPr>
        <w:jc w:val="both"/>
        <w:ind w:left="900" w:hanging="325"/>
        <w:spacing w:after="0" w:line="29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sales or transfers of common stock made pursuant to a trading plan pursuant to Rule 10b5-1 under the Exchange Act (“Rule 10b5-1”) that has been entered into prior to the date of this prospectus, provided that to the extent a public announcement or filing under the Exchange Act, if any, is required or voluntarily made by or on behalf of the party subject to such lock-up restrictions regarding any such sales or transfers, such announcement or filing shall include a statement to the effect that the sale or transfer was made pursuant to a trading plan pursuant to Rule 10b5-1;</w:t>
      </w:r>
    </w:p>
    <w:p>
      <w:pPr>
        <w:spacing w:after="0" w:line="31" w:lineRule="exact"/>
        <w:rPr>
          <w:rFonts w:ascii="Arial" w:cs="Arial" w:eastAsia="Arial" w:hAnsi="Arial"/>
          <w:sz w:val="16"/>
          <w:szCs w:val="16"/>
          <w:color w:val="auto"/>
        </w:rPr>
      </w:pPr>
    </w:p>
    <w:p>
      <w:pPr>
        <w:jc w:val="both"/>
        <w:ind w:left="900" w:hanging="325"/>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for the transfer of shares of common stock, provided that (i) such plan does not provide for the transfer of common stock during the restricted period and (ii) no filing under the Exchange Act or other public announcement shall be required or voluntarily made by or on behalf of the party subject to the lock-up restrictions regarding the establishment of such plan;</w:t>
      </w:r>
    </w:p>
    <w:p>
      <w:pPr>
        <w:spacing w:after="0" w:line="25" w:lineRule="exact"/>
        <w:rPr>
          <w:rFonts w:ascii="Arial" w:cs="Arial" w:eastAsia="Arial" w:hAnsi="Arial"/>
          <w:sz w:val="16"/>
          <w:szCs w:val="16"/>
          <w:color w:val="auto"/>
        </w:rPr>
      </w:pPr>
    </w:p>
    <w:p>
      <w:pPr>
        <w:jc w:val="both"/>
        <w:ind w:left="900" w:hanging="325"/>
        <w:spacing w:after="0" w:line="335"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exercise of options to purchase shares of common stock granted under any stock incentive plan or stock purchase plan of the Company, provided that the underlying shares shall continue to be subject to the restrictions on transfer set forth in this agreement and provided further that no filing under Section 16(a) of the Exchange Act shall be required or shall be voluntarily made during the restricted period (other than a filing on Form 5);</w:t>
      </w:r>
    </w:p>
    <w:p>
      <w:pPr>
        <w:spacing w:after="0" w:line="7" w:lineRule="exact"/>
        <w:rPr>
          <w:rFonts w:ascii="Arial" w:cs="Arial" w:eastAsia="Arial" w:hAnsi="Arial"/>
          <w:sz w:val="15"/>
          <w:szCs w:val="15"/>
          <w:color w:val="auto"/>
        </w:rPr>
      </w:pPr>
    </w:p>
    <w:p>
      <w:pPr>
        <w:jc w:val="both"/>
        <w:ind w:left="900" w:hanging="325"/>
        <w:spacing w:after="0" w:line="25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(whether for cash, cashless, or net exercise) of warrants to purchase shares of common stock (or any security convertible into or exercisable or exchangeable for common stock), provided that the underlying shares shall continue to be subject to the lock-up restrictions and provided further that, other than in respect of warrants that will expire or automatically exercise by their terms in connection with this offering, no filing under Section 16(a) of the Exchange Act shall be required or shall be voluntarily made during the restricted period (other than a filing on Form 5);</w:t>
      </w:r>
    </w:p>
    <w:p>
      <w:pPr>
        <w:spacing w:after="0" w:line="61" w:lineRule="exact"/>
        <w:rPr>
          <w:rFonts w:ascii="Arial" w:cs="Arial" w:eastAsia="Arial" w:hAnsi="Arial"/>
          <w:sz w:val="18"/>
          <w:szCs w:val="18"/>
          <w:color w:val="auto"/>
        </w:rPr>
      </w:pPr>
    </w:p>
    <w:p>
      <w:pPr>
        <w:jc w:val="both"/>
        <w:ind w:left="900" w:hanging="325"/>
        <w:spacing w:after="0" w:line="29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common stock) to the Company or sold in connection with a vesting event of the Company’s securities or upon the exercise of options to purchase the Company’s securities, on a “cashless” or “net exercise” basis or to cover tax withholding obligations of the party subject to the lock-up restrictions in connection with such vesting or exercise provided that no filing under Section 16(a) of the Exchange Act shall be required or shall be voluntarily made during the restricted period (other than a filing on Form 5);</w:t>
      </w:r>
    </w:p>
    <w:p>
      <w:pPr>
        <w:spacing w:after="0" w:line="31" w:lineRule="exact"/>
        <w:rPr>
          <w:rFonts w:ascii="Arial" w:cs="Arial" w:eastAsia="Arial" w:hAnsi="Arial"/>
          <w:sz w:val="16"/>
          <w:szCs w:val="16"/>
          <w:color w:val="auto"/>
        </w:rPr>
      </w:pPr>
    </w:p>
    <w:p>
      <w:pPr>
        <w:jc w:val="both"/>
        <w:ind w:left="900" w:hanging="325"/>
        <w:spacing w:after="0" w:line="25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transfer or disposition of the shares of common stock (or any security convertible into or exercisable or exchangeable for common stock) held by the party subject to the lock-up restrictions that occurs by operation of law, such as pursuant to a qualified domestic order or in connection with a divorce settlement provided that each transferee shall sign and deliver a lock-up letter substantially in the form executed by the party subject to the lock-up restrictions;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hanging="325"/>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or exercisable or exchangeable for common stock) pursuant to a bona fide third party tender offer, merger, consolidation or other similar transaction made to all holders of the common stock involving a change of control of the Company, provided that in the event that the tender offer, merger, consolidation or other such transaction is not completed, the common stock owned by the party subject to the lock-up restrictions shall remain subject to such restrictions;</w:t>
      </w:r>
    </w:p>
    <w:p>
      <w:pPr>
        <w:spacing w:after="0" w:line="31" w:lineRule="exact"/>
        <w:rPr>
          <w:rFonts w:ascii="Arial" w:cs="Arial" w:eastAsia="Arial" w:hAnsi="Arial"/>
          <w:sz w:val="16"/>
          <w:szCs w:val="16"/>
          <w:color w:val="auto"/>
        </w:rPr>
      </w:pPr>
    </w:p>
    <w:p>
      <w:pPr>
        <w:jc w:val="both"/>
        <w:ind w:left="900" w:hanging="325"/>
        <w:spacing w:after="0" w:line="25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transactions by any person other than us relating to shares of common stock or other securities acquired in open market transactions after the completion of the offering of the shares, provided that no filing under Section 16(a) of the Exchange Act is required or voluntarily made in connection with subsequent sales of the common stock or other securities acquired in such open market transactions (other than a filing on Form 5); or</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securities to be sold pursuant to the underwriting agreement.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 of 1933, as amended.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“RARE.”</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4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90" w:lineRule="exact"/>
        <w:rPr>
          <w:sz w:val="20"/>
          <w:szCs w:val="20"/>
          <w:color w:val="auto"/>
        </w:rPr>
      </w:pPr>
    </w:p>
    <w:p>
      <w:pPr>
        <w:jc w:val="both"/>
        <w:ind w:firstLine="464"/>
        <w:spacing w:after="0" w:line="259" w:lineRule="auto"/>
        <w:tabs>
          <w:tab w:leader="none" w:pos="7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our common shares in circumstances in which Section 21(1) of the FSMA does not apply to us; and</w:t>
      </w:r>
    </w:p>
    <w:p>
      <w:pPr>
        <w:spacing w:after="0" w:line="59" w:lineRule="exact"/>
        <w:rPr>
          <w:rFonts w:ascii="Arial" w:cs="Arial" w:eastAsia="Arial" w:hAnsi="Arial"/>
          <w:sz w:val="18"/>
          <w:szCs w:val="18"/>
          <w:color w:val="auto"/>
        </w:rPr>
      </w:pPr>
    </w:p>
    <w:p>
      <w:pPr>
        <w:ind w:right="20" w:firstLine="464"/>
        <w:spacing w:after="0" w:line="268" w:lineRule="auto"/>
        <w:tabs>
          <w:tab w:leader="none" w:pos="7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our common shares in, from or otherwise involving the United Kingdom.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62" w:lineRule="exact"/>
        <w:rPr>
          <w:sz w:val="20"/>
          <w:szCs w:val="20"/>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jc w:val="both"/>
        <w:ind w:firstLine="464"/>
        <w:spacing w:after="0" w:line="259" w:lineRule="auto"/>
        <w:tabs>
          <w:tab w:leader="none" w:pos="7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59" w:lineRule="exact"/>
        <w:rPr>
          <w:rFonts w:ascii="Arial" w:cs="Arial" w:eastAsia="Arial" w:hAnsi="Arial"/>
          <w:sz w:val="18"/>
          <w:szCs w:val="18"/>
          <w:color w:val="auto"/>
        </w:rPr>
      </w:pPr>
    </w:p>
    <w:p>
      <w:pPr>
        <w:ind w:firstLine="464"/>
        <w:spacing w:after="0" w:line="268" w:lineRule="auto"/>
        <w:tabs>
          <w:tab w:leader="none" w:pos="7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5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prospectus nor any other offering or marketing material relating to the shares or the offering may be publicly distributed or otherwise made publicly available in Switzerland.</w:t>
      </w:r>
    </w:p>
    <w:p>
      <w:pPr>
        <w:spacing w:after="0" w:line="5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6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Gibson, Dunn &amp; Crutcher LLP, San Francisco, California will pass upon the validity of the shares of common stock offered hereby. Certain legal matters in connection with this offering will be passed upon for the underwriters by Latham &amp; Watkins LLP, Costa Mesa, California.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We are required to file annual, quarterly and special reports, proxy statements and other information with the SEC. You may read and copy any document filed by us at the SEC’s Public Reference Room at 100 F Street, N.E., Washington, D.C. 20549. Please call the SEC at 1-800-SEC-0330 for further information on the public reference room. Our filings with the SEC are also available to the public at the SEC’s Internet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filed a registration statement, of which this prospectus is a part, covering the securities offered hereby. As allowed by SEC rules, this prospectus does not include all of the information contained in the registration statement and the included exhibits, financial statements and schedules. You are referred to the registration statement, the included exhibits, financial statements and schedules for further information. This prospectus is qualified in its entirety by such other information.</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We are subject to the information and periodic reporting requirements of the Exchange Act and, in accordance therewith, file periodic reports, proxy statements and other information with the SEC. Such periodic reports, proxy statements and other information are available for inspection and copying at the public reference room and website of the SEC referred to above. We maintain a website at </w:t>
      </w:r>
      <w:r>
        <w:rPr>
          <w:rFonts w:ascii="Arial" w:cs="Arial" w:eastAsia="Arial" w:hAnsi="Arial"/>
          <w:sz w:val="18"/>
          <w:szCs w:val="18"/>
          <w:i w:val="1"/>
          <w:iCs w:val="1"/>
          <w:color w:val="auto"/>
        </w:rPr>
        <w:t>www.ultragenyx.com</w:t>
      </w:r>
      <w:r>
        <w:rPr>
          <w:rFonts w:ascii="Arial" w:cs="Arial" w:eastAsia="Arial" w:hAnsi="Arial"/>
          <w:sz w:val="18"/>
          <w:szCs w:val="18"/>
          <w:color w:val="auto"/>
        </w:rPr>
        <w:t>.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2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001-36276).</w:t>
      </w:r>
    </w:p>
    <w:p>
      <w:pPr>
        <w:spacing w:after="0" w:line="5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2013, filed with the SEC on March 24,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2014, filed with the SEC on May 12,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May 23, 2014;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5, 2014 and February 25, 2014 (other than the portions of those reports not deemed to be filed).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We will furnish without charge to you, on written or oral request, a copy of any or all of the documents incorporated by reference, including exhibits to these documents. You should direct any requests for documents to Ultragenyx Pharmaceutical Inc., 60 Leveroni Court, Novato, California, 94949. Copies of the above reports may also be accessed from our web site at </w:t>
      </w:r>
      <w:r>
        <w:rPr>
          <w:rFonts w:ascii="Arial" w:cs="Arial" w:eastAsia="Arial" w:hAnsi="Arial"/>
          <w:sz w:val="18"/>
          <w:szCs w:val="18"/>
          <w:i w:val="1"/>
          <w:iCs w:val="1"/>
          <w:color w:val="auto"/>
        </w:rPr>
        <w:t>http://www.ultragenyx.com</w:t>
      </w:r>
      <w:r>
        <w:rPr>
          <w:rFonts w:ascii="Arial" w:cs="Arial" w:eastAsia="Arial" w:hAnsi="Arial"/>
          <w:sz w:val="18"/>
          <w:szCs w:val="18"/>
          <w:color w:val="auto"/>
        </w:rPr>
        <w:t>.</w:t>
      </w:r>
    </w:p>
    <w:p>
      <w:pPr>
        <w:spacing w:after="0" w:line="59"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2,017,349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104775</wp:posOffset>
            </wp:positionV>
            <wp:extent cx="3910330" cy="14751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1033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Common Stock</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Morgan Stanley</w:t>
      </w:r>
    </w:p>
    <w:p>
      <w:pPr>
        <w:spacing w:after="0" w:line="125" w:lineRule="exact"/>
        <w:rPr>
          <w:sz w:val="20"/>
          <w:szCs w:val="20"/>
          <w:color w:val="auto"/>
        </w:rPr>
      </w:pPr>
    </w:p>
    <w:p>
      <w:pPr>
        <w:sectPr>
          <w:pgSz w:w="11900" w:h="16838" w:orient="portrait"/>
          <w:cols w:equalWidth="0" w:num="2">
            <w:col w:w="8480" w:space="720"/>
            <w:col w:w="22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22"/>
          <w:szCs w:val="22"/>
          <w:b w:val="1"/>
          <w:bCs w:val="1"/>
          <w:color w:val="auto"/>
        </w:rPr>
        <w:t>Cowen and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Baird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July 8, 2014</w:t>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3"/>
    </w:lvl>
  </w:abstractNum>
  <w:abstractNum w:abstractNumId="19">
    <w:nsid w:val="B03E0C6"/>
    <w:multiLevelType w:val="hybridMultilevel"/>
    <w:lvl w:ilvl="0">
      <w:lvlJc w:val="left"/>
      <w:lvlText w:val="(%1)"/>
      <w:numFmt w:val="decimal"/>
      <w:start w:val="12"/>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2019-12-08T00:34:19Z</dcterms:created>
  <dcterms:modified xsi:type="dcterms:W3CDTF">2019-12-08T00:34:19Z</dcterms:modified>
</cp:coreProperties>
</file>