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line="28" w:lineRule="exact"/>
        <w:rPr>
          <w:sz w:val="24"/>
          <w:szCs w:val="24"/>
          <w:color w:val="auto"/>
        </w:rPr>
      </w:pPr>
    </w:p>
    <w:p>
      <w:pPr>
        <w:ind w:left="4100" w:right="2540" w:hanging="4092"/>
        <w:spacing w:after="0" w:line="323" w:lineRule="auto"/>
        <w:tabs>
          <w:tab w:leader="none" w:pos="5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7"/>
          <w:szCs w:val="17"/>
          <w:b w:val="1"/>
          <w:bCs w:val="1"/>
          <w:color w:val="auto"/>
        </w:rPr>
        <w:t>ANNUAL REPORT PURSUANT TO SECTION 13 OR 15(d) OF THE SECURITIES EXCHANGE ACT OF 1934 For the fiscal year ended December 31, 2016</w:t>
      </w:r>
    </w:p>
    <w:p>
      <w:pPr>
        <w:spacing w:after="0" w:line="196"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48" w:lineRule="exact"/>
        <w:rPr>
          <w:sz w:val="24"/>
          <w:szCs w:val="24"/>
          <w:color w:val="auto"/>
        </w:rPr>
      </w:pPr>
    </w:p>
    <w:p>
      <w:pPr>
        <w:jc w:val="center"/>
        <w:ind w:right="-59"/>
        <w:spacing w:after="0"/>
        <w:tabs>
          <w:tab w:leader="none" w:pos="28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001-36276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Ultragenyx Pharmaceutical Inc.</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7"/>
          <w:szCs w:val="17"/>
          <w:i w:val="1"/>
          <w:iCs w:val="1"/>
          <w:color w:val="auto"/>
        </w:rPr>
        <w:t>(Exact name of registrant as specified in its charter)</w:t>
      </w:r>
    </w:p>
    <w:p>
      <w:pPr>
        <w:spacing w:after="0" w:line="55" w:lineRule="exact"/>
        <w:rPr>
          <w:sz w:val="24"/>
          <w:szCs w:val="24"/>
          <w:color w:val="auto"/>
        </w:rPr>
      </w:pPr>
    </w:p>
    <w:tbl>
      <w:tblPr>
        <w:tblLayout w:type="fixed"/>
        <w:tblInd w:w="520" w:type="dxa"/>
        <w:tblCellMar>
          <w:top w:w="0" w:type="dxa"/>
          <w:left w:w="0" w:type="dxa"/>
          <w:bottom w:w="0" w:type="dxa"/>
          <w:right w:w="0" w:type="dxa"/>
        </w:tblCellMar>
      </w:tblPr>
      <w:tr>
        <w:trPr>
          <w:trHeight w:val="209"/>
        </w:trPr>
        <w:tc>
          <w:tcPr>
            <w:tcW w:w="1720" w:type="dxa"/>
            <w:vAlign w:val="bottom"/>
          </w:tcPr>
          <w:p>
            <w:pPr>
              <w:spacing w:after="0"/>
              <w:rPr>
                <w:sz w:val="18"/>
                <w:szCs w:val="18"/>
                <w:color w:val="auto"/>
              </w:rPr>
            </w:pPr>
          </w:p>
        </w:tc>
        <w:tc>
          <w:tcPr>
            <w:tcW w:w="2440" w:type="dxa"/>
            <w:vAlign w:val="bottom"/>
            <w:gridSpan w:val="2"/>
          </w:tcPr>
          <w:p>
            <w:pPr>
              <w:jc w:val="center"/>
              <w:ind w:right="1115"/>
              <w:spacing w:after="0"/>
              <w:rPr>
                <w:sz w:val="20"/>
                <w:szCs w:val="20"/>
                <w:color w:val="auto"/>
              </w:rPr>
            </w:pPr>
            <w:r>
              <w:rPr>
                <w:rFonts w:ascii="Arial" w:cs="Arial" w:eastAsia="Arial" w:hAnsi="Arial"/>
                <w:sz w:val="17"/>
                <w:szCs w:val="17"/>
                <w:b w:val="1"/>
                <w:bCs w:val="1"/>
                <w:color w:val="auto"/>
                <w:w w:val="91"/>
              </w:rPr>
              <w:t>Delaware</w:t>
            </w:r>
          </w:p>
        </w:tc>
        <w:tc>
          <w:tcPr>
            <w:tcW w:w="4760" w:type="dxa"/>
            <w:vAlign w:val="bottom"/>
            <w:gridSpan w:val="3"/>
          </w:tcPr>
          <w:p>
            <w:pPr>
              <w:jc w:val="right"/>
              <w:ind w:right="375"/>
              <w:spacing w:after="0"/>
              <w:rPr>
                <w:sz w:val="20"/>
                <w:szCs w:val="20"/>
                <w:color w:val="auto"/>
              </w:rPr>
            </w:pPr>
            <w:r>
              <w:rPr>
                <w:rFonts w:ascii="Arial" w:cs="Arial" w:eastAsia="Arial" w:hAnsi="Arial"/>
                <w:sz w:val="17"/>
                <w:szCs w:val="17"/>
                <w:b w:val="1"/>
                <w:bCs w:val="1"/>
                <w:color w:val="auto"/>
              </w:rPr>
              <w:t>27-2546083</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4160" w:type="dxa"/>
            <w:vAlign w:val="bottom"/>
            <w:gridSpan w:val="3"/>
          </w:tcPr>
          <w:p>
            <w:pPr>
              <w:jc w:val="center"/>
              <w:ind w:left="435"/>
              <w:spacing w:after="0"/>
              <w:rPr>
                <w:sz w:val="20"/>
                <w:szCs w:val="20"/>
                <w:color w:val="auto"/>
              </w:rPr>
            </w:pPr>
            <w:r>
              <w:rPr>
                <w:rFonts w:ascii="Arial" w:cs="Arial" w:eastAsia="Arial" w:hAnsi="Arial"/>
                <w:sz w:val="17"/>
                <w:szCs w:val="17"/>
                <w:i w:val="1"/>
                <w:iCs w:val="1"/>
                <w:color w:val="auto"/>
                <w:w w:val="94"/>
              </w:rPr>
              <w:t>(State or other jurisdiction of</w:t>
            </w:r>
          </w:p>
        </w:tc>
        <w:tc>
          <w:tcPr>
            <w:tcW w:w="2540" w:type="dxa"/>
            <w:vAlign w:val="bottom"/>
          </w:tcPr>
          <w:p>
            <w:pPr>
              <w:spacing w:after="0"/>
              <w:rPr>
                <w:sz w:val="17"/>
                <w:szCs w:val="17"/>
                <w:color w:val="auto"/>
              </w:rPr>
            </w:pPr>
          </w:p>
        </w:tc>
        <w:tc>
          <w:tcPr>
            <w:tcW w:w="2900" w:type="dxa"/>
            <w:vAlign w:val="bottom"/>
            <w:gridSpan w:val="4"/>
          </w:tcPr>
          <w:p>
            <w:pPr>
              <w:jc w:val="center"/>
              <w:ind w:right="200"/>
              <w:spacing w:after="0"/>
              <w:rPr>
                <w:sz w:val="20"/>
                <w:szCs w:val="20"/>
                <w:color w:val="auto"/>
              </w:rPr>
            </w:pPr>
            <w:r>
              <w:rPr>
                <w:rFonts w:ascii="Arial" w:cs="Arial" w:eastAsia="Arial" w:hAnsi="Arial"/>
                <w:sz w:val="17"/>
                <w:szCs w:val="17"/>
                <w:i w:val="1"/>
                <w:iCs w:val="1"/>
                <w:color w:val="auto"/>
                <w:w w:val="93"/>
              </w:rPr>
              <w:t>(I.R.S. Employer Identification No.)</w:t>
            </w:r>
          </w:p>
        </w:tc>
      </w:tr>
      <w:tr>
        <w:trPr>
          <w:trHeight w:val="216"/>
        </w:trPr>
        <w:tc>
          <w:tcPr>
            <w:tcW w:w="4160" w:type="dxa"/>
            <w:vAlign w:val="bottom"/>
            <w:gridSpan w:val="3"/>
          </w:tcPr>
          <w:p>
            <w:pPr>
              <w:jc w:val="center"/>
              <w:ind w:left="435"/>
              <w:spacing w:after="0"/>
              <w:rPr>
                <w:sz w:val="20"/>
                <w:szCs w:val="20"/>
                <w:color w:val="auto"/>
              </w:rPr>
            </w:pPr>
            <w:r>
              <w:rPr>
                <w:rFonts w:ascii="Arial" w:cs="Arial" w:eastAsia="Arial" w:hAnsi="Arial"/>
                <w:sz w:val="17"/>
                <w:szCs w:val="17"/>
                <w:i w:val="1"/>
                <w:iCs w:val="1"/>
                <w:color w:val="auto"/>
                <w:w w:val="95"/>
              </w:rPr>
              <w:t>incorporation or organization)</w:t>
            </w:r>
          </w:p>
        </w:tc>
        <w:tc>
          <w:tcPr>
            <w:tcW w:w="2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4160" w:type="dxa"/>
            <w:vAlign w:val="bottom"/>
            <w:gridSpan w:val="3"/>
          </w:tcPr>
          <w:p>
            <w:pPr>
              <w:jc w:val="center"/>
              <w:ind w:left="455"/>
              <w:spacing w:after="0"/>
              <w:rPr>
                <w:sz w:val="20"/>
                <w:szCs w:val="20"/>
                <w:color w:val="auto"/>
              </w:rPr>
            </w:pPr>
            <w:r>
              <w:rPr>
                <w:rFonts w:ascii="Arial" w:cs="Arial" w:eastAsia="Arial" w:hAnsi="Arial"/>
                <w:sz w:val="17"/>
                <w:szCs w:val="17"/>
                <w:b w:val="1"/>
                <w:bCs w:val="1"/>
                <w:color w:val="auto"/>
                <w:w w:val="92"/>
              </w:rPr>
              <w:t>60 Leveroni Court</w:t>
            </w:r>
          </w:p>
        </w:tc>
        <w:tc>
          <w:tcPr>
            <w:tcW w:w="25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2"/>
        </w:trPr>
        <w:tc>
          <w:tcPr>
            <w:tcW w:w="4160" w:type="dxa"/>
            <w:vAlign w:val="bottom"/>
            <w:gridSpan w:val="3"/>
          </w:tcPr>
          <w:p>
            <w:pPr>
              <w:jc w:val="center"/>
              <w:ind w:left="435"/>
              <w:spacing w:after="0"/>
              <w:rPr>
                <w:sz w:val="20"/>
                <w:szCs w:val="20"/>
                <w:color w:val="auto"/>
              </w:rPr>
            </w:pPr>
            <w:r>
              <w:rPr>
                <w:rFonts w:ascii="Arial" w:cs="Arial" w:eastAsia="Arial" w:hAnsi="Arial"/>
                <w:sz w:val="17"/>
                <w:szCs w:val="17"/>
                <w:b w:val="1"/>
                <w:bCs w:val="1"/>
                <w:color w:val="auto"/>
                <w:w w:val="93"/>
              </w:rPr>
              <w:t>Novato, California</w:t>
            </w:r>
          </w:p>
        </w:tc>
        <w:tc>
          <w:tcPr>
            <w:tcW w:w="4760" w:type="dxa"/>
            <w:vAlign w:val="bottom"/>
            <w:gridSpan w:val="3"/>
          </w:tcPr>
          <w:p>
            <w:pPr>
              <w:jc w:val="right"/>
              <w:ind w:right="575"/>
              <w:spacing w:after="0"/>
              <w:rPr>
                <w:sz w:val="20"/>
                <w:szCs w:val="20"/>
                <w:color w:val="auto"/>
              </w:rPr>
            </w:pPr>
            <w:r>
              <w:rPr>
                <w:rFonts w:ascii="Arial" w:cs="Arial" w:eastAsia="Arial" w:hAnsi="Arial"/>
                <w:sz w:val="17"/>
                <w:szCs w:val="17"/>
                <w:b w:val="1"/>
                <w:bCs w:val="1"/>
                <w:color w:val="auto"/>
              </w:rPr>
              <w:t>94949</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4160" w:type="dxa"/>
            <w:vAlign w:val="bottom"/>
            <w:gridSpan w:val="3"/>
          </w:tcPr>
          <w:p>
            <w:pPr>
              <w:jc w:val="center"/>
              <w:ind w:left="435"/>
              <w:spacing w:after="0"/>
              <w:rPr>
                <w:sz w:val="20"/>
                <w:szCs w:val="20"/>
                <w:color w:val="auto"/>
              </w:rPr>
            </w:pPr>
            <w:r>
              <w:rPr>
                <w:rFonts w:ascii="Arial" w:cs="Arial" w:eastAsia="Arial" w:hAnsi="Arial"/>
                <w:sz w:val="17"/>
                <w:szCs w:val="17"/>
                <w:i w:val="1"/>
                <w:iCs w:val="1"/>
                <w:color w:val="auto"/>
                <w:w w:val="92"/>
              </w:rPr>
              <w:t>(Address of principal executive offices)</w:t>
            </w:r>
          </w:p>
        </w:tc>
        <w:tc>
          <w:tcPr>
            <w:tcW w:w="2540" w:type="dxa"/>
            <w:vAlign w:val="bottom"/>
          </w:tcPr>
          <w:p>
            <w:pPr>
              <w:spacing w:after="0"/>
              <w:rPr>
                <w:sz w:val="18"/>
                <w:szCs w:val="18"/>
                <w:color w:val="auto"/>
              </w:rPr>
            </w:pPr>
          </w:p>
        </w:tc>
        <w:tc>
          <w:tcPr>
            <w:tcW w:w="2220" w:type="dxa"/>
            <w:vAlign w:val="bottom"/>
            <w:gridSpan w:val="2"/>
          </w:tcPr>
          <w:p>
            <w:pPr>
              <w:jc w:val="center"/>
              <w:ind w:left="398"/>
              <w:spacing w:after="0"/>
              <w:rPr>
                <w:sz w:val="20"/>
                <w:szCs w:val="20"/>
                <w:color w:val="auto"/>
              </w:rPr>
            </w:pPr>
            <w:r>
              <w:rPr>
                <w:rFonts w:ascii="Arial" w:cs="Arial" w:eastAsia="Arial" w:hAnsi="Arial"/>
                <w:sz w:val="17"/>
                <w:szCs w:val="17"/>
                <w:i w:val="1"/>
                <w:iCs w:val="1"/>
                <w:color w:val="auto"/>
                <w:w w:val="92"/>
              </w:rPr>
              <w:t>(Zip Code)</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17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540" w:type="dxa"/>
            <w:vAlign w:val="bottom"/>
          </w:tcPr>
          <w:p>
            <w:pPr>
              <w:jc w:val="center"/>
              <w:ind w:right="395"/>
              <w:spacing w:after="0"/>
              <w:rPr>
                <w:sz w:val="20"/>
                <w:szCs w:val="20"/>
                <w:color w:val="auto"/>
              </w:rPr>
            </w:pPr>
            <w:r>
              <w:rPr>
                <w:rFonts w:ascii="Arial" w:cs="Arial" w:eastAsia="Arial" w:hAnsi="Arial"/>
                <w:sz w:val="17"/>
                <w:szCs w:val="17"/>
                <w:b w:val="1"/>
                <w:bCs w:val="1"/>
                <w:color w:val="auto"/>
                <w:w w:val="91"/>
              </w:rPr>
              <w:t>(415) 483-8800</w:t>
            </w:r>
          </w:p>
        </w:tc>
        <w:tc>
          <w:tcPr>
            <w:tcW w:w="1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320" w:type="dxa"/>
            <w:vAlign w:val="bottom"/>
            <w:gridSpan w:val="3"/>
          </w:tcPr>
          <w:p>
            <w:pPr>
              <w:jc w:val="center"/>
              <w:ind w:right="578"/>
              <w:spacing w:after="0"/>
              <w:rPr>
                <w:sz w:val="20"/>
                <w:szCs w:val="20"/>
                <w:color w:val="auto"/>
              </w:rPr>
            </w:pPr>
            <w:r>
              <w:rPr>
                <w:rFonts w:ascii="Arial" w:cs="Arial" w:eastAsia="Arial" w:hAnsi="Arial"/>
                <w:sz w:val="17"/>
                <w:szCs w:val="17"/>
                <w:i w:val="1"/>
                <w:iCs w:val="1"/>
                <w:color w:val="auto"/>
                <w:w w:val="90"/>
              </w:rPr>
              <w:t>(Registrant’s telephone number, including area code)</w:t>
            </w: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320" w:type="dxa"/>
            <w:vAlign w:val="bottom"/>
            <w:gridSpan w:val="3"/>
          </w:tcPr>
          <w:p>
            <w:pPr>
              <w:jc w:val="center"/>
              <w:ind w:right="578"/>
              <w:spacing w:after="0"/>
              <w:rPr>
                <w:sz w:val="20"/>
                <w:szCs w:val="20"/>
                <w:color w:val="auto"/>
              </w:rPr>
            </w:pPr>
            <w:r>
              <w:rPr>
                <w:rFonts w:ascii="Arial" w:cs="Arial" w:eastAsia="Arial" w:hAnsi="Arial"/>
                <w:sz w:val="17"/>
                <w:szCs w:val="17"/>
                <w:b w:val="1"/>
                <w:bCs w:val="1"/>
                <w:color w:val="auto"/>
                <w:w w:val="89"/>
              </w:rPr>
              <w:t>Securities registered pursuant to Section 12(b) of the Act:</w:t>
            </w: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3"/>
        </w:trPr>
        <w:tc>
          <w:tcPr>
            <w:tcW w:w="1720" w:type="dxa"/>
            <w:vAlign w:val="bottom"/>
          </w:tcPr>
          <w:p>
            <w:pPr>
              <w:spacing w:after="0"/>
              <w:rPr>
                <w:sz w:val="18"/>
                <w:szCs w:val="18"/>
                <w:color w:val="auto"/>
              </w:rPr>
            </w:pPr>
          </w:p>
        </w:tc>
        <w:tc>
          <w:tcPr>
            <w:tcW w:w="2440" w:type="dxa"/>
            <w:vAlign w:val="bottom"/>
            <w:gridSpan w:val="2"/>
          </w:tcPr>
          <w:p>
            <w:pPr>
              <w:jc w:val="center"/>
              <w:ind w:right="1215"/>
              <w:spacing w:after="0"/>
              <w:rPr>
                <w:sz w:val="20"/>
                <w:szCs w:val="20"/>
                <w:color w:val="auto"/>
              </w:rPr>
            </w:pPr>
            <w:r>
              <w:rPr>
                <w:rFonts w:ascii="Arial" w:cs="Arial" w:eastAsia="Arial" w:hAnsi="Arial"/>
                <w:sz w:val="14"/>
                <w:szCs w:val="14"/>
                <w:b w:val="1"/>
                <w:bCs w:val="1"/>
                <w:color w:val="auto"/>
                <w:w w:val="91"/>
              </w:rPr>
              <w:t>Title of Each Class</w:t>
            </w:r>
          </w:p>
        </w:tc>
        <w:tc>
          <w:tcPr>
            <w:tcW w:w="2540" w:type="dxa"/>
            <w:vAlign w:val="bottom"/>
          </w:tcPr>
          <w:p>
            <w:pPr>
              <w:spacing w:after="0"/>
              <w:rPr>
                <w:sz w:val="18"/>
                <w:szCs w:val="18"/>
                <w:color w:val="auto"/>
              </w:rPr>
            </w:pPr>
          </w:p>
        </w:tc>
        <w:tc>
          <w:tcPr>
            <w:tcW w:w="29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06"/>
        </w:trPr>
        <w:tc>
          <w:tcPr>
            <w:tcW w:w="1720" w:type="dxa"/>
            <w:vAlign w:val="bottom"/>
          </w:tcPr>
          <w:p>
            <w:pPr>
              <w:ind w:left="1080"/>
              <w:spacing w:after="0" w:line="185" w:lineRule="exact"/>
              <w:rPr>
                <w:sz w:val="20"/>
                <w:szCs w:val="20"/>
                <w:color w:val="auto"/>
              </w:rPr>
            </w:pPr>
            <w:r>
              <w:rPr>
                <w:rFonts w:ascii="Arial" w:cs="Arial" w:eastAsia="Arial" w:hAnsi="Arial"/>
                <w:sz w:val="17"/>
                <w:szCs w:val="17"/>
                <w:b w:val="1"/>
                <w:bCs w:val="1"/>
                <w:color w:val="auto"/>
                <w:w w:val="84"/>
              </w:rPr>
              <w:t>Common</w:t>
            </w: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Stock, $0.001</w:t>
            </w:r>
          </w:p>
        </w:tc>
        <w:tc>
          <w:tcPr>
            <w:tcW w:w="1300" w:type="dxa"/>
            <w:vAlign w:val="bottom"/>
          </w:tcPr>
          <w:p>
            <w:pPr>
              <w:spacing w:after="0" w:line="185" w:lineRule="exact"/>
              <w:rPr>
                <w:sz w:val="20"/>
                <w:szCs w:val="20"/>
                <w:color w:val="auto"/>
              </w:rPr>
            </w:pPr>
            <w:r>
              <w:rPr>
                <w:rFonts w:ascii="Arial" w:cs="Arial" w:eastAsia="Arial" w:hAnsi="Arial"/>
                <w:sz w:val="17"/>
                <w:szCs w:val="17"/>
                <w:b w:val="1"/>
                <w:bCs w:val="1"/>
                <w:color w:val="auto"/>
              </w:rPr>
              <w:t>par value</w:t>
            </w:r>
          </w:p>
        </w:tc>
        <w:tc>
          <w:tcPr>
            <w:tcW w:w="2540" w:type="dxa"/>
            <w:vAlign w:val="bottom"/>
          </w:tcPr>
          <w:p>
            <w:pPr>
              <w:spacing w:after="0"/>
              <w:rPr>
                <w:sz w:val="17"/>
                <w:szCs w:val="17"/>
                <w:color w:val="auto"/>
              </w:rPr>
            </w:pPr>
          </w:p>
        </w:tc>
        <w:tc>
          <w:tcPr>
            <w:tcW w:w="2820" w:type="dxa"/>
            <w:vAlign w:val="bottom"/>
            <w:tcBorders>
              <w:top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4"/>
              </w:rPr>
              <w:t>The NASDAQ Global Select Market</w:t>
            </w:r>
          </w:p>
        </w:tc>
        <w:tc>
          <w:tcPr>
            <w:tcW w:w="80" w:type="dxa"/>
            <w:vAlign w:val="bottom"/>
          </w:tcPr>
          <w:p>
            <w:pPr>
              <w:spacing w:after="0"/>
              <w:rPr>
                <w:sz w:val="17"/>
                <w:szCs w:val="17"/>
                <w:color w:val="auto"/>
              </w:rPr>
            </w:pPr>
          </w:p>
        </w:tc>
      </w:tr>
      <w:tr>
        <w:trPr>
          <w:trHeight w:val="222"/>
        </w:trPr>
        <w:tc>
          <w:tcPr>
            <w:tcW w:w="1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320" w:type="dxa"/>
            <w:vAlign w:val="bottom"/>
            <w:gridSpan w:val="3"/>
          </w:tcPr>
          <w:p>
            <w:pPr>
              <w:jc w:val="center"/>
              <w:ind w:right="578"/>
              <w:spacing w:after="0"/>
              <w:rPr>
                <w:sz w:val="20"/>
                <w:szCs w:val="20"/>
                <w:color w:val="auto"/>
              </w:rPr>
            </w:pPr>
            <w:r>
              <w:rPr>
                <w:rFonts w:ascii="Arial" w:cs="Arial" w:eastAsia="Arial" w:hAnsi="Arial"/>
                <w:sz w:val="17"/>
                <w:szCs w:val="17"/>
                <w:b w:val="1"/>
                <w:bCs w:val="1"/>
                <w:color w:val="auto"/>
                <w:w w:val="89"/>
              </w:rPr>
              <w:t xml:space="preserve">Securities registered pursuant to Section 12(g) of the Act: </w:t>
            </w:r>
            <w:r>
              <w:rPr>
                <w:rFonts w:ascii="Arial" w:cs="Arial" w:eastAsia="Arial" w:hAnsi="Arial"/>
                <w:sz w:val="17"/>
                <w:szCs w:val="17"/>
                <w:color w:val="auto"/>
                <w:w w:val="89"/>
              </w:rPr>
              <w:t>None.</w:t>
            </w: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8180" w:type="dxa"/>
            <w:vAlign w:val="bottom"/>
            <w:gridSpan w:val="5"/>
          </w:tcPr>
          <w:p>
            <w:pPr>
              <w:spacing w:after="0"/>
              <w:rPr>
                <w:sz w:val="20"/>
                <w:szCs w:val="20"/>
                <w:color w:val="auto"/>
              </w:rPr>
            </w:pPr>
            <w:r>
              <w:rPr>
                <w:rFonts w:ascii="Arial" w:cs="Arial" w:eastAsia="Arial" w:hAnsi="Arial"/>
                <w:sz w:val="17"/>
                <w:szCs w:val="17"/>
                <w:color w:val="auto"/>
                <w:w w:val="92"/>
              </w:rPr>
              <w:t>Indicate by check mark if the registrant is a well-known seasoned issuer, as defined in Rule 405 of the Securities Act.</w:t>
            </w:r>
          </w:p>
        </w:tc>
        <w:tc>
          <w:tcPr>
            <w:tcW w:w="740" w:type="dxa"/>
            <w:vAlign w:val="bottom"/>
          </w:tcPr>
          <w:p>
            <w:pPr>
              <w:ind w:left="20"/>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6"/>
                <w:szCs w:val="16"/>
                <w:color w:val="auto"/>
              </w:rPr>
              <w:t>☑</w:t>
            </w:r>
          </w:p>
        </w:tc>
        <w:tc>
          <w:tcPr>
            <w:tcW w:w="680" w:type="dxa"/>
            <w:vAlign w:val="bottom"/>
            <w:gridSpan w:val="2"/>
          </w:tcPr>
          <w:p>
            <w:pPr>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6"/>
                <w:szCs w:val="16"/>
                <w:color w:val="auto"/>
              </w:rPr>
              <w:t>☐</w:t>
            </w:r>
          </w:p>
        </w:tc>
      </w:tr>
      <w:tr>
        <w:trPr>
          <w:trHeight w:val="254"/>
        </w:trPr>
        <w:tc>
          <w:tcPr>
            <w:tcW w:w="8180" w:type="dxa"/>
            <w:vAlign w:val="bottom"/>
            <w:gridSpan w:val="5"/>
          </w:tcPr>
          <w:p>
            <w:pPr>
              <w:spacing w:after="0"/>
              <w:rPr>
                <w:sz w:val="20"/>
                <w:szCs w:val="20"/>
                <w:color w:val="auto"/>
              </w:rPr>
            </w:pPr>
            <w:r>
              <w:rPr>
                <w:rFonts w:ascii="Arial" w:cs="Arial" w:eastAsia="Arial" w:hAnsi="Arial"/>
                <w:sz w:val="17"/>
                <w:szCs w:val="17"/>
                <w:color w:val="auto"/>
                <w:w w:val="91"/>
              </w:rPr>
              <w:t>Indicate by check mark if the registrant is not required to file reports pursuant to Section 13 or Section 15(d) of the Act.</w:t>
            </w:r>
          </w:p>
        </w:tc>
        <w:tc>
          <w:tcPr>
            <w:tcW w:w="740" w:type="dxa"/>
            <w:vAlign w:val="bottom"/>
          </w:tcPr>
          <w:p>
            <w:pPr>
              <w:ind w:left="160"/>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6"/>
                <w:szCs w:val="16"/>
                <w:color w:val="auto"/>
              </w:rPr>
              <w:t>☐</w:t>
            </w:r>
          </w:p>
        </w:tc>
        <w:tc>
          <w:tcPr>
            <w:tcW w:w="680" w:type="dxa"/>
            <w:vAlign w:val="bottom"/>
            <w:gridSpan w:val="2"/>
          </w:tcPr>
          <w:p>
            <w:pPr>
              <w:ind w:left="160"/>
              <w:spacing w:after="0" w:line="196" w:lineRule="exact"/>
              <w:rPr>
                <w:sz w:val="20"/>
                <w:szCs w:val="20"/>
                <w:color w:val="auto"/>
              </w:rPr>
            </w:pPr>
            <w:r>
              <w:rPr>
                <w:rFonts w:ascii="Arial" w:cs="Arial" w:eastAsia="Arial" w:hAnsi="Arial"/>
                <w:sz w:val="17"/>
                <w:szCs w:val="17"/>
                <w:color w:val="auto"/>
                <w:w w:val="98"/>
              </w:rPr>
              <w:t xml:space="preserve">NO  </w:t>
            </w:r>
            <w:r>
              <w:rPr>
                <w:rFonts w:ascii="MS PGothic" w:cs="MS PGothic" w:eastAsia="MS PGothic" w:hAnsi="MS PGothic"/>
                <w:sz w:val="16"/>
                <w:szCs w:val="16"/>
                <w:color w:val="auto"/>
                <w:w w:val="98"/>
              </w:rPr>
              <w:t>☑</w:t>
            </w:r>
          </w:p>
        </w:tc>
      </w:tr>
    </w:tbl>
    <w:p>
      <w:pPr>
        <w:spacing w:after="0" w:line="11" w:lineRule="exact"/>
        <w:rPr>
          <w:sz w:val="24"/>
          <w:szCs w:val="24"/>
          <w:color w:val="auto"/>
        </w:rPr>
      </w:pPr>
    </w:p>
    <w:p>
      <w:pPr>
        <w:ind w:firstLine="518"/>
        <w:spacing w:after="0" w:line="212"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7"/>
          <w:szCs w:val="17"/>
          <w:color w:val="auto"/>
        </w:rPr>
        <w:t xml:space="preserve"> NO </w:t>
      </w:r>
      <w:r>
        <w:rPr>
          <w:rFonts w:ascii="MS PGothic" w:cs="MS PGothic" w:eastAsia="MS PGothic" w:hAnsi="MS PGothic"/>
          <w:sz w:val="16"/>
          <w:szCs w:val="16"/>
          <w:color w:val="auto"/>
        </w:rPr>
        <w:t>☐</w:t>
      </w:r>
    </w:p>
    <w:p>
      <w:pPr>
        <w:spacing w:after="0" w:line="13" w:lineRule="exact"/>
        <w:rPr>
          <w:sz w:val="24"/>
          <w:szCs w:val="24"/>
          <w:color w:val="auto"/>
        </w:rPr>
      </w:pPr>
    </w:p>
    <w:p>
      <w:pPr>
        <w:ind w:right="140" w:firstLine="518"/>
        <w:spacing w:after="0" w:line="212"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7"/>
          <w:szCs w:val="17"/>
          <w:color w:val="auto"/>
        </w:rPr>
        <w:t xml:space="preserve"> NO </w:t>
      </w:r>
      <w:r>
        <w:rPr>
          <w:rFonts w:ascii="MS PGothic" w:cs="MS PGothic" w:eastAsia="MS PGothic" w:hAnsi="MS PGothic"/>
          <w:sz w:val="16"/>
          <w:szCs w:val="16"/>
          <w:color w:val="auto"/>
        </w:rPr>
        <w:t>☐</w:t>
      </w:r>
    </w:p>
    <w:p>
      <w:pPr>
        <w:spacing w:after="0" w:line="2" w:lineRule="exact"/>
        <w:rPr>
          <w:sz w:val="24"/>
          <w:szCs w:val="24"/>
          <w:color w:val="auto"/>
        </w:rPr>
      </w:pPr>
    </w:p>
    <w:p>
      <w:pPr>
        <w:jc w:val="both"/>
        <w:ind w:right="240" w:firstLine="518"/>
        <w:spacing w:after="0" w:line="211" w:lineRule="exact"/>
        <w:rPr>
          <w:sz w:val="20"/>
          <w:szCs w:val="20"/>
          <w:color w:val="auto"/>
        </w:rPr>
      </w:pPr>
      <w:r>
        <w:rPr>
          <w:rFonts w:ascii="Arial" w:cs="Arial" w:eastAsia="Arial" w:hAnsi="Arial"/>
          <w:sz w:val="17"/>
          <w:szCs w:val="17"/>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13" w:lineRule="exact"/>
        <w:rPr>
          <w:sz w:val="24"/>
          <w:szCs w:val="24"/>
          <w:color w:val="auto"/>
        </w:rPr>
      </w:pPr>
    </w:p>
    <w:p>
      <w:pPr>
        <w:ind w:right="160" w:firstLine="518"/>
        <w:spacing w:after="0" w:line="28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Layout w:type="fixed"/>
        <w:tblInd w:w="520" w:type="dxa"/>
        <w:tblCellMar>
          <w:top w:w="0" w:type="dxa"/>
          <w:left w:w="0" w:type="dxa"/>
          <w:bottom w:w="0" w:type="dxa"/>
          <w:right w:w="0" w:type="dxa"/>
        </w:tblCellMar>
      </w:tblPr>
      <w:tr>
        <w:trPr>
          <w:trHeight w:val="254"/>
        </w:trPr>
        <w:tc>
          <w:tcPr>
            <w:tcW w:w="2100" w:type="dxa"/>
            <w:vAlign w:val="bottom"/>
          </w:tcPr>
          <w:p>
            <w:pPr>
              <w:ind w:left="60"/>
              <w:spacing w:after="0" w:line="19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6"/>
                <w:szCs w:val="16"/>
                <w:color w:val="auto"/>
              </w:rPr>
              <w:t>☑</w:t>
            </w:r>
          </w:p>
        </w:tc>
        <w:tc>
          <w:tcPr>
            <w:tcW w:w="1840" w:type="dxa"/>
            <w:vAlign w:val="bottom"/>
          </w:tcPr>
          <w:p>
            <w:pPr>
              <w:ind w:left="260"/>
              <w:spacing w:after="0" w:line="196" w:lineRule="exact"/>
              <w:rPr>
                <w:sz w:val="20"/>
                <w:szCs w:val="20"/>
                <w:color w:val="auto"/>
              </w:rPr>
            </w:pPr>
            <w:r>
              <w:rPr>
                <w:rFonts w:ascii="Arial" w:cs="Arial" w:eastAsia="Arial" w:hAnsi="Arial"/>
                <w:sz w:val="17"/>
                <w:szCs w:val="17"/>
                <w:color w:val="auto"/>
              </w:rPr>
              <w:t xml:space="preserve">Accelerated filer </w:t>
            </w:r>
            <w:r>
              <w:rPr>
                <w:rFonts w:ascii="MS PGothic" w:cs="MS PGothic" w:eastAsia="MS PGothic" w:hAnsi="MS PGothic"/>
                <w:sz w:val="16"/>
                <w:szCs w:val="16"/>
                <w:color w:val="auto"/>
              </w:rPr>
              <w:t>☐</w:t>
            </w:r>
          </w:p>
        </w:tc>
        <w:tc>
          <w:tcPr>
            <w:tcW w:w="3920" w:type="dxa"/>
            <w:vAlign w:val="bottom"/>
          </w:tcPr>
          <w:p>
            <w:pPr>
              <w:ind w:left="1340"/>
              <w:spacing w:after="0" w:line="196" w:lineRule="exact"/>
              <w:rPr>
                <w:sz w:val="20"/>
                <w:szCs w:val="20"/>
                <w:color w:val="auto"/>
              </w:rPr>
            </w:pPr>
            <w:r>
              <w:rPr>
                <w:rFonts w:ascii="Arial" w:cs="Arial" w:eastAsia="Arial" w:hAnsi="Arial"/>
                <w:sz w:val="17"/>
                <w:szCs w:val="17"/>
                <w:color w:val="auto"/>
              </w:rPr>
              <w:t xml:space="preserve">Non- accelerated filer </w:t>
            </w:r>
            <w:r>
              <w:rPr>
                <w:rFonts w:ascii="MS PGothic" w:cs="MS PGothic" w:eastAsia="MS PGothic" w:hAnsi="MS PGothic"/>
                <w:sz w:val="16"/>
                <w:szCs w:val="16"/>
                <w:color w:val="auto"/>
              </w:rPr>
              <w:t>☐</w:t>
            </w:r>
          </w:p>
        </w:tc>
        <w:tc>
          <w:tcPr>
            <w:tcW w:w="2400" w:type="dxa"/>
            <w:vAlign w:val="bottom"/>
          </w:tcPr>
          <w:p>
            <w:pPr>
              <w:ind w:left="300"/>
              <w:spacing w:after="0" w:line="196" w:lineRule="exact"/>
              <w:rPr>
                <w:sz w:val="20"/>
                <w:szCs w:val="20"/>
                <w:color w:val="auto"/>
              </w:rPr>
            </w:pPr>
            <w:r>
              <w:rPr>
                <w:rFonts w:ascii="Arial" w:cs="Arial" w:eastAsia="Arial" w:hAnsi="Arial"/>
                <w:sz w:val="17"/>
                <w:szCs w:val="17"/>
                <w:color w:val="auto"/>
                <w:w w:val="92"/>
              </w:rPr>
              <w:t xml:space="preserve">Smaller reporting company </w:t>
            </w:r>
            <w:r>
              <w:rPr>
                <w:rFonts w:ascii="MS PGothic" w:cs="MS PGothic" w:eastAsia="MS PGothic" w:hAnsi="MS PGothic"/>
                <w:sz w:val="16"/>
                <w:szCs w:val="16"/>
                <w:color w:val="auto"/>
                <w:w w:val="92"/>
              </w:rPr>
              <w:t>☐</w:t>
            </w:r>
          </w:p>
        </w:tc>
        <w:tc>
          <w:tcPr>
            <w:tcW w:w="0" w:type="dxa"/>
            <w:vAlign w:val="bottom"/>
          </w:tcPr>
          <w:p>
            <w:pPr>
              <w:spacing w:after="0"/>
              <w:rPr>
                <w:sz w:val="1"/>
                <w:szCs w:val="1"/>
                <w:color w:val="auto"/>
              </w:rPr>
            </w:pPr>
          </w:p>
        </w:tc>
      </w:tr>
      <w:tr>
        <w:trPr>
          <w:trHeight w:val="254"/>
        </w:trPr>
        <w:tc>
          <w:tcPr>
            <w:tcW w:w="21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3920" w:type="dxa"/>
            <w:vAlign w:val="bottom"/>
          </w:tcPr>
          <w:p>
            <w:pPr>
              <w:ind w:left="220"/>
              <w:spacing w:after="0"/>
              <w:rPr>
                <w:sz w:val="20"/>
                <w:szCs w:val="20"/>
                <w:color w:val="auto"/>
              </w:rPr>
            </w:pPr>
            <w:r>
              <w:rPr>
                <w:rFonts w:ascii="Arial" w:cs="Arial" w:eastAsia="Arial" w:hAnsi="Arial"/>
                <w:sz w:val="17"/>
                <w:szCs w:val="17"/>
                <w:color w:val="auto"/>
              </w:rPr>
              <w:t>(Do not check if a smaller reporting company)</w:t>
            </w:r>
          </w:p>
        </w:tc>
        <w:tc>
          <w:tcPr>
            <w:tcW w:w="2400" w:type="dxa"/>
            <w:vAlign w:val="bottom"/>
            <w:vMerge w:val="restart"/>
          </w:tcPr>
          <w:p>
            <w:pPr>
              <w:ind w:left="80"/>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6"/>
                <w:szCs w:val="16"/>
                <w:color w:val="auto"/>
              </w:rPr>
              <w:t>☐</w:t>
            </w:r>
            <w:r>
              <w:rPr>
                <w:rFonts w:ascii="Arial" w:cs="Arial" w:eastAsia="Arial" w:hAnsi="Arial"/>
                <w:sz w:val="17"/>
                <w:szCs w:val="17"/>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46"/>
        </w:trPr>
        <w:tc>
          <w:tcPr>
            <w:tcW w:w="7860" w:type="dxa"/>
            <w:vAlign w:val="bottom"/>
            <w:gridSpan w:val="3"/>
          </w:tcPr>
          <w:p>
            <w:pPr>
              <w:spacing w:after="0"/>
              <w:rPr>
                <w:sz w:val="20"/>
                <w:szCs w:val="20"/>
                <w:color w:val="auto"/>
              </w:rPr>
            </w:pPr>
            <w:r>
              <w:rPr>
                <w:rFonts w:ascii="Arial" w:cs="Arial" w:eastAsia="Arial" w:hAnsi="Arial"/>
                <w:sz w:val="17"/>
                <w:szCs w:val="17"/>
                <w:color w:val="auto"/>
                <w:w w:val="92"/>
              </w:rPr>
              <w:t>Indicate by check mark whether the registrant is a shell company (as defined in Rule 12b-2 of the Exchange Act).</w:t>
            </w:r>
          </w:p>
        </w:tc>
        <w:tc>
          <w:tcPr>
            <w:tcW w:w="2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1" w:lineRule="exact"/>
        <w:rPr>
          <w:sz w:val="24"/>
          <w:szCs w:val="24"/>
          <w:color w:val="auto"/>
        </w:rPr>
      </w:pPr>
    </w:p>
    <w:p>
      <w:pPr>
        <w:ind w:right="160" w:firstLine="518"/>
        <w:spacing w:after="0" w:line="277" w:lineRule="auto"/>
        <w:rPr>
          <w:sz w:val="20"/>
          <w:szCs w:val="20"/>
          <w:color w:val="auto"/>
        </w:rPr>
      </w:pPr>
      <w:r>
        <w:rPr>
          <w:rFonts w:ascii="Arial" w:cs="Arial" w:eastAsia="Arial" w:hAnsi="Arial"/>
          <w:sz w:val="16"/>
          <w:szCs w:val="16"/>
          <w:color w:val="auto"/>
        </w:rPr>
        <w:t>The aggregate market value of the voting and non-voting common equity held by non-affiliates of the Company as of June 30, 2016 was approximately $1.9 billion, based upon the closing price on The NASDAQ Global Select Market reported for such date. Shares of common stock held by each executive officer and director and by each person who is known to own 10% or more of the outstanding common stock have been excluded in that such persons may be deemed to be affiliates of the Company. This determination of affiliate status is not necessarily a conclusive determination for other purposes.</w:t>
      </w:r>
    </w:p>
    <w:p>
      <w:pPr>
        <w:spacing w:after="0" w:line="1" w:lineRule="exact"/>
        <w:rPr>
          <w:sz w:val="24"/>
          <w:szCs w:val="24"/>
          <w:color w:val="auto"/>
        </w:rPr>
      </w:pPr>
    </w:p>
    <w:p>
      <w:pPr>
        <w:ind w:left="520"/>
        <w:spacing w:after="0"/>
        <w:rPr>
          <w:sz w:val="20"/>
          <w:szCs w:val="20"/>
          <w:color w:val="auto"/>
        </w:rPr>
      </w:pPr>
      <w:r>
        <w:rPr>
          <w:rFonts w:ascii="Arial" w:cs="Arial" w:eastAsia="Arial" w:hAnsi="Arial"/>
          <w:sz w:val="17"/>
          <w:szCs w:val="17"/>
          <w:color w:val="auto"/>
        </w:rPr>
        <w:t>As of February 13, 2017, the Company had 41,726,736 shares of common stock issued and outstanding.</w:t>
      </w:r>
    </w:p>
    <w:p>
      <w:pPr>
        <w:spacing w:after="0" w:line="28" w:lineRule="exact"/>
        <w:rPr>
          <w:sz w:val="24"/>
          <w:szCs w:val="24"/>
          <w:color w:val="auto"/>
        </w:rPr>
      </w:pPr>
    </w:p>
    <w:p>
      <w:pPr>
        <w:ind w:left="4020"/>
        <w:spacing w:after="0"/>
        <w:rPr>
          <w:sz w:val="20"/>
          <w:szCs w:val="20"/>
          <w:color w:val="auto"/>
        </w:rPr>
      </w:pPr>
      <w:r>
        <w:rPr>
          <w:rFonts w:ascii="Arial" w:cs="Arial" w:eastAsia="Arial" w:hAnsi="Arial"/>
          <w:sz w:val="17"/>
          <w:szCs w:val="17"/>
          <w:b w:val="1"/>
          <w:bCs w:val="1"/>
          <w:color w:val="auto"/>
        </w:rPr>
        <w:t>DOCUMENTS INCORPORATED BY REFERENCE</w:t>
      </w:r>
    </w:p>
    <w:p>
      <w:pPr>
        <w:spacing w:after="0" w:line="54" w:lineRule="exact"/>
        <w:rPr>
          <w:sz w:val="24"/>
          <w:szCs w:val="24"/>
          <w:color w:val="auto"/>
        </w:rPr>
      </w:pPr>
    </w:p>
    <w:p>
      <w:pPr>
        <w:ind w:right="20" w:firstLine="518"/>
        <w:spacing w:after="0" w:line="261" w:lineRule="auto"/>
        <w:rPr>
          <w:sz w:val="20"/>
          <w:szCs w:val="20"/>
          <w:color w:val="auto"/>
        </w:rPr>
      </w:pPr>
      <w:r>
        <w:rPr>
          <w:rFonts w:ascii="Arial" w:cs="Arial" w:eastAsia="Arial" w:hAnsi="Arial"/>
          <w:sz w:val="17"/>
          <w:szCs w:val="17"/>
          <w:color w:val="auto"/>
        </w:rPr>
        <w:t>Portions of the registrant’s definitive proxy statement relating to its 2017 Annual Meeting of Stockholders, to be held on or about June 22, 2017, are incorporated by reference into Part III of this Annual Report on Form 10-K where indicated. Such proxy statement will be filed with the U.S.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245110</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Table of Contents</w:t>
      </w:r>
    </w:p>
    <w:p>
      <w:pPr>
        <w:spacing w:after="0" w:line="244"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u w:val="single" w:color="auto"/>
          <w:color w:val="auto"/>
        </w:rPr>
        <w:t>Page</w:t>
      </w:r>
    </w:p>
    <w:p>
      <w:pPr>
        <w:spacing w:after="0" w:line="25" w:lineRule="exact"/>
        <w:rPr>
          <w:sz w:val="20"/>
          <w:szCs w:val="20"/>
          <w:color w:val="auto"/>
        </w:rPr>
      </w:pPr>
    </w:p>
    <w:p>
      <w:pPr>
        <w:jc w:val="center"/>
        <w:ind w:left="56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w:t>
        </w:r>
      </w:hyperlink>
    </w:p>
    <w:p>
      <w:pPr>
        <w:sectPr>
          <w:pgSz w:w="11900" w:h="16838" w:orient="portrait"/>
          <w:cols w:equalWidth="0" w:num="1">
            <w:col w:w="11440"/>
          </w:cols>
          <w:pgMar w:left="240" w:top="121" w:right="219" w:bottom="1440" w:gutter="0" w:footer="0" w:header="0"/>
        </w:sectPr>
      </w:pP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Item 1A.</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Item 1B.</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Item 5.</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 6.</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 7.</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Item 7A.</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Item 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 9.</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Item 9A.</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Item 9B.</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560" w:type="dxa"/>
            <w:vAlign w:val="bottom"/>
            <w:gridSpan w:val="14"/>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31"/>
        </w:trPr>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Risk Factors</w:t>
              </w:r>
            </w:hyperlink>
          </w:p>
        </w:tc>
        <w:tc>
          <w:tcPr>
            <w:tcW w:w="8300" w:type="dxa"/>
            <w:vAlign w:val="bottom"/>
            <w:gridSpan w:val="12"/>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31"/>
        </w:trPr>
        <w:tc>
          <w:tcPr>
            <w:tcW w:w="20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Unresolved Staff Comments</w:t>
              </w:r>
            </w:hyperlink>
          </w:p>
        </w:tc>
        <w:tc>
          <w:tcPr>
            <w:tcW w:w="7160" w:type="dxa"/>
            <w:vAlign w:val="bottom"/>
            <w:gridSpan w:val="9"/>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31"/>
        </w:trPr>
        <w:tc>
          <w:tcPr>
            <w:tcW w:w="9200" w:type="dxa"/>
            <w:vAlign w:val="bottom"/>
            <w:gridSpan w:val="15"/>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Properties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31"/>
        </w:trPr>
        <w:tc>
          <w:tcPr>
            <w:tcW w:w="9200" w:type="dxa"/>
            <w:vAlign w:val="bottom"/>
            <w:gridSpan w:val="15"/>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Legal Proceedings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31"/>
        </w:trPr>
        <w:tc>
          <w:tcPr>
            <w:tcW w:w="9200" w:type="dxa"/>
            <w:vAlign w:val="bottom"/>
            <w:gridSpan w:val="15"/>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Mine Safety Disclosures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196"/>
        </w:trPr>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Borders>
              <w:bottom w:val="single" w:sz="8" w:color="0000EE"/>
            </w:tcBorders>
          </w:tcPr>
          <w:p>
            <w:pPr>
              <w:jc w:val="center"/>
              <w:spacing w:after="0" w:line="196" w:lineRule="exact"/>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PART II</w:t>
              </w:r>
            </w:hyperlink>
          </w:p>
        </w:tc>
        <w:tc>
          <w:tcPr>
            <w:tcW w:w="3780" w:type="dxa"/>
            <w:vAlign w:val="bottom"/>
            <w:gridSpan w:val="4"/>
          </w:tcPr>
          <w:p>
            <w:pPr>
              <w:spacing w:after="0"/>
              <w:rPr>
                <w:sz w:val="17"/>
                <w:szCs w:val="17"/>
                <w:color w:val="auto"/>
              </w:rPr>
            </w:pPr>
          </w:p>
        </w:tc>
        <w:tc>
          <w:tcPr>
            <w:tcW w:w="1300" w:type="dxa"/>
            <w:vAlign w:val="bottom"/>
          </w:tcPr>
          <w:p>
            <w:pPr>
              <w:spacing w:after="0"/>
              <w:rPr>
                <w:sz w:val="17"/>
                <w:szCs w:val="17"/>
                <w:color w:val="auto"/>
              </w:rPr>
            </w:pPr>
          </w:p>
        </w:tc>
      </w:tr>
      <w:tr>
        <w:trPr>
          <w:trHeight w:val="331"/>
        </w:trPr>
        <w:tc>
          <w:tcPr>
            <w:tcW w:w="9200" w:type="dxa"/>
            <w:vAlign w:val="bottom"/>
            <w:gridSpan w:val="15"/>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Market for Registrant’s Common Equity, Related Stockholder Matters and Issuer Purchases of Equity Securities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31"/>
        </w:trPr>
        <w:tc>
          <w:tcPr>
            <w:tcW w:w="27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Selected Consolidated Financial Data</w:t>
              </w:r>
            </w:hyperlink>
          </w:p>
        </w:tc>
        <w:tc>
          <w:tcPr>
            <w:tcW w:w="5360" w:type="dxa"/>
            <w:vAlign w:val="bottom"/>
            <w:tcBorders>
              <w:top w:val="single" w:sz="8" w:color="0000EE"/>
            </w:tcBorders>
            <w:gridSpan w:val="7"/>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31"/>
        </w:trPr>
        <w:tc>
          <w:tcPr>
            <w:tcW w:w="646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59">
              <w:r>
                <w:rPr>
                  <w:rFonts w:ascii="Arial" w:cs="Arial" w:eastAsia="Arial" w:hAnsi="Arial"/>
                  <w:sz w:val="18"/>
                  <w:szCs w:val="18"/>
                  <w:color w:val="0000EE"/>
                  <w:w w:val="90"/>
                </w:rPr>
                <w:t>Management’s Discussion and Analysis of Financial Condition and Results of Operations</w:t>
              </w:r>
            </w:hyperlink>
          </w:p>
        </w:tc>
        <w:tc>
          <w:tcPr>
            <w:tcW w:w="2740" w:type="dxa"/>
            <w:vAlign w:val="bottom"/>
            <w:gridSpan w:val="3"/>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31"/>
        </w:trPr>
        <w:tc>
          <w:tcPr>
            <w:tcW w:w="436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69">
              <w:r>
                <w:rPr>
                  <w:rFonts w:ascii="Arial" w:cs="Arial" w:eastAsia="Arial" w:hAnsi="Arial"/>
                  <w:sz w:val="18"/>
                  <w:szCs w:val="18"/>
                  <w:color w:val="0000EE"/>
                  <w:w w:val="92"/>
                </w:rPr>
                <w:t>Quantitative and Qualitative Disclosures About Market Risk</w:t>
              </w:r>
            </w:hyperlink>
          </w:p>
        </w:tc>
        <w:tc>
          <w:tcPr>
            <w:tcW w:w="4840" w:type="dxa"/>
            <w:vAlign w:val="bottom"/>
            <w:gridSpan w:val="6"/>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31"/>
        </w:trPr>
        <w:tc>
          <w:tcPr>
            <w:tcW w:w="9200" w:type="dxa"/>
            <w:vAlign w:val="bottom"/>
            <w:gridSpan w:val="15"/>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Financial Statements and Supplementary Data</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000" w:type="dxa"/>
            <w:vAlign w:val="bottom"/>
            <w:gridSpan w:val="4"/>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31"/>
        </w:trPr>
        <w:tc>
          <w:tcPr>
            <w:tcW w:w="9200" w:type="dxa"/>
            <w:vAlign w:val="bottom"/>
            <w:gridSpan w:val="15"/>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Changes in and Disagreements With Accountants on Accounting and Financial Disclosure</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31"/>
        </w:trPr>
        <w:tc>
          <w:tcPr>
            <w:tcW w:w="6500" w:type="dxa"/>
            <w:vAlign w:val="bottom"/>
            <w:tcBorders>
              <w:top w:val="single" w:sz="8" w:color="0000EE"/>
            </w:tcBorders>
            <w:gridSpan w:val="13"/>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Controls and Procedures</w:t>
              </w:r>
            </w:hyperlink>
          </w:p>
        </w:tc>
        <w:tc>
          <w:tcPr>
            <w:tcW w:w="2700" w:type="dxa"/>
            <w:vAlign w:val="bottom"/>
            <w:gridSpan w:val="2"/>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31"/>
        </w:trPr>
        <w:tc>
          <w:tcPr>
            <w:tcW w:w="1760" w:type="dxa"/>
            <w:vAlign w:val="bottom"/>
            <w:tcBorders>
              <w:top w:val="single" w:sz="8" w:color="0000EE"/>
            </w:tcBorders>
            <w:gridSpan w:val="5"/>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Other Information</w:t>
              </w:r>
            </w:hyperlink>
          </w:p>
        </w:tc>
        <w:tc>
          <w:tcPr>
            <w:tcW w:w="7440" w:type="dxa"/>
            <w:vAlign w:val="bottom"/>
            <w:gridSpan w:val="10"/>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196"/>
        </w:trPr>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60" w:type="dxa"/>
            <w:vAlign w:val="bottom"/>
            <w:gridSpan w:val="5"/>
          </w:tcPr>
          <w:p>
            <w:pPr>
              <w:jc w:val="center"/>
              <w:ind w:right="3780"/>
              <w:spacing w:after="0" w:line="196" w:lineRule="exact"/>
              <w:rPr>
                <w:rFonts w:ascii="Arial" w:cs="Arial" w:eastAsia="Arial" w:hAnsi="Arial"/>
                <w:sz w:val="18"/>
                <w:szCs w:val="18"/>
                <w:b w:val="1"/>
                <w:bCs w:val="1"/>
                <w:color w:val="0000EE"/>
                <w:w w:val="98"/>
              </w:rPr>
            </w:pPr>
            <w:hyperlink w:anchor="page71">
              <w:r>
                <w:rPr>
                  <w:rFonts w:ascii="Arial" w:cs="Arial" w:eastAsia="Arial" w:hAnsi="Arial"/>
                  <w:sz w:val="18"/>
                  <w:szCs w:val="18"/>
                  <w:b w:val="1"/>
                  <w:bCs w:val="1"/>
                  <w:color w:val="0000EE"/>
                  <w:w w:val="98"/>
                </w:rPr>
                <w:t>PART III</w:t>
              </w:r>
            </w:hyperlink>
          </w:p>
        </w:tc>
        <w:tc>
          <w:tcPr>
            <w:tcW w:w="1300" w:type="dxa"/>
            <w:vAlign w:val="bottom"/>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131" w:lineRule="exact"/>
        <w:rPr>
          <w:sz w:val="20"/>
          <w:szCs w:val="20"/>
          <w:color w:val="auto"/>
        </w:rPr>
      </w:pPr>
    </w:p>
    <w:p>
      <w:pPr>
        <w:sectPr>
          <w:pgSz w:w="11900" w:h="16838" w:orient="portrait"/>
          <w:cols w:equalWidth="0" w:num="2">
            <w:col w:w="640" w:space="280"/>
            <w:col w:w="10520"/>
          </w:cols>
          <w:pgMar w:left="240" w:top="121" w:right="21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Item 10.</w:t>
            </w:r>
          </w:p>
        </w:tc>
        <w:tc>
          <w:tcPr>
            <w:tcW w:w="8800" w:type="dxa"/>
            <w:vAlign w:val="bottom"/>
            <w:gridSpan w:val="11"/>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Directors, Executive Officers and Corporate Governance</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3"/>
          </w:tcPr>
          <w:p>
            <w:pPr>
              <w:spacing w:after="0"/>
              <w:rPr>
                <w:sz w:val="24"/>
                <w:szCs w:val="24"/>
                <w:color w:val="auto"/>
              </w:rPr>
            </w:pPr>
          </w:p>
        </w:tc>
        <w:tc>
          <w:tcPr>
            <w:tcW w:w="4720" w:type="dxa"/>
            <w:vAlign w:val="bottom"/>
            <w:gridSpan w:val="5"/>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Item 12.</w:t>
            </w:r>
          </w:p>
        </w:tc>
        <w:tc>
          <w:tcPr>
            <w:tcW w:w="8800" w:type="dxa"/>
            <w:vAlign w:val="bottom"/>
            <w:gridSpan w:val="11"/>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Security Ownership of Certain Beneficial Owners and Management and Related Stockholder Matters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0"/>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Certain Relationships and Related Transactions, and Director Independence</w:t>
              </w:r>
            </w:hyperlink>
          </w:p>
        </w:tc>
        <w:tc>
          <w:tcPr>
            <w:tcW w:w="15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9"/>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Principal Accountant Fees and Services</w:t>
              </w:r>
            </w:hyperlink>
          </w:p>
        </w:tc>
        <w:tc>
          <w:tcPr>
            <w:tcW w:w="3360" w:type="dxa"/>
            <w:vAlign w:val="bottom"/>
            <w:gridSpan w:val="2"/>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196"/>
        </w:trPr>
        <w:tc>
          <w:tcPr>
            <w:tcW w:w="9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100" w:type="dxa"/>
            <w:vAlign w:val="bottom"/>
            <w:gridSpan w:val="4"/>
          </w:tcPr>
          <w:p>
            <w:pPr>
              <w:spacing w:after="0" w:line="196" w:lineRule="exact"/>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PART IV</w:t>
              </w:r>
            </w:hyperlink>
          </w:p>
        </w:tc>
        <w:tc>
          <w:tcPr>
            <w:tcW w:w="1720" w:type="dxa"/>
            <w:vAlign w:val="bottom"/>
          </w:tcPr>
          <w:p>
            <w:pPr>
              <w:spacing w:after="0"/>
              <w:rPr>
                <w:sz w:val="17"/>
                <w:szCs w:val="17"/>
                <w:color w:val="auto"/>
              </w:rPr>
            </w:pP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Exhibits and Financial Statement Schedules</w:t>
              </w:r>
            </w:hyperlink>
          </w:p>
        </w:tc>
        <w:tc>
          <w:tcPr>
            <w:tcW w:w="1540" w:type="dxa"/>
            <w:vAlign w:val="bottom"/>
            <w:gridSpan w:val="2"/>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3380" w:type="dxa"/>
            <w:vAlign w:val="bottom"/>
            <w:gridSpan w:val="3"/>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Item 16.</w:t>
            </w:r>
          </w:p>
        </w:tc>
        <w:tc>
          <w:tcPr>
            <w:tcW w:w="8800" w:type="dxa"/>
            <w:vAlign w:val="bottom"/>
            <w:gridSpan w:val="11"/>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Form 10-K Summary</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7260" w:type="dxa"/>
            <w:vAlign w:val="bottom"/>
            <w:gridSpan w:val="9"/>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18"/>
        </w:trPr>
        <w:tc>
          <w:tcPr>
            <w:tcW w:w="9720" w:type="dxa"/>
            <w:vAlign w:val="bottom"/>
            <w:gridSpan w:val="12"/>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SIGNATURES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784"/>
        </w:trPr>
        <w:tc>
          <w:tcPr>
            <w:tcW w:w="92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5"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This Annual Report on Form 10-K, or Annual Report,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Annual Report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about:</w:t>
      </w:r>
    </w:p>
    <w:p>
      <w:pPr>
        <w:spacing w:after="0" w:line="45" w:lineRule="exact"/>
        <w:rPr>
          <w:sz w:val="20"/>
          <w:szCs w:val="20"/>
          <w:color w:val="auto"/>
        </w:rPr>
      </w:pPr>
    </w:p>
    <w:p>
      <w:pPr>
        <w:ind w:left="1360" w:hanging="380"/>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timing of clinical study commencements and reporting results from same;</w:t>
      </w:r>
    </w:p>
    <w:p>
      <w:pPr>
        <w:spacing w:after="0" w:line="76" w:lineRule="exact"/>
        <w:rPr>
          <w:rFonts w:ascii="Arial" w:cs="Arial" w:eastAsia="Arial" w:hAnsi="Arial"/>
          <w:sz w:val="18"/>
          <w:szCs w:val="18"/>
          <w:color w:val="auto"/>
        </w:rPr>
      </w:pPr>
    </w:p>
    <w:p>
      <w:pPr>
        <w:ind w:left="1360" w:hanging="380"/>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likelihood of regulatory approvals for our product candidates;</w:t>
      </w:r>
    </w:p>
    <w:p>
      <w:pPr>
        <w:spacing w:after="0" w:line="76" w:lineRule="exact"/>
        <w:rPr>
          <w:rFonts w:ascii="Arial" w:cs="Arial" w:eastAsia="Arial" w:hAnsi="Arial"/>
          <w:sz w:val="18"/>
          <w:szCs w:val="18"/>
          <w:color w:val="auto"/>
        </w:rPr>
      </w:pPr>
    </w:p>
    <w:p>
      <w:pPr>
        <w:ind w:left="1360" w:hanging="380"/>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market opportunities for commercializing our product candidates;</w:t>
      </w:r>
    </w:p>
    <w:p>
      <w:pPr>
        <w:spacing w:after="0" w:line="76" w:lineRule="exact"/>
        <w:rPr>
          <w:rFonts w:ascii="Arial" w:cs="Arial" w:eastAsia="Arial" w:hAnsi="Arial"/>
          <w:sz w:val="18"/>
          <w:szCs w:val="18"/>
          <w:color w:val="auto"/>
        </w:rPr>
      </w:pPr>
    </w:p>
    <w:p>
      <w:pPr>
        <w:ind w:left="1360" w:right="440" w:hanging="380"/>
        <w:spacing w:after="0" w:line="277" w:lineRule="auto"/>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the size of the patient populations for our product candidates, if approved for commercial use;</w:t>
      </w:r>
    </w:p>
    <w:p>
      <w:pPr>
        <w:spacing w:after="0" w:line="21" w:lineRule="exact"/>
        <w:rPr>
          <w:rFonts w:ascii="Arial" w:cs="Arial" w:eastAsia="Arial" w:hAnsi="Arial"/>
          <w:sz w:val="18"/>
          <w:szCs w:val="18"/>
          <w:color w:val="auto"/>
        </w:rPr>
      </w:pPr>
    </w:p>
    <w:p>
      <w:pPr>
        <w:ind w:left="1360" w:hanging="380"/>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our expenses, future revenue, capital requirements, and our needs for additional financing;</w:t>
      </w:r>
    </w:p>
    <w:p>
      <w:pPr>
        <w:spacing w:after="0" w:line="76" w:lineRule="exact"/>
        <w:rPr>
          <w:rFonts w:ascii="Arial" w:cs="Arial" w:eastAsia="Arial" w:hAnsi="Arial"/>
          <w:sz w:val="18"/>
          <w:szCs w:val="18"/>
          <w:color w:val="auto"/>
        </w:rPr>
      </w:pPr>
    </w:p>
    <w:p>
      <w:pPr>
        <w:ind w:left="1360" w:hanging="380"/>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acquire, and advance product candidates into, and successfully complete, clinical studies;</w:t>
      </w:r>
    </w:p>
    <w:p>
      <w:pPr>
        <w:spacing w:after="0" w:line="76" w:lineRule="exact"/>
        <w:rPr>
          <w:rFonts w:ascii="Arial" w:cs="Arial" w:eastAsia="Arial" w:hAnsi="Arial"/>
          <w:sz w:val="18"/>
          <w:szCs w:val="18"/>
          <w:color w:val="auto"/>
        </w:rPr>
      </w:pPr>
    </w:p>
    <w:p>
      <w:pPr>
        <w:ind w:left="1360" w:hanging="380"/>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and product candidates;</w:t>
      </w:r>
    </w:p>
    <w:p>
      <w:pPr>
        <w:spacing w:after="0" w:line="76" w:lineRule="exact"/>
        <w:rPr>
          <w:rFonts w:ascii="Arial" w:cs="Arial" w:eastAsia="Arial" w:hAnsi="Arial"/>
          <w:sz w:val="18"/>
          <w:szCs w:val="18"/>
          <w:color w:val="auto"/>
        </w:rPr>
      </w:pPr>
    </w:p>
    <w:p>
      <w:pPr>
        <w:ind w:left="1360" w:hanging="380"/>
        <w:spacing w:after="0"/>
        <w:tabs>
          <w:tab w:leader="none" w:pos="13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initiation, timing, progress, and results of future preclinical studies and clinical studies, and our research and development programs;</w:t>
      </w:r>
    </w:p>
    <w:p>
      <w:pPr>
        <w:spacing w:after="0" w:line="99" w:lineRule="exact"/>
        <w:rPr>
          <w:rFonts w:ascii="Arial" w:cs="Arial" w:eastAsia="Arial" w:hAnsi="Arial"/>
          <w:sz w:val="16"/>
          <w:szCs w:val="16"/>
          <w:color w:val="auto"/>
        </w:rPr>
      </w:pPr>
    </w:p>
    <w:p>
      <w:pPr>
        <w:ind w:left="1360" w:hanging="380"/>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w:t>
      </w:r>
    </w:p>
    <w:p>
      <w:pPr>
        <w:spacing w:after="0" w:line="76" w:lineRule="exact"/>
        <w:rPr>
          <w:rFonts w:ascii="Arial" w:cs="Arial" w:eastAsia="Arial" w:hAnsi="Arial"/>
          <w:sz w:val="18"/>
          <w:szCs w:val="18"/>
          <w:color w:val="auto"/>
        </w:rPr>
      </w:pPr>
    </w:p>
    <w:p>
      <w:pPr>
        <w:ind w:left="1360" w:hanging="380"/>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or obtain additional funding;</w:t>
      </w:r>
    </w:p>
    <w:p>
      <w:pPr>
        <w:spacing w:after="0" w:line="76" w:lineRule="exact"/>
        <w:rPr>
          <w:rFonts w:ascii="Arial" w:cs="Arial" w:eastAsia="Arial" w:hAnsi="Arial"/>
          <w:sz w:val="18"/>
          <w:szCs w:val="18"/>
          <w:color w:val="auto"/>
        </w:rPr>
      </w:pPr>
    </w:p>
    <w:p>
      <w:pPr>
        <w:ind w:left="1360" w:hanging="380"/>
        <w:spacing w:after="0"/>
        <w:tabs>
          <w:tab w:leader="none" w:pos="13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and establish relationships with third parties, such as contract research organizations, suppliers, and distributors;</w:t>
      </w:r>
    </w:p>
    <w:p>
      <w:pPr>
        <w:spacing w:after="0" w:line="99" w:lineRule="exact"/>
        <w:rPr>
          <w:rFonts w:ascii="Arial" w:cs="Arial" w:eastAsia="Arial" w:hAnsi="Arial"/>
          <w:sz w:val="16"/>
          <w:szCs w:val="16"/>
          <w:color w:val="auto"/>
        </w:rPr>
      </w:pPr>
    </w:p>
    <w:p>
      <w:pPr>
        <w:ind w:left="1360" w:hanging="380"/>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 and the expansion of our organization;</w:t>
      </w:r>
    </w:p>
    <w:p>
      <w:pPr>
        <w:spacing w:after="0" w:line="76" w:lineRule="exact"/>
        <w:rPr>
          <w:rFonts w:ascii="Arial" w:cs="Arial" w:eastAsia="Arial" w:hAnsi="Arial"/>
          <w:sz w:val="18"/>
          <w:szCs w:val="18"/>
          <w:color w:val="auto"/>
        </w:rPr>
      </w:pPr>
    </w:p>
    <w:p>
      <w:pPr>
        <w:ind w:left="1360" w:hanging="380"/>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supply of our product candidates;</w:t>
      </w:r>
    </w:p>
    <w:p>
      <w:pPr>
        <w:spacing w:after="0" w:line="76" w:lineRule="exact"/>
        <w:rPr>
          <w:rFonts w:ascii="Arial" w:cs="Arial" w:eastAsia="Arial" w:hAnsi="Arial"/>
          <w:sz w:val="18"/>
          <w:szCs w:val="18"/>
          <w:color w:val="auto"/>
        </w:rPr>
      </w:pPr>
    </w:p>
    <w:p>
      <w:pPr>
        <w:ind w:left="1360" w:hanging="380"/>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 and</w:t>
      </w:r>
    </w:p>
    <w:p>
      <w:pPr>
        <w:spacing w:after="0" w:line="76" w:lineRule="exact"/>
        <w:rPr>
          <w:rFonts w:ascii="Arial" w:cs="Arial" w:eastAsia="Arial" w:hAnsi="Arial"/>
          <w:sz w:val="18"/>
          <w:szCs w:val="18"/>
          <w:color w:val="auto"/>
        </w:rPr>
      </w:pPr>
    </w:p>
    <w:p>
      <w:pPr>
        <w:ind w:left="1360" w:hanging="380"/>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Part I, Item 1A. Risk Factors.</w:t>
      </w:r>
    </w:p>
    <w:p>
      <w:pPr>
        <w:spacing w:after="0" w:line="7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Any forward-looking statements in this Annual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discussed under Part I, Item 1A. Risk Factors and discussed elsewhere in this Annual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30" w:lineRule="exact"/>
        <w:rPr>
          <w:sz w:val="20"/>
          <w:szCs w:val="20"/>
          <w:color w:val="auto"/>
        </w:rPr>
      </w:pPr>
    </w:p>
    <w:p>
      <w:pPr>
        <w:ind w:right="140" w:firstLine="518"/>
        <w:spacing w:after="0" w:line="273" w:lineRule="auto"/>
        <w:rPr>
          <w:sz w:val="20"/>
          <w:szCs w:val="20"/>
          <w:color w:val="auto"/>
        </w:rPr>
      </w:pPr>
      <w:r>
        <w:rPr>
          <w:rFonts w:ascii="Arial" w:cs="Arial" w:eastAsia="Arial" w:hAnsi="Arial"/>
          <w:sz w:val="17"/>
          <w:szCs w:val="17"/>
          <w:color w:val="auto"/>
        </w:rPr>
        <w:t>This Annual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30"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As used in this Annual Report, “Ultragenyx,” “we,” “our,” and similar terms include Ultragenyx Pharmaceutical Inc. and its subsidiaries, unless the context indicates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are a clinical-stage biopharmaceutical company focused on the identification, acquisition, development, and commercialization of novel products for the treatment of serious rare and ultra-rare genetic diseases. We target diseases for which the unmet medical need is high, the biology for treatment is clear, and for which there are no currently approved therapies. Since our inception in 2010, we have in-licensed potential treatments for multiple rare genetic disorders. Our strategy, which is predicated upon time- and cost-efficient drug development, allows us to pursue multiple programs in parallel with the goal of delivering safe and effective therapies to patients with the utmost urgency.</w:t>
      </w:r>
    </w:p>
    <w:p>
      <w:pPr>
        <w:spacing w:after="0" w:line="40"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Our current product candidate pipeline has been either in-licensed from academic institutions or derived from partnerships with other pharmaceutical companies. Our strategy is to acquire and retain global commercialization rights to our products to maximize long-term value, where possible. We have started building our own commercial organization, which we believe will be highly targeted due to the relatively small number of specialists who treat patients with rare and ultra-rare diseases. At this time, however, we have no products that are approved for sale.</w:t>
      </w:r>
    </w:p>
    <w:p>
      <w:pPr>
        <w:spacing w:after="0" w:line="36" w:lineRule="exact"/>
        <w:rPr>
          <w:sz w:val="20"/>
          <w:szCs w:val="20"/>
          <w:color w:val="auto"/>
        </w:rPr>
      </w:pPr>
    </w:p>
    <w:p>
      <w:pPr>
        <w:ind w:right="160" w:firstLine="518"/>
        <w:spacing w:after="0" w:line="325" w:lineRule="auto"/>
        <w:rPr>
          <w:sz w:val="20"/>
          <w:szCs w:val="20"/>
          <w:color w:val="auto"/>
        </w:rPr>
      </w:pPr>
      <w:r>
        <w:rPr>
          <w:rFonts w:ascii="Arial" w:cs="Arial" w:eastAsia="Arial" w:hAnsi="Arial"/>
          <w:sz w:val="16"/>
          <w:szCs w:val="16"/>
          <w:color w:val="auto"/>
        </w:rPr>
        <w:t>The patients we seek to treat have diseases with limited or no treatment options, and we recognize that their lives and well-being are dependent upon our efforts to develop new therapies. For this reason, we are passionate about developing these therapies with the utmost urgency and care.</w:t>
      </w:r>
    </w:p>
    <w:p>
      <w:pPr>
        <w:spacing w:after="0" w:line="1"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We were founded in April 2010 by our current President and Chief Executive Officer, Emil Kakkis, M.D., Ph.D. We have assembled an experienced team with extensive rare disease drug development and commercialization capabilities. Dr. Kakkis and the team at Ultragenyx have been previously involved at other companies in the development and/or commercialization of many therapies approved or in development for rare genetic diseases.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4"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Our strategy is to identify, acquire, develop, and commercialize novel products for the treatment of rare and ultra-rare diseases in the United States, the European Union, or EU, and select international markets, with the goal of becoming a leading rare disease biotechnology company. The critical components of our business strategy include the following:</w:t>
      </w:r>
    </w:p>
    <w:p>
      <w:pPr>
        <w:spacing w:after="0" w:line="33" w:lineRule="exact"/>
        <w:rPr>
          <w:sz w:val="20"/>
          <w:szCs w:val="20"/>
          <w:color w:val="auto"/>
        </w:rPr>
      </w:pPr>
    </w:p>
    <w:p>
      <w:pPr>
        <w:ind w:left="900" w:hanging="379"/>
        <w:spacing w:after="0" w:line="293"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Focus on rare and ultra-rare diseases with significant unmet medical need and clear biology. </w:t>
      </w:r>
      <w:r>
        <w:rPr>
          <w:rFonts w:ascii="Arial" w:cs="Arial" w:eastAsia="Arial" w:hAnsi="Arial"/>
          <w:sz w:val="16"/>
          <w:szCs w:val="16"/>
          <w:color w:val="auto"/>
        </w:rPr>
        <w:t>There are numerous rare and ultra-rare genetic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diseases that currently have no approved drug therapy and for which no therapies are currently in development. Patients suffering from these diseases often have a high unmet medical need with significant morbidity and/or mortality. We are focused on developing and commercializing therapies for multiple such indications with the utmost urgency. We also focus on diseases that have biology that is well understood. For example, several of our product candidates are replacement therapies for a single deficient enzyme or substrate in the body. We believe that developing drugs that directly impact known disease pathways will increase the probability of success of our development programs.</w:t>
      </w:r>
    </w:p>
    <w:p>
      <w:pPr>
        <w:spacing w:after="0" w:line="16" w:lineRule="exact"/>
        <w:rPr>
          <w:rFonts w:ascii="Arial" w:cs="Arial" w:eastAsia="Arial" w:hAnsi="Arial"/>
          <w:sz w:val="16"/>
          <w:szCs w:val="16"/>
          <w:color w:val="auto"/>
        </w:rPr>
      </w:pPr>
    </w:p>
    <w:p>
      <w:pPr>
        <w:ind w:left="900" w:right="40" w:hanging="379"/>
        <w:spacing w:after="0" w:line="272"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Leverage our experience and relationships to in-license promising product candidates. </w:t>
      </w:r>
      <w:r>
        <w:rPr>
          <w:rFonts w:ascii="Arial" w:cs="Arial" w:eastAsia="Arial" w:hAnsi="Arial"/>
          <w:sz w:val="17"/>
          <w:szCs w:val="17"/>
          <w:color w:val="auto"/>
        </w:rPr>
        <w:t>Our management team seeks to develop and maintain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strong relationships with key opinion leaders in the genetic field and leverage our success in the development and commercialization of therapies for rare and ultra-rare genetic diseases. All of our current clinical product candidates are in-licensed from academic institutions or derived from partnerships with other pharmaceutical companies. We believe parties agree to license product candidates to us because they are confident in our team’s drug development capabilities and our plans and execution thus far in bringing rare disease therapies to market. Because we typically in-license product candidates that require translational or clinical research, at this time we do not intend to invest significant capital in basic research, which can be expensive and time-consuming.</w:t>
      </w:r>
    </w:p>
    <w:p>
      <w:pPr>
        <w:spacing w:after="0" w:line="29" w:lineRule="exact"/>
        <w:rPr>
          <w:rFonts w:ascii="Arial" w:cs="Arial" w:eastAsia="Arial" w:hAnsi="Arial"/>
          <w:sz w:val="17"/>
          <w:szCs w:val="17"/>
          <w:color w:val="auto"/>
        </w:rPr>
      </w:pPr>
    </w:p>
    <w:p>
      <w:pPr>
        <w:ind w:left="900" w:right="20" w:hanging="379"/>
        <w:spacing w:after="0" w:line="271"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Focus on excellent, rapid, and efficient clinical and regulatory execution on multiple programs in parallel. </w:t>
      </w:r>
      <w:r>
        <w:rPr>
          <w:rFonts w:ascii="Arial" w:cs="Arial" w:eastAsia="Arial" w:hAnsi="Arial"/>
          <w:sz w:val="17"/>
          <w:szCs w:val="17"/>
          <w:color w:val="auto"/>
        </w:rPr>
        <w:t>We believe that building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successful and sustainable rare disease-focused company requires very specific expertise in the areas of patient identification, clinical study design and conduct, and regulatory strategy. We have assembled a team capable of managing global clinical development activities in an efficient manner and with multinational experience in obtaining regulatory approvals for rare disease products. Clinical development programs for rare and ultra-rare diseases can often be smaller in size than those for larger market indications. Development of multiple programs in rare diseases also generates organizational efficiencies and economies of scale. We also seek to manage our fixed cost structure by outsourcing manufacturing of our product candidates. As a result of these efficiencies, we are able to feasibly develop multiple clinical-stage product candidates in parallel, resulting in a more diversified portfolio that provides multiple opportunities to create value.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4" w:name="page5"/>
    <w:bookmarkEnd w:id="4"/>
    <w:p>
      <w:pPr>
        <w:ind w:left="900" w:hanging="379"/>
        <w:spacing w:after="0" w:line="293"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Seek to retain global commercialization rights to product candidates. </w:t>
      </w:r>
      <w:r>
        <w:rPr>
          <w:rFonts w:ascii="Arial" w:cs="Arial" w:eastAsia="Arial" w:hAnsi="Arial"/>
          <w:sz w:val="16"/>
          <w:szCs w:val="16"/>
          <w:color w:val="auto"/>
        </w:rPr>
        <w:t>We intend to seek and retain global commercialization rights to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 candidates whenever possible to maximize the potential value of our product portfolio. We have started to establish our own commercial organization in major pharmaceutical markets and develop a network of third-party distributors in smaller markets. We believe this commercial organization can be highly targeted due to the relatively small number of specialists who typically treat patients with the diseases to be addressed by our product candidates. As a result, we do not expect that we will require pharmaceutical partners for commercialization of our product candidates in major markets, although we may consider partnering for certain territories or indications or for other strategic purposes.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Product Candidates</w:t>
      </w:r>
    </w:p>
    <w:p>
      <w:pPr>
        <w:spacing w:after="0" w:line="94"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Our current clinical-stage pipeline consists of two product categories: biologics (including a monoclonal antibody and an enzyme replacement therapy); and small-molecule substrate replacement therapies. Enzymes are proteins that the body uses to process materials needed for normal cellular function, and substrates are the materials upon which enzymes act. When enzymes or substrates are missing, the body is unable to perform its normal cellular functions, often leading to significant clinical disease. Several of our therapies are intended to replace deficient enzymes or substrates.</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current clinical-stage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194945</wp:posOffset>
            </wp:positionV>
            <wp:extent cx="5814695" cy="39103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14695" cy="391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36" w:right="3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KRN23 (UX023) for the treatment of XLH</w:t>
      </w:r>
    </w:p>
    <w:p>
      <w:pPr>
        <w:spacing w:after="0" w:line="90"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KRN23 is a fully human monoclonal antibody administered via subcutaneous injection that is designed to bind and reduce the biological activity of FGF23 to increase abnormally low phosphate levels in patients with XLH. Patients with XLH have low serum phosphate levels due to excessive phosphate loss into the urine, which is directly caused by the effect on kidney function of excess FGF23 production in bone cells. Low phosphate levels lead to poor bone mineralization and a variety of clinical manifestations, including rickets leading to bowing and other skeletal deformities, short stature, bone pain and fractures, and muscle weakness. There is no approved drug therapy or treatment for the underlying cause of XLH. Most patients are managed using frequently dosed oral phosphate replacement and vitamin D therapy, which can lead to significant side effects. Oral phosphate/vitamin D replacement therapy requires extremely close monitoring due to the potential for excessive phosphate levels and secondary increases in calcium, which can result in severe damage to the kidneys from excess calcium phosphate deposits and other complications. Additionally, some patients are unable to tolerate the regimen due to the chalky stool that results from taking large amounts of oral phosphate or the high frequency of dosing required. The U.S. Food and Drug Administration, or FDA, has granted Fast Track Designation to the KRN23 program for the treatment of XLH, and Breakthrough Therapy Designation for pediatric patients one year of age or older.</w:t>
      </w:r>
    </w:p>
    <w:p>
      <w:pPr>
        <w:spacing w:after="0" w:line="34"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In July 2014, we announced the first patient screened and enrolled in the Phase 2 pediatric study of KRN23 in patients ages 5 to 12 years with XLH. The main part of the study consists of a 16-week individual dose-titration period followed by a 48-week treatment period, followed by an extension period. Patients were divided into three cohorts of escalating starting dose levels of KRN23, and were dosed either once every four weeks or biweekly. At the end of the 16-week dose-titration period, patients were allowed to continue to receive dose increases in order to reach the individually optimized dose of KRN23 on a biweekly or every four-week basis for the 48-week treatment period. The primary objectives of the study are to identify a dose and dosing regimen and to establish the safety profile of treatment with KRN23 in pediatric XLH patients. We are also assessing preliminary clinical effects of KRN23 treatment on bone health and deformity as measured by radiographic assessments, growth, muscle strength, and motor function, as well as markers of bone health and patient-reported outcomes of pain, disability, and quality of life.</w:t>
      </w:r>
    </w:p>
    <w:p>
      <w:pPr>
        <w:spacing w:after="0" w:line="30" w:lineRule="exact"/>
        <w:rPr>
          <w:sz w:val="20"/>
          <w:szCs w:val="20"/>
          <w:color w:val="auto"/>
        </w:rPr>
      </w:pPr>
    </w:p>
    <w:p>
      <w:pPr>
        <w:ind w:right="180" w:firstLine="518"/>
        <w:spacing w:after="0" w:line="276" w:lineRule="auto"/>
        <w:rPr>
          <w:sz w:val="20"/>
          <w:szCs w:val="20"/>
          <w:color w:val="auto"/>
        </w:rPr>
      </w:pPr>
      <w:r>
        <w:rPr>
          <w:rFonts w:ascii="Arial" w:cs="Arial" w:eastAsia="Arial" w:hAnsi="Arial"/>
          <w:sz w:val="17"/>
          <w:szCs w:val="17"/>
          <w:color w:val="auto"/>
        </w:rPr>
        <w:t xml:space="preserve">In September 2016, we released interim data through 40 weeks for all 52 patients in the study, and 64-week data for the first 36 patients in the study. Forty-nine of the 52 patients had previously been on standard of care (oral phosphate/active vitamin D therapy) for an average of 6.7 years. Patient demographics were well balanced between the biweekly (n=26) and every four-week (n=26) dose groups. Rickets were evaluated via two scoring systems – the RSS and the Radiographic Global Impression of Change (RGI-C). A subset of patients (n=34; 17 dosed biweekly and 17 dosed every four weeks) were pre-specified as having higher rickets severity (greater bone disease) if their baseline total RSS scores were </w:t>
      </w:r>
      <w:r>
        <w:rPr>
          <w:rFonts w:ascii="Arial" w:cs="Arial" w:eastAsia="Arial" w:hAnsi="Arial"/>
          <w:sz w:val="17"/>
          <w:szCs w:val="17"/>
          <w:u w:val="single" w:color="auto"/>
          <w:color w:val="auto"/>
        </w:rPr>
        <w:t>&gt;</w:t>
      </w:r>
      <w:r>
        <w:rPr>
          <w:rFonts w:ascii="Arial" w:cs="Arial" w:eastAsia="Arial" w:hAnsi="Arial"/>
          <w:sz w:val="17"/>
          <w:szCs w:val="17"/>
          <w:color w:val="auto"/>
        </w:rPr>
        <w:t xml:space="preserve"> 1.5.</w:t>
      </w:r>
    </w:p>
    <w:p>
      <w:pPr>
        <w:spacing w:after="0" w:line="37"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Overall, in all patients (n=52), the mean total RSS score decreased by 50% from baseline to 40 weeks (p&lt;0.0001). In patients with higher baseline rickets (n=34), the mean total rickets score decreased by 61% from baseline to 40 weeks (p&lt;0.0001). In patients who were dosed bi-weekly (n=26), the mean total RSS score decreased by 61% from baseline to 40 weeks (p&lt;0.0001). In the higher severity patients who were dosed bi-weekly (n=17), the mean total rickets score decreased by 71% from baseline to 40 weeks (p&lt;0.0001).</w:t>
      </w:r>
    </w:p>
    <w:p>
      <w:pPr>
        <w:spacing w:after="0" w:line="38"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Overall, patients (n=52) experienced a mean improvement in RGI-C score of +1.56 (p&lt;0.0001), and those patients with higher baseline rickets (n=34) experienced a mean improvement of +1.91 (p&lt;0.0001) from baseline to 40 weeks. Patients who were dosed bi-weekly (n=26) experienced a mean improvement in RGI-C score of +1.72 (p&lt;0.0001), and those patients with higher baseline rickets (n=17) experienced a mean improvement of +2.04 (p&lt;0.0001) from baseline to 40 weeks.</w:t>
      </w:r>
    </w:p>
    <w:p>
      <w:pPr>
        <w:spacing w:after="0" w:line="38" w:lineRule="exact"/>
        <w:rPr>
          <w:sz w:val="20"/>
          <w:szCs w:val="20"/>
          <w:color w:val="auto"/>
        </w:rPr>
      </w:pPr>
    </w:p>
    <w:p>
      <w:pPr>
        <w:ind w:right="140" w:firstLine="518"/>
        <w:spacing w:after="0" w:line="291" w:lineRule="auto"/>
        <w:rPr>
          <w:sz w:val="20"/>
          <w:szCs w:val="20"/>
          <w:color w:val="auto"/>
        </w:rPr>
      </w:pPr>
      <w:r>
        <w:rPr>
          <w:rFonts w:ascii="Arial" w:cs="Arial" w:eastAsia="Arial" w:hAnsi="Arial"/>
          <w:sz w:val="16"/>
          <w:szCs w:val="16"/>
          <w:color w:val="auto"/>
        </w:rPr>
        <w:t>Overall, patients (n=52) experienced a mean improvement in growth velocity of +0.68 (p=0.0321) and a mean improvement in height z-score of 0.13 (p&lt;0.0001) from baseline to 40 weeks. Those patients with higher baseline rickets (n=34) experienced a mean improvement in growth velocity of +1.23</w:t>
      </w:r>
    </w:p>
    <w:p>
      <w:pPr>
        <w:jc w:val="both"/>
        <w:ind w:right="40"/>
        <w:spacing w:after="0" w:line="254" w:lineRule="auto"/>
        <w:rPr>
          <w:sz w:val="20"/>
          <w:szCs w:val="20"/>
          <w:color w:val="auto"/>
        </w:rPr>
      </w:pPr>
      <w:r>
        <w:rPr>
          <w:rFonts w:ascii="Arial" w:cs="Arial" w:eastAsia="Arial" w:hAnsi="Arial"/>
          <w:sz w:val="18"/>
          <w:szCs w:val="18"/>
          <w:color w:val="auto"/>
        </w:rPr>
        <w:t>(p=0.0046) and a mean improvement in height z-score of 0.18 (p=0.0003) from baseline to 40 weeks. Patients who were dosed bi-weekly (n=26) experienced a mean improvement in growth velocity of +0.96 (p=0.0088) and a mean improvement in height z-score of 0.17 (p&lt;0.0001) from baseline to 40 weeks. Those patients with higher baseline rickets who were dosed bi-weekly (n=17) experienced a mean improvement of +1.69 (p&lt;0.0001) in growth velocity and a mean improvement in height z-score of 0.22 (p&lt;0.0001) from baseline to 40 weeks.</w:t>
      </w:r>
    </w:p>
    <w:p>
      <w:pPr>
        <w:spacing w:after="0" w:line="55"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Patients with walking impairment at baseline (defined by &lt; 80% predicted normal walk distance in the six minute walk test, or 6MWT) in the bi-weekly dosing group achieved a mean increase of 84 meters (p&lt;0.001) at 40 weeks (n=14), and 97 meters (p&lt;0.001) at 64 weeks (n=7). Functional disability scores were measured with the Pediatric Orthopedic Society North America/Pediatric Outcome Data Collection Instrument (POSNA/PODCI). When evaluating the Global score of all five domains in those patients with substantial impairment at baseline (n=28, defined as baseline scores &lt; 40 or one standard deviation below the normalized score of 50), a mean improvement of +17.5 (p&lt; 0.0001) was observed at 40 weeks. Though the magnitude of these changes in functional measurements are substantial, any conclusions must be tempered by the fact that these data are from an uncontrolled, open-label study.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6" w:name="page7"/>
    <w:bookmarkEnd w:id="6"/>
    <w:p>
      <w:pPr>
        <w:ind w:right="420" w:firstLine="518"/>
        <w:spacing w:after="0" w:line="273" w:lineRule="auto"/>
        <w:rPr>
          <w:sz w:val="20"/>
          <w:szCs w:val="20"/>
          <w:color w:val="auto"/>
        </w:rPr>
      </w:pPr>
      <w:r>
        <w:rPr>
          <w:rFonts w:ascii="Arial" w:cs="Arial" w:eastAsia="Arial" w:hAnsi="Arial"/>
          <w:sz w:val="17"/>
          <w:szCs w:val="17"/>
          <w:color w:val="auto"/>
        </w:rPr>
        <w:t>The most common treatment-related adverse events (AEs) reported by preferred term was injection site reaction in 33% of patients. All of these reactions were considered mild. All other treatment-related adverse events were also considered mild. There was one serious adverse event considered possibly treatment-related. This was a previously reported patient with fever and muscle pain who improved without complication and is still in the trial. There have been no deaths or discontinuations from the study for any reason. No clinically meaningful changes were observed in mean serum calcium, urinary calcium and in serum intact parathyroid hormone. None of the patients had serum phosphorus levels above the upper limit of normal at any time point. No clinically significant changes were observed in renal ultrasounds pre- and post-treatment.</w:t>
      </w:r>
    </w:p>
    <w:p>
      <w:pPr>
        <w:spacing w:after="0" w:line="43"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In October 2016, we initiated a Phase 3 randomized open-label clinical study comparing the efficacy and safety of KRN23 to oral phosphate and active vitamin D therapy in approximately 60 pediatric patients with XLH. The study will evaluate changes in rickets, growth velocity and height, pharmacodynamic assessments, walking ability, patient reported outcomes assessing pain, fatigue and physical function, and safety.</w:t>
      </w:r>
    </w:p>
    <w:p>
      <w:pPr>
        <w:spacing w:after="0" w:line="1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We are also continuing to develop KRN23 in adults with XLH. In September 2016, we announced interim 24-week results (n=20) from the open-label Phase 2b extension study of KRN23 in adult XLH patients who had previously participated in the studies conducted by Kyowa Hakko Kirin Co., Ltd., or KHK. Patients demonstrated significant improvements in serum phosphorus levels and pain, stiffness and physical function domain scores at 24 weeks of treatment. The safety profile observed to date in the study is consistent with other XLH studies. In July 2016, we completed enrollment of 134 patients in a Phase 3 study of KRN23 for the treatment of adults with XLH. The Phase 3 study is an international, randomized, double-blind, placebo-controlled clinical study assessing the efficacy and safety of monthly KRN23 in adult XLH patients. The primary endpoint of the study is serum phosphorus levels through 24 weeks, and the key secondary endpoints are pain as measured by the Brief Pain Inventory Question 3 (pain at its worst in the last 24 hours), stiffness as measured by the Western Ontario and McMaster Universities Osteoarthritis Index (WOMAC</w:t>
      </w:r>
      <w:r>
        <w:rPr>
          <w:rFonts w:ascii="Arial" w:cs="Arial" w:eastAsia="Arial" w:hAnsi="Arial"/>
          <w:sz w:val="14"/>
          <w:szCs w:val="14"/>
          <w:color w:val="auto"/>
        </w:rPr>
        <w:t>®</w:t>
      </w:r>
      <w:r>
        <w:rPr>
          <w:rFonts w:ascii="Arial" w:cs="Arial" w:eastAsia="Arial" w:hAnsi="Arial"/>
          <w:sz w:val="17"/>
          <w:szCs w:val="17"/>
          <w:color w:val="auto"/>
        </w:rPr>
        <w:t>), and physical function as measured by WOMAC</w:t>
      </w:r>
      <w:r>
        <w:rPr>
          <w:rFonts w:ascii="Arial" w:cs="Arial" w:eastAsia="Arial" w:hAnsi="Arial"/>
          <w:sz w:val="14"/>
          <w:szCs w:val="14"/>
          <w:i w:val="1"/>
          <w:iCs w:val="1"/>
          <w:color w:val="auto"/>
        </w:rPr>
        <w:t>®</w:t>
      </w:r>
      <w:r>
        <w:rPr>
          <w:rFonts w:ascii="Arial" w:cs="Arial" w:eastAsia="Arial" w:hAnsi="Arial"/>
          <w:sz w:val="17"/>
          <w:szCs w:val="17"/>
          <w:color w:val="auto"/>
        </w:rPr>
        <w:t>. We expect data from this study in the first half of 2017. A 48-week open-label bone quality study in approximately 14 adult XLH patients evaluating the potential impact of KRN23 on the underlying osteomalacia via bone biopsy is also ongoing.</w:t>
      </w:r>
    </w:p>
    <w:p>
      <w:pPr>
        <w:spacing w:after="0" w:line="29"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In January 2017, we and our partner Kyowa Kirin International PLC, a wholly owned subsidiary of KHK, announced that we filed a Marketing Authorization Application, or MAA, for the conditional marketing authorization of KRN23 for the treatment of XLH based on the Phase 2 data, and that the European Medicines Agency, or EMA, validated the application. An opinion from the Committee for Medicinal Products for Human Use, or CHMP, is expected in the second half of 2017.We plan to submit a biologics license application, or BLA, to the FDA for KRN23 in the second half of 2017. Based on discussions with the FDA, our understanding is that the pediatric Phase 3 study is currently not expected to be required for a U.S. filing. We continue to discuss the details of the planned submission with the FDA.</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Please see “—License and Collaboration Agreements—Kyowa Hakko Kirin” for a description of our collaboration and license agreement with KHK.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KRN23 (UX023) for the treatment of TIO</w:t>
      </w:r>
    </w:p>
    <w:p>
      <w:pPr>
        <w:spacing w:after="0" w:line="77"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We are also developing KRN23 for the treatment of TIO. TIO results from typically benign tumors that produce excess levels of FGF23, which can lead to severe hypophosphatemia, osteomalacia, bone fractures, fatigue, bone and muscle pain, and muscle weakness. There are cases in which resection of the tumor is not feasible or recurrence of the tumor occurs after resection. In patients for whom the tumor is inoperable, the current standard of care consists of oral phosphate and/or vitamin D replacement. The efficacy of this treatment is often limited, as it does not treat the underlying disease and its benefits must be balanced with monitoring for potential risks such as nephrocalcinosis, hypercalciuria, and hyperparathyroidism.</w:t>
      </w:r>
    </w:p>
    <w:p>
      <w:pPr>
        <w:spacing w:after="0" w:line="23"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In 2015, we initiated a Phase 2 study evaluating KRN23 safety and efficacy in 17 adult inoperable patients. The primary objectives of the study are to establish the dose and assess the safety profile of treatment with KRN23 in adults with TIO. Patients receive subcutaneous injections of KRN23 once every four weeks for 48 weeks. All patients begin treatment with KRN23 at a starting dose of 0.3 mg/kg. Doses are then titrated in an effort to achieve a target fasting serum phosphorus range of 2.5 to 4.0 mg/dL. After completing the initial 48-week treatment period of the study, patients may continue into a planned treatment extension period in which they would receive KRN23 treatment for up to an additional 96 weeks. The co-primary endpoints include: the proportion of patients achieving mean peak serum phosphorus levels above the lower limit of normal (LLN; 2.5 mg/dL), as averaged between baseline and week 24; and the percent change from baseline in excess osteoid after 48 weeks of treatment.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7" w:name="page8"/>
    <w:bookmarkEnd w:id="7"/>
    <w:p>
      <w:pPr>
        <w:ind w:firstLine="518"/>
        <w:spacing w:after="0" w:line="287" w:lineRule="auto"/>
        <w:rPr>
          <w:sz w:val="20"/>
          <w:szCs w:val="20"/>
          <w:color w:val="auto"/>
        </w:rPr>
      </w:pPr>
      <w:r>
        <w:rPr>
          <w:rFonts w:ascii="Arial" w:cs="Arial" w:eastAsia="Arial" w:hAnsi="Arial"/>
          <w:sz w:val="16"/>
          <w:szCs w:val="16"/>
          <w:color w:val="auto"/>
        </w:rPr>
        <w:t>In September 2016, we released 24-week interim data from the first eight patients in this study. Mean serum phosphorus, renal phosphate reabsorption (TmP/GFR) and serum 1,25 dihydroxy vitamin D levels increased over 24 weeks of treatment. The mean serum phosphorus level entered the normal range (above 2.5mg/dL lower limit of normal) within one week of treatment, and was maintained in the low normal range from week 10 to week 24 of treatment. Of the seven patients who responded, six patients showed an improvement in bone mineral density, and bone turnover markers showed a statistically significant increase. One patient completed 48 weeks of treatment, at which time bone biopsy indicated an improvement from severe osteomalacia at baseline to mild osteomalacia at 48 weeks. The same patient showed resolution of four fractures at 24 weeks of treatment, determined by bone scan as previously disclosed. Bone mineral density for this patient improved 2% and 3% in the lumber spine and total hip, respectively. Adverse events occurred in all patients. Treatment-related adverse events were observed in three patients (38%), and included Vitamin D deficiency and rash as previously disclosed, and dysgeusia, all mild in grade. There was one serious adverse event of neoplasm progression, which occurred in one patient with pre-existing metastatic spindle sarcoma who did not respond and has discontinued treatment. No injection site reactions were observed. Two patients reported restless leg syndrome, one of whom had symptoms suggestive of worsening pre-existing restless leg syndrome. No clinically meaningful changes were observed in mean serum calcium, urinary calcium and in serum intact parathyroid hormone. We expect additional data from this study in the second half of 2017.</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rhGUS (UX003) for the treatment of MPS 7</w:t>
      </w:r>
    </w:p>
    <w:p>
      <w:pPr>
        <w:spacing w:after="0" w:line="77"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rhGUS is an intravenous, or IV, enzyme replacement therapy for the treatment of MPS 7, also known as Sly Syndrome. Patients with MPS 7 suffer from severe cellular and organ dysfunction that typically leads to death in the teens or early adulthood. MPS 7 is caused by a deficiency of the lysosomal enzyme beta-glucuronidase, which is required for the breakdown of certain complex carbohydrates known as glycosaminoglycans, or GAGs. The inability to properly break down GAGs leads to their accumulation in many tissues, resulting in a serious multi-system disease. Patients with MPS 7 may have abnormal coarsened facial features, enlargement of the liver and spleen, airway obstruction, lung disease, cardiovascular complications, joint stiffness, short stature, and a skeletal disease known as dysostosis multiplex. In addition, many patients experience progressive lung problems as a result of airway obstruction and mucous production, often leading to sleep apnea and pulmonary insufficiency, and eventually requiring tracheostomy. There are currently no approved drug therapies for MPS 7.</w:t>
      </w:r>
    </w:p>
    <w:p>
      <w:pPr>
        <w:spacing w:after="0" w:line="44" w:lineRule="exact"/>
        <w:rPr>
          <w:sz w:val="20"/>
          <w:szCs w:val="20"/>
          <w:color w:val="auto"/>
        </w:rPr>
      </w:pPr>
    </w:p>
    <w:p>
      <w:pPr>
        <w:ind w:right="120" w:firstLine="518"/>
        <w:spacing w:after="0" w:line="270" w:lineRule="auto"/>
        <w:rPr>
          <w:sz w:val="20"/>
          <w:szCs w:val="20"/>
          <w:color w:val="auto"/>
        </w:rPr>
      </w:pPr>
      <w:r>
        <w:rPr>
          <w:rFonts w:ascii="Arial" w:cs="Arial" w:eastAsia="Arial" w:hAnsi="Arial"/>
          <w:sz w:val="17"/>
          <w:szCs w:val="17"/>
          <w:color w:val="auto"/>
        </w:rPr>
        <w:t>We initiated a Phase 3 global, randomized, placebo-controlled, blind-start clinical study in December 2014. The Phase 3 study was designed to assess the efficacy and safety of rhGUS in 12 patients between five and 35 years of age. Patients were randomized to one of four groups. One cohort began rhGUS therapy immediately, while the other three started on placebo and crossed over to rhGUS at different predefined time points in a blinded manner. This study design generated treatment data from all 12 patients. Based on data from the Phase 1/2 study, patients were dosed with 4 mg/kg of rhGUS every other week for up to a total of 48 weeks, and all groups received a minimum of 24 weeks of treatment with rhGUS. The primary objective of the study was to determine the efficacy of rhGUS as determined by the percent reduction in urinary GAG excretion after 24 weeks of treatment. The Phase 3 study also evaluated as secondary endpoints the safety and tolerability of rhGUS, pulmonary function, walking, stair climb, shoulder flexion, fine and gross motor function, hepatosplenomegaly, cardiac size and function, visual acuity, patient and caregiver assessment of most significant clinical problems, global impressions of change, a multi-domain responder index, and other endpoints.</w:t>
      </w:r>
    </w:p>
    <w:p>
      <w:pPr>
        <w:spacing w:after="0" w:line="47"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In July 2016, we announced that the study met its primary endpoint of reducing urinary GAG (dermatan sulfate) excretion after 24 weeks of treatment, demonstrating a reduction from baseline of 64.8 percent (p&lt;0.0001). The Multi-Domain Responder Index (MDRI) score at 24 weeks of treatment, a secondary endpoint, demonstrated an overall mean improvement (±SD) of +0.5 domains (±0.80) (p=0.0527). Six of the 12 patients had an improvement in their MDRI score of +1 or more. Five patients demonstrated no worsening of this progressive disease, or an MDRI score of 0. One patient had an MDRI score of -1. The MDRI is a summation of scores from each of the following domains: the six-minute walk test (6MWT), forced vital capacity (FVC), shoulder flexion, visual acuity, and the Bruininks-Oseretsky Test of Motor Proficiency (BOT-2) fine motor and gross motor function. For the 6MWT, the improvement (±SE) was 20.8 (±16.75) meters at 24 weeks of treatment based on the estimates from nine patients who had any change from baseline data. Three of these patients demonstrated an improvement of a magnitude equal to or greater than the minimally important difference (MID) with increases of 65 meters, 80 meters and 83 meters at 24 weeks compared to baseline. For the fatigue scores, four patients improved at or above the MID level after 24 weeks of treatment and nine of 12 showed improvement at some point during the study. All patients experienced treatment emergent adverse events, which were generally mild to moderate in severity. Six of the eight patients with infusion associated reactions (IARs) on rhGUS treatment had events involving the IV catheter. Two patients experienced a single hypersensitivity-type IAR, including one Grade 3 treatment-related anaphylactoid serious adverse event (SAE) that resulted from an infusion rate error. The second patient had mild fever and diaphoresis that resolved without treatment. No patients demonstrated recurring hypersensitivity reactions to infusions. There was a second SAE that was a Grade 2 unrelated event from an accidental injury. There were no deaths and no treatment discontinuations or missed infusions due to AEs. Seven of the 12 patients developed anti-rhGUS antibodies, which were not associated with immune-mediated AEs.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8" w:name="page9"/>
    <w:bookmarkEnd w:id="8"/>
    <w:p>
      <w:pPr>
        <w:ind w:right="160" w:firstLine="518"/>
        <w:spacing w:after="0" w:line="291" w:lineRule="auto"/>
        <w:rPr>
          <w:sz w:val="20"/>
          <w:szCs w:val="20"/>
          <w:color w:val="auto"/>
        </w:rPr>
      </w:pPr>
      <w:r>
        <w:rPr>
          <w:rFonts w:ascii="Arial" w:cs="Arial" w:eastAsia="Arial" w:hAnsi="Arial"/>
          <w:sz w:val="16"/>
          <w:szCs w:val="16"/>
          <w:color w:val="auto"/>
        </w:rPr>
        <w:t>Based on the data from the Phase 3 study, we have met with the FDA and the EMA and plan to submit regulatory filings in the first half of 2017. We also previously obtained feedback from the FDA and the EMA regarding the design of the Phase 3 study. The FDA stated that their evaluation of the pivotal Phase 3 study will be based on the totality of the data on a patient-by-patient basis and advised against the declaration of a primary endpoint. The EMA has agreed that approval under exceptional circumstances could be possible based upon a single positive placebo-controlled pivotal study in approximately 12 patients using urinary GAG levels as a surrogate primary endpoint, provided the data was strongly supportive of a favorable benefit/risk ratio and some evidence or trend in improvement in clinical endpoints was observed to support the primary endpoint. The EMA recognized that a statistically significant result on clinical endpoints was unlikely given the small number of patients expected to be enrolled in the study.</w:t>
      </w:r>
    </w:p>
    <w:p>
      <w:pPr>
        <w:spacing w:after="0" w:line="3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August 2015, we initiated a study of rhGUS in MPS 7 patients under the age of five years, including potentially younger infants born with hydrops fetalis. These hydropic infants can die within a few months to one year of birth, but enzyme replacement therapy might be able to reduce GAG storage and improve health in these patients. The Phase 2 open-label study will assess the safety, tolerability, and efficacy of rhGUS in up to seven pediatric patients under five years old.</w:t>
      </w:r>
    </w:p>
    <w:p>
      <w:pPr>
        <w:spacing w:after="0" w:line="38" w:lineRule="exact"/>
        <w:rPr>
          <w:sz w:val="20"/>
          <w:szCs w:val="20"/>
          <w:color w:val="auto"/>
        </w:rPr>
      </w:pPr>
    </w:p>
    <w:p>
      <w:pPr>
        <w:jc w:val="both"/>
        <w:ind w:right="260" w:firstLine="518"/>
        <w:spacing w:after="0" w:line="264" w:lineRule="auto"/>
        <w:rPr>
          <w:sz w:val="20"/>
          <w:szCs w:val="20"/>
          <w:color w:val="auto"/>
        </w:rPr>
      </w:pPr>
      <w:r>
        <w:rPr>
          <w:rFonts w:ascii="Arial" w:cs="Arial" w:eastAsia="Arial" w:hAnsi="Arial"/>
          <w:sz w:val="18"/>
          <w:szCs w:val="18"/>
          <w:color w:val="auto"/>
        </w:rPr>
        <w:t>We are also supplying rhGUS to investigators who are treating patients under emergency investigational new drug, or eIND, applications and other expanded access programs. Please see “—License and Collaboration Agreements—Saint Louis University” for a description of our license agreement with Saint Louis University.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UX007 for the treatment of LC-FAOD</w:t>
      </w:r>
    </w:p>
    <w:p>
      <w:pPr>
        <w:spacing w:after="0" w:line="90" w:lineRule="exact"/>
        <w:rPr>
          <w:sz w:val="20"/>
          <w:szCs w:val="20"/>
          <w:color w:val="auto"/>
        </w:rPr>
      </w:pPr>
    </w:p>
    <w:p>
      <w:pPr>
        <w:ind w:right="60" w:firstLine="518"/>
        <w:spacing w:after="0" w:line="290" w:lineRule="auto"/>
        <w:rPr>
          <w:sz w:val="20"/>
          <w:szCs w:val="20"/>
          <w:color w:val="auto"/>
        </w:rPr>
      </w:pPr>
      <w:r>
        <w:rPr>
          <w:rFonts w:ascii="Arial" w:cs="Arial" w:eastAsia="Arial" w:hAnsi="Arial"/>
          <w:sz w:val="16"/>
          <w:szCs w:val="16"/>
          <w:color w:val="auto"/>
        </w:rPr>
        <w:t>We are developing UX007 for oral administration intended as a substrate replacement therapy for patients with LC-FAOD. UX007 is a purified, pharmaceutical-grade form of triheptanoin, a specially designed synthetic triglyceride compound, created via a multi-step chemical process. Triheptanoin has been studied clinically for over a decade in more than a hundred human subjects affected by a variety of diseases. UX007 is a medium odd-chain triglyceride of seven-carbon fatty acids designed to provide substrate replacement for fatty acid metabolism and restore production of energy. Patients with LC-FAOD have a deficiency that impairs the ability to produce energy from fat, which can lead to depletion of glucose in the body, and severe liver, muscle, and heart disease, as well as death. There are currently no approved drugs or treatments specifically for LC-FAOD. The current standard of care for LC-FAOD includes diligent prevention of fasting combined with the use of low-fat/high-carbohydrate diets, carnitine supplementation in some cases, and medium even-chain triglyceride oil supplementation. Despite treatment with the current standard of care, many patients continue to suffer significant morbidity and mortality.</w:t>
      </w:r>
    </w:p>
    <w:p>
      <w:pPr>
        <w:spacing w:after="0" w:line="18" w:lineRule="exact"/>
        <w:rPr>
          <w:sz w:val="20"/>
          <w:szCs w:val="20"/>
          <w:color w:val="auto"/>
        </w:rPr>
      </w:pPr>
    </w:p>
    <w:p>
      <w:pPr>
        <w:ind w:right="100" w:firstLine="518"/>
        <w:spacing w:after="0" w:line="287" w:lineRule="auto"/>
        <w:rPr>
          <w:sz w:val="20"/>
          <w:szCs w:val="20"/>
          <w:color w:val="auto"/>
        </w:rPr>
      </w:pPr>
      <w:r>
        <w:rPr>
          <w:rFonts w:ascii="Arial" w:cs="Arial" w:eastAsia="Arial" w:hAnsi="Arial"/>
          <w:sz w:val="16"/>
          <w:szCs w:val="16"/>
          <w:color w:val="auto"/>
        </w:rPr>
        <w:t>In November 2016, we reported positive 78-week data from the Phase 2 study in LC-FAOD patients. The study was single-arm open-label and evaluated 29 pediatric and adult patients across three main symptom groups (musculoskeletal, liver/hypoglycemia, and cardiac). Patients needed to have moderate to severe FAOD with significant disease in at least one of these domains or a frequent medical events history in order to enroll. The study began with a four-week run-in period to assess baseline data while on the standard of care therapy including MCT oil, if applicable. Patients on MCT oil then discontinued it and UX007 was titrated to a target dose of 25-35% of total daily caloric intake. Patients were followed to evaluate the acute effects of UX007 treatment over 24 weeks on several endpoints, including cycle ergometry performance, 12-minute walk test, liver disease/hypoglycemia, cardiac disease, and quality of life. Patients who opted to continue were treated for a total of 78 weeks, and rates of major medical events, such as rhabdomyolysis, hypoglycemia and cardiac events, were monitored and compared to rates for the two years prior to treatment with UX007. The study evaluated the safety and tolerability of UX007 and is being used to determine both the appropriate patient population as well as endpoints for evaluation in a Phase 3 study. The majority of patients enrolled presented with musculoskeletal disease compared to a limited number who presented with liver and cardiac symptoms. Patients spanned a wide age range from ten months to 58 years old. Prior to initiating treatment with UX007, 27 of the 29 patients were on the standard of care MCT oil therapy. Following discontinuation of MCT oil therapy, the average dose of UX007 was 30% of total daily caloric intake.</w:t>
      </w:r>
    </w:p>
    <w:p>
      <w:pPr>
        <w:spacing w:after="0" w:line="20" w:lineRule="exact"/>
        <w:rPr>
          <w:sz w:val="20"/>
          <w:szCs w:val="20"/>
          <w:color w:val="auto"/>
        </w:rPr>
      </w:pPr>
    </w:p>
    <w:p>
      <w:pPr>
        <w:ind w:right="40" w:firstLine="518"/>
        <w:spacing w:after="0" w:line="274" w:lineRule="auto"/>
        <w:rPr>
          <w:sz w:val="20"/>
          <w:szCs w:val="20"/>
          <w:color w:val="auto"/>
        </w:rPr>
      </w:pPr>
      <w:r>
        <w:rPr>
          <w:rFonts w:ascii="Arial" w:cs="Arial" w:eastAsia="Arial" w:hAnsi="Arial"/>
          <w:sz w:val="17"/>
          <w:szCs w:val="17"/>
          <w:color w:val="auto"/>
        </w:rPr>
        <w:t>The frequency and duration of major clinical events (MCEs) were reduced significantly during treatment with UX007. The MCE rate aggregates events related to hypoglycemia, cardiomyopathy and rhabdomyolysis. For this study, events that qualified included those that led to a hospitalization, emergency room visit, or an emergency intervention at home. There was a 48.1 percent reduction (p=0.0208) in the mean annualized rate of MCEs and a 50.3 percent reduction (p=0.0284) in the mean annualized duration of all MCEs after 78 weeks of treatment, compared to the mean annualized number and duration of events in the 18 to 24 months prior to treatment with UX007. Among the event subtypes, rhabdomyolysis was the predominant MCE and there were fewer hypoglycemia events and only a few cardiomyopathy events. There was a reduction in the mean annualized rates and total duration of all events for rhabdomyolysis, cardiomyopathy, and hypoglycemia events after initiation of treatment with UX007. These findings were generally comparable to those observed in the retrospective compassionate use study previously conducted by Ultragenyx with partial reduction in rhabdomyolysis and near complete reduction of hypoglycemia events.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9" w:name="page10"/>
    <w:bookmarkEnd w:id="9"/>
    <w:p>
      <w:pPr>
        <w:ind w:right="60" w:firstLine="518"/>
        <w:spacing w:after="0" w:line="270" w:lineRule="auto"/>
        <w:rPr>
          <w:sz w:val="20"/>
          <w:szCs w:val="20"/>
          <w:color w:val="auto"/>
        </w:rPr>
      </w:pPr>
      <w:r>
        <w:rPr>
          <w:rFonts w:ascii="Arial" w:cs="Arial" w:eastAsia="Arial" w:hAnsi="Arial"/>
          <w:sz w:val="17"/>
          <w:szCs w:val="17"/>
          <w:color w:val="auto"/>
        </w:rPr>
        <w:t>Improvements were observed in both measures of exercise tolerance (cycle ergometry and 12 minute walk test) in musculoskeletal patients who performed the tests. At 24 weeks, patients showed improvements in both workload and duration. Seven patients (who qualified by age and performed the test at baseline) produced a mean 60% increase in watts over baseline representing a mean increase of +446.8 watts (median: +127.5; min, max: -388, +2438). The mean duration was increased in three patients who did not complete all 40 minutes at baseline. The cycle ergometry test at 78 weeks was inconclusive and uninterpretable due to missing data as a result of scheduling conflicts, withdrawal of consent, intercurrent illness and other factors. Eight qualified patients demonstrated a mean 28% increase of +188 meters (median: 93.5; min, max: -80, +880) at week 18 in the 12-minute walk test. These patients also experienced an improvement in the mean energy expenditure index (a ratio of heart rate per meter walked). The increase in distance walked observed at 18 weeks was maintained through 60 weeks. At week 60, the eight patients who completed the test showed a 29.7 percent improvement (mean increase: +199.8 meters; median: 149.5; min, max: -122, 1000) from a baseline of 673.4 meters.</w:t>
      </w:r>
    </w:p>
    <w:p>
      <w:pPr>
        <w:spacing w:after="0" w:line="4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Health Related Quality of life was assessed in the Phase 2 study using age appropriate SF-10™ (5-17 years, n=3) and SF-12v2® (&gt;18 years, n=5) Health Surveys. Significant improvements in the impaired physical summary measures (SF-12v2 Physical Component Summary and SF-10 Physical Health Summary) reported at the start of the study were observed after 78 weeks of treatment with UX007.</w:t>
      </w:r>
    </w:p>
    <w:p>
      <w:pPr>
        <w:spacing w:after="0" w:line="33"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Overall, 19 patients (66%) had treatment-related adverse events, most of which were mild-to-moderate in nature. The most common treatment-related adverse events were diarrhea, abdominal/gastrointestinal pain, and vomiting. Some gastrointestinal events were managed by adjusting dosing or dosing with food. The most common adverse events, including those not deemed treatment-related, were diarrhea, rhabdomyolysis, vomiting, viral infections, gastrointestinal disorders, headache and fever. Five of the 29 enrolled patients discontinued treatment over the course of the study. One patient discontinued due to diarrhea in week 1, which resolved within a few days of discontinuation, and four patients withdrew consent (weeks 1, 8, 8, 78) for reasons not attributed to treatment with UX007. There were no deaths. There was one previously reported treatment-related serious adverse event for moderate gastroenteritis with vomiting. This patient maintained dosing throughout the event, which has resolved and continues to be treated.</w:t>
      </w:r>
    </w:p>
    <w:p>
      <w:pPr>
        <w:spacing w:after="0" w:line="29" w:lineRule="exact"/>
        <w:rPr>
          <w:sz w:val="20"/>
          <w:szCs w:val="20"/>
          <w:color w:val="auto"/>
        </w:rPr>
      </w:pPr>
    </w:p>
    <w:p>
      <w:pPr>
        <w:ind w:right="100" w:firstLine="518"/>
        <w:spacing w:after="0" w:line="308" w:lineRule="auto"/>
        <w:rPr>
          <w:sz w:val="20"/>
          <w:szCs w:val="20"/>
          <w:color w:val="auto"/>
        </w:rPr>
      </w:pPr>
      <w:r>
        <w:rPr>
          <w:rFonts w:ascii="Arial" w:cs="Arial" w:eastAsia="Arial" w:hAnsi="Arial"/>
          <w:sz w:val="17"/>
          <w:szCs w:val="17"/>
          <w:color w:val="auto"/>
        </w:rPr>
        <w:t>We continue to further develop the Phase 3 study design and endpoints before meeting with regulators and initiating the study in 2017. Please see “— License and Collaboration Agreements—Baylor Research Institute” for a description of our license agreement with Baylor Research Institute.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UX007 for the treatment of Glut1 DS</w:t>
      </w:r>
    </w:p>
    <w:p>
      <w:pPr>
        <w:spacing w:after="0" w:line="77"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We are also developing UX007 for patients with Glut1 DS. Glut1 DS is caused by a mutation affecting the gene that codes for Glut1, which is a protein that transports glucose from the blood into the brain. Because glucose is the primary source of energy for the brain, Glut1 DS results in a chronic state of brain energy deficiency and is characterized by seizures, developmental delay, and movement disorder. There are currently no approved drugs specific to Glut1 DS. The current standard of care for Glut1 DS is the ketogenic diet, an extreme high-fat (70-80% of daily calories as fat)/low-carbohydrate diet, which generates ketone bodies as an alternative energy source to glucose, and one or more antiepileptic drugs. The ketogenic diet can be effective in reducing seizures but compliance can be difficult, and the effectiveness of the diet in the treatment of developmental delay and movement disorders has not been confirmed. In addition, ketogenic diet can lead to side effects including renal stones. In general, Glut1 DS patients are considered relatively refractory to antiepileptic drugs with only approximately 8% achieving seizure control on antiepileptic drugs alone. There are currently no antiepileptic drugs approved specifically for patients with Glut1 DS.</w:t>
      </w:r>
    </w:p>
    <w:p>
      <w:pPr>
        <w:spacing w:after="0" w:line="33"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UX007 is intended as a substrate replacement therapy to provide an alternative source of energy to the brain in Glut1 DS patients. There are open-label investigator-sponsored clinical studies ongoing, and there is one publication presenting data on absence seizure reduction and improved developmental function in some Glut1 DS subjects taking UX007.</w:t>
      </w:r>
    </w:p>
    <w:p>
      <w:pPr>
        <w:spacing w:after="0" w:line="46" w:lineRule="exact"/>
        <w:rPr>
          <w:sz w:val="20"/>
          <w:szCs w:val="20"/>
          <w:color w:val="auto"/>
        </w:rPr>
      </w:pPr>
    </w:p>
    <w:p>
      <w:pPr>
        <w:ind w:right="160" w:firstLine="518"/>
        <w:spacing w:after="0" w:line="273" w:lineRule="auto"/>
        <w:rPr>
          <w:sz w:val="20"/>
          <w:szCs w:val="20"/>
          <w:color w:val="auto"/>
        </w:rPr>
      </w:pPr>
      <w:r>
        <w:rPr>
          <w:rFonts w:ascii="Arial" w:cs="Arial" w:eastAsia="Arial" w:hAnsi="Arial"/>
          <w:sz w:val="17"/>
          <w:szCs w:val="17"/>
          <w:color w:val="auto"/>
        </w:rPr>
        <w:t>In March 2014, we initiated a Phase 2 global, randomized, double-blind, placebo-controlled, parallel-group clinical study that planned to enroll up to 40 patients who are currently not fully compliant with ketogenic diet and continue to have seizures. The primary efficacy objective is the reduction in frequency of seizures compared to placebo following a 6-week baseline period and subsequent 8-week placebo-controlled treatment period. Other efficacy objectives include cognitive function and movement disorder. The blinded treatment period is followed by an open-label extension period in which patients are treated with UX007 through week 52. In order to accelerate enrollment, we amended the enrollment criteria to also include patients with only absence seizures. We have completed enrollment of 36 patients, and data are expected in the first quarter of 2017.</w:t>
      </w:r>
    </w:p>
    <w:p>
      <w:pPr>
        <w:spacing w:after="0" w:line="30" w:lineRule="exact"/>
        <w:rPr>
          <w:sz w:val="20"/>
          <w:szCs w:val="20"/>
          <w:color w:val="auto"/>
        </w:rPr>
      </w:pPr>
    </w:p>
    <w:p>
      <w:pPr>
        <w:jc w:val="both"/>
        <w:ind w:right="140" w:firstLine="518"/>
        <w:spacing w:after="0" w:line="279" w:lineRule="auto"/>
        <w:rPr>
          <w:sz w:val="20"/>
          <w:szCs w:val="20"/>
          <w:color w:val="auto"/>
        </w:rPr>
      </w:pPr>
      <w:r>
        <w:rPr>
          <w:rFonts w:ascii="Arial" w:cs="Arial" w:eastAsia="Arial" w:hAnsi="Arial"/>
          <w:sz w:val="17"/>
          <w:szCs w:val="17"/>
          <w:color w:val="auto"/>
        </w:rPr>
        <w:t>In April 2015, positive data from an investigator-sponsored study of UX007 for the treatment of movement disorders associated with Glut1 DS were presented at the American Academy of Neurology Annual Meeting. The data showed a statistically significant 90% reduction in movement disorder events after treatment with UX007 (p=0.028) and a statistically significant increase in events after withdrawal from treatment with UX007 (p=0.043). Triheptanoin was well tolerated in all patients. Two patients were considered not compliant for reasons unrelated to safety or tolerability.</w:t>
      </w:r>
    </w:p>
    <w:p>
      <w:pPr>
        <w:spacing w:after="0" w:line="23"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We plan to initiate a Phase 3 study in approximately 40 Glut1 DS patients with the movement disorder phenotype in the first quarter of 2017. The study will be randomized, double-blind, placebo-controlled, double cross-over study. We expect to enroll approximately 40 patients and assess the impact of UX007 on disabling movement disorder events as recorded by a patient diary.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Ace-ER (UX001) for the treatment of GNE myopathy</w:t>
      </w:r>
    </w:p>
    <w:p>
      <w:pPr>
        <w:spacing w:after="0" w:line="90"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We are developing Ace-ER, which is an extended-release, oral formulation of sialic acid for the treatment of GNE myopathy, which is also known as hereditary inclusion body myopathy, or HIBM. GNE myopathy is characterized by severe progressive muscular myopathy, or disease in which muscle fibers do not function properly, with onset typically in the late teens or twenties. Patients with GNE myopathy have a genetic defect in the gene coding for a particular enzyme that is involved in the first step in the biosynthesis of sialic acid. Therefore, GNE myopathy patients have a sialic acid deficiency, which interferes with muscle function, leading to myopathy and atrophy. Patients typically lose major muscle function within ten to 20 years of diagnosis. There is no approved drug therapy for GNE myopathy.</w:t>
      </w:r>
    </w:p>
    <w:p>
      <w:pPr>
        <w:spacing w:after="0" w:line="45"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Ace-ER is intended as a potential substrate replacement therapy designed to address sialic acid deficiency and restore muscle function in GNE myopathy patients. We have conducted a Phase 2 randomized, double-blind, placebo-controlled study of Ace-ER in 47 GNE myopathy patients. Data from this study were presented at the American Academy of Neurology Annual Meeting in April 2014. Patients in the study were initially randomized to receive placebo, three grams, or six grams of Ace-ER per day. After 24 weeks, placebo patients crossed over to either three grams or six grams total daily dose, for an additional 24 weeks. The final analysis compared change at week 48 from baseline for the combined group at six grams versus the combined group at three grams of Ace-ER. Assessments included pharmacokinetics, composites of upper extremity and lower extremity muscle strength as measured by dynamometry, other clinical endpoints, patient reported outcomes, and safety.</w:t>
      </w:r>
    </w:p>
    <w:p>
      <w:pPr>
        <w:spacing w:after="0" w:line="29"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At 24 weeks, assessments of upper extremity composite of muscle strength showed a statistically significant difference in the six-gram group compared to placebo (+2.33 kg; 5.5% relative difference from baseline; p=0.040). At 48 weeks, a statistically significant difference between the combined six-gram group and the combined three-gram group was observed (+3.44 kg; 8.5% relative difference from baseline; p=0.0033). Patients with less advanced disease (able to walk more than 200 meters at baseline), a predefined subset, showed a more pronounced difference (+4.69 kg; 9.6% relative difference from baseline; p=0.00055). The lower extremity composite showed a similar pattern of response but did not show a statistically significant difference between the dose groups. None of the groups showed a significant decline in the lower extremity composite during the treatment period. A positive trend was seen in patient-reported outcomes of functional activity suggesting potential clinical meaningfulness of the muscle strength assessment. Ace-ER appeared to be well tolerated with no serious adverse events observed to date in either dose group, and no dose-dependent treatment-emergent adverse events were identified. Most adverse events were mild to moderate and the most commonly reported adverse events were gastrointestinal in nature and pain related to muscle biopsy procedures.</w:t>
      </w:r>
    </w:p>
    <w:p>
      <w:pPr>
        <w:spacing w:after="0" w:line="43"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We continued to treat these patients in an extension study evaluating an increased daily dosage of sialic acid based on the dose dependence observed at weeks 24 and 48. Interim data from the extension study were presented at the International Congress of the World Muscle Society, or WMS, in October 2014. In the first part of the extension study, all 46 patients who completed the 48-week Phase 2 study crossed over to six grams for a variable period of time that was on average 24 weeks. In the second part of the extension study, all 46 patients and 13 treatment-naïve patients received 12 grams of Ace-ER for 24 weeks. The results presented at WMS included the 49 out of 59 patients who had 24 weeks of data at the higher dose. While the 12-gram data did not suggest any clinically meaningful advantage over six grams, the 12-gram data do provide additional data that supported potential clinical activity with Ace-ER treatment. The higher dose appeared to be generally safe and well tolerated with no drug-related serious adverse events, but the rate of mild to moderate gastrointestinal adverse events did appear to be greater with this dose. Throughout the approximately two-year study period, treatment with Ace-ER appeared to slow the progression of upper extremity disease when compared to the 24-week placebo group extrapolated out to two years.</w:t>
      </w:r>
    </w:p>
    <w:p>
      <w:pPr>
        <w:spacing w:after="0" w:line="18"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October 2015, we announced the filing and acceptance for review of an MAA seeking conditional approval from the EMA based on our Phase 2 study results for the use of six grams per day of Ace-ER tablets in the treatment of GNE myopathy. In November 2016, we withdrew the MAA based on feedback received during the CHMP meeting indicating that the Phase 2 study was encouraging, but did not provide a sufficient amount of evidence to support conditional approval at that time. We completed enrollment of a randomized, double-blind, placebo-controlled 48-week pivotal Phase 3 study of Ace-ER in 89 patients with GNE myopathy in July 2016. The primary endpoint of the study is a composite of upper extremity muscle strength as measured by hand-held dynamometry. Key secondary endpoints include the GNE Myopathy-functional activity scale, a disease-specific PRO that measures mobility and upper-extremity function, and other measures of lower-extremity muscle strength. The Phase 2 study evaluated the same endpoints. The Phase 3 study design was discussed with the FDA and the EMA with supportive feedback for registration purposes from both agencies. Data from the Phase 3 study are expected in the second half of 2017. We plan to submit an NDA and MAA based on the Phase 3 data, if positive.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98" w:right="2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Preclinical Pipeline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rhPPCA (UX004) for the treatment of galactosialidosis</w:t>
      </w:r>
    </w:p>
    <w:p>
      <w:pPr>
        <w:spacing w:after="0" w:line="7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Recombinant human protective protein cathepsin-A, or rhPPCA, which we in-licensed from St. Jude Children’s Research Hospital, or St. Jude, in September 2012, is in preclinical development as an enzyme replacement therapy for galactosialidosis, a rare lysosomal storage disease for which there are no currently approved drug therapies. Similar to MPS patients, patients with galactosialidosis present with both soft tissue storage in the liver, spleen, and other tissues, as well as connective tissue (bone and cartilage) related disease. As with MPS 7, an enzyme deficiency results in accumulation of substrates in the lysosomes, causing skeletal and organ dysfunction, and death. We are continuing preclinical development of rhPPCA. Please see “—License and Collaboration Agreements—St. Jude Children’s Research Hospital” for a description of our license agreement with St. Jude.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with Arcturus Therapeutics, Inc. for mRNA therapeutics</w:t>
      </w:r>
    </w:p>
    <w:p>
      <w:pPr>
        <w:spacing w:after="0" w:line="90" w:lineRule="exact"/>
        <w:rPr>
          <w:sz w:val="20"/>
          <w:szCs w:val="20"/>
          <w:color w:val="auto"/>
        </w:rPr>
      </w:pPr>
    </w:p>
    <w:p>
      <w:pPr>
        <w:ind w:right="140" w:firstLine="518"/>
        <w:spacing w:after="0" w:line="302" w:lineRule="auto"/>
        <w:rPr>
          <w:sz w:val="20"/>
          <w:szCs w:val="20"/>
          <w:color w:val="auto"/>
        </w:rPr>
      </w:pPr>
      <w:r>
        <w:rPr>
          <w:rFonts w:ascii="Arial" w:cs="Arial" w:eastAsia="Arial" w:hAnsi="Arial"/>
          <w:sz w:val="16"/>
          <w:szCs w:val="16"/>
          <w:color w:val="auto"/>
        </w:rPr>
        <w:t>We signed a research collaboration and license agreement with Arcturus Therapeutics, Inc. to develop mRNA therapeutics for select rare disease targets in October 2015. The Arcturus collaboration may help us address a wider range of rare diseases than possible with current approaches. As part of the collaboration, Arcturus will utilize its UNA Oligomer™ chemistry and LUNAR™ nanoparticle delivery platform to initially design and optimize mRNA therapeutics for two targets selected by us; we also have the option to add up to eight additional targets during the collaborative research period.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with Takeda Pharmaceutical Company Limited</w:t>
      </w:r>
    </w:p>
    <w:p>
      <w:pPr>
        <w:spacing w:after="0" w:line="77" w:lineRule="exact"/>
        <w:rPr>
          <w:sz w:val="20"/>
          <w:szCs w:val="20"/>
          <w:color w:val="auto"/>
        </w:rPr>
      </w:pPr>
    </w:p>
    <w:p>
      <w:pPr>
        <w:jc w:val="both"/>
        <w:ind w:right="40" w:firstLine="518"/>
        <w:spacing w:after="0" w:line="302" w:lineRule="auto"/>
        <w:rPr>
          <w:sz w:val="20"/>
          <w:szCs w:val="20"/>
          <w:color w:val="auto"/>
        </w:rPr>
      </w:pPr>
      <w:r>
        <w:rPr>
          <w:rFonts w:ascii="Arial" w:cs="Arial" w:eastAsia="Arial" w:hAnsi="Arial"/>
          <w:sz w:val="16"/>
          <w:szCs w:val="16"/>
          <w:color w:val="auto"/>
        </w:rPr>
        <w:t>We entered into a strategic partnership with Takeda Pharmaceutical Company Limited, or Takeda, to develop and commercialize therapies to treat rare genetic diseases in June 2016. As part of the collaboration, we received an exclusive license to one preclinical Takeda product candidate in a pre-determined field of use, and have an exclusive option to co-develop and co-commercialize the product candidate in additional therapeutic areas. We have also established a five-year research collaboration with Takeda in which we will have the option to license up to five additional Takeda product candidates for rare diseases.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preclinical programs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continue to work on other compounds in various preclinical stages of development.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The commercialization of new drugs is competitive, and we may face worldwide competition from individual investigators, major pharmaceutical companies, specialty pharmaceutical companies, biotechnology companies, nutraceutical companies, and ultimately biosimilar and generic companies. Our competitors may develop or market therapies that are more effective, safer, or less costly than any that may be commercialized by us, or may obtain regulatory approval for their therapies more rapidly than we may obtain approval for ours.</w:t>
      </w:r>
    </w:p>
    <w:p>
      <w:pPr>
        <w:spacing w:after="0" w:line="38" w:lineRule="exact"/>
        <w:rPr>
          <w:sz w:val="20"/>
          <w:szCs w:val="20"/>
          <w:color w:val="auto"/>
        </w:rPr>
      </w:pPr>
    </w:p>
    <w:p>
      <w:pPr>
        <w:ind w:right="320" w:firstLine="518"/>
        <w:spacing w:after="0" w:line="259" w:lineRule="auto"/>
        <w:rPr>
          <w:sz w:val="20"/>
          <w:szCs w:val="20"/>
          <w:color w:val="auto"/>
        </w:rPr>
      </w:pPr>
      <w:r>
        <w:rPr>
          <w:rFonts w:ascii="Arial" w:cs="Arial" w:eastAsia="Arial" w:hAnsi="Arial"/>
          <w:sz w:val="18"/>
          <w:szCs w:val="18"/>
          <w:color w:val="auto"/>
        </w:rPr>
        <w:t>The acquisition or licensing of pharmaceutical products is also very competitive, and a number of more established companies, which have acknowledged strategies to license or acquire products, may have competitive advantages as may other emerging companies taking similar or different approaches to product acquisitions. These established companies may have a competitive advantage over us due to their size, cash flows, and institutional experience.</w:t>
      </w:r>
    </w:p>
    <w:p>
      <w:pPr>
        <w:spacing w:after="0" w:line="38"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With respect to KRN23, although we are not aware of any other products currently in clinical development for the treatment of XLH, it is possible that competitors may produce, develop, and commercialize therapeutics, or utilize other approaches such as gene therapy, to treat XLH. Most pediatric patients with XLH are managed using oral phosphate replacement and/or vitamin D therapy, which is relatively inexpensive and therefore may adversely affect our ability to commercialize KRN23, if approved, in some countries.</w:t>
      </w:r>
    </w:p>
    <w:p>
      <w:pPr>
        <w:spacing w:after="0" w:line="52"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With respect to rhGUS and rhPPCA, we are not aware of any other compounds currently in clinical development for MPS 7 or galactosialidosis, but it is possible that other companies may produce, develop, and commercialize compounds that might treat these diseases. Additionally, gene therapy and other therapeutic approaches may emerge for the treatment of lysosomal diseases. Bone marrow or stem cell transplants have also been used in MPS 7 and in other lysosomal storage diseases and represent a potential competing therapy. Stem cell transplants have been effective in treating soft tissue storage and in having an impact on brain disease, but have not to date proven effective in treating bone and connective tissue disease. Typically, enzyme replacement therapy has had an impact on bone and connective tissue disease in other disorders when patients were treated early.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94" w:right="259" w:bottom="1440" w:gutter="0" w:footer="0" w:header="0"/>
        </w:sectPr>
      </w:pPr>
    </w:p>
    <w:bookmarkStart w:id="12" w:name="page13"/>
    <w:bookmarkEnd w:id="12"/>
    <w:p>
      <w:pPr>
        <w:ind w:firstLine="518"/>
        <w:spacing w:after="0" w:line="289" w:lineRule="auto"/>
        <w:rPr>
          <w:sz w:val="20"/>
          <w:szCs w:val="20"/>
          <w:color w:val="auto"/>
        </w:rPr>
      </w:pPr>
      <w:r>
        <w:rPr>
          <w:rFonts w:ascii="Arial" w:cs="Arial" w:eastAsia="Arial" w:hAnsi="Arial"/>
          <w:sz w:val="16"/>
          <w:szCs w:val="16"/>
          <w:color w:val="auto"/>
        </w:rPr>
        <w:t>With respect to UX007/triheptanoin, there are currently no approved drugs or treatments for patients with LC-FAOD or Glut1 DS. LC-FAOD is commonly treated with diet therapy and MCT oil, and UX007 would compete with MCT oil. Glut1 DS is commonly treated with ketogenic diet and antiepileptic drugs. UX007 may compete with these approaches. Although we believe that UX007 should be considered a drug and will be regulated that way, it is possible that other companies or individuals may attempt to produce triheptanoin for use in LC-FAOD, Glut1 DS, and other patients by attempting to sell the product via a nutritional supplement or medical food pathway. Investigators are testing triheptanoin in clinical studies across multiple indications, including LC-FAOD and Glut1 DS. For example, B. Braun Medical Inc., or B. Braun, has applied for and received orphan drug designation for triheptanoin for the treatment of certain types of LC-FAOD in Europe; however, we are not aware of any ongoing clinical development activities by B. Braun. It is also possible that other companies may produce, develop, and commercialize other medium odd-chain fatty acids, or completely different compounds, to treat LC-FAOD and Glut1 DS. Other companies may also utilize other approaches, such as gene therapy, to treat LC-FAOD and Glut1 DS.</w:t>
      </w:r>
    </w:p>
    <w:p>
      <w:pPr>
        <w:spacing w:after="0" w:line="32"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With respect to Ace-ER, although there are currently no approved drug therapies for the treatment of HIBM, it is possible that others may develop alternative approaches to the treatment of HIBM, including other metabolites from the sialic acid pathway, prodrugs, other drug therapies, and gene therapy. We are aware of a program at the National Institutes of Health that is investigating the use of another metabolite in the sialic acid pathway, N-acetyl mannosamine, or ManNAc, for the treatment of HIBM. Escala Therapeutics Inc. (a subsidiary of Fortress Biotech) acquired from New Zealand Pharmaceuticals Ltd, a license from the NIH for the development of ManNAc for the treatment of GNE Myopathy. New Zealand Pharmaceuticals manufactures ManNAc and is its exclusive global supplier to Escala Therapeutics. We believe that a Phase 1 clinical study has been completed and an open-label, three-month Phase 2 study is ongoing.</w:t>
      </w:r>
    </w:p>
    <w:p>
      <w:pPr>
        <w:spacing w:after="0" w:line="41"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Many of our competitors have substantially greater financial, technical, and human resources than we have. Additional mergers and acquisitions in the pharmaceutical industry may result in even more resources being concentrated in our competitors. Competition may increase further as a result of advances made in the commercial applicability of technologies and greater availability of capital for investment in these fields. Our success will be based in part on our ability to build and actively manage a portfolio of drugs that addresses unmet medical needs and creates value in patient therapy.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and Collaboration Agreements</w:t>
      </w:r>
    </w:p>
    <w:p>
      <w:pPr>
        <w:spacing w:after="0" w:line="94"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Our current product candidate pipeline has been either in-licensed from academic institutions or derived from partnerships with other pharmaceutical companies. Following is a description of our significant license and collaboration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Kyowa Hakko Kirin</w:t>
      </w:r>
    </w:p>
    <w:p>
      <w:pPr>
        <w:spacing w:after="0" w:line="77" w:lineRule="exact"/>
        <w:rPr>
          <w:sz w:val="20"/>
          <w:szCs w:val="20"/>
          <w:color w:val="auto"/>
        </w:rPr>
      </w:pPr>
    </w:p>
    <w:p>
      <w:pPr>
        <w:ind w:right="40" w:firstLine="518"/>
        <w:spacing w:after="0" w:line="286" w:lineRule="auto"/>
        <w:rPr>
          <w:sz w:val="20"/>
          <w:szCs w:val="20"/>
          <w:color w:val="auto"/>
        </w:rPr>
      </w:pPr>
      <w:r>
        <w:rPr>
          <w:rFonts w:ascii="Arial" w:cs="Arial" w:eastAsia="Arial" w:hAnsi="Arial"/>
          <w:sz w:val="16"/>
          <w:szCs w:val="16"/>
          <w:color w:val="auto"/>
        </w:rPr>
        <w:t>In August 2013, we entered into a collaboration and license agreement with KHK. Under the terms of this collaboration and license agreement, as amended, we and KHK will collaborate on the development and commercialization of certain products containing KRN23 in the field of orphan diseases in the United States and Canada, or the “profit-share territory”, and in the European Union, Switzerland, and Turkey, or the European territory, and we will have the right to develop and commercialize such products in the field of orphan diseases in Mexico and Central and South America, or Latin America. In the field of orphan diseases, and except for ongoing studies being conducted by KHK, we will be the lead party for development activities in the profit-share territory and in the European territory until the applicable transition date; we will also be the lead party for core development activities conducted in Japan and Korea for which the core development plan is limited to clinical trials mutually agreed to by us and KHK. We will share the costs for development activities in the profit share territory and European territory conducted pursuant to the development plan before the applicable transition date equally with KHK and KHK shall be responsible for 100% of the costs for development activities in Japan and Korea. On the applicable transition date in the profit-share territory and the European territory, KHK will become the lead party and be responsible for the costs of the development activities. However, we will continue to share the costs of the studies commenced prior to the applicable transition date equally with KHK. We have the primary responsibility for conducting certain research and development activities. We are obligated to provide assistance in accordance with the agreed upon development plan as well as participate on various committees. If KRN23 is approved, we and KHK will share commercial responsibilities and profits in the profit share territory until the applicable transition date, KHK will commercialize KRN23 in the European territory, and we will develop and commercialize KRN23 in Latin America. KHK will manufacture and supply KRN23 for clinical use globally and will manufacture and supply KRN23 for commercial use in the profit share territory and Latin America.</w:t>
      </w:r>
    </w:p>
    <w:p>
      <w:pPr>
        <w:spacing w:after="0" w:line="34" w:lineRule="exact"/>
        <w:rPr>
          <w:sz w:val="20"/>
          <w:szCs w:val="20"/>
          <w:color w:val="auto"/>
        </w:rPr>
      </w:pPr>
    </w:p>
    <w:p>
      <w:pPr>
        <w:jc w:val="both"/>
        <w:ind w:right="160" w:firstLine="518"/>
        <w:spacing w:after="0" w:line="302" w:lineRule="auto"/>
        <w:rPr>
          <w:sz w:val="20"/>
          <w:szCs w:val="20"/>
          <w:color w:val="auto"/>
        </w:rPr>
      </w:pPr>
      <w:r>
        <w:rPr>
          <w:rFonts w:ascii="Arial" w:cs="Arial" w:eastAsia="Arial" w:hAnsi="Arial"/>
          <w:sz w:val="16"/>
          <w:szCs w:val="16"/>
          <w:color w:val="auto"/>
        </w:rPr>
        <w:t>In the profit share territory, KHK will book sales of products and we will have the sole right to promote the products for a specified period of time, with KHK increasingly participating in the promotion of the products until five years from commercial launch, after which KHK will have the sole right to promote the products, subject to a limited promotion right retained by us. In the European territory, KHK will book sales of products and have the sole right to promote and sell the products. In Latin America, we will book sales of products and have the sole right to promote and sell the products.</w:t>
      </w:r>
    </w:p>
    <w:p>
      <w:pPr>
        <w:spacing w:after="0" w:line="6" w:lineRule="exact"/>
        <w:rPr>
          <w:sz w:val="20"/>
          <w:szCs w:val="20"/>
          <w:color w:val="auto"/>
        </w:rPr>
      </w:pPr>
    </w:p>
    <w:p>
      <w:pPr>
        <w:jc w:val="both"/>
        <w:ind w:right="200" w:firstLine="518"/>
        <w:spacing w:after="0" w:line="264" w:lineRule="auto"/>
        <w:rPr>
          <w:sz w:val="20"/>
          <w:szCs w:val="20"/>
          <w:color w:val="auto"/>
        </w:rPr>
      </w:pPr>
      <w:r>
        <w:rPr>
          <w:rFonts w:ascii="Arial" w:cs="Arial" w:eastAsia="Arial" w:hAnsi="Arial"/>
          <w:sz w:val="18"/>
          <w:szCs w:val="18"/>
          <w:color w:val="auto"/>
        </w:rPr>
        <w:t>KHK will supply all quantities of product for clinical studies. KHK will also supply all quantities of product for commercial sales in the profit-share territory and in Latin America. The supply price to us for commercial sales in the profit-share territory and in Latin America will be determined based on a fixed double-digit percentage of net sales.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bookmarkStart w:id="13" w:name="page14"/>
    <w:bookmarkEnd w:id="13"/>
    <w:p>
      <w:pPr>
        <w:ind w:right="80" w:firstLine="518"/>
        <w:spacing w:after="0" w:line="257" w:lineRule="auto"/>
        <w:rPr>
          <w:sz w:val="20"/>
          <w:szCs w:val="20"/>
          <w:color w:val="auto"/>
        </w:rPr>
      </w:pPr>
      <w:r>
        <w:rPr>
          <w:rFonts w:ascii="Arial" w:cs="Arial" w:eastAsia="Arial" w:hAnsi="Arial"/>
          <w:sz w:val="18"/>
          <w:szCs w:val="18"/>
          <w:color w:val="auto"/>
        </w:rPr>
        <w:t>The remaining profit or loss from commercializing products in the profit-share territory, until the applicable transition date, will be shared between us and KHK on a 50/50 basis. Thereafter, we will be entitled to receive a tiered double-digit revenue share in the mid-to-high 20% range in the profit share territory, intended to approximate the profit share. We will also be entitled to receive a royalty of up to 10% on net sales in the European territory. In Latin America, we will pay to KHK a low single-digit royalty on net sales. Our and KHK’s obligations to pay royalties will continue on a country-by-country basis for so long as we or KHK, as applicable, are selling products in such country.</w:t>
      </w:r>
    </w:p>
    <w:p>
      <w:pPr>
        <w:spacing w:after="0" w:line="53"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The collaboration and license agreement will continue for as long as products in the field of orphan diseases are sold in the profit-share territory, European territory, or Latin America, unless the agreement is terminated in accordance with its terms.</w:t>
      </w:r>
    </w:p>
    <w:p>
      <w:pPr>
        <w:spacing w:after="0" w:line="22"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KHK may terminate the agreement in certain countries or territories based upon our failure to meet certain milestones. Specifically, if we do not obtain U.S. or European marketing approval of KRN23 for the treatment of XLH by a certain date, or make a first commercial sale, on a country-by-country basis, in Latin America by certain deadlines, KHK may terminate the agreement only with respect to the applicable territory or country in which the milestone was not timely met. In certain circumstances, we have the right to obtain an extension of the applicable deadline by making a payment to KHK in the low single-digit to low double-digit millions of dollars, depending on the milestone. Also, in the event of the occurrence of certain excusable delays, the deadline for meeting the applicable milestone above is extended to account for the period of the delay. Furthermore, either party may terminate the agreement for the material breach or bankruptcy of the other party. In any event of termination by KHK, unless such termination is the result of KHK’s termination for certain types of breach of the agreement by us, we may receive low single-digit to low double-digit royalties on net post-termination sales by KHK in one or more countries or territories, the amount of which varies depending on the timing of, and reason for, such termination. In any event of termination, our rights to KRN23 under the agreement and our obligations to share development costs will cease, and the program will revert to KHK, worldwide if the agreement is terminated as a whole or solely in the terminated countries if the agreement is terminated solely with respect to certain countries.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Saint Louis University</w:t>
      </w:r>
    </w:p>
    <w:p>
      <w:pPr>
        <w:spacing w:after="0" w:line="90"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color w:val="auto"/>
        </w:rPr>
        <w:t>In November 2010, we entered into a license agreement with Saint Louis University, or SLU, wherein SLU granted us certain exclusive rights to intellectual property related to GUS. Under the terms of the license agreement, SLU granted us an exclusive worldwide license to make, have made, use, import, offer for sale, and sell therapeutics related to SLU’s beta-glucuronidase product, such as our rhGUS product candidate, for use in the treatment of human diseases. Under this agreement, we agreed to use best efforts to develop and commercialize a licensed product as soon as practicable consistent with sound and reasonable business practices and judgment.</w:t>
      </w:r>
    </w:p>
    <w:p>
      <w:pPr>
        <w:spacing w:after="0" w:line="40"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Under the license agreement, upon reaching a certain level of worldwide sales of the product, we will pay to SLU a low single-digit royalty on net sales of the licensed products in any country or region, subject to certain potential deductions. Our obligation to pay royalties to SLU continues on a country-by-country basis until the expiration of the last-to-expire licensed patent covering the product in such country or, in the United States, Japan, and the EU, until the later expiration of any orphan drug exclusivity. We may terminate the agreement for convenience at any time and SLU may terminate the agreement for our material breach, bankruptcy, or challenge of the licensed patents or technology, and SLU may terminate the agreement or render our license non-exclusive if we fail to meet our diligence obligations. Unless terminated as set forth above, this license agreement continues in full force and effect until the latest of expiration of the last patent based on technology licensed under the agreement, at which point our license becomes fully paid.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Baylor Research Institute</w:t>
      </w:r>
    </w:p>
    <w:p>
      <w:pPr>
        <w:spacing w:after="0" w:line="90" w:lineRule="exact"/>
        <w:rPr>
          <w:sz w:val="20"/>
          <w:szCs w:val="20"/>
          <w:color w:val="auto"/>
        </w:rPr>
      </w:pPr>
    </w:p>
    <w:p>
      <w:pPr>
        <w:ind w:right="20" w:firstLine="518"/>
        <w:spacing w:after="0" w:line="267" w:lineRule="auto"/>
        <w:rPr>
          <w:sz w:val="20"/>
          <w:szCs w:val="20"/>
          <w:color w:val="auto"/>
        </w:rPr>
      </w:pPr>
      <w:r>
        <w:rPr>
          <w:rFonts w:ascii="Arial" w:cs="Arial" w:eastAsia="Arial" w:hAnsi="Arial"/>
          <w:sz w:val="17"/>
          <w:szCs w:val="17"/>
          <w:color w:val="auto"/>
        </w:rPr>
        <w:t>In September 2012, we entered into a license agreement with Baylor Research Institute, or BRI, under which we exclusively licensed certain intellectual property related to triheptanoin . The license includes patents, patent applications, know-how, and intellectual property related to the composition and formulation of triheptanoin as well as its use in treating a number of orphan diseases, including FAOD. The license grant includes the sole right to develop, manufacture, and commercialize licensed products for all human and animal uses. Under the license agreement, we are obligated to use commercially reasonable efforts to develop and commercialize licensed products in select orphan indications. If we fail to meet our diligence obligations with respect to a specified orphan indication or set of orphan indications, BRI may convert our license to a non-exclusive license with respect to such orphan indication or set of orphan indications until we receive regulatory approval for licensed products in the applicable orphan indication or set of orphan indications. We are also obligated to pay a mid-single digit royalty on net sales to BRI, subject to certain reductions and offsets. Our obligation to pay royalties to BRI continues on a licensed product-by-licensed product and country-by-country basis until the later of the expiration of the first regulatory exclusivity granted with respect to such product in such country or the expiration of the last-to-expire licensed patent claiming such product in such country, in each case in connection with approval in such country for FAOD or an orphan disease covered by our license from BRI. We may make future payments of up to $10.5 million contingent upon attainment of certain development milestones and $7.5 million if certain sales milestones are achieved. We may terminate the agreement for convenience at any time and either we or BRI may terminate the agreement for the material breach or bankruptcy of the other party. If we terminate for BRI’s breach or bankruptcy, our license from BRI will remain in effect, subject to our continued payment of reduced milestones and royalties. Unless terminated by its terms, this license agreement continues in full force and effect, on a product-by-product and country-by-country basis, until our royalty obligations expire, at which point our license from BRI with respect to such product in such country becomes irrevocable, perpetual, fully paid and royalty-free.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Nobelpharma</w:t>
      </w:r>
    </w:p>
    <w:p>
      <w:pPr>
        <w:spacing w:after="0" w:line="90"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In September 2010, we entered into a collaboration and license agreement with Nobelpharma Co., Ltd. (Nobelpharma). Under the terms of this collaboration and license agreement, as amended, each party granted the other party a worldwide exclusive license under certain of that party’s intellectual property related to the compound identified as N-acetylneuraminic acid, also known as sialic acid, to develop, manufacture, and commercialize products. Nobelpharma’s licensed territory includes Japan and certain other Asian countries, and our licensed territory includes the rest of the world. The parties conduct development independently, and each party is obligated to make commercially reasonable efforts to file an investigational new drug application, or IND, for licensed products in its territory and, in our case, to obtain patent term extensions and data exclusivity in Europe and North America, and share with the other party all data, documentation, and information that is generated in conducting such activities. Nobelpharma must use commercially reasonable efforts to supply us with the sialic acid drug substance. Either Nobelpharma or we can terminate this supply arrangement for convenience, at which point Nobelpharma would provide technical assistance to allow us to manufacture the sialic acid drug substance ourselves. If we choose to manufacture the sialic acid drug substance, Nobelpharma will have the right to purchase the sialic acid drug substance from us and we will use commercially reasonable efforts to supply Nobelpharma with the sialic acid drug substance.</w:t>
      </w:r>
    </w:p>
    <w:p>
      <w:pPr>
        <w:spacing w:after="0" w:line="34"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Under the collaboration and license agreement, we are required to make certain payments to Nobelpharma based upon achievement of certain development and approval milestones. We will pay a mid-single digit royalty on net sales in our territory and will receive a mid-single digit royalty on net sales in the Nobelpharma territory, excluding Japan, if such product sales are ever achieved.</w:t>
      </w:r>
    </w:p>
    <w:p>
      <w:pPr>
        <w:spacing w:after="0" w:line="33"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If either party terminates the agreement, the terminating party’s license will become irrevocable and royalty-free. Unless terminated by its terms, this license agreement continues in full force and effect, on a country-by-country basis, until the date of the first launch of a generic product of the licensed product in a country.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Alcami Corporation</w:t>
      </w:r>
    </w:p>
    <w:p>
      <w:pPr>
        <w:spacing w:after="0" w:line="77"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In March 2011, we entered into a license agreement with Alcami Corporation (formerly known as AAIPharma Services Corp.), or Alcami. Under the terms of this license agreement, Alcami granted us a fully paid-up, royalty-free, exclusive, perpetual, and irrevocable license to research, develop, make, have made, use, import, offer for sale, and sell products incorporating Alcami’s controlled release matrix solid dose oral tablet technology for use in connection with sialic acid for the treatment of HIBM or distal myopathy with rimmed vacuoles. Under the license agreement, we will pay a mid-single digit percentage of any sublicense revenue received by us related to the sublicense of Alcami technology and we agreed to provide preclinical and clinical data to Alcami. Alcami is responsible for patent prosecution and maintenance. We may terminate the agreement for convenience at any time and either party may terminate the agreement for the material breach or bankruptcy of the other party.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HIBM Research Group</w:t>
      </w:r>
    </w:p>
    <w:p>
      <w:pPr>
        <w:spacing w:after="0" w:line="90" w:lineRule="exact"/>
        <w:rPr>
          <w:sz w:val="20"/>
          <w:szCs w:val="20"/>
          <w:color w:val="auto"/>
        </w:rPr>
      </w:pPr>
    </w:p>
    <w:p>
      <w:pPr>
        <w:ind w:right="800" w:firstLine="518"/>
        <w:spacing w:after="0" w:line="325" w:lineRule="auto"/>
        <w:rPr>
          <w:sz w:val="20"/>
          <w:szCs w:val="20"/>
          <w:color w:val="auto"/>
        </w:rPr>
      </w:pPr>
      <w:r>
        <w:rPr>
          <w:rFonts w:ascii="Arial" w:cs="Arial" w:eastAsia="Arial" w:hAnsi="Arial"/>
          <w:sz w:val="16"/>
          <w:szCs w:val="16"/>
          <w:color w:val="auto"/>
        </w:rPr>
        <w:t>In April 2012, we entered into an exclusive license agreement with HIBM Research Group, or HRG, wherein HRG granted us an exclusive, worldwide license to certain intellectual property related to the treatment of HIBM and related conditions using substrate replacement therapy.</w:t>
      </w:r>
    </w:p>
    <w:p>
      <w:pPr>
        <w:spacing w:after="0" w:line="1"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Under the terms of the license agreement, we will pay to HRG a royalty of less than 1% of net sales of products, if any. Our obligation to pay royalties to HRG continues on a product-by-product and country-by-country basis until the expiration of the last-to-expire licensed patent claiming such product in such country, or the later expiration of orphan drug exclusivity in certain countries. We are obligated to make commercially reasonable efforts to develop and commercialize a substrate replacement therapy for HIBM. We may terminate the agreement for convenience at any time and either party may terminate the agreement for the material breach or bankruptcy of the other party. We must also terminate the agreement if we terminate our HIBM substrate replacement therapy program. Unless terminated by its terms, this license agreement continues in full force and effect, on a product-by-product and country-by-country basis, until the expiration date of the last-to-expire licensed patent claiming such product in such country, or the later expiration of orphan drug exclusivity in certain countries, at which point our license becomes irrevocable, perpetual, fully paid, and royalty-free.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 Jude Children’s Research Hospital</w:t>
      </w:r>
    </w:p>
    <w:p>
      <w:pPr>
        <w:spacing w:after="0" w:line="90"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In September 2012, we entered into a license agreement with St. Jude wherein St. Jude granted us certain exclusive rights to intellectual property related to rhPPCA. Under the terms of the license agreement, St. Jude granted us an exclusive license under certain know-how to research, develop, make, use, offer to sell, import, and otherwise commercialize and exploit certain PPCA protein products to treat, prevent, and/or diagnose galactosialidosis and other monogenetic diseases. We agreed to make commercially reasonable efforts to develop and commercialize at least one licensed product.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15" w:name="page16"/>
    <w:bookmarkEnd w:id="15"/>
    <w:p>
      <w:pPr>
        <w:ind w:right="40" w:firstLine="518"/>
        <w:spacing w:after="0" w:line="279" w:lineRule="auto"/>
        <w:rPr>
          <w:sz w:val="20"/>
          <w:szCs w:val="20"/>
          <w:color w:val="auto"/>
        </w:rPr>
      </w:pPr>
      <w:r>
        <w:rPr>
          <w:rFonts w:ascii="Arial" w:cs="Arial" w:eastAsia="Arial" w:hAnsi="Arial"/>
          <w:sz w:val="17"/>
          <w:szCs w:val="17"/>
          <w:color w:val="auto"/>
        </w:rPr>
        <w:t>Under the license agreement, we will pay to St. Jude a royalty of less than 1% on net sales of these products for so long as such products retain orphan drug exclusivity, on a country-by-country basis. We may terminate the agreement for convenience at any time and St. Jude may terminate the agreement for our material breach of the agreement. Unless terminated by its terms, this license agreement continues in full force and effect, until our royalty obligations expire, at which point our license becomes irrevocable, perpetual, fully paid, and royalty-free.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Takeda Pharmaceutical Company Limited</w:t>
      </w:r>
    </w:p>
    <w:p>
      <w:pPr>
        <w:spacing w:after="0" w:line="7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June 2016, we entered into a collaboration and license agreement with Takeda. Under the terms of the license agreement, we obtained, among other things, an exclusive license for a pre-clinical compound from Takeda in a pre-determined field of use, which includes an option to an additional field of use for this product. We are responsible for the development costs for the pre-clinical compound pursuant to an initial development plan and we may be required to make future milestone payments to Takeda of up to $7.5 million if certain development milestones are met, $75.0 million if certain regulatory milestones are met, and $150.0 million if certain commercial milestones are met. We will also pay to Takeda royalties with respect to net sales in the high-single digits to low-teens.</w:t>
      </w:r>
    </w:p>
    <w:p>
      <w:pPr>
        <w:spacing w:after="0" w:line="45" w:lineRule="exact"/>
        <w:rPr>
          <w:sz w:val="20"/>
          <w:szCs w:val="20"/>
          <w:color w:val="auto"/>
        </w:rPr>
      </w:pPr>
    </w:p>
    <w:p>
      <w:pPr>
        <w:ind w:right="380" w:firstLine="518"/>
        <w:spacing w:after="0" w:line="334" w:lineRule="auto"/>
        <w:rPr>
          <w:sz w:val="20"/>
          <w:szCs w:val="20"/>
          <w:color w:val="auto"/>
        </w:rPr>
      </w:pPr>
      <w:r>
        <w:rPr>
          <w:rFonts w:ascii="Arial" w:cs="Arial" w:eastAsia="Arial" w:hAnsi="Arial"/>
          <w:sz w:val="16"/>
          <w:szCs w:val="16"/>
          <w:color w:val="auto"/>
        </w:rPr>
        <w:t>As part of the agreement, we established a five-year research collaboration with Takeda whereby the parties may mutually agree to add additional option products candidates to the collaboration, in which case we will bear the cost of the development activities, with certain exceptions.</w:t>
      </w:r>
    </w:p>
    <w:p>
      <w:pPr>
        <w:spacing w:after="0" w:line="1"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We also granted Takeda an exclusive option for Asian rights, for a limited period, to any licensed products and any additional products resulting from the collaboration, as well as an option to exclusively license one of our products for development and commercialization in Japan. If Takeda exercises any of its option rights to license a product pursuant to the agreement, Takeda will pay for the development costs within the licensed territory, will share in a portion of the global development costs, and will make a milestone payment upon regulatory approval. Takeda will also owe royalties on net sales in the licensed territory for any licensed product, depending on the development stage when the product is licensed as well as sales levels. The royalties related to the option to license our product, as well as the additional product are subject to future good faith negotiations at the time that the option is exercised.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Rights</w:t>
      </w:r>
    </w:p>
    <w:p>
      <w:pPr>
        <w:spacing w:after="0" w:line="81"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The proprietary nature of, and protection for, our product candidates, processes, and know-how are important to our business. Our success depends in part on our ability to protect the proprietary nature of our product candidates, technology, and know-how, to operate without infringing on the proprietary rights of others, and to prevent others from infringing our proprietary rights. We seek patent protection in the United States and internationally for our product candidates and other technology. Our policy is to patent or in-license the technology, inventions and improvements that we consider important to the development of our business. In addition to patent protection, we intend to use other means to protect our proprietary rights, including pursuing marketing or data exclusivity periods, orphan drug status, and similar rights that are available under regulatory provisions in certain countries, including the United States, Europe, Japan, and China. See “Government Regulation—U.S. Government Regulation — Orphan Designation and Exclusivity,” “Government Regulation— U.S. Government Regulation — Pediatric Studies and Exclusivity,” “Government Regulation—U.S. Government Regulation — Patent Term Restoration,” “Government Regulation—U.S. Government Regulation — Biosimilars and Exclusivity,” “Government Regulation—U.S. Government Regulation — Abbreviated New Drug Applications for Generic Drugs,” and “Government Regulation—European Union Regulation — Orphan Designation and Exclusivity” below for additional information.</w:t>
      </w:r>
    </w:p>
    <w:p>
      <w:pPr>
        <w:spacing w:after="0" w:line="48"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We also rely on trade secrets, know-how, and continuing innovation to develop and maintain our competitive position. We cannot be certain that patents will be granted with respect to any of our pending patent applications or with respect to any patent applications filed by us in the future, nor can we be sure that any of our existing patents or any patents granted to us in the future will be commercially useful in protecting our technology.</w:t>
      </w:r>
    </w:p>
    <w:p>
      <w:pPr>
        <w:spacing w:after="0" w:line="1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We seek regulatory approval for our products in disease areas with high unmet medical need, significant market potential, and where we expect to have a proprietary position through patents covering various aspects of our products, such as composition, dosage, formulation, use, and manufacturing process, among others. Our success depends in part on an intellectual property portfolio that supports our future revenue streams and erects barriers to our competitors. We are maintaining and building our patent portfolio through filing new patent applications, prosecuting existing applications, and licensing and acquiring new patents and patent applications.</w:t>
      </w:r>
    </w:p>
    <w:p>
      <w:pPr>
        <w:spacing w:after="0" w:line="40"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Despite these measures, any of our intellectual property and proprietary rights could be challenged, invalidated, circumvented, infringed or misappropriated, or such intellectual property and proprietary rights may not be sufficient to achieve or maintain market exclusivity or otherwise to provide competitive advantages. For more information, please see “Risks Related to Our Intellectual Property.”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bookmarkStart w:id="16" w:name="page17"/>
    <w:bookmarkEnd w:id="16"/>
    <w:p>
      <w:pPr>
        <w:ind w:right="20" w:firstLine="518"/>
        <w:spacing w:after="0" w:line="255" w:lineRule="auto"/>
        <w:rPr>
          <w:sz w:val="20"/>
          <w:szCs w:val="20"/>
          <w:color w:val="auto"/>
        </w:rPr>
      </w:pPr>
      <w:r>
        <w:rPr>
          <w:rFonts w:ascii="Arial" w:cs="Arial" w:eastAsia="Arial" w:hAnsi="Arial"/>
          <w:sz w:val="18"/>
          <w:szCs w:val="18"/>
          <w:color w:val="auto"/>
        </w:rPr>
        <w:t>As of December 31, 2016, we own six issued U.S. patent and 12 pending U.S. patent applications as well as corresponding patents and patent applications internationally. In addition, we have licensed several issued U.S. patents and pending U.S. patent applications, as well as corresponding foreign patents and applications from third parties, on an exclusive basis. With respect to our issued patents in the United States and Europe, we are also entitled to obtain a patent term extension to extend the patent expiration date. For example, in the United States, we can apply for a patent term extension of up to five years for one of the patents covering a product once the product is approved by the FDA. The exact duration of the extension depends on the time we spend in clinical studies as well as getting marketing approval from the FDA. The patent portfolios for our five leading product candidates as of December 31, 2016 are summarized below.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KRN23</w:t>
      </w:r>
    </w:p>
    <w:p>
      <w:pPr>
        <w:spacing w:after="0" w:line="7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 have rights from KHK to patents and patent applications relating to KRN23, a fully human monoclonal antibody against FGF23, and its use for the treatment of XLH and various other hypophosphatemic conditions. Pursuant to this license, we share rights to 22 issued patents, including four U.S. patents and two pending U.S. applications, as well as patents and applications in other jurisdictions covering generic and specific antibodies against FGF23 as well as their use for the treatment of XLH and related conditions. The patent terms for issued patents in the United States are from 2022 to 2029 (without patent term extension). The projected patent terms for pending applications in the United States are from 2028 to 2035. We intend to pursue marketing and orphan drug exclusivity periods that are available to us under regulatory provisions in certain countries. KRN23 has received orphan drug designation in the United States and Europe for the treatment of XLH.</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rhGUS</w:t>
      </w:r>
    </w:p>
    <w:p>
      <w:pPr>
        <w:spacing w:after="0" w:line="90"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We have two U.S. patents, one pending U.S. patent application and corresponding foreign patent applications relating to rhGUS and its use in the treatment of lysosomal storage disorders such as MPS 7. The patents in the United States expire in 2035 (without patent term extension). The projected patent terms for the pending application in the United States and the foreign patent applications is 2035. Throughout clinical research and development, we also intend to file patent applications directed to various aspects of the treatment therapy including dosage, regimen, formulation, and manufacturing, among others. We intend to pursue marketing and orphan drug exclusivity periods that are available under regulatory provisions in certain countries. rhGUS has received orphan drug designation in both the United States and Europe for the treatment of MPS 7.</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UX007</w:t>
      </w:r>
    </w:p>
    <w:p>
      <w:pPr>
        <w:spacing w:after="0" w:line="77"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We are the licensee or owner of patents and patent applications relating to UX007 and its use for a number of diseases including FAOD and Glut1 DS. In particular, we have an exclusive license from Baylor Research Institute, or BRI, with respect to its UX007 patent portfolio. We have licensed from BRI 33 issued patents, including 11 U.S. patents and four pending U.S. applications and patents and applications in other jurisdictions covering composition, formulation, use and manufacturing of UX007 and related odd carbon fatty acids. The patent terms for issued patents in the United States are from 2020 to 2033 (without patent term extension). The projected patent terms for pending applications in the United States are from 2020 to 2033. We intend to pursue marketing and orphan drug exclusivity periods that are available under regulatory provisions in certain countries. UX007 for the treatment of FAOD and Glut1 DS has received orphan drug designation in the United States.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Ace-ER</w:t>
      </w:r>
    </w:p>
    <w:p>
      <w:pPr>
        <w:spacing w:after="0" w:line="77"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We are the licensee or owner of patents and patent applications relating to sialic acid and its use for the treatment of HIBM. We own or have rights to three issued U.S. patents and seven pending U.S. applications and patents and applications in other jurisdictions covering the use of sialic acid for the treatment of HIBM, as well as extended release formulations of sialic acid. The patent terms for the issued patents in the United States are from 2031 to 2032 (without patent term extension). The projected patent terms for pending applications in the United States are from 2028 to 2031.</w:t>
      </w:r>
    </w:p>
    <w:p>
      <w:pPr>
        <w:spacing w:after="0" w:line="23"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We intend to pursue marketing and orphan drug exclusivity periods that are available under regulatory provisions in certain countries. Ace-ER has received orphan drug designation in both the United States and the EU for the treatment of HIBM.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rhPPCA</w:t>
      </w:r>
    </w:p>
    <w:p>
      <w:pPr>
        <w:spacing w:after="0" w:line="7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are the licensee of 1 issued U.S. patent, 1 pending U.S. patent application, and corresponding foreign patent applications relating to the use of rhPPCA for the treatment of neurodegenerative diseases. Specifically, we have an exclusive license from the St. Jude Children’s Research Hospital, or St. Jude. Furthermore, we intend to build a patent portfolio directed to rhPPCA compositions with certain characteristics that are useful for the enzyme replacement therapy for the treatment of autosomal recessive lysosomal storage disease as well as various aspects of the treatment therapy including dosage, regimen, formulation, manufacturing, etc. We intend to pursue marketing and orphan drug exclusivity periods that are available under regulatory provisions in certain countries.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filed trademark applications for the Ultragenyx brand, among others, in the U.S. and multiple other jurisdictions.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We rely upon unpatented trade secrets, know-how, and continuing technological innovation to develop and maintain our competitive position. We seek to protect our ownership of know-how and trade secrets through an active program of legal mechanisms including assignments, confidentiality agreements, material transfer agreements, research collaborations, and licenses.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81"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We currently contract with third parties for the manufacturing and testing of our product candidates for preclinical studies and clinical studies and intend to do so in the future. We do not own or operate manufacturing facilities for the production of clinical quantities of our product candidates. We currently have no plans to build our own clinical or commercial scale manufacturing capabilities. The use of contracted manufacturing and reliance on collaboration partners is relatively cost-efficient and has eliminated the need for our direct investment in manufacturing facilities and additional staff early in development. Although we rely on contract manufacturers, we have personnel with extensive manufacturing experience to oversee our contract manufacturers. All of our third-party manufacturers will be subject to periodic audits to confirm compliance with applicable regulations and must pass inspection before we can manufacture our drugs for commercial sales.</w:t>
      </w:r>
    </w:p>
    <w:p>
      <w:pPr>
        <w:spacing w:after="0" w:line="29"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To date, our third-party manufacturers have met our manufacturing requirements. We expect third-party manufacturers to be capable of providing sufficient quantities of our product candidates to meet anticipated full scale commercial demands. To meet our projected needs for commercial manufacturing, third parties with whom we currently work might need to increase their scale of production or we will need to secure alternate suppliers. We believe that there are alternate sources of supply that can satisfy our clinical and commercial requirements, although we cannot be certain that identifying and establishing relationships with such sources, if necessary, would not result in significant delay or material additional costs.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KRN23</w:t>
      </w:r>
    </w:p>
    <w:p>
      <w:pPr>
        <w:spacing w:after="0" w:line="7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drug substance and drug product for KRN23 are made by KHK in Japan under the collaboration and license agreement with KHK. The cell line to produce KRN23 is specific for this product and is in KHK’s control. All other raw materials are commercially available.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rhGUS</w:t>
      </w:r>
    </w:p>
    <w:p>
      <w:pPr>
        <w:spacing w:after="0" w:line="90" w:lineRule="exact"/>
        <w:rPr>
          <w:sz w:val="20"/>
          <w:szCs w:val="20"/>
          <w:color w:val="auto"/>
        </w:rPr>
      </w:pPr>
    </w:p>
    <w:p>
      <w:pPr>
        <w:ind w:right="100" w:firstLine="518"/>
        <w:spacing w:after="0" w:line="269" w:lineRule="auto"/>
        <w:rPr>
          <w:sz w:val="20"/>
          <w:szCs w:val="20"/>
          <w:color w:val="auto"/>
        </w:rPr>
      </w:pPr>
      <w:r>
        <w:rPr>
          <w:rFonts w:ascii="Arial" w:cs="Arial" w:eastAsia="Arial" w:hAnsi="Arial"/>
          <w:sz w:val="17"/>
          <w:szCs w:val="17"/>
          <w:color w:val="auto"/>
        </w:rPr>
        <w:t>rhGUS drug substance and drug product are manufactured by Rentschler Biotechnologie GmbH, or Rentschler, under a development and clinical supply agreement executed in August 2012. Pursuant to the clinical supply agreement, we have agreed not to source larger quantities of drug substance or drug product from another supplier than from Rentschler in any given year. The supply agreement will continue in full force and effect until all clinical services have been completed or terminated per the terms of the supply agreement. Either party may terminate the supply agreement if the other party fails to pay any sum payable under the supply agreement within 30 days after a written demand is issued after the original due date, if the other party makes a material misrepresentation or commits a material breach of its obligations under the supply agreement and fails to cure such breach within specified time periods if curable, if the other party ceases to carry on its business for a period no less than 60 days, or if a party experiences certain insolvency events. Additionally, either party may terminate the supply agreement upon 30 days’ prior written notice if the Steering Committee concludes that the services required under the supply agreement cannot be performed and we may terminate the agreement at any time before completion of the services rendered pursuant to the agreement upon 60 days’ prior written notice. The cell line to produce rhGUS is specific for this product and is in our control and stored in multiple secure locations. All other raw materials are commercially available.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UX007</w:t>
      </w:r>
    </w:p>
    <w:p>
      <w:pPr>
        <w:spacing w:after="0" w:line="77"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The pharmaceutical-grade drug substance for UX007 is manufactured by IOI Oleo GmbH in Germany under an exclusive worldwide supply agreement, subject to certain limitations, executed in 2012. In 2012, Malaysian conglomerate IOI Corporation signed an agreement to acquire Cremer Oleo’s oleo chemicals business in Germany. The supply agreement has an initial term of three years; thereafter, the agreement shall be automatically renewed for additional two-year periods unless either party notifies the other party of its intention not to renew in writing at least three calendar months before the expiration of the then current term. Additionally, if a party materially breaches an obligation under the agreement and does not cure such breach within 60 days of receiving notice of the breach from the non-breaching party, the non-breaching party may terminate the agreement immediately upon written notice to the breaching party. UX007 drug product manufacturing has been done with more than one party and is not considered a very specialized task.</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Ace-ER</w:t>
      </w:r>
    </w:p>
    <w:p>
      <w:pPr>
        <w:spacing w:after="0" w:line="90"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Evonik Nutrition &amp; Care GmbH manufactures the drug substance for Ace-ER in Germany. The drug substance for Ace-ER is also currently manufactured by Sanyo Fine Co., Ltd. in Japan through the license agreement with Nobelpharma. The Ace-ER drug product is manufactured by Alcami under our license agreement and accompanying purchase orders with Alcami. We are in the process of securing secondary sources of drug substance and drug product for Ace-ER. Manufacture of the drug substance requires a specialized enzyme-catalyzed step, and a secondary source of the enzyme itself is also under development. All raw materials to produce the drug substance and drug product are commercially available. The cell line to produce the specialized enzyme is under our control and is stored in multiple secured locations.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rhPPCA</w:t>
      </w:r>
    </w:p>
    <w:p>
      <w:pPr>
        <w:spacing w:after="0" w:line="7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No commercial supplier has yet been selected to manufacture rhPPCA. The cell line to produce rhPPCA is specific for this product and is in our control and stored in multiple secure locations. All other raw materials are commercially available. We are currently developing a manufacturing process for rhPPCA.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81" w:lineRule="exact"/>
        <w:rPr>
          <w:sz w:val="20"/>
          <w:szCs w:val="20"/>
          <w:color w:val="auto"/>
        </w:rPr>
      </w:pPr>
    </w:p>
    <w:p>
      <w:pPr>
        <w:ind w:right="160" w:firstLine="518"/>
        <w:spacing w:after="0" w:line="293" w:lineRule="auto"/>
        <w:rPr>
          <w:sz w:val="20"/>
          <w:szCs w:val="20"/>
          <w:color w:val="auto"/>
        </w:rPr>
      </w:pPr>
      <w:r>
        <w:rPr>
          <w:rFonts w:ascii="Arial" w:cs="Arial" w:eastAsia="Arial" w:hAnsi="Arial"/>
          <w:sz w:val="16"/>
          <w:szCs w:val="16"/>
          <w:color w:val="auto"/>
        </w:rPr>
        <w:t>We are building our own commercial organizations in North America, Europe and Latin America to effectively support the commercialization of our product candidates. We may elect to utilize strategic partners, distributors, or contract organizations to assist in the commercialization of our products. The commercial infrastructure for rare disease products typically consists of a targeted, specialty field organization that calls on a limited and focused group of physicians supported by field management, medical liaisons, internal support, and distribution support. One challenge, unique to commercializing therapies for rare diseases, is the difficulty in identifying eligible patients due to the very small and sometimes heterogeneous disease populations. Our management team will focus on maximizing patient identification for both clinical development and commercialization purposes in rare diseases.</w:t>
      </w:r>
    </w:p>
    <w:p>
      <w:pPr>
        <w:spacing w:after="0" w:line="16"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Additional capabilities important to the rare disease marketplace include the management of key accounts such as managed care organizations, group-purchasing organizations, specialty pharmacies, and government accounts. To develop the appropriate commercial infrastructure, we will have to invest significant amounts of financial and management resources, some of which will be committed prior to any confirmation that any of our product candidates will be approved.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81"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color w:val="auto"/>
        </w:rPr>
        <w:t>Government authorities in the United States (including federal, state, and local authorities) and in other countries, extensively regulate, among other things, the manufacturing, research and clinical development, marketing, labeling and packaging, storage, distribution, post-approval monitoring and reporting, advertising and promotion, pricing, and export and import of pharmaceutical products, such as those we are developing. We must obtain the requisite approvals from regulatory authorities in the United States and foreign countries prior to the commencement of clinical studies or marketing of the product in those countries. Accordingly, our operations are and will be subject to a variety of regulations and other requirements, which vary from country to country. The process of obtaining regulatory approvals and the subsequent compliance with appropriate federal, state, local, and foreign statutes and regulations require the expenditure of substantial time and financial resources.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Regulation of Clinical Studies</w:t>
      </w:r>
    </w:p>
    <w:p>
      <w:pPr>
        <w:spacing w:after="0" w:line="90"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Clinical studies involve the administration of an investigational medicinal product to human subjects under the supervision of qualified investigators in accordance with protocols, GCP, the ethical principles that have their origin in the Declaration of Helsinki and applicable regulatory requirements. A protocol for each clinical study and any subsequent protocol amendments are typically submitted to the FDA or other applicable regulatory authorities as part of an IND or clinical trial application, or CTA. Additionally, approval must also be obtained from each clinical study site’s institutional review board, or IRB, or Ethics Committee, or EC, before the studies may be initiated, and the IRB or EC must monitor the study until completed. There are also requirements governing the reporting of ongoing clinical studies and clinical study results to public registries.</w:t>
      </w:r>
    </w:p>
    <w:p>
      <w:pPr>
        <w:spacing w:after="0" w:line="30"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clinical investigation of a drug is generally divided into three or four phases. Although the phases are usually conducted sequentially, they may overlap or be combined.</w:t>
      </w:r>
    </w:p>
    <w:p>
      <w:pPr>
        <w:spacing w:after="0" w:line="22" w:lineRule="exact"/>
        <w:rPr>
          <w:sz w:val="20"/>
          <w:szCs w:val="20"/>
          <w:color w:val="auto"/>
        </w:rPr>
      </w:pPr>
    </w:p>
    <w:p>
      <w:pPr>
        <w:jc w:val="both"/>
        <w:ind w:left="900" w:right="100" w:hanging="379"/>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The drug is initially introduced into healthy human subjects or patients with the target disease or condition. These studies are designed</w:t>
      </w:r>
      <w:r>
        <w:rPr>
          <w:rFonts w:ascii="Arial" w:cs="Arial" w:eastAsia="Arial" w:hAnsi="Arial"/>
          <w:sz w:val="18"/>
          <w:szCs w:val="18"/>
          <w:i w:val="1"/>
          <w:iCs w:val="1"/>
          <w:color w:val="auto"/>
        </w:rPr>
        <w:t xml:space="preserve"> </w:t>
      </w:r>
      <w:r>
        <w:rPr>
          <w:rFonts w:ascii="Arial" w:cs="Arial" w:eastAsia="Arial" w:hAnsi="Arial"/>
          <w:sz w:val="18"/>
          <w:szCs w:val="18"/>
          <w:color w:val="auto"/>
        </w:rPr>
        <w:t>to evaluate the safety, dosage tolerance, pharmacokinetics and pharmacologic actions of the investigational new drug in humans, and if possible, to gain early evidence on effectiveness.</w:t>
      </w:r>
    </w:p>
    <w:p>
      <w:pPr>
        <w:spacing w:after="0" w:line="32" w:lineRule="exact"/>
        <w:rPr>
          <w:rFonts w:ascii="Arial" w:cs="Arial" w:eastAsia="Arial" w:hAnsi="Arial"/>
          <w:sz w:val="18"/>
          <w:szCs w:val="18"/>
          <w:color w:val="auto"/>
        </w:rPr>
      </w:pPr>
    </w:p>
    <w:p>
      <w:pPr>
        <w:ind w:left="900" w:right="80" w:hanging="379"/>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The drug is administered to a limited patient population to evaluate dosage tolerance and optimal dosage, identify possible adverse side</w:t>
      </w:r>
      <w:r>
        <w:rPr>
          <w:rFonts w:ascii="Arial" w:cs="Arial" w:eastAsia="Arial" w:hAnsi="Arial"/>
          <w:sz w:val="18"/>
          <w:szCs w:val="18"/>
          <w:i w:val="1"/>
          <w:iCs w:val="1"/>
          <w:color w:val="auto"/>
        </w:rPr>
        <w:t xml:space="preserve"> </w:t>
      </w:r>
      <w:r>
        <w:rPr>
          <w:rFonts w:ascii="Arial" w:cs="Arial" w:eastAsia="Arial" w:hAnsi="Arial"/>
          <w:sz w:val="18"/>
          <w:szCs w:val="18"/>
          <w:color w:val="auto"/>
        </w:rPr>
        <w:t>effects and safety risks, and preliminarily evaluate efficacy.</w:t>
      </w:r>
    </w:p>
    <w:p>
      <w:pPr>
        <w:spacing w:after="0" w:line="21" w:lineRule="exact"/>
        <w:rPr>
          <w:rFonts w:ascii="Arial" w:cs="Arial" w:eastAsia="Arial" w:hAnsi="Arial"/>
          <w:sz w:val="18"/>
          <w:szCs w:val="18"/>
          <w:color w:val="auto"/>
        </w:rPr>
      </w:pPr>
    </w:p>
    <w:p>
      <w:pPr>
        <w:ind w:left="900" w:hanging="379"/>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The drug is administered to an expanded patient population, generally at geographically dispersed clinical study sites to generate enough</w:t>
      </w:r>
      <w:r>
        <w:rPr>
          <w:rFonts w:ascii="Arial" w:cs="Arial" w:eastAsia="Arial" w:hAnsi="Arial"/>
          <w:sz w:val="18"/>
          <w:szCs w:val="18"/>
          <w:i w:val="1"/>
          <w:iCs w:val="1"/>
          <w:color w:val="auto"/>
        </w:rPr>
        <w:t xml:space="preserve"> </w:t>
      </w:r>
      <w:r>
        <w:rPr>
          <w:rFonts w:ascii="Arial" w:cs="Arial" w:eastAsia="Arial" w:hAnsi="Arial"/>
          <w:sz w:val="18"/>
          <w:szCs w:val="18"/>
          <w:color w:val="auto"/>
        </w:rPr>
        <w:t>data to statistically evaluate dosage, clinical effectiveness and safety, to establish the overall benefit-risk relationship of the investigational new drug product, and to provide an adequate basis for product approval.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19" w:name="page20"/>
    <w:bookmarkEnd w:id="19"/>
    <w:p>
      <w:pPr>
        <w:ind w:left="900" w:right="120" w:hanging="379"/>
        <w:spacing w:after="0" w:line="30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Phase 4</w:t>
      </w:r>
      <w:r>
        <w:rPr>
          <w:rFonts w:ascii="Arial" w:cs="Arial" w:eastAsia="Arial" w:hAnsi="Arial"/>
          <w:sz w:val="16"/>
          <w:szCs w:val="16"/>
          <w:color w:val="auto"/>
        </w:rPr>
        <w:t>. In some cases, additional studies and patient follow-up are conducted to gain experience from the treatment of patients in the intended</w:t>
      </w:r>
      <w:r>
        <w:rPr>
          <w:rFonts w:ascii="Arial" w:cs="Arial" w:eastAsia="Arial" w:hAnsi="Arial"/>
          <w:sz w:val="16"/>
          <w:szCs w:val="16"/>
          <w:i w:val="1"/>
          <w:iCs w:val="1"/>
          <w:color w:val="auto"/>
        </w:rPr>
        <w:t xml:space="preserve"> </w:t>
      </w:r>
      <w:r>
        <w:rPr>
          <w:rFonts w:ascii="Arial" w:cs="Arial" w:eastAsia="Arial" w:hAnsi="Arial"/>
          <w:sz w:val="16"/>
          <w:szCs w:val="16"/>
          <w:color w:val="auto"/>
        </w:rPr>
        <w:t>therapeutic indication. Regulatory authorities may condition approval of a marketing application for a product candidate on the sponsor’s agreement to conduct additional clinical studies after approval. In other cases, a sponsor may voluntarily conduct additional clinical studies after approval to gain more information about the drug. Such post-approval studies are typically referred to as Phase 4 clinical studies.</w:t>
      </w:r>
    </w:p>
    <w:p>
      <w:pPr>
        <w:spacing w:after="0" w:line="6"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A pivotal study is a clinical study that adequately meets regulatory authority requirements for the evaluation of a drug candidate’s efficacy and safety such that it can be used to justify the approval of the product. Generally, pivotal studies are Phase 3 studies, but regulatory authorities may accept results from Phase 2 studies if the study design provides a well-controlled and reliable assessment of clinical benefit, particularly in situations where there is an unmet medical need and the results are sufficiently robust.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Government Regulation</w:t>
      </w:r>
    </w:p>
    <w:p>
      <w:pPr>
        <w:spacing w:after="0" w:line="77"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In the United States, the FDA regulates drugs under the Federal Food, Drug, and Cosmetic Act, or FDCA, and its implementing regulations, and biologics under the FDCA and the Public Health Service Act, or PHSA, and its implementing regulations. FDA approval is required before any new drug or dosage form, including a new use of a previously approved drug, can be marketed in the United States. Drugs and biologics are also subject to other federal, state, and local statutes and regulations.</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process required by the FDA before product candidates may be marketed or sold in the United States generally involves the following:</w:t>
      </w:r>
    </w:p>
    <w:p>
      <w:pPr>
        <w:spacing w:after="0" w:line="102" w:lineRule="exact"/>
        <w:rPr>
          <w:sz w:val="20"/>
          <w:szCs w:val="20"/>
          <w:color w:val="auto"/>
        </w:rPr>
      </w:pPr>
    </w:p>
    <w:p>
      <w:pPr>
        <w:ind w:left="900" w:right="160" w:hanging="379"/>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completion of extensive preclinical laboratory tests and preclinical animal studies performed in accordance with the Good Laboratory Practices, or GLP, regulations;</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submission to the FDA of an IND, which must become effective before human clinical studies may begin and must be updated annually;</w:t>
      </w:r>
    </w:p>
    <w:p>
      <w:pPr>
        <w:spacing w:after="0" w:line="88" w:lineRule="exact"/>
        <w:rPr>
          <w:rFonts w:ascii="Arial" w:cs="Arial" w:eastAsia="Arial" w:hAnsi="Arial"/>
          <w:sz w:val="17"/>
          <w:szCs w:val="17"/>
          <w:color w:val="auto"/>
        </w:rPr>
      </w:pPr>
    </w:p>
    <w:p>
      <w:pPr>
        <w:ind w:left="900" w:right="280" w:hanging="379"/>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conducting adequate and well-controlled human clinical studies to establish the safety and efficacy of the product candidate for each proposed indication under an active IND and approved by an independent IRB representing each clinical site;</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preparation of and submission to the FDA of an NDA, or biologics license application, or BLA, after completion of all pivotal clinical studies;</w:t>
      </w:r>
    </w:p>
    <w:p>
      <w:pPr>
        <w:spacing w:after="0" w:line="88" w:lineRule="exact"/>
        <w:rPr>
          <w:rFonts w:ascii="Arial" w:cs="Arial" w:eastAsia="Arial" w:hAnsi="Arial"/>
          <w:sz w:val="17"/>
          <w:szCs w:val="17"/>
          <w:color w:val="auto"/>
        </w:rPr>
      </w:pPr>
    </w:p>
    <w:p>
      <w:pPr>
        <w:ind w:left="900" w:hanging="379"/>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review of the product application by an FDA advisory committee, where appropriate and if applicable;</w:t>
      </w:r>
    </w:p>
    <w:p>
      <w:pPr>
        <w:spacing w:after="0" w:line="76" w:lineRule="exact"/>
        <w:rPr>
          <w:rFonts w:ascii="Arial" w:cs="Arial" w:eastAsia="Arial" w:hAnsi="Arial"/>
          <w:sz w:val="18"/>
          <w:szCs w:val="18"/>
          <w:color w:val="auto"/>
        </w:rPr>
      </w:pPr>
    </w:p>
    <w:p>
      <w:pPr>
        <w:ind w:left="900" w:right="200" w:hanging="379"/>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facilities where the proposed drug substance and drug product are produced to assess compliance with Good Manufacturing Practices, or GMP;</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FDA inspection of one or more clinical sites to assure compliance with Good Clinical Practices, or GCP; and</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FDA review and approval of an NDA or BLA.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Submission of an NDA or BLA to the FDA</w:t>
      </w:r>
    </w:p>
    <w:p>
      <w:pPr>
        <w:spacing w:after="0" w:line="77" w:lineRule="exact"/>
        <w:rPr>
          <w:sz w:val="20"/>
          <w:szCs w:val="20"/>
          <w:color w:val="auto"/>
        </w:rPr>
      </w:pPr>
    </w:p>
    <w:p>
      <w:pPr>
        <w:jc w:val="both"/>
        <w:ind w:right="260" w:firstLine="518"/>
        <w:spacing w:after="0" w:line="286"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detailed investigational new drug product information is submitted to the FDA in the form of an NDA or BLA requesting approval to market the product for one or more indications. Under federal law, the submission of most NDAs and BLAs is subject to a significant application user fee, unless waived.</w:t>
      </w:r>
    </w:p>
    <w:p>
      <w:pPr>
        <w:spacing w:after="0" w:line="17"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Once an NDA or BLA has been submitted, the FDA’s goal is to review the application within ten months after it accepts the application for filing, or, if the application relates to an unmet medical need in the treatment of a serious or life-threatening condition, six months after the FDA accepts the application for filing. The review process can be significantly extended by FDA requests for additional information or clarification.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FDA’s Decision on an NDA or BLA</w:t>
      </w:r>
    </w:p>
    <w:p>
      <w:pPr>
        <w:spacing w:after="0" w:line="7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 FDA may issue an approval letter or a Complete Response Letter. An approval letter authorizes commercial marketing of the drug with specific prescribing information for specific indications. As a condition of NDA or BLA approval, the FDA may impose additional requirements, such as post-marketing studies and/or a risk evaluation and mitigation strategy (REMS) to help ensure that the benefits of the drug outweigh the potential risks. A REMS can include medication guides, communication plans for healthcare professionals, and elements to assure safe use. A Complete Response Letter indicates that the review cycle of the application is complete and the application is not ready for approval. A Complete Response Letter may require additional clinical data and/or an additional pivotal Phase 3 clinical study(ies), and/or other significant, expensive and time-consuming requirements related to clinical studies, preclinical studies or manufacturing.</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Expedited Review and Accelerated Approval Programs</w:t>
      </w:r>
    </w:p>
    <w:p>
      <w:pPr>
        <w:spacing w:after="0" w:line="90"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A sponsor may seek approval of its product candidate under programs designed to accelerate FDA’s review and approval of NDAs and BLAs. For example, Fast Track Designation may be granted to a drug intended for treatment of a serious or life-threatening disease or condition and data demonstrate its potential to address unmet medical needs for the disease or condition. The key benefits of fast track designation are the eligibility for priority review, rolling review (submission of portions of an application before the complete marketing application is submitted), and accelerated approval, if relevant criteria are met. The FDA may grant the NDA or BLA a priority review designation, which sets the target date for FDA action on the application at six months after the FDA accepts the application for filing. Priority review is granted where there is evidence that the proposed product would be a significant improvement in the safety or effectiveness of the treatment, diagnosis, or prevention of a serious condition. Priority review designation does not change the scientific/medical standard for approval or the quality of evidence necessary to support approval.</w:t>
      </w:r>
    </w:p>
    <w:p>
      <w:pPr>
        <w:spacing w:after="0" w:line="30"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The FDA may approve an NDA or BLA under the accelerated approval program if the drug treats a serious condition, provides a meaningful advantage over available therapies, and demonstrates an effect on either (1) a surrogate endpoint that is reasonably likely to predict clinical benefit, or (2)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Post-marketing studies or completion of ongoing studies after marketing approval are generally required to verify the drug’s clinical benefit in relationship to the surrogate endpoint or ultimate outcome in relationship to the clinical benefit.</w:t>
      </w:r>
    </w:p>
    <w:p>
      <w:pPr>
        <w:spacing w:after="0" w:line="30"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In addition, the Food and Drug Administration Safety and Innovation Act, or FDASIA, established the new Breakthrough Therapy designation. A sponsor may seek FDA designation of its product candidate as a breakthrough therapy if the drug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If a drug is designated as breakthrough therapy, FDA will provide more intensive guidance on the drug development program and expedite its review.</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Designation and Exclusivity</w:t>
      </w:r>
    </w:p>
    <w:p>
      <w:pPr>
        <w:spacing w:after="0" w:line="7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FDA may grant orphan drug designation to drugs intended to treat a rare disease or condition that affects fewer than 200,000 individuals in the United States, or if it affects more than 200,000 individuals in the United States and there is no reasonable expectation that the cost of developing and making the drug for this type of disease or condition will be recovered from sales in the United States.</w:t>
      </w:r>
    </w:p>
    <w:p>
      <w:pPr>
        <w:spacing w:after="0" w:line="33"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Orphan drug designation entitles a party to financial incentives such as opportunities for grant funding towards clinical study costs, tax advantages, and user-fee waivers. Orphan drug designation does not convey any advantage in, or shorten the duration of, the regulatory review and approval process. In addition, the first NDA or BLA applicant to receive orphan drug designation for a particular drug is entitled to orphan drug exclusivity, which means the FDA may not approve any other application to market the same drug for the same indication for a period of seven years in the United States, except in limited circumstances. Orphan drug exclusivity does not prevent the FDA from approving a different drug for the same disease or condition, or the same drug for a different disease or condition.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Studies and Exclusivity</w:t>
      </w:r>
    </w:p>
    <w:p>
      <w:pPr>
        <w:spacing w:after="0" w:line="7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NDAs and BLAs must contain data to assess the safety and effectiveness of an investigational new drug product for the claimed indications in all relevant pediatric populations in order to support dosing and administration for each pediatric subpopulation for which the drug is safe and effective. The FDA may, on its own initiative or at the request of the applicant, grant deferrals for submission of some or all pediatric data until after approval of the product for use in adults or full or partial waivers if certain criteria are met. Discussions about pediatric development plans can be discussed with the FDA at any time, but usually occur any time between the end-of-Phase II meeting and submission of the NDA or BLA. Unless otherwise required by regulation, the requirements for pediatric data do not apply to any drug for an indication for which orphan designation has been granted.</w:t>
      </w:r>
    </w:p>
    <w:p>
      <w:pPr>
        <w:spacing w:after="0" w:line="30" w:lineRule="exact"/>
        <w:rPr>
          <w:sz w:val="20"/>
          <w:szCs w:val="20"/>
          <w:color w:val="auto"/>
        </w:rPr>
      </w:pPr>
    </w:p>
    <w:p>
      <w:pPr>
        <w:ind w:right="260" w:firstLine="518"/>
        <w:spacing w:after="0" w:line="297" w:lineRule="auto"/>
        <w:rPr>
          <w:sz w:val="20"/>
          <w:szCs w:val="20"/>
          <w:color w:val="auto"/>
        </w:rPr>
      </w:pPr>
      <w:r>
        <w:rPr>
          <w:rFonts w:ascii="Arial" w:cs="Arial" w:eastAsia="Arial" w:hAnsi="Arial"/>
          <w:sz w:val="16"/>
          <w:szCs w:val="16"/>
          <w:color w:val="auto"/>
        </w:rPr>
        <w:t>Pediatric exclusivity is another type of non-patent exclusivity in the United States that may be granted if certain FDA requirements are met, such as FDA’s determination that information relating to the use of a new drug in the pediatric population may produce health benefits, and the applicant agrees to perform and report on FDA-requested studies within a certain time frame. Pediatric exclusivity adds a period of six months of exclusivity to the end of all existing marketing exclusivity and patents held by the sponsor for that active moiety. This is not a patent term extension, but it effectively extends the regulatory period during which the FDA cannot accept or approve another application relying on the NDA or BLA sponsor’s data.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Biosimilars and Exclusivity</w:t>
      </w:r>
    </w:p>
    <w:p>
      <w:pPr>
        <w:spacing w:after="0" w:line="7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The Patient Protection and Affordable Care Act of 2010, or Affordable Care Act, includes a subtitle called the Biologics Price Competition and Innovation Act of 2009, or BPCI Act, which created an abbreviated approval pathway for biological products shown to be similar to, or interchangeable with, an FDA-licensed reference biological product.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1" w:name="page22"/>
    <w:bookmarkEnd w:id="21"/>
    <w:p>
      <w:pPr>
        <w:ind w:right="80" w:firstLine="518"/>
        <w:spacing w:after="0" w:line="297" w:lineRule="auto"/>
        <w:rPr>
          <w:sz w:val="20"/>
          <w:szCs w:val="20"/>
          <w:color w:val="auto"/>
        </w:rPr>
      </w:pPr>
      <w:r>
        <w:rPr>
          <w:rFonts w:ascii="Arial" w:cs="Arial" w:eastAsia="Arial" w:hAnsi="Arial"/>
          <w:sz w:val="16"/>
          <w:szCs w:val="16"/>
          <w:color w:val="auto"/>
        </w:rPr>
        <w:t>A reference biologic is granted twelve years of exclusivity from the time of first licensure of the reference product. The first biologic product submitted under the abbreviated approval pathway that is determined to be interchangeable with the reference product has exclusivity against other biologics submitting under the abbreviated approval pathway for the lesser of (i) one year after the first commercial marketing, (ii) eighteen months after approval if there is no legal challenge, (iii) eighteen months after the resolution in the applicant’s favor of a lawsuit challenging the biologics’ patents if an application has been submitted, or (iv) 42 months after the application has been approved if a lawsuit is ongoing within the 42-month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Abbreviated New Drug Applications for Generic Drugs and New Chemical Entity Exclusivity</w:t>
      </w:r>
    </w:p>
    <w:p>
      <w:pPr>
        <w:spacing w:after="0" w:line="7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 Hatch-Waxman Amendments authorized the FDA to approve generic drugs that are bioequivalent (i.e. identical) to previously approved branded drugs. To obtain approval of a generic drug, an applicant must submit an abbreviated new drug application, or ANDA, to the FDA. In support of such applications, a generic manufacturer may rely on the preclinical and clinical testing conducted for a drug product previously approved under an NDA, known as the reference listed drug, or RLD.</w:t>
      </w:r>
    </w:p>
    <w:p>
      <w:pPr>
        <w:spacing w:after="0" w:line="38" w:lineRule="exact"/>
        <w:rPr>
          <w:sz w:val="20"/>
          <w:szCs w:val="20"/>
          <w:color w:val="auto"/>
        </w:rPr>
      </w:pPr>
    </w:p>
    <w:p>
      <w:pPr>
        <w:ind w:right="140" w:firstLine="518"/>
        <w:spacing w:after="0" w:line="308" w:lineRule="auto"/>
        <w:rPr>
          <w:sz w:val="20"/>
          <w:szCs w:val="20"/>
          <w:color w:val="auto"/>
        </w:rPr>
      </w:pPr>
      <w:r>
        <w:rPr>
          <w:rFonts w:ascii="Arial" w:cs="Arial" w:eastAsia="Arial" w:hAnsi="Arial"/>
          <w:sz w:val="17"/>
          <w:szCs w:val="17"/>
          <w:color w:val="auto"/>
        </w:rPr>
        <w:t>Specifically, in order for an ANDA to be approved, the FDA must find that the generic version is bioequivalent to the RLD with respect to the active ingredients, the route of administration, the dosage form, quality and performance characteristics, the strength of the drug, and intended use.</w:t>
      </w:r>
    </w:p>
    <w:p>
      <w:pPr>
        <w:spacing w:after="0" w:line="1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 FDCA provides a period of five years of non-patent exclusivity for a new drug containing a new chemical entity. In cases where such exclusivity has been granted, an ANDA may not be filed with the FDA until the expiration of five years unless the submission is accompanied by a Paragraph IV certification, in which case the applicant may submit its application four years following the original product approval. The FDCA also provides for a period of three years of exclusivity if an NDA or supplement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w:t>
      </w:r>
    </w:p>
    <w:p>
      <w:pPr>
        <w:spacing w:after="0" w:line="16" w:lineRule="exact"/>
        <w:rPr>
          <w:sz w:val="20"/>
          <w:szCs w:val="20"/>
          <w:color w:val="auto"/>
        </w:rPr>
      </w:pPr>
    </w:p>
    <w:p>
      <w:pPr>
        <w:ind w:right="100" w:firstLine="518"/>
        <w:spacing w:after="0" w:line="290" w:lineRule="auto"/>
        <w:rPr>
          <w:sz w:val="20"/>
          <w:szCs w:val="20"/>
          <w:color w:val="auto"/>
        </w:rPr>
      </w:pPr>
      <w:r>
        <w:rPr>
          <w:rFonts w:ascii="Arial" w:cs="Arial" w:eastAsia="Arial" w:hAnsi="Arial"/>
          <w:sz w:val="16"/>
          <w:szCs w:val="16"/>
          <w:color w:val="auto"/>
        </w:rPr>
        <w:t>When an ANDA applicant files its application with the FDA, it must certify, among other things, that the new product will not infringe the already approved product’s listed patents or that such patents are invalid or unenforceable, which is called a Paragraph IV certification. If the applicant does not challenge the listed patents or indicates that it is not seeking approval of a patented method of use, the ANDA application will not be approved until all the listed patents claiming the referenced product have expired. 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after the receipt of the Paragraph IV notice, expiration of the patent, or a decision in the infringement case that is favorable to the ANDA applicant.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Term Restoration</w:t>
      </w:r>
    </w:p>
    <w:p>
      <w:pPr>
        <w:spacing w:after="0" w:line="90" w:lineRule="exact"/>
        <w:rPr>
          <w:sz w:val="20"/>
          <w:szCs w:val="20"/>
          <w:color w:val="auto"/>
        </w:rPr>
      </w:pPr>
    </w:p>
    <w:p>
      <w:pPr>
        <w:ind w:right="140" w:firstLine="518"/>
        <w:spacing w:after="0" w:line="270" w:lineRule="auto"/>
        <w:rPr>
          <w:sz w:val="20"/>
          <w:szCs w:val="20"/>
          <w:color w:val="auto"/>
        </w:rPr>
      </w:pPr>
      <w:r>
        <w:rPr>
          <w:rFonts w:ascii="Arial" w:cs="Arial" w:eastAsia="Arial" w:hAnsi="Arial"/>
          <w:sz w:val="17"/>
          <w:szCs w:val="17"/>
          <w:color w:val="auto"/>
        </w:rPr>
        <w:t>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or BLA, plus the time between the submission date and the approval of that application. Only one patent applicable to an approved product is eligible for the extension and the application for the extension must be submitted prior to the expiration of the patent. The U.S. Patent and Trademark Office, or USPTO, in consultation with the FDA, reviews and approves the application for any patent term extension or restoration. Thus, for each approved product, we may apply for restoration of patent term for one of our related owned or licensed patents to add patent life beyond the original expiration date, depending on the expected length of the clinical studies and other factors involved in the filing of the relevant NDA or BLA.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 Regulation</w:t>
      </w:r>
    </w:p>
    <w:p>
      <w:pPr>
        <w:spacing w:after="0" w:line="77" w:lineRule="exact"/>
        <w:rPr>
          <w:sz w:val="20"/>
          <w:szCs w:val="20"/>
          <w:color w:val="auto"/>
        </w:rPr>
      </w:pPr>
    </w:p>
    <w:p>
      <w:pPr>
        <w:ind w:right="120" w:firstLine="518"/>
        <w:spacing w:after="0" w:line="308" w:lineRule="auto"/>
        <w:rPr>
          <w:sz w:val="20"/>
          <w:szCs w:val="20"/>
          <w:color w:val="auto"/>
        </w:rPr>
      </w:pPr>
      <w:r>
        <w:rPr>
          <w:rFonts w:ascii="Arial" w:cs="Arial" w:eastAsia="Arial" w:hAnsi="Arial"/>
          <w:sz w:val="17"/>
          <w:szCs w:val="17"/>
          <w:color w:val="auto"/>
        </w:rPr>
        <w:t>In the EU, to obtain regulatory approval of an investigational medicinal product, we must submit an MAA. The content of the MAA is similar to that of an NDA or BLA filed in the United States, with the exception of, among other things, country-specific document requirements.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36"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Authorization Procedures</w:t>
      </w:r>
    </w:p>
    <w:p>
      <w:pPr>
        <w:spacing w:after="0" w:line="90"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Medicines can be authorized by using the centralized authorization procedure or national authorization procedures. The centralized authorization procedure results in a single marketing authorization issued by the EMA that is valid across the European Economic Area, or EEA, which is comprised of the 28 member states of the EU plus Norway, Iceland, and Lichtenstein. The centralized procedure is compulsory for human medicines that are derived from biotechnology processes, such as genetic engineering; contain a new active substance indicated for the treatment of certain diseases, such as HIV/AIDS, cancer, diabetes, neurodegenerative disorders or autoimmune diseases and other immune dysfunctions; and officially designated orphan medicines. Medicines that fall outside the mandatory scope of the centralized procedure have three routes to authorization: (i) they can be authorized under the centralized procedure if they concern a significant therapeutic, scientific or technical innovation, or if their authorization would be in the interest of public health; (ii) they can be authorized under a decentralized procedure where an applicant applies for simultaneous authorization in more than one EU country; or (iii) they can be authorized in a EU member state in accordance with that state’s national procedures and then be authorized in other EU countries by a procedure whereby the countries concerned agree to recognize the validity of the original, national marketing authorization (mutual recognition procedure).</w:t>
      </w:r>
    </w:p>
    <w:p>
      <w:pPr>
        <w:spacing w:after="0" w:line="21"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A Pediatric Investigation Plan, or PIP, and/or a request for waiver or deferral, is required for submission prior to submitting a marketing authorization application. A PIP describes, among other things, proposed pediatric studies and their timing relative to clinical studies in adults and an MAA must comply with the PIP to be validated.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MAA Review and Approval Timeframe and Accelerated Assessment</w:t>
      </w:r>
    </w:p>
    <w:p>
      <w:pPr>
        <w:spacing w:after="0" w:line="90"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Under the centralized procedure in the EU, the maximum timeframe for the evaluation of a marketing authorization application that has been validated is 210 days, excluding time taken by an applicant to respond to questions. A favorable opinion on the application by the CHMP will typically result in the granting of the marketing authorization within 67 days of receipt of the opinion. Generally, the entire review process takes approximately one year. Accelerated evaluation might be granted by the CHMP in exceptional cases, when a medicinal product is expected to be of a major public health interest, particularly from the point of view of therapeutic innovation. In this circumstance, EMA ensures that the opinion of the CHMP is given within 150 days, excluding time taken by an applicant to respond to questions.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Exceptional Circumstances/Conditional Approval</w:t>
      </w:r>
    </w:p>
    <w:p>
      <w:pPr>
        <w:spacing w:after="0" w:line="77"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Orphan drugs or drugs with unmet medical needs may be eligible for EU approval under exceptional circumstances or with conditional approval. Approval under exceptional circumstances is applicable to orphan products and is used when an applicant is unable to provide comprehensive data on the efficacy and safety under normal conditions of use because the indication for which the product is intended is encountered so rarely that the applicant cannot reasonably be expected to provide comprehensive evidence, when the present state of scientific knowledge does not allow comprehensive information to be provided, or when it is medically unethical to collect such information. Conditional marketing authorization is applicable to orphan medicinal products, medicinal products for seriously debilitating or life-threatening diseases, or medicinal products to be used in emergency situations in response to recognized public threats. Conditional marketing authorization can be granted on the basis of less complete data than is normally required in order to meet unmet medical needs and in the interest of public health, provided the risk-benefit balance is positive, it is likely that the applicant will be able to provide the comprehensive clinical data, and unmet medical needs will be fulfilled. Conditional marketing authorization is subject to certain specific obligations to be reviewed annually.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PRIME Program</w:t>
      </w:r>
    </w:p>
    <w:p>
      <w:pPr>
        <w:spacing w:after="0" w:line="77" w:lineRule="exact"/>
        <w:rPr>
          <w:sz w:val="20"/>
          <w:szCs w:val="20"/>
          <w:color w:val="auto"/>
        </w:rPr>
      </w:pPr>
    </w:p>
    <w:p>
      <w:pPr>
        <w:ind w:right="220" w:firstLine="518"/>
        <w:spacing w:after="0" w:line="297" w:lineRule="auto"/>
        <w:rPr>
          <w:sz w:val="20"/>
          <w:szCs w:val="20"/>
          <w:color w:val="auto"/>
        </w:rPr>
      </w:pPr>
      <w:r>
        <w:rPr>
          <w:rFonts w:ascii="Arial" w:cs="Arial" w:eastAsia="Arial" w:hAnsi="Arial"/>
          <w:sz w:val="16"/>
          <w:szCs w:val="16"/>
          <w:color w:val="auto"/>
        </w:rPr>
        <w:t>PRIME is a program launched by the EMA to enhance support for the development of medicines that target an unmet medical need. The program focuses on medicines that may offer a major therapeutic advantage over existing treatments, or benefit patients without treatment options. These medicines are considered priority medicines by EMA. To be accepted for PRIME, a medicine has to show its potential to benefit patients with unmet medical needs based on early clinical data. Through PRIME, the EMA offers early and proactive support to medicine developers to optimize development plans and the generation of robust data on a medicine’s benefits and risks and enables accelerated assessment of medicines applications.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Orphan Designation and Exclusivity</w:t>
      </w:r>
    </w:p>
    <w:p>
      <w:pPr>
        <w:spacing w:after="0" w:line="90"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As in the United States, we may apply for designation of a product as an orphan drug for the treatment of a specific indication in the EU before the application for marketing authorization is made. The EMA’s Committee for Orphan Medicinal Products, or COMP, grants orphan drug designation to promote the development of products that are intended for the diagnosis, prevention or treatment of life-threatening or chronically debilitating conditions affecting not more than 5 in 10,000 persons in the EU Community and for which no satisfactory method of diagnosis, prevention, or treatment has been authorized (or the product would be a significant benefit to those affected). Additionally, designation is granted for products intended for the diagnosis, prevention, or treatment of a life-threatening, seriously debilitating or serious and chronic condition when, without incentives, it is unlikely that sales of the drug in the EU would be sufficient to justify the necessary investment in developing the medicinal product. Orphan drug designation entitles a party to financial incentives such as reduction of fees or fee waivers and 10 years of market exclusivity is granted following medicinal product approval. This period may be reduced to six years if the orphan drug designation criteria are no longer met, including where it is shown that the product is sufficiently profitable not to justify maintenance of market exclusivity. Orphan drug designation does not convey any advantage in, or shorten the duration of, the regulatory review and approval process.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Chemical Entity Exclusivity</w:t>
      </w:r>
    </w:p>
    <w:p>
      <w:pPr>
        <w:spacing w:after="0" w:line="77"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In the EU, new chemical entities, sometimes referred to as new active substances, qualify for eight years of data exclusivity upon marketing authorization and an additional two years of market exclusivity. This data exclusivity, if granted, prevents regulatory authorities in the EU from referencing the innovator’s data to assess a generic (abbreviated) application for eight years, after which generic marketing authorization can be submitted, and the innovator’s data may be referenced, but not approved for two years. The overall ten-year period will be extended to a maximum of eleven years if, during the first eight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77"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Drugs manufactured or distributed pursuant to regulatory approvals are subject to pervasive and continuing regulation by the regulatory authorities, including, among other things, requirements relating to formal commitments for post approval clinical trials and studies, manufacturing, recordkeeping, periodic reporting, product sampling and distribution, marketing, labeling, advertising and promotion and reporting of adverse experiences with the product. After approval, most changes to the approved product, such as adding new indications or other labeling claims are subject to prior regulatory authority review and approval.</w:t>
      </w:r>
    </w:p>
    <w:p>
      <w:pPr>
        <w:spacing w:after="0" w:line="40"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Drug manufacturers are subject to periodic unannounced inspections by regulatory authorities and country or state agencies for compliance with GMP and other requirements. Changes to the manufacturing process are strictly regulated, and, depending on the significance of the change, may require prior regulatory approval before being implemented. Regulations also require investigation and correction of any deviations from GMP and impose reporting and documentation requirements upon us and any third-party manufacturers that we may decide to use. Accordingly, manufacturers must continue to expend time, money and effort in the area of production and quality control to maintain compliance with GMP and other aspects of regulatory compliance.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77"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In the United States and markets in other countries, sales of any products for which we receive regulatory approval for commercial sale will depend in part on the availability of coverage and reimbursement from third-party payors. Third-party payors include government authorities, managed care providers, private health insurers and other organizations. The process for determining whether a payor will provide coverage for a drug product may be separate from the process for setting the reimbursement rate that the payor will pay for the drug product. Third-party payors may limit coverage to specific drug products on an approved list, or formulary, which might not include all of the approved drugs for a particular indication. Moreover,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9"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In the European Community,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by the government. Other member states allow companies to fix their own prices for medicines, but monitor and control company profits. In addition, in some countries, cross-border imports from low-priced markets exert a commercial pressure on pricing within a country.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90"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If we obtain regulatory approval for any of our product candidates, we may be subject to various laws targeting, among other things, fraud and abuse in the healthcare industry. These laws may impact, among other things, our proposed sales, marketing, and education programs. The laws that may affect our ability to operate include:</w:t>
      </w:r>
    </w:p>
    <w:p>
      <w:pPr>
        <w:spacing w:after="0" w:line="33" w:lineRule="exact"/>
        <w:rPr>
          <w:sz w:val="20"/>
          <w:szCs w:val="20"/>
          <w:color w:val="auto"/>
        </w:rPr>
      </w:pPr>
    </w:p>
    <w:p>
      <w:pPr>
        <w:ind w:left="900" w:right="40" w:hanging="379"/>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32" w:lineRule="exact"/>
        <w:rPr>
          <w:rFonts w:ascii="Arial" w:cs="Arial" w:eastAsia="Arial" w:hAnsi="Arial"/>
          <w:sz w:val="18"/>
          <w:szCs w:val="18"/>
          <w:color w:val="auto"/>
        </w:rPr>
      </w:pPr>
    </w:p>
    <w:p>
      <w:pPr>
        <w:jc w:val="both"/>
        <w:ind w:left="900" w:right="420" w:hanging="379"/>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payers that are false or fraudulent;</w:t>
      </w:r>
    </w:p>
    <w:p>
      <w:pPr>
        <w:spacing w:after="0" w:line="32" w:lineRule="exact"/>
        <w:rPr>
          <w:rFonts w:ascii="Arial" w:cs="Arial" w:eastAsia="Arial" w:hAnsi="Arial"/>
          <w:sz w:val="18"/>
          <w:szCs w:val="18"/>
          <w:color w:val="auto"/>
        </w:rPr>
      </w:pPr>
    </w:p>
    <w:p>
      <w:pPr>
        <w:ind w:left="900" w:right="160" w:hanging="379"/>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as amended, which prohibits executing a scheme to defraud any healthcare benefit program and making false statements relating to healthcare matters and imposes certain requirements relating to the privacy, security and transmission of individually identifiable health information;</w:t>
      </w:r>
    </w:p>
    <w:p>
      <w:pPr>
        <w:spacing w:after="0" w:line="32" w:lineRule="exact"/>
        <w:rPr>
          <w:rFonts w:ascii="Arial" w:cs="Arial" w:eastAsia="Arial" w:hAnsi="Arial"/>
          <w:sz w:val="18"/>
          <w:szCs w:val="18"/>
          <w:color w:val="auto"/>
        </w:rPr>
      </w:pPr>
    </w:p>
    <w:p>
      <w:pPr>
        <w:ind w:left="900" w:right="160" w:hanging="379"/>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21</w:t>
      </w:r>
      <w:r>
        <w:rPr>
          <w:rFonts w:ascii="Arial" w:cs="Arial" w:eastAsia="Arial" w:hAnsi="Arial"/>
          <w:sz w:val="15"/>
          <w:szCs w:val="15"/>
          <w:color w:val="auto"/>
        </w:rPr>
        <w:t>st</w:t>
      </w:r>
      <w:r>
        <w:rPr>
          <w:rFonts w:ascii="Arial" w:cs="Arial" w:eastAsia="Arial" w:hAnsi="Arial"/>
          <w:sz w:val="18"/>
          <w:szCs w:val="18"/>
          <w:color w:val="auto"/>
        </w:rPr>
        <w:t xml:space="preserve"> Century Cures Act, or the Cures Act, signed into law in December 2016, which introduced a wide range of reforms, such as broadening the types of data required to support drug approval, extending protections for generic competition, accelerating approval of breakthrough therapies, expanding the orphan drug product program, requiring disclosures about compassionate care programs, and clarifying how manufacturers communicate about their products;</w:t>
      </w:r>
    </w:p>
    <w:p>
      <w:pPr>
        <w:spacing w:after="0" w:line="38" w:lineRule="exact"/>
        <w:rPr>
          <w:rFonts w:ascii="Arial" w:cs="Arial" w:eastAsia="Arial" w:hAnsi="Arial"/>
          <w:sz w:val="18"/>
          <w:szCs w:val="18"/>
          <w:color w:val="auto"/>
        </w:rPr>
      </w:pPr>
    </w:p>
    <w:p>
      <w:pPr>
        <w:ind w:left="900" w:right="120" w:hanging="379"/>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federal transparency laws, including the federal Physician Payment Sunshine Act, that requires drug manufacturers to disclose payments and other transfers of value provided to physicians and teaching hospitals; and</w:t>
      </w:r>
    </w:p>
    <w:p>
      <w:pPr>
        <w:spacing w:after="0" w:line="21" w:lineRule="exact"/>
        <w:rPr>
          <w:rFonts w:ascii="Arial" w:cs="Arial" w:eastAsia="Arial" w:hAnsi="Arial"/>
          <w:sz w:val="18"/>
          <w:szCs w:val="18"/>
          <w:color w:val="auto"/>
        </w:rPr>
      </w:pPr>
    </w:p>
    <w:p>
      <w:pPr>
        <w:jc w:val="both"/>
        <w:ind w:left="900" w:right="280" w:hanging="379"/>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state and foreign law equivalents of each of the above federal laws, such as transparency laws, anti-kickback and false claims laws which may apply to items or services reimbursed by any third-party payer, including commercial insurers, and privacy and security of health information laws.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Regulation</w:t>
      </w:r>
    </w:p>
    <w:p>
      <w:pPr>
        <w:spacing w:after="0" w:line="7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U.S. Foreign Corrupt Practices Act (FCPA), to which we are subject, prohibits corporations and individuals from engaging in certain activities to obtain or retain business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 Similar laws exist in other countries, such as the United Kingdom, that restrict improper payments to public and private parties. Many countries have laws prohibiting these types of payments within the respective country. In addition to these anti-corruption laws, we are subject to import and export control laws, tariffs, trade barriers, economic sanctions and regulatory limitations on our ability to operate in certain foreign markets.</w:t>
      </w:r>
    </w:p>
    <w:p>
      <w:pPr>
        <w:spacing w:after="0" w:line="54" w:lineRule="exact"/>
        <w:rPr>
          <w:sz w:val="20"/>
          <w:szCs w:val="20"/>
          <w:color w:val="auto"/>
        </w:rPr>
      </w:pPr>
    </w:p>
    <w:p>
      <w:pPr>
        <w:ind w:right="400" w:firstLine="518"/>
        <w:spacing w:after="0" w:line="264" w:lineRule="auto"/>
        <w:rPr>
          <w:sz w:val="20"/>
          <w:szCs w:val="20"/>
          <w:color w:val="auto"/>
        </w:rPr>
      </w:pPr>
      <w:r>
        <w:rPr>
          <w:rFonts w:ascii="Arial" w:cs="Arial" w:eastAsia="Arial" w:hAnsi="Arial"/>
          <w:sz w:val="18"/>
          <w:szCs w:val="18"/>
          <w:color w:val="auto"/>
        </w:rPr>
        <w:t>In addition, federal, state and foreign government bodies and agencies have adopted, are considering adopting, or may adopt laws and regulations regarding the collection, use, storage and disclosure of personally identifiable information or other information treated as confidential obtained from consumers and individuals.</w:t>
      </w:r>
    </w:p>
    <w:p>
      <w:pPr>
        <w:spacing w:after="0" w:line="33"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We are also subject to regulation under the Occupational Safety and Health Act, the Environmental Protection Act, the Toxic Substances Control Act, the Resource Conservation and Recovery Act and other present and potential federal, state or local regulations. These and other laws govern our use, handling and disposal of various biological and chemical substances used in, and waste generated by, our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As of December 31, 2016, we had 376 full-time employees. None of our employees is represented by labor unions or covered by collective bargaining agreements. We consider our relationship with our employees to be good.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8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We recognized $183.2 million, $114.7 million, and $46.0 million in research and development expense in the years ended December 31, 2016, 2015, and 2014,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Financial Information about Segments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operate in a single accounting segment — the identification, acquisition, development and commercialization of novel products for the treatment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rare and ultra-rare diseases. Please refer to Note 1, “Organization and Basis of Presentation,” of the notes to our consolidated financial statements.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years ended December 31, 2016, 2015 and 2014, our revenues were $0.1 million, $0 and $0, respectively, and we incurred net losses of $245.9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$145.6 million and $59.8 million, respectively. As of December 31, 2016, 2015 and 2014, our total assets were $540.6 million, $559.6 million and $198.0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respectively.</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Please refer to the discussion of risks related to our foreign operations in the section entitled “Item 1A. Risk Factors.”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94" w:lineRule="exact"/>
        <w:rPr>
          <w:sz w:val="20"/>
          <w:szCs w:val="20"/>
          <w:color w:val="auto"/>
        </w:rPr>
      </w:pPr>
    </w:p>
    <w:p>
      <w:pPr>
        <w:ind w:right="220" w:firstLine="518"/>
        <w:spacing w:after="0" w:line="286" w:lineRule="auto"/>
        <w:rPr>
          <w:sz w:val="20"/>
          <w:szCs w:val="20"/>
          <w:color w:val="auto"/>
        </w:rPr>
      </w:pPr>
      <w:r>
        <w:rPr>
          <w:rFonts w:ascii="Arial" w:cs="Arial" w:eastAsia="Arial" w:hAnsi="Arial"/>
          <w:sz w:val="17"/>
          <w:szCs w:val="17"/>
          <w:color w:val="auto"/>
        </w:rPr>
        <w:t xml:space="preserve">We were incorporated in California in April 2010 and reincorporated in Delaware in June 2011. Our principal executive offices are located at 60 Leveroni Court, Novato, California 94949. Our telephone number is (415) 483-8800 and our e-mail address is </w:t>
      </w:r>
      <w:r>
        <w:rPr>
          <w:rFonts w:ascii="Arial" w:cs="Arial" w:eastAsia="Arial" w:hAnsi="Arial"/>
          <w:sz w:val="17"/>
          <w:szCs w:val="17"/>
          <w:i w:val="1"/>
          <w:iCs w:val="1"/>
          <w:color w:val="auto"/>
        </w:rPr>
        <w:t>info@ultragenyx.com</w:t>
      </w:r>
      <w:r>
        <w:rPr>
          <w:rFonts w:ascii="Arial" w:cs="Arial" w:eastAsia="Arial" w:hAnsi="Arial"/>
          <w:sz w:val="17"/>
          <w:szCs w:val="17"/>
          <w:color w:val="auto"/>
        </w:rPr>
        <w:t xml:space="preserve">. Our Internet website address is </w:t>
      </w:r>
      <w:r>
        <w:rPr>
          <w:rFonts w:ascii="Arial" w:cs="Arial" w:eastAsia="Arial" w:hAnsi="Arial"/>
          <w:sz w:val="17"/>
          <w:szCs w:val="17"/>
          <w:i w:val="1"/>
          <w:iCs w:val="1"/>
          <w:color w:val="auto"/>
        </w:rPr>
        <w:t>www.ultragenyx.com.</w:t>
      </w:r>
      <w:r>
        <w:rPr>
          <w:rFonts w:ascii="Arial" w:cs="Arial" w:eastAsia="Arial" w:hAnsi="Arial"/>
          <w:sz w:val="17"/>
          <w:szCs w:val="17"/>
          <w:color w:val="auto"/>
        </w:rPr>
        <w:t xml:space="preserve"> No portion of our website is incorporated by reference into this Annual Report.</w:t>
      </w:r>
    </w:p>
    <w:p>
      <w:pPr>
        <w:spacing w:after="0" w:line="1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 xml:space="preserve">You are advised to read this Annual Report in conjunction with other reports and documents that we file from time to time with the Securities and Exchange Commission, or SEC. In particular, please read our definitive proxy statements, our Quarterly Reports on Form 10-Q and any Current Reports on Form 8-K that we may file from time to time. You may obtain copies of these reports after the date of this Annual Report directly from us or from the SEC at the SEC’s Public Reference Room at 100 F Street, N.E. Washington, D.C. 20549. In addition, the SEC maintains information for electronic filers (including Ultragenyx) at its website at </w:t>
      </w:r>
      <w:r>
        <w:rPr>
          <w:rFonts w:ascii="Arial" w:cs="Arial" w:eastAsia="Arial" w:hAnsi="Arial"/>
          <w:sz w:val="17"/>
          <w:szCs w:val="17"/>
          <w:i w:val="1"/>
          <w:iCs w:val="1"/>
          <w:color w:val="auto"/>
        </w:rPr>
        <w:t>www.sec.gov</w:t>
      </w:r>
      <w:r>
        <w:rPr>
          <w:rFonts w:ascii="Arial" w:cs="Arial" w:eastAsia="Arial" w:hAnsi="Arial"/>
          <w:sz w:val="17"/>
          <w:szCs w:val="17"/>
          <w:color w:val="auto"/>
        </w:rPr>
        <w:t>. The public may obtain information regarding the operation of the Public Reference Room by calling the SEC at 1-800-SEC-0330. We make our periodic and current reports available on our internet website, free of charge, as soon as reasonably practicable after such material is electronically filed with, or furnished to, the SEC.</w:t>
      </w:r>
    </w:p>
    <w:p>
      <w:pPr>
        <w:spacing w:after="0" w:line="3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94" w:right="31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following risks, together with all the other information in this Annual Report, including our financial statements and notes thereto, before deciding to invest in our common stock. If any of the following risks actually materializes, our operating results, financial condition, and liquidity could be materially adversely affected. As a result, the trading price of our common stock could decline and you could lose part or all of your investment.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81" w:lineRule="exact"/>
        <w:rPr>
          <w:sz w:val="20"/>
          <w:szCs w:val="20"/>
          <w:color w:val="auto"/>
        </w:rPr>
      </w:pPr>
    </w:p>
    <w:p>
      <w:pPr>
        <w:ind w:right="700"/>
        <w:spacing w:after="0" w:line="306" w:lineRule="auto"/>
        <w:rPr>
          <w:sz w:val="20"/>
          <w:szCs w:val="20"/>
          <w:color w:val="auto"/>
        </w:rPr>
      </w:pPr>
      <w:r>
        <w:rPr>
          <w:rFonts w:ascii="Arial" w:cs="Arial" w:eastAsia="Arial" w:hAnsi="Arial"/>
          <w:sz w:val="17"/>
          <w:szCs w:val="17"/>
          <w:b w:val="1"/>
          <w:bCs w:val="1"/>
          <w:i w:val="1"/>
          <w:iCs w:val="1"/>
          <w:color w:val="auto"/>
        </w:rPr>
        <w:t>We are a clinical-stage company and have a limited operating history on which to assess our business, have incurred significant losses since our inception, and anticipate that we will continue to incur significant losses for the foreseeable future.</w:t>
      </w:r>
    </w:p>
    <w:p>
      <w:pPr>
        <w:spacing w:after="0" w:line="1" w:lineRule="exact"/>
        <w:rPr>
          <w:sz w:val="20"/>
          <w:szCs w:val="20"/>
          <w:color w:val="auto"/>
        </w:rPr>
      </w:pPr>
    </w:p>
    <w:p>
      <w:pPr>
        <w:jc w:val="both"/>
        <w:ind w:right="180" w:firstLine="518"/>
        <w:spacing w:after="0" w:line="334" w:lineRule="auto"/>
        <w:rPr>
          <w:sz w:val="20"/>
          <w:szCs w:val="20"/>
          <w:color w:val="auto"/>
        </w:rPr>
      </w:pPr>
      <w:r>
        <w:rPr>
          <w:rFonts w:ascii="Arial" w:cs="Arial" w:eastAsia="Arial" w:hAnsi="Arial"/>
          <w:sz w:val="16"/>
          <w:szCs w:val="16"/>
          <w:color w:val="auto"/>
        </w:rPr>
        <w:t>We are a clinical-stage biopharmaceutical company with a limited operating history. We have incurred net losses in each year since our inception in April 2010, including net losses of $245.9 million, $145.6 million, and $59.8 million for the years ended December 31, 2016, 2015, and 2014, respectively.</w:t>
      </w:r>
    </w:p>
    <w:p>
      <w:pPr>
        <w:spacing w:after="0" w:line="1"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We have devoted substantially all of our financial resources to identifying, acquiring, and developing our product candidates, including conducting clinical studies, developing manufacturing processes, manufacturing product candidates for clinical studies, and providing general and administrative support for these operations. To date, we have financed our operations primarily through the sale of equity securities. The amount of our future net losses will depend, in part, on the rate of our future expenditures and our ability to obtain funding through equity or debt financings, strategic collaborations, or grants. Biopharmaceutical product development is a highly speculative undertaking and involves a substantial degree of risk. Our product candidates are in clinical development, and we may never have a product candidate approved for commercialization. If we obtain regulatory approval to market a product candidate, our future revenue will depend upon the size of any markets in which our product candidates may receive approval, and our ability to achieve sufficient market acceptance, pricing, reimbursement, and adequate market share for our product candidates in those markets. However, even if we obtain adequate market share for our product candidates, because the potential markets in which our product candidates may ultimately receive regulatory approval are very small, and our expenses may be greater than expected, we may never become profitable despite obtaining such market share and acceptance of our products.</w:t>
      </w:r>
    </w:p>
    <w:p>
      <w:pPr>
        <w:spacing w:after="0" w:line="21"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We expect to continue to incur significant expenses and increasing operating losses for the foreseeable future. We anticipate that our expenses will increase substantially if and as we:</w:t>
      </w:r>
    </w:p>
    <w:p>
      <w:pPr>
        <w:spacing w:after="0" w:line="22" w:lineRule="exact"/>
        <w:rPr>
          <w:sz w:val="20"/>
          <w:szCs w:val="20"/>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our research and nonclinical and clinical development of our product candidates;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 the scope of our current clinical studies for our product candidates;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advance our programs into more expensive clinical studies;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initiate additional nonclinical, clinical, or other studies for our product candidates;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pursue preclinical and clinical development for additional indications for existing product candidates;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 or add additional manufacturers or suppliers;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regulatory and marketing approvals for our product candidates that successfully complete clinical studies;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establish a marketing and distribution infrastructure and field force to commercialize any products for which we may obtain marketing approval;</w:t>
      </w:r>
    </w:p>
    <w:p>
      <w:pPr>
        <w:spacing w:after="0" w:line="99" w:lineRule="exact"/>
        <w:rPr>
          <w:rFonts w:ascii="Arial" w:cs="Arial" w:eastAsia="Arial" w:hAnsi="Arial"/>
          <w:sz w:val="16"/>
          <w:szCs w:val="16"/>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establish our international subsidiaries;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operate as a public company and comply with legal, accounting and other regulatory requirements;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to identify, assess, license, acquire, and/or develop other product candidates, technologies, and/or businesses;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milestone or other payments under any license or other agreements;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to maintain, protect, and expand our intellectual property portfolio;</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to attract and retain skilled personnel;</w:t>
      </w:r>
    </w:p>
    <w:p>
      <w:pPr>
        <w:spacing w:after="0" w:line="76" w:lineRule="exact"/>
        <w:rPr>
          <w:rFonts w:ascii="Arial" w:cs="Arial" w:eastAsia="Arial" w:hAnsi="Arial"/>
          <w:sz w:val="18"/>
          <w:szCs w:val="18"/>
          <w:color w:val="auto"/>
        </w:rPr>
      </w:pPr>
    </w:p>
    <w:p>
      <w:pPr>
        <w:ind w:left="900" w:right="480" w:hanging="379"/>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create additional infrastructure, including facilities and systems, to support the growth of our operations, our product development, and our planned future commercialization efforts; and</w:t>
      </w:r>
    </w:p>
    <w:p>
      <w:pPr>
        <w:spacing w:after="0" w:line="21" w:lineRule="exact"/>
        <w:rPr>
          <w:rFonts w:ascii="Arial" w:cs="Arial" w:eastAsia="Arial" w:hAnsi="Arial"/>
          <w:sz w:val="18"/>
          <w:szCs w:val="18"/>
          <w:color w:val="auto"/>
        </w:rPr>
      </w:pPr>
    </w:p>
    <w:p>
      <w:pPr>
        <w:jc w:val="both"/>
        <w:ind w:left="900" w:right="440" w:hanging="379"/>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experience any delays or encounter issues with any of the above, including, but not limited to, failed studies, complex results, safety issues, inspection outcomes, or other regulatory challenges that require longer follow-up of existing studies, additional major studies, or additional supportive studies in order to pursue marketing approval.</w:t>
      </w:r>
    </w:p>
    <w:p>
      <w:pPr>
        <w:spacing w:after="0" w:line="33"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Further, the net losses we incur may fluctuate significantly from quarter to quarter and year to year, such that a period-to-period comparison of our results of operations may not be a good indication of our future performance.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We have not generated any significant revenue from product sales and we may never be profitable.</w:t>
      </w:r>
    </w:p>
    <w:p>
      <w:pPr>
        <w:spacing w:after="0" w:line="90"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We have no products approved for commercialization and have not generated any significant revenue from product sales. Our ability to generate significant revenue and achieve profitability depends on our ability, alone or with strategic collaboration partners, to successfully complete the development of, and obtain the regulatory and marketing approvals necessary to commercialize, one or more of our product candidates. We do not anticipate generating significant revenue from product sales in the near future. Our ability to generate substantial future revenue from product sales, including named patient sales, and potentially be profitable depends heavily on our success in many areas, including but not limited to:</w:t>
      </w:r>
    </w:p>
    <w:p>
      <w:pPr>
        <w:spacing w:after="0" w:line="24" w:lineRule="exact"/>
        <w:rPr>
          <w:sz w:val="20"/>
          <w:szCs w:val="20"/>
          <w:color w:val="auto"/>
        </w:rPr>
      </w:pPr>
    </w:p>
    <w:p>
      <w:pPr>
        <w:ind w:left="900" w:hanging="379"/>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completing research and nonclinical and clinical development of our product candidates;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regulatory and marketing approvals for product candidates for which we complete clinical studies;</w:t>
      </w:r>
    </w:p>
    <w:p>
      <w:pPr>
        <w:spacing w:after="0" w:line="76" w:lineRule="exact"/>
        <w:rPr>
          <w:rFonts w:ascii="Arial" w:cs="Arial" w:eastAsia="Arial" w:hAnsi="Arial"/>
          <w:sz w:val="18"/>
          <w:szCs w:val="18"/>
          <w:color w:val="auto"/>
        </w:rPr>
      </w:pPr>
    </w:p>
    <w:p>
      <w:pPr>
        <w:ind w:left="900" w:right="200" w:hanging="379"/>
        <w:spacing w:after="0" w:line="286"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developing a sustainable and scalable manufacturing process for any approved product candidates and establishing and maintaining supply and manufacturing relationships with third parties that can conduct the processes and provide adequate (in amount and quality) product supply to support clinical development and the market demand for our product candidates, if approved;</w:t>
      </w:r>
    </w:p>
    <w:p>
      <w:pPr>
        <w:spacing w:after="0" w:line="16" w:lineRule="exact"/>
        <w:rPr>
          <w:rFonts w:ascii="Arial" w:cs="Arial" w:eastAsia="Arial" w:hAnsi="Arial"/>
          <w:sz w:val="17"/>
          <w:szCs w:val="17"/>
          <w:color w:val="auto"/>
        </w:rPr>
      </w:pPr>
    </w:p>
    <w:p>
      <w:pPr>
        <w:ind w:left="900" w:right="100" w:hanging="379"/>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and marketing approval, either directly or with a collaborator or distributor;</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adequate reimbursement and pricing for our product candidates;</w:t>
      </w:r>
    </w:p>
    <w:p>
      <w:pPr>
        <w:spacing w:after="0" w:line="76" w:lineRule="exact"/>
        <w:rPr>
          <w:rFonts w:ascii="Arial" w:cs="Arial" w:eastAsia="Arial" w:hAnsi="Arial"/>
          <w:sz w:val="18"/>
          <w:szCs w:val="18"/>
          <w:color w:val="auto"/>
        </w:rPr>
      </w:pPr>
    </w:p>
    <w:p>
      <w:pPr>
        <w:ind w:left="900" w:hanging="379"/>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sell our product candidates on a named patient basis or through an equivalent mechanism and the amount of revenue generated from such sales;</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identifying, assessing, licensing, acquiring, and/or developing new product candidates, technologies, and/or businesses;</w:t>
      </w:r>
    </w:p>
    <w:p>
      <w:pPr>
        <w:spacing w:after="0" w:line="76" w:lineRule="exact"/>
        <w:rPr>
          <w:rFonts w:ascii="Arial" w:cs="Arial" w:eastAsia="Arial" w:hAnsi="Arial"/>
          <w:sz w:val="18"/>
          <w:szCs w:val="18"/>
          <w:color w:val="auto"/>
        </w:rPr>
      </w:pPr>
    </w:p>
    <w:p>
      <w:pPr>
        <w:ind w:left="900" w:right="760" w:hanging="379"/>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any amendments thereto or extensions thereof;</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maintaining, protecting, and expanding our portfolio of intellectual property rights, including patents, trade secrets, and know-how; and</w:t>
      </w:r>
    </w:p>
    <w:p>
      <w:pPr>
        <w:spacing w:after="0" w:line="88" w:lineRule="exact"/>
        <w:rPr>
          <w:rFonts w:ascii="Arial" w:cs="Arial" w:eastAsia="Arial" w:hAnsi="Arial"/>
          <w:sz w:val="17"/>
          <w:szCs w:val="17"/>
          <w:color w:val="auto"/>
        </w:rPr>
      </w:pPr>
    </w:p>
    <w:p>
      <w:pPr>
        <w:ind w:left="900" w:hanging="379"/>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77"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FDA, the EMA, or other regulatory agencies, domestic or foreign, to change our manufacturing processes or assays, or to perform clinical, nonclinical, or other types of studies in addition to those that we currently anticipate. In cases where we are successful in obtaining regulatory approvals to market one or more of our product candidates, our revenue will be dependent, in part, upon the size of the markets in the territories for which we gain regulatory approval, the accepted price for the product, the approved indication(s), the ability to obtain reimbursement at any price, and whether we own the commercial rights for that territory. If the number of our addressable rare disease patients is not as significant as we estimate, the indication approved by regulatory authorities is narrower than we expect, or the reasonably accepted population for treatment is narrowed by competition, physician choice, or treatment guidelines, we may not generate significant revenue from sales of our products, even if approved. For example, the development of KRN23, rhGUS, and UX007 is an important part of our current business strategy; if we are unable to obtain regulatory approval for the target product profile, our business may suffer.</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we will need to raise additional capital to fund our activities. This additional financing may not be available on acceptable terms, or at all.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obtain this necessary capital when needed may force us to delay, limit, or terminate our product development efforts or other activities.</w:t>
      </w:r>
    </w:p>
    <w:p>
      <w:pPr>
        <w:spacing w:after="0" w:line="99"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As we continue to advance our product candidates through preclinical and clinical development and prepare for commercialization, we expect our expenses to increase substantially in connection with our ongoing activities.</w:t>
      </w:r>
    </w:p>
    <w:p>
      <w:pPr>
        <w:spacing w:after="0" w:line="22"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As of December 31, 2016, our available cash, cash equivalents, and investments were $498.1 million. We will likely require additional capital to obtain regulatory approval for, and to commercialize all of our product candidates. In addition, our operating plans may change as a result of many factors that may currently be unknown to us, and we may need to seek additional funds sooner than planned. Our future funding requirements will depend on many factors, including but not limited to:</w:t>
      </w:r>
    </w:p>
    <w:p>
      <w:pPr>
        <w:spacing w:after="0" w:line="38" w:lineRule="exact"/>
        <w:rPr>
          <w:sz w:val="20"/>
          <w:szCs w:val="20"/>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clinical studies, nonclinical testing, and other related activities;</w:t>
      </w:r>
    </w:p>
    <w:p>
      <w:pPr>
        <w:spacing w:after="0" w:line="76" w:lineRule="exact"/>
        <w:rPr>
          <w:rFonts w:ascii="Arial" w:cs="Arial" w:eastAsia="Arial" w:hAnsi="Arial"/>
          <w:sz w:val="18"/>
          <w:szCs w:val="18"/>
          <w:color w:val="auto"/>
        </w:rPr>
      </w:pPr>
    </w:p>
    <w:p>
      <w:pPr>
        <w:ind w:left="900" w:right="540" w:hanging="379"/>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product candidates and any products that we may develop;</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28" w:name="page29"/>
    <w:bookmarkEnd w:id="28"/>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that we pursue;</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and timing of establishing and operating our international subsidiaries;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and timing of establishing field forces, marketing, and distribution capabilities;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and timing of other activities needed to commercialize our products; and</w:t>
      </w:r>
    </w:p>
    <w:p>
      <w:pPr>
        <w:spacing w:after="0" w:line="76" w:lineRule="exact"/>
        <w:rPr>
          <w:rFonts w:ascii="Arial" w:cs="Arial" w:eastAsia="Arial" w:hAnsi="Arial"/>
          <w:sz w:val="18"/>
          <w:szCs w:val="18"/>
          <w:color w:val="auto"/>
        </w:rPr>
      </w:pPr>
    </w:p>
    <w:p>
      <w:pPr>
        <w:ind w:left="900" w:hanging="379"/>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acquisition, and other arrangements that we may establish, including any required milestone, royalty, and other payments thereunder.</w:t>
      </w:r>
    </w:p>
    <w:p>
      <w:pPr>
        <w:spacing w:after="0" w:line="22"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Any additional fundraising efforts may divert our management’s attention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If we incur debt, it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collaborative partnerships or other arrangements and we may be required to relinquish rights to some of our technologies or product candidates or otherwise agree to terms unfavorable to us, any of which may have a material adverse effect on our business, operating results, and prospects. Even if we believe we have sufficient funds for our current or future operating plans, we may seek additional capital if market conditions are favorable or if we have specific strategic considerations.</w:t>
      </w:r>
    </w:p>
    <w:p>
      <w:pPr>
        <w:spacing w:after="0" w:line="48" w:lineRule="exact"/>
        <w:rPr>
          <w:sz w:val="20"/>
          <w:szCs w:val="20"/>
          <w:color w:val="auto"/>
        </w:rPr>
      </w:pPr>
    </w:p>
    <w:p>
      <w:pPr>
        <w:ind w:right="180" w:firstLine="518"/>
        <w:spacing w:after="0" w:line="286" w:lineRule="auto"/>
        <w:rPr>
          <w:sz w:val="20"/>
          <w:szCs w:val="20"/>
          <w:color w:val="auto"/>
        </w:rPr>
      </w:pPr>
      <w:r>
        <w:rPr>
          <w:rFonts w:ascii="Arial" w:cs="Arial" w:eastAsia="Arial" w:hAnsi="Arial"/>
          <w:sz w:val="17"/>
          <w:szCs w:val="17"/>
          <w:color w:val="auto"/>
        </w:rPr>
        <w:t>If we are unable to obtain funding on a timely basis or at all, we may be required to significantly curtail, delay, or discontinue one or more of our research or development programs or the commercialization of any product candidates or be unable to expand our operations or otherwise capitalize on our business opportunities, as desired, which could materially affect our business,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uncertain outcomes and the potential for substantial delays, and the results of earlier studies may not be predictive of future study results.</w:t>
      </w:r>
    </w:p>
    <w:p>
      <w:pPr>
        <w:spacing w:after="0" w:line="35"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studies to demonstrate the safety and efficacy of the product candidates in humans. Clinical testing is expensive, time consuming, and uncertain as to outcome. We cannot guarantee that any clinical studies will be conducted as planned or completed on schedule, if at all. A failure of one or more clinical studies can occur at any stage of testing, and our future clinical studies may not be successful. Product candidates that have shown promising results in early-stage clinical studies may still suffer significant setbacks in subsequent clinical studies. For example, the safety or efficacy results generated to date in clinical studies for KRN23, rhGUS, UX007, and Ace-ER do not ensure that later clinical studies will demonstrate similar results. Results from investigator-sponsored studies or compassionate-use studies may not be confirmed in company-sponsored studies or may negatively impact the prospects for our programs. Additionally, given the nature of the rare diseases we are seeking to treat, we often have to devise newly-defined endpoints to be tested in our studies, which can lead to some subjectivity in interpreting study results and could result in regulatory agencies not agreeing with the validity of our endpoints, or our interpretation of the clinical data, and therefore denying approval. For example, for our Glut1 DS Phase 3 clinical trial, we have proposed utilizing a patient diary to track movement disorder events. Based on FDA feedback expressing concern about the clinical meaningfulness of all such events tracked, we modified the clinical endpoint. Even so, there is no guarantee that these modifications to the endpoint will be acceptable to the FDA. Given the illness of the subjects in our studies and the nature of their rare diseases, we may also be required or choose to conduct certain studies on an open-label basis. Additionally, we have in the past, and may in the future elect to review interim clinical data at multiple time points during the studies, which could introduce bias into the study results and potentially result in denial of approval.</w:t>
      </w:r>
    </w:p>
    <w:p>
      <w:pPr>
        <w:spacing w:after="0" w:line="35"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In the biopharmaceutical industry, there is a high failure rate for drugs and biologics proceeding through clinical studies, and product candidates in later stages of clinical studies may fail to show the desired safety and efficacy despite having progressed through nonclinical studies and initial clinical studies. A number of companies in the biopharmaceutical industry have suffered significant setbacks in advanced clinical studies due to lack of efficacy or adverse safety profiles, notwithstanding promising results in earlier studies.</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Scenarios that may prevent successful or timely completion of clinical development include but are not limited to:</w:t>
      </w:r>
    </w:p>
    <w:p>
      <w:pPr>
        <w:spacing w:after="0" w:line="90" w:lineRule="exact"/>
        <w:rPr>
          <w:sz w:val="20"/>
          <w:szCs w:val="20"/>
          <w:color w:val="auto"/>
        </w:rPr>
      </w:pPr>
    </w:p>
    <w:p>
      <w:pPr>
        <w:ind w:left="900" w:right="500" w:hanging="379"/>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our inability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or continuation of human clinical studies or filings for regulatory approval;</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or failures in reaching a consensus with regulatory agencies on study design;</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36" w:right="279" w:bottom="1440" w:gutter="0" w:footer="0" w:header="0"/>
        </w:sectPr>
      </w:pPr>
    </w:p>
    <w:bookmarkStart w:id="29" w:name="page30"/>
    <w:bookmarkEnd w:id="29"/>
    <w:p>
      <w:pPr>
        <w:ind w:left="900" w:right="360" w:hanging="379"/>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contract research organizations, or CROs, clinical study sites, and other clinical trial-related vendors;</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failure or delays in obtaining required regulatory agency approval and/or IRB or EC approval at each clinical study site or in certain countries;</w:t>
      </w:r>
    </w:p>
    <w:p>
      <w:pPr>
        <w:spacing w:after="0" w:line="99" w:lineRule="exact"/>
        <w:rPr>
          <w:rFonts w:ascii="Arial" w:cs="Arial" w:eastAsia="Arial" w:hAnsi="Arial"/>
          <w:sz w:val="16"/>
          <w:szCs w:val="16"/>
          <w:color w:val="auto"/>
        </w:rPr>
      </w:pPr>
    </w:p>
    <w:p>
      <w:pPr>
        <w:ind w:left="900" w:right="200" w:hanging="379"/>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clinical study design or development strategy resulting in delays related to obtaining approvals from IRBs or ECs and/or regulatory agencies to proceed with clinical studies;</w:t>
      </w:r>
    </w:p>
    <w:p>
      <w:pPr>
        <w:spacing w:after="0" w:line="21" w:lineRule="exact"/>
        <w:rPr>
          <w:rFonts w:ascii="Arial" w:cs="Arial" w:eastAsia="Arial" w:hAnsi="Arial"/>
          <w:sz w:val="18"/>
          <w:szCs w:val="18"/>
          <w:color w:val="auto"/>
        </w:rPr>
      </w:pPr>
    </w:p>
    <w:p>
      <w:pPr>
        <w:ind w:left="900" w:right="680" w:hanging="379"/>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imposition of a clinical hold by regulatory agencies after review of an IND application or amendment, another equivalent application or amendment, or an inspection of our clinical study operations or study sites;</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studies;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collaborating with patient groups and investigators;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study requirements;</w:t>
      </w:r>
    </w:p>
    <w:p>
      <w:pPr>
        <w:spacing w:after="0" w:line="76" w:lineRule="exact"/>
        <w:rPr>
          <w:rFonts w:ascii="Arial" w:cs="Arial" w:eastAsia="Arial" w:hAnsi="Arial"/>
          <w:sz w:val="18"/>
          <w:szCs w:val="18"/>
          <w:color w:val="auto"/>
        </w:rPr>
      </w:pPr>
    </w:p>
    <w:p>
      <w:pPr>
        <w:ind w:left="900" w:right="220" w:hanging="379"/>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perform in accordance with the FDA’s and/or ICH’s good clinical practices requirements or applicable regulatory guidelines in other countries;</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patients’ completion of studies or their returns for post-treatment follow-up;</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patients dropping out of a study;</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events associated with the product candidate occurring that are viewed to outweigh its potential benefits;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greater than anticipated costs associated with clinical studies of our drug candidates;</w:t>
      </w:r>
    </w:p>
    <w:p>
      <w:pPr>
        <w:spacing w:after="0" w:line="76" w:lineRule="exact"/>
        <w:rPr>
          <w:rFonts w:ascii="Arial" w:cs="Arial" w:eastAsia="Arial" w:hAnsi="Arial"/>
          <w:sz w:val="18"/>
          <w:szCs w:val="18"/>
          <w:color w:val="auto"/>
        </w:rPr>
      </w:pPr>
    </w:p>
    <w:p>
      <w:pPr>
        <w:ind w:left="900" w:right="100" w:hanging="379"/>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clinical studies of our drug candidates producing negative or inconclusive results, which may result in us deciding, or regulators requiring us, to conduct additional clinical or nonclinical studies or to abandon drug development programs;</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competing clinical studies of potential alternative product candidates or investigator-sponsored studies of our product candidates; and</w:t>
      </w:r>
    </w:p>
    <w:p>
      <w:pPr>
        <w:spacing w:after="0" w:line="88" w:lineRule="exact"/>
        <w:rPr>
          <w:rFonts w:ascii="Arial" w:cs="Arial" w:eastAsia="Arial" w:hAnsi="Arial"/>
          <w:sz w:val="17"/>
          <w:szCs w:val="17"/>
          <w:color w:val="auto"/>
        </w:rPr>
      </w:pPr>
    </w:p>
    <w:p>
      <w:pPr>
        <w:ind w:left="900" w:right="340" w:hanging="379"/>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studies or the inability to do any of the foregoing.</w:t>
      </w:r>
    </w:p>
    <w:p>
      <w:pPr>
        <w:spacing w:after="0" w:line="22"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Any inability to successfully complete nonclinical and clinical development could result in additional costs to us or negatively impact our ability to generate revenue. In addition, if we make manufacturing or formulation changes to our product candidates, we may need to conduct additional studies to bridge our modified product candidates to earlier approved versions. Clinical study delays could also shorten any periods during which our products have commercial exclusivity and may allow our competitors to bring products to market before we do, which could negatively impact our ability to obtain orphan exclusivity and to successfully commercialize our product candidates and may harm our business and results of operations.</w:t>
      </w:r>
    </w:p>
    <w:p>
      <w:pPr>
        <w:spacing w:after="0" w:line="200" w:lineRule="exact"/>
        <w:rPr>
          <w:sz w:val="20"/>
          <w:szCs w:val="20"/>
          <w:color w:val="auto"/>
        </w:rPr>
      </w:pPr>
    </w:p>
    <w:p>
      <w:pPr>
        <w:ind w:right="120"/>
        <w:spacing w:after="0" w:line="306" w:lineRule="auto"/>
        <w:rPr>
          <w:sz w:val="20"/>
          <w:szCs w:val="20"/>
          <w:color w:val="auto"/>
        </w:rPr>
      </w:pPr>
      <w:r>
        <w:rPr>
          <w:rFonts w:ascii="Arial" w:cs="Arial" w:eastAsia="Arial" w:hAnsi="Arial"/>
          <w:sz w:val="17"/>
          <w:szCs w:val="17"/>
          <w:b w:val="1"/>
          <w:bCs w:val="1"/>
          <w:i w:val="1"/>
          <w:iCs w:val="1"/>
          <w:color w:val="auto"/>
        </w:rPr>
        <w:t>If we do not achieve our projected development goals in the timeframes we announce and expect, the commercialization of our products may be delayed and the credibility of our management may be adversely affected and, as a result, our stock price may decline.</w:t>
      </w:r>
    </w:p>
    <w:p>
      <w:pPr>
        <w:spacing w:after="0" w:line="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trials, the submission of regulatory filings, and the potential approval of such regulatory filings. We periodically make public announcements about the expected timing of some of these milestones. All of these milestones are based on a variety of assumptions, but the actual timing of these milestones can vary dramatically from our estimates. If we do not meet these publicly announced milestones, the commercialization of our products may be delayed and the credibility of our management may be adversely affected and, as a result, our stock price may decline.</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36" w:right="299" w:bottom="1440" w:gutter="0" w:footer="0" w:header="0"/>
        </w:sectPr>
      </w:pPr>
    </w:p>
    <w:bookmarkStart w:id="30" w:name="page31"/>
    <w:bookmarkEnd w:id="30"/>
    <w:p>
      <w:pPr>
        <w:jc w:val="both"/>
        <w:ind w:right="60"/>
        <w:spacing w:after="0" w:line="286" w:lineRule="auto"/>
        <w:rPr>
          <w:sz w:val="20"/>
          <w:szCs w:val="20"/>
          <w:color w:val="auto"/>
        </w:rPr>
      </w:pPr>
      <w:r>
        <w:rPr>
          <w:rFonts w:ascii="Arial" w:cs="Arial" w:eastAsia="Arial" w:hAnsi="Arial"/>
          <w:sz w:val="17"/>
          <w:szCs w:val="17"/>
          <w:b w:val="1"/>
          <w:bCs w:val="1"/>
          <w:i w:val="1"/>
          <w:iCs w:val="1"/>
          <w:color w:val="auto"/>
        </w:rPr>
        <w:t>We are heavily dependent on the success of our product candidates, some of which are in the early stages of clinical development, which is a lengthy and expensive process with uncertain outcomes and the potential for substantial delays. We cannot give any assurance that any of our product candidates will receive regulatory approval, which is necessary before they can be commercialized.</w:t>
      </w:r>
    </w:p>
    <w:p>
      <w:pPr>
        <w:spacing w:after="0" w:line="30"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Before obtaining marketing approval from regulatory authorities for the sale of our product candidates, we must conduct extensive clinical studies to demonstrate the safety and efficacy of the product candidates in humans. To date, we have focused substantially all of our efforts and financial resources on identifying, acquiring, and developing our product candidates, including conducting clinical studies and providing general and administrative support for these operations. We cannot be certain that any clinical studies will be conducted as planned or completed on schedule, if at all. Our inability to successfully complete nonclinical and clinical development could result in additional costs to us and negatively impact our ability to generate revenue. Our future success is dependent on our ability to successfully develop, obtain regulatory approval for, and then successfully commercialize our product candidates. We currently generate no significant revenue from sales of drugs, and we may never be able to develop or commercialize a marketable drug.</w:t>
      </w:r>
    </w:p>
    <w:p>
      <w:pPr>
        <w:spacing w:after="0" w:line="19" w:lineRule="exact"/>
        <w:rPr>
          <w:sz w:val="20"/>
          <w:szCs w:val="20"/>
          <w:color w:val="auto"/>
        </w:rPr>
      </w:pPr>
    </w:p>
    <w:p>
      <w:pPr>
        <w:ind w:right="100" w:firstLine="518"/>
        <w:spacing w:after="0" w:line="292" w:lineRule="auto"/>
        <w:rPr>
          <w:sz w:val="20"/>
          <w:szCs w:val="20"/>
          <w:color w:val="auto"/>
        </w:rPr>
      </w:pPr>
      <w:r>
        <w:rPr>
          <w:rFonts w:ascii="Arial" w:cs="Arial" w:eastAsia="Arial" w:hAnsi="Arial"/>
          <w:sz w:val="16"/>
          <w:szCs w:val="16"/>
          <w:color w:val="auto"/>
        </w:rPr>
        <w:t>Each of our product candidates is in development and will require additional clinical development; management of nonclinical, clinical, and manufacturing activities; regulatory approval; obtaining adequate manufacturing supply; building a commercial organization; significant marketing efforts; and reimbursement before we generate any significant revenue from commercial product sales, if ever. We have multiple programs that are currently in clinical studies. Three of our product candidates have advanced into pivotal studies, but such studies may not result in approval. For KRN23, we filed for conditional marketing authorization in the EU in late 2016 based on Phase 1/2 and Phase 2 data. This is our second application for regulatory approval of an investigational drug. There can be no assurance that we will be able to secure approval with the current filing or within projected time periods. For example, in November 2016, we withdrew our first filing application for regulatory approval that sought conditional marketing authorization in the EU for Ace-ER based on feedback received during the CHMP meeting indicating that the Phase 2 study was encouraging but did not provide a sufficient amount of evidence to support an approval at that time. Even if we obtain conditional approval, it may be withdrawn under certain circumstances. In addition, confirmatory clinical studies could be required and could fail to demonstrate sufficient safety and efficacy to obtain full approval.</w:t>
      </w:r>
    </w:p>
    <w:p>
      <w:pPr>
        <w:spacing w:after="0" w:line="1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Some of our product candidates are in the early-stage translational research phases of development. Such early-stage programs will require substantial investment to reach clinical studies and regulatory approval, and their risk of failure is high. For example, our collaboration with Arcturus focuses on an advanced but less established technology platform that will require significant effort and investment. A failure in that collaboration or our other early-stage programs may negatively affect our operational results.</w:t>
      </w:r>
    </w:p>
    <w:p>
      <w:pPr>
        <w:spacing w:after="0" w:line="52"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We generally plan to seek regulatory approval to commercialize our product candidates in the United States, the EU, and in additional foreign countries where we have commercial rights. To obtain regulatory approval in other countries, we must comply with numerous and varying regulatory requirements of such other countries regarding safety, efficacy, chemistry, manufacturing, and controls, clinical studies, commercial sales, pricing, and distribution of our product candidates. Even if we are successful in obtaining approval in one jurisdiction, we cannot ensure that we will obtain approval in any other jurisdiction. If we are unable to obtain approval for our product candidates in multiple jurisdictions, our revenue and results of operations could be negatively affected.</w:t>
      </w:r>
    </w:p>
    <w:p>
      <w:pPr>
        <w:spacing w:after="0" w:line="45" w:lineRule="exact"/>
        <w:rPr>
          <w:sz w:val="20"/>
          <w:szCs w:val="20"/>
          <w:color w:val="auto"/>
        </w:rPr>
      </w:pPr>
    </w:p>
    <w:p>
      <w:pPr>
        <w:jc w:val="both"/>
        <w:ind w:right="500" w:firstLine="518"/>
        <w:spacing w:after="0" w:line="264" w:lineRule="auto"/>
        <w:rPr>
          <w:sz w:val="20"/>
          <w:szCs w:val="20"/>
          <w:color w:val="auto"/>
        </w:rPr>
      </w:pPr>
      <w:r>
        <w:rPr>
          <w:rFonts w:ascii="Arial" w:cs="Arial" w:eastAsia="Arial" w:hAnsi="Arial"/>
          <w:sz w:val="18"/>
          <w:szCs w:val="18"/>
          <w:color w:val="auto"/>
        </w:rPr>
        <w:t>We cannot be certain that any of our product candidates will be successful in clinical studies or receive regulatory approval. Further, our product candidates may not receive regulatory approval even if they are successful in clinical studies. If we do not receive regulatory approvals for our product candidates, we may not be able to continue our operations.</w:t>
      </w:r>
    </w:p>
    <w:p>
      <w:pPr>
        <w:spacing w:after="0" w:line="1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 consuming, and inherently unpredictable. Even if we achieve positive results in our pre-clinical and clinical studies, if we are ultimately unable to obtain timely regulatory approval for our product candidates, our business will be substantially harmed.</w:t>
      </w:r>
    </w:p>
    <w:p>
      <w:pPr>
        <w:spacing w:after="0" w:line="46" w:lineRule="exact"/>
        <w:rPr>
          <w:sz w:val="20"/>
          <w:szCs w:val="20"/>
          <w:color w:val="auto"/>
        </w:rPr>
      </w:pPr>
    </w:p>
    <w:p>
      <w:pPr>
        <w:ind w:right="240" w:firstLine="518"/>
        <w:spacing w:after="0" w:line="257" w:lineRule="auto"/>
        <w:rPr>
          <w:sz w:val="20"/>
          <w:szCs w:val="20"/>
          <w:color w:val="auto"/>
        </w:rPr>
      </w:pPr>
      <w:r>
        <w:rPr>
          <w:rFonts w:ascii="Arial" w:cs="Arial" w:eastAsia="Arial" w:hAnsi="Arial"/>
          <w:sz w:val="18"/>
          <w:szCs w:val="18"/>
          <w:color w:val="auto"/>
        </w:rPr>
        <w:t>Our future success is dependent on our ability to successfully develop, obtain regulatory approval for, and then successfully commercialize one or more product candidates. We are not permitted to market or promote any of our product candidates before we receive regulatory approval from the FDA or comparable foreign regulatory authorities, and we may never receive such regulatory approval for any of our product candidates. We have not obtained regulatory approval for any product candidate, and it is possible that none of our existing product candidates or any product candidates we may seek to develop in the future will ever obtain regulatory approval.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31" w:name="page32"/>
    <w:bookmarkEnd w:id="31"/>
    <w:p>
      <w:pPr>
        <w:ind w:firstLine="518"/>
        <w:spacing w:after="0" w:line="270" w:lineRule="auto"/>
        <w:rPr>
          <w:sz w:val="20"/>
          <w:szCs w:val="20"/>
          <w:color w:val="auto"/>
        </w:rPr>
      </w:pPr>
      <w:r>
        <w:rPr>
          <w:rFonts w:ascii="Arial" w:cs="Arial" w:eastAsia="Arial" w:hAnsi="Arial"/>
          <w:sz w:val="17"/>
          <w:szCs w:val="17"/>
          <w:color w:val="auto"/>
        </w:rPr>
        <w:t>To obtain regulatory approval in the United States and other jurisdictions, we must comply with numerous and varying requirements regarding safety, efficacy, chemistry, manufacturing and controls, clinical studies (including good clinical practices), commercial sales, pricing, and distribution of our product candidates. Even if we are successful in obtaining approval in one jurisdiction, we cannot ensure that we will obtain approval in any other jurisdictions. In addition, approval policies, regulations, positions of the regulatory agencies on study design and/or endpoints, or the type and amount of clinical data necessary to gain approval may change during the course of a product candidate’s clinical development, which may cause delays in the approval or the decision not to approve an application. Communications with the regulatory agencies during the approval process are also unpredictable; favorable communications early in the process do not ensure that approval will be obtained and unfavorable communications early on do not guarantee that approval will not be obtained. If we are unable to obtain approval for our product candidates in multiple jurisdictions, our revenue and results of operations could be negatively affected. Applications for our product candidates could fail to receive regulatory approval, or could be delayed in receiving regulatory approval, for many reasons, including but not limited to the following:</w:t>
      </w:r>
    </w:p>
    <w:p>
      <w:pPr>
        <w:spacing w:after="0" w:line="43" w:lineRule="exact"/>
        <w:rPr>
          <w:sz w:val="20"/>
          <w:szCs w:val="20"/>
          <w:color w:val="auto"/>
        </w:rPr>
      </w:pPr>
    </w:p>
    <w:p>
      <w:pPr>
        <w:ind w:left="900" w:hanging="379"/>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the design, implementation, or conduct of our clinical studies;</w:t>
      </w:r>
    </w:p>
    <w:p>
      <w:pPr>
        <w:spacing w:after="0" w:line="88" w:lineRule="exact"/>
        <w:rPr>
          <w:rFonts w:ascii="Arial" w:cs="Arial" w:eastAsia="Arial" w:hAnsi="Arial"/>
          <w:sz w:val="17"/>
          <w:szCs w:val="17"/>
          <w:color w:val="auto"/>
        </w:rPr>
      </w:pPr>
    </w:p>
    <w:p>
      <w:pPr>
        <w:ind w:left="900" w:right="20" w:hanging="379"/>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change their guidance or requirements for a development program for a product candidate;</w:t>
      </w:r>
    </w:p>
    <w:p>
      <w:pPr>
        <w:spacing w:after="0" w:line="21" w:lineRule="exact"/>
        <w:rPr>
          <w:rFonts w:ascii="Arial" w:cs="Arial" w:eastAsia="Arial" w:hAnsi="Arial"/>
          <w:sz w:val="18"/>
          <w:szCs w:val="18"/>
          <w:color w:val="auto"/>
        </w:rPr>
      </w:pPr>
    </w:p>
    <w:p>
      <w:pPr>
        <w:ind w:left="900" w:right="120" w:hanging="379"/>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efficacy and safety in the full population for which we seek approval;</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nonclinical studies or clinical studies;</w:t>
      </w:r>
    </w:p>
    <w:p>
      <w:pPr>
        <w:spacing w:after="0" w:line="99" w:lineRule="exact"/>
        <w:rPr>
          <w:rFonts w:ascii="Arial" w:cs="Arial" w:eastAsia="Arial" w:hAnsi="Arial"/>
          <w:sz w:val="16"/>
          <w:szCs w:val="16"/>
          <w:color w:val="auto"/>
        </w:rPr>
      </w:pPr>
    </w:p>
    <w:p>
      <w:pPr>
        <w:ind w:left="900" w:hanging="379"/>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data collected from clinical studies of our product candidates may not be sufficient to support the submission of an NDA, or biologics license application, or BLA, or other submission or to obtain regulatory approval in the United States or elsewhere;</w:t>
      </w:r>
    </w:p>
    <w:p>
      <w:pPr>
        <w:spacing w:after="0" w:line="21" w:lineRule="exact"/>
        <w:rPr>
          <w:rFonts w:ascii="Arial" w:cs="Arial" w:eastAsia="Arial" w:hAnsi="Arial"/>
          <w:sz w:val="18"/>
          <w:szCs w:val="18"/>
          <w:color w:val="auto"/>
        </w:rPr>
      </w:pPr>
    </w:p>
    <w:p>
      <w:pPr>
        <w:ind w:left="900" w:right="320" w:hanging="379"/>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unable to demonstrate to the FDA or comparable foreign regulatory authorities that a product candidate’s risk-benefit ratio for its proposed indication is acceptable;</w:t>
      </w:r>
    </w:p>
    <w:p>
      <w:pPr>
        <w:spacing w:after="0" w:line="21" w:lineRule="exact"/>
        <w:rPr>
          <w:rFonts w:ascii="Arial" w:cs="Arial" w:eastAsia="Arial" w:hAnsi="Arial"/>
          <w:sz w:val="18"/>
          <w:szCs w:val="18"/>
          <w:color w:val="auto"/>
        </w:rPr>
      </w:pPr>
    </w:p>
    <w:p>
      <w:pPr>
        <w:ind w:left="900" w:right="280" w:hanging="379"/>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test procedures and specifications, or facilities of third-party manufacturers with which we contract for clinical and commercial supplies;</w:t>
      </w:r>
    </w:p>
    <w:p>
      <w:pPr>
        <w:spacing w:after="0" w:line="21" w:lineRule="exact"/>
        <w:rPr>
          <w:rFonts w:ascii="Arial" w:cs="Arial" w:eastAsia="Arial" w:hAnsi="Arial"/>
          <w:sz w:val="18"/>
          <w:szCs w:val="18"/>
          <w:color w:val="auto"/>
        </w:rPr>
      </w:pPr>
    </w:p>
    <w:p>
      <w:pPr>
        <w:ind w:left="900" w:right="140" w:hanging="379"/>
        <w:spacing w:after="0" w:line="306"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failure of our nonclinical or clinical development to comply with an agreed upon Pediatric Investigational Plan (PIP), which details the designs and completion timelines for nonclinical and clinical studies and is a condition of marketing authorization in the EU; and</w:t>
      </w:r>
    </w:p>
    <w:p>
      <w:pPr>
        <w:spacing w:after="0" w:line="1" w:lineRule="exact"/>
        <w:rPr>
          <w:rFonts w:ascii="Arial" w:cs="Arial" w:eastAsia="Arial" w:hAnsi="Arial"/>
          <w:sz w:val="17"/>
          <w:szCs w:val="17"/>
          <w:color w:val="auto"/>
        </w:rPr>
      </w:pPr>
    </w:p>
    <w:p>
      <w:pPr>
        <w:ind w:left="900" w:right="40" w:hanging="379"/>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22"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Furthermore, the disease states we are evaluating often will not have clear regulatory paths for approval and/or do not have validated outcome measures. In these circumstances, we work closely with the regulatory authorities to define the approval path and may have to qualify outcome measures as part of our development programs. For example, for patients with XLH there is no available regulatory precedent describing requirements for obtaining approval to treat this disease, and there are no validated patient-reported outcome measures that are specific to this disease. Additionally, many of the disease states we are targeting are highly heterogeneous in nature, which may impact our ability to determine the treatment benefit of our potential therapies. For example, patients with FAOD, Glut1 DS, and MPS 7 have a highly heterogeneous disease course, which may impact our ability to determine the true treatment benefit of our product candidates in these patients.</w:t>
      </w:r>
    </w:p>
    <w:p>
      <w:pPr>
        <w:spacing w:after="0" w:line="29"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This lengthy and uncertain approval process, as well as the unpredictability of the clinical and nonclinical studies, may result in our failure to obtain regulatory approval to market any of our product candidates, or delayed regulatory approval, which would significantly harm our business, results of operations, and prospects.</w:t>
      </w:r>
    </w:p>
    <w:p>
      <w:pPr>
        <w:spacing w:after="0" w:line="195" w:lineRule="exact"/>
        <w:rPr>
          <w:sz w:val="20"/>
          <w:szCs w:val="20"/>
          <w:color w:val="auto"/>
        </w:rPr>
      </w:pPr>
    </w:p>
    <w:p>
      <w:pPr>
        <w:ind w:right="620"/>
        <w:spacing w:after="0" w:line="334" w:lineRule="auto"/>
        <w:rPr>
          <w:sz w:val="20"/>
          <w:szCs w:val="20"/>
          <w:color w:val="auto"/>
        </w:rPr>
      </w:pPr>
      <w:r>
        <w:rPr>
          <w:rFonts w:ascii="Arial" w:cs="Arial" w:eastAsia="Arial" w:hAnsi="Arial"/>
          <w:sz w:val="16"/>
          <w:szCs w:val="16"/>
          <w:b w:val="1"/>
          <w:bCs w:val="1"/>
          <w:i w:val="1"/>
          <w:iCs w:val="1"/>
          <w:color w:val="auto"/>
        </w:rPr>
        <w:t>We may find it difficult to enroll patients in our clinical studies given the limited number of patients who have the diseases for which our product candidates are being studied. Difficulty in enrolling patients could delay or prevent clinical studies of our product candidates.</w:t>
      </w:r>
    </w:p>
    <w:p>
      <w:pPr>
        <w:spacing w:after="0" w:line="1"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Identifying and qualifying patients to participate in clinical studies of our product candidates is critical to our success. The timing of our clinical studies depends in part on the speed at which we can recruit patients to participate in testing our product candidates, and we may experience delays in our clinical studies if we encounter difficulties in enrollment.</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36" w:right="319" w:bottom="1440" w:gutter="0" w:footer="0" w:header="0"/>
        </w:sectPr>
      </w:pPr>
    </w:p>
    <w:bookmarkStart w:id="32" w:name="page33"/>
    <w:bookmarkEnd w:id="32"/>
    <w:p>
      <w:pPr>
        <w:ind w:right="320" w:firstLine="518"/>
        <w:spacing w:after="0" w:line="277" w:lineRule="auto"/>
        <w:rPr>
          <w:sz w:val="20"/>
          <w:szCs w:val="20"/>
          <w:color w:val="auto"/>
        </w:rPr>
      </w:pPr>
      <w:r>
        <w:rPr>
          <w:rFonts w:ascii="Arial" w:cs="Arial" w:eastAsia="Arial" w:hAnsi="Arial"/>
          <w:sz w:val="18"/>
          <w:szCs w:val="18"/>
          <w:color w:val="auto"/>
        </w:rPr>
        <w:t>Each of the conditions for which we plan to evaluate our current product candidates is a rare genetic disease. Accordingly, there are limited patient pools from which to draw for clinical studies. For our current product candidates:</w:t>
      </w:r>
    </w:p>
    <w:p>
      <w:pPr>
        <w:spacing w:after="0" w:line="35" w:lineRule="exact"/>
        <w:rPr>
          <w:sz w:val="20"/>
          <w:szCs w:val="20"/>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estimate that several thousand patients in the United States suffer from XLH, for which KRN23 is being studied;</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estimate that several hundred patients in the United States suffer from TIO, for which KRN23 is being studied;</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estimate that up to approximately 200 patients in the developed world may suffer from MPS 7, for which rhGUS is being studied;</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estimate that several thousand patients in the United States suffer from LC-FAOD, for which UX007 is being studied;</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estimate that several thousand patients in the United States suffer from Glut1 DS, for which UX007 is being studied; and</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estimate that approximately 2,000 patients in the developed world suffer from GNE myopathy, for which Ace-ER is being studied.</w:t>
      </w:r>
    </w:p>
    <w:p>
      <w:pPr>
        <w:spacing w:after="0" w:line="88"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In addition to the rarity of these diseases, the eligibility criteria of our clinical studies will further limit the pool of available study participants as we will require patients to have specific characteristics that we can measure or to assure their disease is either severe enough or not too advanced to include them in a study. For example, enrolling patients in the UX007 Glut1 DS Phase 3 movement disorder study could face delays if a higher than expected number of patients that we identify for the study are on the ketogenic diet. Additionally, the process of finding and diagnosing patients may prove costly, especially since the rare diseases we are studying are commonly under diagnosed. We also may not be able to identify, recruit, and enroll a sufficient number of patients to complete our clinical studies because of the perceived risks and benefits of the product candidate under study, the proximity and availability of clinical study sites for prospective patients, and the patient referral practices of physicians. The availability and efficacy of competing therapies and clinical studies can also adversely impact enrollment. If patients are unwilling to participate in our studies for any reason, the timeline for recruiting patients, conducting studies, and obtaining regulatory approval of potential products may be delayed, the commercial prospects of our product candidates will be harmed, and our ability to generate product revenue from any of these product candidates could be delayed or prevented. In addition, any delays in completing our clinical studies will increase our costs, slow down our product candidate development and approval process, and jeopardize our ability to commence product sales and generate revenue. Any of these occurrences may harm our business, financial condition, and prospects significantly. In addition, many of the factors that cause, or lead to, a delay in the commencement or completion of clinical studies may also ultimately lead to the denial of regulatory approval of our product candidates.</w:t>
      </w:r>
    </w:p>
    <w:p>
      <w:pPr>
        <w:spacing w:after="0" w:line="188" w:lineRule="exact"/>
        <w:rPr>
          <w:sz w:val="20"/>
          <w:szCs w:val="20"/>
          <w:color w:val="auto"/>
        </w:rPr>
      </w:pPr>
    </w:p>
    <w:p>
      <w:pPr>
        <w:ind w:right="600"/>
        <w:spacing w:after="0" w:line="325"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 w:lineRule="exact"/>
        <w:rPr>
          <w:sz w:val="20"/>
          <w:szCs w:val="20"/>
          <w:color w:val="auto"/>
        </w:rPr>
      </w:pPr>
    </w:p>
    <w:p>
      <w:pPr>
        <w:ind w:right="20" w:firstLine="518"/>
        <w:spacing w:after="0" w:line="285"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halt clinical studies or further development, and could result in a more restrictive label or the delay or denial of regulatory approval by the FDA or other comparable foreign authorities. Some of our product candidates are in the early stages of development and the safety profile has not been established. For example, in completed Phase 1, four-month Phase 1/2, and long-term twelve-month Phase 1/2 studies, adult patients treated with KRN23 experienced drug-related side effects including injection site reaction, arthralgia, diarrhea, restless legs syndrome, injection site erythema, injection site pain, upper abdominal pain, headache, and decreased neutrophil count. Most of these adverse events were mild and no treatment-related serious adverse events were observed. In interim Phase 2 data in pediatric patients, the most common treatment-related adverse event by preferred term was injection site reaction. There were no deaths and there was one serious adverse event of fever and muscle pain in a patient that was considered possibly treatment-related. In a completed Phase 2 study, LC-FAOD patients treated with UX007 experienced treatment-related adverse events, the most common of which were diarrhea, abdominal/gastrointestinal pain and vomiting. There were no deaths, but there was one treatment-related serious adverse event of moderate gastroenteritis with vomiting. In a completed Phase 2 study, patients treated with Ace-ER experienced adverse events, the most common of which were gastrointestinal in nature and pain related to muscle biopsy procedures. No serious adverse events were observed. Additionally, in a completed Phase 3 study, patients treated with UX003 experienced treatment emergent adverse events, including infusion associated reactions, or IARs. Two patients experienced hypersensitivity type IARs, including a Grade 3 treatment-related anaphylactoid serious adverse event caused by an infusion rate error and mild fever and diaphoresis. There were no deaths. Enzyme replacement therapies, like UX003, have been associated with infusion-associated reactions due to developing an allergy to the product, which can cause rashes, pain, significant clinical disease, or even death. Future product candidates may also cause these or similar side effects as development proceeds. Results of our studies or investigator-sponsored trials could reveal a high and unacceptable severity and prevalence of these or other side effects. In such an event, our studies could be suspended or terminated, and the FDA or comparable foreign regulatory authorities could order us to cease further development of or deny or withdraw approval of our product candidates for any or all targeted indications.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bookmarkStart w:id="33" w:name="page34"/>
    <w:bookmarkEnd w:id="33"/>
    <w:p>
      <w:pPr>
        <w:ind w:right="100" w:firstLine="518"/>
        <w:spacing w:after="0" w:line="270" w:lineRule="auto"/>
        <w:rPr>
          <w:sz w:val="20"/>
          <w:szCs w:val="20"/>
          <w:color w:val="auto"/>
        </w:rPr>
      </w:pPr>
      <w:r>
        <w:rPr>
          <w:rFonts w:ascii="Arial" w:cs="Arial" w:eastAsia="Arial" w:hAnsi="Arial"/>
          <w:sz w:val="17"/>
          <w:szCs w:val="17"/>
          <w:color w:val="auto"/>
        </w:rPr>
        <w:t>Drug-related side effects could affect patient recruitment and the ability of enrolled patients to complete a study. Such side effects could also result in potential product liability claims. We currently carry product liability insurance in the amount of $10.0 million per incident and $10.0 million in the aggregate, and we are required to maintain product liability insurance pursuant to certain of our agreements. We believe our product liability insurance coverage is sufficient in light of our current clinical programs; however, we may not be able to maintain insurance coverage at a reasonable cost or in sufficient amounts to protect us against losses due to liability, or losses may exceed the amount of insurance that we carry. A product liability claim or series of claims brought against us could cause our stock price to decline and, if judgments exceed our insurance coverage, could adversely affect our results of operations and business. In addition, regardless of merit or eventual outcome, product liability claims may result in impairment of our business reputation, withdrawal of clinical study participants, costs due to related litigation, distraction of management’s attention from our primary business, initiation of investigations by regulators, substantial monetary awards to patients or other claimants, the inability to commercialize our product candidates, and decreased demand for our product candidates, if approved for commercial sale.</w:t>
      </w:r>
    </w:p>
    <w:p>
      <w:pPr>
        <w:spacing w:after="0" w:line="43"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Additionally, if our product candidates receive marketing approval, and we or others later identify undesirable side effects caused by such products, a number of potentially significant negative consequences could result, including but not limited to:</w:t>
      </w:r>
    </w:p>
    <w:p>
      <w:pPr>
        <w:spacing w:after="0" w:line="22" w:lineRule="exact"/>
        <w:rPr>
          <w:sz w:val="20"/>
          <w:szCs w:val="20"/>
          <w:color w:val="auto"/>
        </w:rPr>
      </w:pPr>
    </w:p>
    <w:p>
      <w:pPr>
        <w:ind w:left="900" w:hanging="379"/>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product’s label or restrict the product’s approved use;</w:t>
      </w:r>
    </w:p>
    <w:p>
      <w:pPr>
        <w:spacing w:after="0" w:line="76" w:lineRule="exact"/>
        <w:rPr>
          <w:rFonts w:ascii="Arial" w:cs="Arial" w:eastAsia="Arial" w:hAnsi="Arial"/>
          <w:sz w:val="18"/>
          <w:szCs w:val="18"/>
          <w:color w:val="auto"/>
        </w:rPr>
      </w:pPr>
    </w:p>
    <w:p>
      <w:pPr>
        <w:ind w:left="900" w:right="80" w:hanging="379"/>
        <w:spacing w:after="0" w:line="26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required to create a Risk Evaluation and Mitigation Strategy, or REMS, plan, which could include a medication guide outlining the risks of such side effects for distribution to patients, restricted distribution, a communication plan for healthcare providers, and/or other elements to assure safe use;</w:t>
      </w:r>
    </w:p>
    <w:p>
      <w:pPr>
        <w:spacing w:after="0" w:line="32" w:lineRule="exact"/>
        <w:rPr>
          <w:rFonts w:ascii="Arial" w:cs="Arial" w:eastAsia="Arial" w:hAnsi="Arial"/>
          <w:sz w:val="18"/>
          <w:szCs w:val="18"/>
          <w:color w:val="auto"/>
        </w:rPr>
      </w:pPr>
    </w:p>
    <w:p>
      <w:pPr>
        <w:ind w:left="900" w:hanging="379"/>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patients and physicians may elect not to use our products, or reimbursement authorities may elect not to reimburse for them; and</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77"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obtain regulatory approval for our product candidates, our products will remain subject to regulatory scrutiny.</w:t>
      </w:r>
    </w:p>
    <w:p>
      <w:pPr>
        <w:spacing w:after="0" w:line="90" w:lineRule="exact"/>
        <w:rPr>
          <w:sz w:val="20"/>
          <w:szCs w:val="20"/>
          <w:color w:val="auto"/>
        </w:rPr>
      </w:pPr>
    </w:p>
    <w:p>
      <w:pPr>
        <w:ind w:right="180" w:firstLine="518"/>
        <w:spacing w:after="0" w:line="311" w:lineRule="auto"/>
        <w:rPr>
          <w:sz w:val="20"/>
          <w:szCs w:val="20"/>
          <w:color w:val="auto"/>
        </w:rPr>
      </w:pPr>
      <w:r>
        <w:rPr>
          <w:rFonts w:ascii="Arial" w:cs="Arial" w:eastAsia="Arial" w:hAnsi="Arial"/>
          <w:sz w:val="16"/>
          <w:szCs w:val="16"/>
          <w:color w:val="auto"/>
        </w:rPr>
        <w:t>If our product candidates are approved, they will be subject to ongoing regulatory requirements for manufacturing, labeling, packaging, storage, distribution,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p>
    <w:p>
      <w:pPr>
        <w:spacing w:after="0" w:line="1"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Manufacturers and manufacturers’ facilities are required to comply with extensive FDA, and comparable foreign regulatory authority, requirements, including ensuring that quality control and manufacturing procedures conform to Good Manufacturing Practices (GMP) regulations. As such, we and our contract manufacturers will be subject to continual review and inspection to assess compliance with GMP and adherence to commitments made in any NDA, BLA, MAA, or other comparable application for approval in another jurisdiction. Accordingly, we and others with whom we work must continue to expend time, money, and effort in all areas of regulatory compliance, including manufacturing, production, and quality control.</w:t>
      </w:r>
    </w:p>
    <w:p>
      <w:pPr>
        <w:spacing w:after="0" w:line="10"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Any regulatory approvals that we receive for our product candidates may be subject to limitations on the approved indicated uses for which the product may be marketed or other conditions of approval, or contain requirements for potentially costly post-marketing testing, including Phase IV clinical studies, and surveillance to monitor the safety and efficacy of the product candidate. We could also be asked to conduct post-marketing clinical studies to verify the safety and efficacy of our products in general or in specific patient subsets. If original marketing approval were obtained via the accelerated approval or conditional marketing authorization pathways, we would be required to conduct a successful post-marketing clinical study to confirm clinical benefit for our products. An unsuccessful post-marketing study or failure to complete such a study could result in the withdrawal of marketing approval. We will be required to report certain adverse events and manufacturing problems, if any, to the FDA and comparable foreign regulatory authorities. Any new legislation addressing drug safety issues could result in delays in product development or commercialization, or increased costs to assure compliance. We will have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promote our products only for indications or uses for which they have approval. The holder of an approved NDA, BLA, MAA, or other comparable application must submit new or supplemental applications and obtain approval for certain changes to the approved product, product labeling, or manufacturing process.</w:t>
      </w:r>
    </w:p>
    <w:p>
      <w:pPr>
        <w:spacing w:after="0" w:line="34" w:lineRule="exact"/>
        <w:rPr>
          <w:sz w:val="20"/>
          <w:szCs w:val="20"/>
          <w:color w:val="auto"/>
        </w:rPr>
      </w:pPr>
    </w:p>
    <w:p>
      <w:pPr>
        <w:ind w:right="820" w:firstLine="518"/>
        <w:spacing w:after="0" w:line="277" w:lineRule="auto"/>
        <w:rPr>
          <w:sz w:val="20"/>
          <w:szCs w:val="20"/>
          <w:color w:val="auto"/>
        </w:rPr>
      </w:pPr>
      <w:r>
        <w:rPr>
          <w:rFonts w:ascii="Arial" w:cs="Arial" w:eastAsia="Arial" w:hAnsi="Arial"/>
          <w:sz w:val="18"/>
          <w:szCs w:val="18"/>
          <w:color w:val="auto"/>
        </w:rPr>
        <w:t>If we fail to comply with applicable regulatory requirements, or there are safety or efficacy problems with a product, a regulatory agency or enforcement authority may, among other things:</w:t>
      </w:r>
    </w:p>
    <w:p>
      <w:pPr>
        <w:spacing w:after="0" w:line="22" w:lineRule="exact"/>
        <w:rPr>
          <w:sz w:val="20"/>
          <w:szCs w:val="20"/>
          <w:color w:val="auto"/>
        </w:rPr>
      </w:pPr>
    </w:p>
    <w:p>
      <w:pPr>
        <w:ind w:left="900" w:hanging="37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 warning or notice of violation letters;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bookmarkStart w:id="34" w:name="page35"/>
    <w:bookmarkEnd w:id="34"/>
    <w:p>
      <w:pPr>
        <w:ind w:left="900" w:hanging="379"/>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suspend any of our ongoing clinical studies;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 or</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entry into a consent decree.</w:t>
      </w:r>
    </w:p>
    <w:p>
      <w:pPr>
        <w:spacing w:after="0" w:line="77"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81" w:lineRule="exact"/>
        <w:rPr>
          <w:sz w:val="20"/>
          <w:szCs w:val="20"/>
          <w:color w:val="auto"/>
        </w:rPr>
      </w:pPr>
    </w:p>
    <w:p>
      <w:pPr>
        <w:ind w:right="100"/>
        <w:spacing w:after="0" w:line="331" w:lineRule="auto"/>
        <w:rPr>
          <w:sz w:val="20"/>
          <w:szCs w:val="20"/>
          <w:color w:val="auto"/>
        </w:rPr>
      </w:pPr>
      <w:r>
        <w:rPr>
          <w:rFonts w:ascii="Arial" w:cs="Arial" w:eastAsia="Arial" w:hAnsi="Arial"/>
          <w:sz w:val="15"/>
          <w:szCs w:val="15"/>
          <w:b w:val="1"/>
          <w:bCs w:val="1"/>
          <w:i w:val="1"/>
          <w:iCs w:val="1"/>
          <w:color w:val="auto"/>
        </w:rPr>
        <w:t>We rely on third parties to conduct our nonclinical and clinical studies and perform other tasks for us. If these third parties do not successfully carry out their contractual duties, meet expected deadlines, or comply with regulatory requirements, we may be exposed to sub-optimal quality and reputational harm, we may not be able to obtain regulatory approval for or commercialize our product candidates, and our business could be substantially harmed.</w:t>
      </w:r>
    </w:p>
    <w:p>
      <w:pPr>
        <w:spacing w:after="0" w:line="2"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We have relied upon and plan to continue to rely upon third parties, including CROs and collaborative partners, to analyze, collect, monitor, and manage data for our ongoing nonclinical and clinical programs. We rely on third parties for execution of our nonclinical and clinical studies, and for estimates regarding costs and efforts completed, and we control only certain aspects of their activities. For example, we will rely on our partner Arcturus for the design and optimization of initial product candidates under our messenger RNA collaboration. Nevertheless, we are responsible for ensuring that each of our studies is conducted in accordance with the applicable protocol, legal, regulatory, and scientific standards, and our reliance on the CROs and other third parties does not relieve us of our regulatory responsibilities. We and our CROs and other vendors and partners are required to comply with GMP, GCP, and GLP, which are regulations and guidelines enforced by the FDA, the Competent Authorities of the Member States of the European Economic Area, and comparable foreign regulatory authorities for all of our product candidates in development. Regulatory authorities enforce these regulations through periodic inspections of study sponsors, principal investigators, study sites, and other contractors. If we or any of our CROs or other vendors and partners, including the sites at which clinical studies are conducted, fail to comply with applicable regulations, the data generated in our nonclinical and clinical studies may be deemed unreliable and the FDA, EMA, or comparable foreign regulatory authorities may deny approval and/or require us to perform additional nonclinical and clinical studies before approving our marketing applications, which would delay the approval process. We cannot make assurances that upon inspection by a given regulatory authority, such regulatory authority will determine that any of our clinical studies comply with GCP regulations or that nonclinical studies comply with GLP regulations. In addition, our clinical studies must be conducted with products produced under GMP regulations. If the regulatory authorities determine that we have failed to comply with GLP, GMP, or GCP regulations, they may deny approval of our product candidates and/or we may be required to repeat clinical or nonclinical studies, which would delay the regulatory approval process.</w:t>
      </w:r>
    </w:p>
    <w:p>
      <w:pPr>
        <w:spacing w:after="0" w:line="43"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Our CROs and other vendors and partners are not our employees, and except for remedies available to us under our agreements with such third parties, we cannot control whether or not they devote sufficient time and resources to our on-going nonclinical and clinical programs. If our vendors and partners do not successfully carry out their contractual duties or obligations or meet expected deadlines, if they need to be replaced, or if the quality or accuracy of the data they obtain is compromised due to the failure to adhere to our protocols, regulatory requirements, or for other reasons, our clinical studies may be extended, delayed, or terminated, and we may not be able to obtain regulatory approval for or successfully commercialize our product candidates. CROs and other vendors and partners may also generate higher costs than anticipated as a result of changes in scope of work or otherwise. As a result, our results of operations and the commercial prospects for our product candidates would be harmed, our costs could increase, and our ability to generate revenue could be delayed.</w:t>
      </w:r>
    </w:p>
    <w:p>
      <w:pPr>
        <w:spacing w:after="0" w:line="1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If any of our relationships with these third parties terminate, we may not be able to enter into arrangements with alternative vendors or do so on commercially reasonable terms. Switching or adding additional vendors involves additional cost and requires management time and focus. In addition, there is a natural transition period when a new vendor commences work. As a result, delays may occur, which can materially impact our ability to meet our desired clinical development timelines. Though we carefully manage our relationships with our vendors and partners, there can be no assurance that we will not encounter similar challenges or delays in the future or that these delays or challenges will not have a material adverse impact on our business, financial condition, and business prospects.</w:t>
      </w:r>
    </w:p>
    <w:p>
      <w:pPr>
        <w:spacing w:after="0" w:line="45" w:lineRule="exact"/>
        <w:rPr>
          <w:sz w:val="20"/>
          <w:szCs w:val="20"/>
          <w:color w:val="auto"/>
        </w:rPr>
      </w:pPr>
    </w:p>
    <w:p>
      <w:pPr>
        <w:jc w:val="both"/>
        <w:ind w:right="560" w:firstLine="518"/>
        <w:spacing w:after="0" w:line="286" w:lineRule="auto"/>
        <w:rPr>
          <w:sz w:val="20"/>
          <w:szCs w:val="20"/>
          <w:color w:val="auto"/>
        </w:rPr>
      </w:pPr>
      <w:r>
        <w:rPr>
          <w:rFonts w:ascii="Arial" w:cs="Arial" w:eastAsia="Arial" w:hAnsi="Arial"/>
          <w:sz w:val="17"/>
          <w:szCs w:val="17"/>
          <w:color w:val="auto"/>
        </w:rPr>
        <w:t>We also rely on third parties in other ways, including efforts to support patient identification, to assist our finance and legal departments, and to provide other resources for our business. Use of these third parties could expose us to sub-optimal quality, missed deadlines, and non-compliance with applicable laws, all of which could result in reputational harm to us and negatively affect our business.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bookmarkStart w:id="35" w:name="page36"/>
    <w:bookmarkEnd w:id="35"/>
    <w:p>
      <w:pPr>
        <w:ind w:right="180"/>
        <w:spacing w:after="0" w:line="264" w:lineRule="auto"/>
        <w:rPr>
          <w:sz w:val="20"/>
          <w:szCs w:val="20"/>
          <w:color w:val="auto"/>
        </w:rPr>
      </w:pPr>
      <w:r>
        <w:rPr>
          <w:rFonts w:ascii="Arial" w:cs="Arial" w:eastAsia="Arial" w:hAnsi="Arial"/>
          <w:sz w:val="18"/>
          <w:szCs w:val="18"/>
          <w:b w:val="1"/>
          <w:bCs w:val="1"/>
          <w:i w:val="1"/>
          <w:iCs w:val="1"/>
          <w:color w:val="auto"/>
        </w:rPr>
        <w:t>We are dependent on KHK for the clinical and commercial supply of KRN23 for all major markets and for the development and commercialization of KRN23 in certain major markets, and KHK’s failure to provide an adequate supply of KRN23 or to commercialize KRN23 in those markets could result in a material adverse effect on our business and operating results.</w:t>
      </w:r>
    </w:p>
    <w:p>
      <w:pPr>
        <w:spacing w:after="0" w:line="46"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Under our agreement with KHK, KHK has the sole right to commercialize KRN23 in Europe and, at a specified time, in the United States and Canada, subject to a limited promotion right we retained. Our development partnership with KHK may not be successful, and we may not realize the expected benefits from such partnership, due to a number of important factors, including but not limited to the following:</w:t>
      </w:r>
    </w:p>
    <w:p>
      <w:pPr>
        <w:spacing w:after="0" w:line="33" w:lineRule="exact"/>
        <w:rPr>
          <w:sz w:val="20"/>
          <w:szCs w:val="20"/>
          <w:color w:val="auto"/>
        </w:rPr>
      </w:pPr>
    </w:p>
    <w:p>
      <w:pPr>
        <w:ind w:left="900" w:hanging="379"/>
        <w:spacing w:after="0" w:line="25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KHK has no obligation under our agreement to use diligent efforts to commercialize KRN23 in Europe. The timing and amount of any royalty payments we may receive under our agreement will depend on, among other things, the efforts, allocation of resources, and successful commercialization of KRN23 by KHK in Europe. Additionally, if KHK were to decide not to commercialize KRN23 in Europe, and we nevertheless wished to commercialize KRN23 in Europe, we would need to renegotiate with KHK certain terms of our agreement, which we may be unable to do on reasonable terms in a timely manner, or at all;</w:t>
      </w:r>
    </w:p>
    <w:p>
      <w:pPr>
        <w:spacing w:after="0" w:line="39" w:lineRule="exact"/>
        <w:rPr>
          <w:rFonts w:ascii="Arial" w:cs="Arial" w:eastAsia="Arial" w:hAnsi="Arial"/>
          <w:sz w:val="18"/>
          <w:szCs w:val="18"/>
          <w:color w:val="auto"/>
        </w:rPr>
      </w:pPr>
    </w:p>
    <w:p>
      <w:pPr>
        <w:ind w:left="900" w:right="120" w:hanging="379"/>
        <w:spacing w:after="0" w:line="325"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timing and amount of any royalty payments we may receive under our agreement with KHK will depend on, among other things, the efforts, allocation of resources, and successful commercialization of KRN23 by KHK in the United States and Canada under our agreement;</w:t>
      </w:r>
    </w:p>
    <w:p>
      <w:pPr>
        <w:spacing w:after="0" w:line="1" w:lineRule="exact"/>
        <w:rPr>
          <w:rFonts w:ascii="Arial" w:cs="Arial" w:eastAsia="Arial" w:hAnsi="Arial"/>
          <w:sz w:val="16"/>
          <w:szCs w:val="16"/>
          <w:color w:val="auto"/>
        </w:rPr>
      </w:pPr>
    </w:p>
    <w:p>
      <w:pPr>
        <w:ind w:left="900" w:hanging="379"/>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KHK may change the focus of its commercialization efforts or pursue higher-priority programs;</w:t>
      </w:r>
    </w:p>
    <w:p>
      <w:pPr>
        <w:spacing w:after="0" w:line="76" w:lineRule="exact"/>
        <w:rPr>
          <w:rFonts w:ascii="Arial" w:cs="Arial" w:eastAsia="Arial" w:hAnsi="Arial"/>
          <w:sz w:val="18"/>
          <w:szCs w:val="18"/>
          <w:color w:val="auto"/>
        </w:rPr>
      </w:pPr>
    </w:p>
    <w:p>
      <w:pPr>
        <w:ind w:left="900" w:right="200" w:hanging="379"/>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KHK may fail to manufacture or supply sufficient drug product of KRN23 in compliance with applicable laws and regulations or otherwise for our development and clinical use, which could result in program delays;</w:t>
      </w:r>
    </w:p>
    <w:p>
      <w:pPr>
        <w:spacing w:after="0" w:line="21" w:lineRule="exact"/>
        <w:rPr>
          <w:rFonts w:ascii="Arial" w:cs="Arial" w:eastAsia="Arial" w:hAnsi="Arial"/>
          <w:sz w:val="18"/>
          <w:szCs w:val="18"/>
          <w:color w:val="auto"/>
        </w:rPr>
      </w:pPr>
    </w:p>
    <w:p>
      <w:pPr>
        <w:ind w:left="900" w:right="200" w:hanging="379"/>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KHK may fail to manufacture or supply sufficient drug product of KRN23 in compliance with applicable laws and regulations or otherwise for our commercial use, if approved, which could result in lost revenue;</w:t>
      </w:r>
    </w:p>
    <w:p>
      <w:pPr>
        <w:spacing w:after="0" w:line="21" w:lineRule="exact"/>
        <w:rPr>
          <w:rFonts w:ascii="Arial" w:cs="Arial" w:eastAsia="Arial" w:hAnsi="Arial"/>
          <w:sz w:val="18"/>
          <w:szCs w:val="18"/>
          <w:color w:val="auto"/>
        </w:rPr>
      </w:pPr>
    </w:p>
    <w:p>
      <w:pPr>
        <w:ind w:left="900" w:right="420" w:hanging="379"/>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KHK may elect to develop and commercialize KRN23 indications with a larger market than XLH and at a lower price, thereby reducing the profit margin on sales of KRN23 for any orphan indications, including XLH;</w:t>
      </w:r>
    </w:p>
    <w:p>
      <w:pPr>
        <w:spacing w:after="0" w:line="21" w:lineRule="exact"/>
        <w:rPr>
          <w:rFonts w:ascii="Arial" w:cs="Arial" w:eastAsia="Arial" w:hAnsi="Arial"/>
          <w:sz w:val="18"/>
          <w:szCs w:val="18"/>
          <w:color w:val="auto"/>
        </w:rPr>
      </w:pPr>
    </w:p>
    <w:p>
      <w:pPr>
        <w:ind w:left="900" w:right="360" w:hanging="379"/>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KHK were to breach or terminate the agreement with us, we would no longer have any rights to develop or commercialize KRN23 or such rights would be limited to non-terminated countries;</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KHK may terminate its agreement with us, adversely affecting our potential revenue from licensed products; and</w:t>
      </w:r>
    </w:p>
    <w:p>
      <w:pPr>
        <w:spacing w:after="0" w:line="76" w:lineRule="exact"/>
        <w:rPr>
          <w:rFonts w:ascii="Arial" w:cs="Arial" w:eastAsia="Arial" w:hAnsi="Arial"/>
          <w:sz w:val="18"/>
          <w:szCs w:val="18"/>
          <w:color w:val="auto"/>
        </w:rPr>
      </w:pPr>
    </w:p>
    <w:p>
      <w:pPr>
        <w:ind w:left="900" w:right="560" w:hanging="379"/>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and amounts of expense reimbursement that we may receive are uncertain, and the total expenses for which we are obligated to reimburse KHK may be greater than anticipated.</w:t>
      </w:r>
    </w:p>
    <w:p>
      <w:pPr>
        <w:spacing w:after="0" w:line="18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rely completely on third parties to manufacture our product candidates. Our business could be harmed if those third parties fail to provide us with sufficient quantities of drug product, or fail to do so at acceptable quality levels or prices.</w:t>
      </w:r>
    </w:p>
    <w:p>
      <w:pPr>
        <w:spacing w:after="0" w:line="22" w:lineRule="exact"/>
        <w:rPr>
          <w:sz w:val="20"/>
          <w:szCs w:val="20"/>
          <w:color w:val="auto"/>
        </w:rPr>
      </w:pPr>
    </w:p>
    <w:p>
      <w:pPr>
        <w:ind w:right="100" w:firstLine="518"/>
        <w:spacing w:after="0" w:line="287" w:lineRule="auto"/>
        <w:rPr>
          <w:sz w:val="20"/>
          <w:szCs w:val="20"/>
          <w:color w:val="auto"/>
        </w:rPr>
      </w:pPr>
      <w:r>
        <w:rPr>
          <w:rFonts w:ascii="Arial" w:cs="Arial" w:eastAsia="Arial" w:hAnsi="Arial"/>
          <w:sz w:val="16"/>
          <w:szCs w:val="16"/>
          <w:color w:val="auto"/>
        </w:rPr>
        <w:t>We do not currently have, nor do we plan to acquire, the infrastructure or capability internally to manufacture our product candidates, and we lack the resources and the capability to manufacture any of our product candidates on a clinical or commercial scale. We rely on our manufacturers to purchase from third-party suppliers the materials necessary to produce our product candidates for our clinical studies. There are a limited number of suppliers for raw materials that we use to manufacture our drugs, placebos, or active controls, and there may be a need to identify alternate suppliers to prevent a possible disruption of the manufacture of the materials necessary to produce our product candidates for our clinical studies, and, if approved, ultimately for commercial sale. We do not have any control over the process or timing of the acquisition of these raw materials by our manufacturers. Although we generally do not begin a clinical study unless we believe we have a sufficient supply of a product candidate to complete such study, any significant delay or discontinuity in the supply of a product candidate, or the raw material components thereof, for an ongoing clinical study due to, among other things, the failure of a manufacturer to provide a drug substance or drug product of sufficient quantity or quality, or the need to replace a third-party manufacturer could considerably delay completion of our clinical studies, product testing, and potential regulatory approval of our product candidates, and could also impair named patient sale supply of our product candidates, which could harm our business and results of operations.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36" w:name="page37"/>
    <w:bookmarkEnd w:id="36"/>
    <w:p>
      <w:pPr>
        <w:spacing w:after="0"/>
        <w:rPr>
          <w:sz w:val="20"/>
          <w:szCs w:val="20"/>
          <w:color w:val="auto"/>
        </w:rPr>
      </w:pPr>
      <w:r>
        <w:rPr>
          <w:rFonts w:ascii="Arial" w:cs="Arial" w:eastAsia="Arial" w:hAnsi="Arial"/>
          <w:sz w:val="15"/>
          <w:szCs w:val="15"/>
          <w:b w:val="1"/>
          <w:bCs w:val="1"/>
          <w:i w:val="1"/>
          <w:iCs w:val="1"/>
          <w:color w:val="auto"/>
        </w:rPr>
        <w:t>We are subject to a multitude of manufacturing risks, any of which could substantially increase our costs and limit the supply of our product candidates.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process of manufacturing our product candidates is complex, highly regulated, and subject to several risks, including but not limited to those listed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62" w:lineRule="exact"/>
        <w:rPr>
          <w:sz w:val="20"/>
          <w:szCs w:val="20"/>
          <w:color w:val="auto"/>
        </w:rPr>
      </w:pPr>
    </w:p>
    <w:p>
      <w:pPr>
        <w:ind w:left="900" w:hanging="379"/>
        <w:spacing w:after="0" w:line="276"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process of manufacturing our product candidates is extremely susceptible to product loss due to contamination, equipment failure or improper installation or operation of equipment, or vendor or operator error. Even minor deviations from normal manufacturing processes for any of our product candidates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23" w:lineRule="exact"/>
        <w:rPr>
          <w:rFonts w:ascii="Arial" w:cs="Arial" w:eastAsia="Arial" w:hAnsi="Arial"/>
          <w:sz w:val="17"/>
          <w:szCs w:val="17"/>
          <w:color w:val="auto"/>
        </w:rPr>
      </w:pPr>
    </w:p>
    <w:p>
      <w:pPr>
        <w:ind w:left="900" w:right="240" w:hanging="379"/>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manufacturing facilities in which our product candidates are made could be adversely affected by equipment failures, labor shortages, raw material shortages, natural disasters, power failures, and numerous other factors.</w:t>
      </w:r>
    </w:p>
    <w:p>
      <w:pPr>
        <w:spacing w:after="0" w:line="22"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Any adverse developments affecting manufacturing operations for our product candidates may result in shipment delays, inventory shortages, lot failures, withdrawals or recalls, or other interruptions in the supply of our product candidates. Due to their stage of development, small volume requirements, and infrequency of batch production runs, we carry limited amounts of safety stock for our product candidates. We may also have to take inventory write-offs and incur other charges and expenses for product candidates that fail to meet specifications, undertake costly remediation efforts, or seek more costly manufacturing alternatives.</w:t>
      </w:r>
    </w:p>
    <w:p>
      <w:pPr>
        <w:spacing w:after="0" w:line="202" w:lineRule="exact"/>
        <w:rPr>
          <w:sz w:val="20"/>
          <w:szCs w:val="20"/>
          <w:color w:val="auto"/>
        </w:rPr>
      </w:pPr>
    </w:p>
    <w:p>
      <w:pPr>
        <w:ind w:right="40"/>
        <w:spacing w:after="0" w:line="334" w:lineRule="auto"/>
        <w:rPr>
          <w:sz w:val="20"/>
          <w:szCs w:val="20"/>
          <w:color w:val="auto"/>
        </w:rPr>
      </w:pPr>
      <w:r>
        <w:rPr>
          <w:rFonts w:ascii="Arial" w:cs="Arial" w:eastAsia="Arial" w:hAnsi="Arial"/>
          <w:sz w:val="16"/>
          <w:szCs w:val="16"/>
          <w:b w:val="1"/>
          <w:bCs w:val="1"/>
          <w:i w:val="1"/>
          <w:iCs w:val="1"/>
          <w:color w:val="auto"/>
        </w:rPr>
        <w:t>The drug substance and drug product for most of our product candidates are currently acquired from single-source suppliers. The loss of these suppliers, or their failure to supply us with the necessary drug substance or drug product, could materially and adversely affect our business.</w:t>
      </w:r>
    </w:p>
    <w:p>
      <w:pPr>
        <w:spacing w:after="0" w:line="1"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We acquire most of the drug substances and drug products for our product candidates from single sources. The drug substance and drug product for KRN23 are made by KHK pursuant to our license and collaboration agreement with KHK. The drug substance and drug product for rhGUS are manufactured by Rentschler Biotechnologie GmbH under a development and clinical supply agreement and accompanying purchase orders. The pharmaceutical-grade drug substance for UX007 is manufactured by IOI Oleo GmbH, or IOI Oleo, pursuant to our supply agreement with IOI Oleo, and the drug product for UX007 is prepared by Haupt Pharma AG and CPM pursuant to purchase orders. The drug substance for Ace-ER is manufactured by Sanyo Fine Co., Ltd. under our license agreement and accompanying purchase orders with Nobelpharma Co., Ltd. and under our clinical supply agreement with Evonik Corporation, and the drug product for Ace-ER is manufactured by Alcami pursuant to our license agreement and accompanying purchase orders with Alcami. We have not currently secured any other suppliers for the drug substance or drug product of our product candidates and, although we believe that there are alternate sources of supply that could satisfy our clinical and commercial requirements, we cannot provide assurance that identifying alternate sources and establishing relationships with such sources would not result in significant delay in the development of our product candidates. Additionally, we may not be able to enter into supply arrangements with alternative suppliers on commercially reasonable terms or at all. A delay in the development of our product candidates or having to enter into a new agreement with a different third-party on less favorable terms than we have with our current suppliers could have a material adverse impact upon on our business.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37" w:name="page38"/>
    <w:bookmarkEnd w:id="37"/>
    <w:p>
      <w:pPr>
        <w:ind w:right="300"/>
        <w:spacing w:after="0" w:line="334" w:lineRule="auto"/>
        <w:rPr>
          <w:sz w:val="20"/>
          <w:szCs w:val="20"/>
          <w:color w:val="auto"/>
        </w:rPr>
      </w:pPr>
      <w:r>
        <w:rPr>
          <w:rFonts w:ascii="Arial" w:cs="Arial" w:eastAsia="Arial" w:hAnsi="Arial"/>
          <w:sz w:val="16"/>
          <w:szCs w:val="16"/>
          <w:b w:val="1"/>
          <w:bCs w:val="1"/>
          <w:i w:val="1"/>
          <w:iCs w:val="1"/>
          <w:color w:val="auto"/>
        </w:rPr>
        <w:t>We and our collaborators and contract manufacturers are subject to significant regulation with respect to manufacturing our product candidates. The manufacturing facilities on which we rely may not continue to meet regulatory requirements or may not be able to meet supply demands.</w:t>
      </w:r>
    </w:p>
    <w:p>
      <w:pPr>
        <w:spacing w:after="0" w:line="1"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All entities involved in the preparation of therapeutics for clinical studies or commercial sale, including our existing contract manufacturers and collaboration partners for our product candidates, are subject to extensive regulation. Components of a finished therapeutic product approved for commercial sale or used in clinical studies must be manufactured in accordance with 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our collaborators, or our contract manufacturers must supply all necessary documentation in support of an NDA, BLA, MAA, or other application for regulatory approval, on a timely basis and must adhere to GLP, GMP, and similar regulations enforced by the FDA and other regulatory agencies through their facilities inspection programs. Some of our contract manufacturers have never produced a commercially approved pharmaceutical product and therefore have not obtained the requisite regulatory authority approvals to do so. The facilities and quality systems of some or all of our collaborators and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Although we oversee the contract manufacturers, we cannot control the manufacturing process of, and are substantially dependent on, our contract manufacturing partners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w:t>
      </w:r>
    </w:p>
    <w:p>
      <w:pPr>
        <w:spacing w:after="0" w:line="29"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The regulatory authorities also may, at any time following approval of a product for sale, audit the manufacturing facilities of our collaborators and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third-party to implement, and that may include the temporary or permanent suspension of a clinical study or commercial sales or the temporary or permanent closure of a facility. Any such remedial measures imposed upon us or third parties with whom we contract could materially harm our business.</w:t>
      </w:r>
    </w:p>
    <w:p>
      <w:pPr>
        <w:spacing w:after="0" w:line="45"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If we, our collaborators, or any of our third-party manufacturers fail to maintain regulatory compliance, the FDA or other applicable regulatory authority can impose regulatory sanctions including, among other things, refusal to approve a pending application for a new drug product or biologic product, withdrawal of an approval, or suspension of production. As a result, our business, financial condition, and results of operations may be materially harmed.</w:t>
      </w:r>
    </w:p>
    <w:p>
      <w:pPr>
        <w:spacing w:after="0" w:line="12" w:lineRule="exact"/>
        <w:rPr>
          <w:sz w:val="20"/>
          <w:szCs w:val="20"/>
          <w:color w:val="auto"/>
        </w:rPr>
      </w:pPr>
    </w:p>
    <w:p>
      <w:pPr>
        <w:jc w:val="both"/>
        <w:ind w:right="360" w:firstLine="518"/>
        <w:spacing w:after="0" w:line="259" w:lineRule="auto"/>
        <w:rPr>
          <w:sz w:val="20"/>
          <w:szCs w:val="20"/>
          <w:color w:val="auto"/>
        </w:rPr>
      </w:pPr>
      <w:r>
        <w:rPr>
          <w:rFonts w:ascii="Arial" w:cs="Arial" w:eastAsia="Arial" w:hAnsi="Arial"/>
          <w:sz w:val="18"/>
          <w:szCs w:val="18"/>
          <w:color w:val="auto"/>
        </w:rPr>
        <w:t>Additionally, if supply from one approved manufacturer is interrupted, an alternative manufacturer would need to be qualified through an NDA or BLA supplement or MAA variation, or equivalent foreign regulatory filing,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38"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spacing w:after="0" w:line="160"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The actions of distributors could affect our ability to sell or market products profitably. Fluctuations in buying or distribution patterns by such distributors could adversely affect our revenues, financial condition or results of operations</w:t>
      </w:r>
    </w:p>
    <w:p>
      <w:pPr>
        <w:spacing w:after="0" w:line="35"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intend to rely on commercial distributors for a considerable portion of our product sales and we expect such sales to be concentrated within a small number of distributors. The financial failure of any of these distributors could adversely affect our revenues, financial condition or results of operations. Our revenues, financial condition or results of operations may also be affected by fluctuations in distributor buying or distribution patterns. These fluctuations may result from seasonality, pricing, wholesaler inventory objectives, or other factors.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38" w:name="page39"/>
    <w:bookmarkEnd w:id="38"/>
    <w:p>
      <w:pPr>
        <w:ind w:right="20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35"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Because we rely on third parties in connection with the development and manufacture of our product candidates and will likely rely on third parties in connection with the commercialization of our approved products, we must, at times, share trade secrets with them. We seek to protect our proprietary technology in part by entering into confidentiality agreements and, if applicable, material transfer agreements, collaborative research agreements, consulting agreements, letters of engagement,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8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b w:val="1"/>
          <w:bCs w:val="1"/>
          <w:i w:val="1"/>
          <w:iCs w:val="1"/>
          <w:color w:val="auto"/>
        </w:rPr>
        <w:t>If the market opportunities for our product candidates are smaller than we believe they are, our revenue may be adversely affected, and our business may suffer. Because the target patient populations of our product candidates are small, and the addressable patient population potentially even smaller, we must be able to successfully identify patients and acquire a significant market share to achieve profitability and growth.</w:t>
      </w:r>
    </w:p>
    <w:p>
      <w:pPr>
        <w:spacing w:after="0" w:line="12"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We focus our research and product development on treatments for rare and ultra-rare genetic diseases. Given the small number of patients who have the diseases that we are targeting, it is critical to our ability to grow and become profitable that we continue to successfully identify patients with these rare and ultra-rare genetic diseases. Some of our current clinical programs may be most appropriate for patients with more severe forms of their disease. For instance, our Phase 2 study of UX007 in LC-FAOD enrolled patients with more severe disease. In addition, while adults make up the majority of the XLH patients, they often have less severe disease that may reduce the penetration of KRN23 in the adult population relative to the pediatric population. Given the overall rarity of the diseases we target, it is difficult to project the prevalence of the more severe forms, or the other subsets of patients that may be most suitable to address with our product candidates, which may further limit the addressable patient population to a small subset.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the scientific literature, surveys of clinics, patient foundations, or market research, and may prove to be incorrect. Further,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access, which would adversely affect our results of operations and our business. Further, even if we obtain significant market share for our product candidates, because the potential target populations are very small we may never become or remain profitable nor generate sufficient revenue growth to sustain our business.</w:t>
      </w:r>
    </w:p>
    <w:p>
      <w:pPr>
        <w:spacing w:after="0" w:line="194"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b w:val="1"/>
          <w:bCs w:val="1"/>
          <w:i w:val="1"/>
          <w:iCs w:val="1"/>
          <w:color w:val="auto"/>
        </w:rPr>
        <w:t>We intend to rely on third-party manufacturers to produce our product candidates. Additionally, these manufacturers do not have experience producing our product candidates at commercial levels and may not achieve the necessary regulatory approvals or produce our product candidates at the cost, quality, quantities, locations, and timing needed to support profitable commercialization.</w:t>
      </w:r>
    </w:p>
    <w:p>
      <w:pPr>
        <w:spacing w:after="0" w:line="17" w:lineRule="exact"/>
        <w:rPr>
          <w:sz w:val="20"/>
          <w:szCs w:val="20"/>
          <w:color w:val="auto"/>
        </w:rPr>
      </w:pPr>
    </w:p>
    <w:p>
      <w:pPr>
        <w:jc w:val="both"/>
        <w:ind w:right="340" w:firstLine="518"/>
        <w:spacing w:after="0" w:line="286" w:lineRule="auto"/>
        <w:rPr>
          <w:sz w:val="20"/>
          <w:szCs w:val="20"/>
          <w:color w:val="auto"/>
        </w:rPr>
      </w:pPr>
      <w:r>
        <w:rPr>
          <w:rFonts w:ascii="Arial" w:cs="Arial" w:eastAsia="Arial" w:hAnsi="Arial"/>
          <w:sz w:val="17"/>
          <w:szCs w:val="17"/>
          <w:color w:val="auto"/>
        </w:rPr>
        <w:t>We have not yet secured manufacturing capabilities for commercial quantities of our product candidates. Although we intend to rely on third-party manufacturers for commercialization, we have only entered into agreements with such manufacturers to support our clinical studies. We may be unable to negotiate binding agreements with the manufacturers to support our commercialization activities on commercially reasonable terms.</w:t>
      </w:r>
    </w:p>
    <w:p>
      <w:pPr>
        <w:spacing w:after="0" w:line="30"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Manufacturers may not have the experience or ability to produce our product candidates at commercial levels. We may run into technical or scientific issues related to manufacturing or development that we may be unable to resolve in a timely manner or with available funds. We also have not completed all of the characterization and validation activities necessary for commercialization and regulatory approvals. If our manufacturing partners are not able to conduct all such necessary activities in accordance with applicable regulations, our commercialization efforts will be harmed.</w:t>
      </w:r>
    </w:p>
    <w:p>
      <w:pPr>
        <w:spacing w:after="0" w:line="23" w:lineRule="exact"/>
        <w:rPr>
          <w:sz w:val="20"/>
          <w:szCs w:val="20"/>
          <w:color w:val="auto"/>
        </w:rPr>
      </w:pPr>
    </w:p>
    <w:p>
      <w:pPr>
        <w:jc w:val="both"/>
        <w:ind w:right="220" w:firstLine="518"/>
        <w:spacing w:after="0" w:line="312" w:lineRule="auto"/>
        <w:rPr>
          <w:sz w:val="20"/>
          <w:szCs w:val="20"/>
          <w:color w:val="auto"/>
        </w:rPr>
      </w:pPr>
      <w:r>
        <w:rPr>
          <w:rFonts w:ascii="Arial" w:cs="Arial" w:eastAsia="Arial" w:hAnsi="Arial"/>
          <w:sz w:val="16"/>
          <w:szCs w:val="16"/>
          <w:color w:val="auto"/>
        </w:rPr>
        <w:t>Even if our third-party product manufacturers develop an acceptable manufacturing process, if such third-party manufacturers are unable to produce the necessary quantities of our product candidates, are unable to comply with GMP or other pertinent regulatory requirements, or are unable to produce our product candidates within our planned timeframe and cost parameters, the development and sales of our products, if approved, may be materially harmed.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39" w:name="page40"/>
    <w:bookmarkEnd w:id="39"/>
    <w:p>
      <w:pPr>
        <w:ind w:right="40" w:firstLine="518"/>
        <w:spacing w:after="0" w:line="257" w:lineRule="auto"/>
        <w:rPr>
          <w:sz w:val="20"/>
          <w:szCs w:val="20"/>
          <w:color w:val="auto"/>
        </w:rPr>
      </w:pPr>
      <w:r>
        <w:rPr>
          <w:rFonts w:ascii="Arial" w:cs="Arial" w:eastAsia="Arial" w:hAnsi="Arial"/>
          <w:sz w:val="18"/>
          <w:szCs w:val="18"/>
          <w:color w:val="auto"/>
        </w:rPr>
        <w:t>Additionally, the cost to us for the supply of our product candidates manufactured by such third parties may be high and could limit our profitability, even if our third-party product manufacturers develop acceptable manufacturing processes that provide the necessary quantities of our product candidates in a compliant and timely manner. Furthermore, KHK is our sole supplier of commercial quantities of KRN23. The supply price to us for commercial sales of KRN23, which will be determined on a fixed double-digit percentage of net sales, will be higher than the typical cost of goods sold by companies focused on rare diseases.</w:t>
      </w:r>
    </w:p>
    <w:p>
      <w:pPr>
        <w:spacing w:after="0" w:line="215"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b w:val="1"/>
          <w:bCs w:val="1"/>
          <w:i w:val="1"/>
          <w:iCs w:val="1"/>
          <w:color w:val="auto"/>
        </w:rPr>
        <w:t>We face intense competition and rapid technological change and the possibility that our competitors may develop therapies that are similar, more advanced, or more effective than ours, which may adversely affect our financial condition and our ability to successfully commercialize our product candidates.</w:t>
      </w:r>
    </w:p>
    <w:p>
      <w:pPr>
        <w:spacing w:after="0" w:line="33" w:lineRule="exact"/>
        <w:rPr>
          <w:sz w:val="20"/>
          <w:szCs w:val="20"/>
          <w:color w:val="auto"/>
        </w:rPr>
      </w:pPr>
    </w:p>
    <w:p>
      <w:pPr>
        <w:ind w:right="60" w:firstLine="518"/>
        <w:spacing w:after="0" w:line="286" w:lineRule="auto"/>
        <w:rPr>
          <w:sz w:val="20"/>
          <w:szCs w:val="20"/>
          <w:color w:val="auto"/>
        </w:rPr>
      </w:pPr>
      <w:r>
        <w:rPr>
          <w:rFonts w:ascii="Arial" w:cs="Arial" w:eastAsia="Arial" w:hAnsi="Arial"/>
          <w:sz w:val="16"/>
          <w:szCs w:val="16"/>
          <w:color w:val="auto"/>
        </w:rPr>
        <w:t>The biotechnology and pharmaceutical industries are intensely competitive and subject to rapid and significant technological change. We are currently aware of various existing therapies that may compete with our product candidates. For example, XLH is currently treated with oral phosphate and Vitamin D therapy, which may compete with KRN23. Furthermore, B. Braun Medical Inc., or B. Braun, has received orphan drug designation for triheptanoin in Europe for certain LC-FAOD indications and we do not know if B. Braun is planning to initiate clinical development. Triheptanoin is also available in food-grade form, which may compete with our pharmaceutical-grade product. Investigator-sponsored trials evaluating triheptanoin in multiple indications are ongoing. LC-FAOD is currently treated with diet therapy and medium-chain triglyceride oil, which may compete with UX007. Glut1 DS is currently treated primarily with the ketogenic diet and anti-epileptic drugs, which may also compete with UX007. Additionally, we are aware of a program at the National Institutes of Health that is investigating the use of another metabolite in the sialic acid pathway, ManNAc, for the treatment of GNE myopathy, which could compete with Ace-ER. Data from a Phase 2 study of ManNAc for the treatment of GNE myopathy was presented at the 2016 International Congress of the World Muscle Society. The intellectual property rights for ManNAc are licensed to Escala Therapeutics, a subsidiary of Fortress Biotech, Inc., which acquired the rights from a company in New Zealand that manufactures ManNAc. Escala has received orphan designation for ManNAc in the United States and Europe for GNEM. ManNAc may have a potential advantage over Ace-ER in that it is not a charged molecule like sialic acid, which might improve ManNac’s distribution and uptake. ManNac is also available for purchase from chemical supply and other companies, which may compete with Ace-ER. Gene therapy, gene correction, RNA-based therapies, and other approaches may also emerge for the treatment of any of the disease areas in which we focus.</w:t>
      </w:r>
    </w:p>
    <w:p>
      <w:pPr>
        <w:spacing w:after="0" w:line="23"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We have competitors both in the United States and internationally, including major multinational pharmaceutical companies, specialty pharmaceutical companies, and biotechnology companies. Some of the pharmaceutical and biotechnology companies we expect to compete with include Shire, Sanofi, BioMarin, Alexion, and Roche, as well as other companies ranging from startups to large multinational companies. Many of our competitors have substantially greater financial, technical, and other resources, such as larger research and development staff and experienced marketing and manufacturing organizations. Additional mergers and acquisitions in the biotechnology and pharmaceutical industries may result in even more resources being concentrated in our competitors. As a result, these companies may obtain regulatory approval more rapidly than we are able to and may be more effective in selling and marketing their products as well. Smaller or early-stage companies may also prove to be significant competitors, particularly through collaborative arrangements with large, established companies. Competition may increase further as a result of advances in the commercial applicability of technologies and greater availability of capital for investment in these industries. Our competitors may succeed in developing, acquiring, or licensing on an exclusive basis, products that are more effective or less costly than any product candidate that we may develop, or achieve earlier patent protection, regulatory approval, product commercialization, and market penetration than we do. Additionally, technologies developed by our competitors may render our potential product candidates uneconomical or obsolete, and we may not be successful in marketing our product candidates against competitors.</w:t>
      </w:r>
    </w:p>
    <w:p>
      <w:pPr>
        <w:spacing w:after="0" w:line="196" w:lineRule="exact"/>
        <w:rPr>
          <w:sz w:val="20"/>
          <w:szCs w:val="20"/>
          <w:color w:val="auto"/>
        </w:rPr>
      </w:pPr>
    </w:p>
    <w:p>
      <w:pPr>
        <w:ind w:right="180"/>
        <w:spacing w:after="0" w:line="306" w:lineRule="auto"/>
        <w:rPr>
          <w:sz w:val="20"/>
          <w:szCs w:val="20"/>
          <w:color w:val="auto"/>
        </w:rPr>
      </w:pPr>
      <w:r>
        <w:rPr>
          <w:rFonts w:ascii="Arial" w:cs="Arial" w:eastAsia="Arial" w:hAnsi="Arial"/>
          <w:sz w:val="17"/>
          <w:szCs w:val="17"/>
          <w:b w:val="1"/>
          <w:bCs w:val="1"/>
          <w:i w:val="1"/>
          <w:iCs w:val="1"/>
          <w:color w:val="auto"/>
        </w:rPr>
        <w:t>We continue to build an integrated commercial organization. If we are unable to establish sufficient field forces and marketing capabilities or enter into agreements with third parties to market and sell our product candidates, we may be unable to generate significant revenue.</w:t>
      </w:r>
    </w:p>
    <w:p>
      <w:pPr>
        <w:spacing w:after="0" w:line="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Although our employees may have sold other similar products in the past while employed at other companies, we, as a company, have no experience selling and marketing our product candidates and we currently have minimal marketing and field force capacity. To successfully commercialize any products that may result from our development programs, we will need to develop these capabilities, either on our own or with others. If our product candidates receive regulatory approval, we intend to establish a marketing organization and field forces with technical expertise, as well as supporting distribution capabilities to commercialize our product candidates in major markets, which will be expensive, difficult, and time consuming. Any failure or delay in the development of our internal field forces, marketing, and distribution capabilities would adversely impact the commercialization of our products.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40" w:name="page41"/>
    <w:bookmarkEnd w:id="40"/>
    <w:p>
      <w:pPr>
        <w:ind w:firstLine="518"/>
        <w:spacing w:after="0" w:line="270" w:lineRule="auto"/>
        <w:rPr>
          <w:sz w:val="20"/>
          <w:szCs w:val="20"/>
          <w:color w:val="auto"/>
        </w:rPr>
      </w:pPr>
      <w:r>
        <w:rPr>
          <w:rFonts w:ascii="Arial" w:cs="Arial" w:eastAsia="Arial" w:hAnsi="Arial"/>
          <w:sz w:val="17"/>
          <w:szCs w:val="17"/>
          <w:color w:val="auto"/>
        </w:rPr>
        <w:t>Further, given our lack of prior experience in marketing and selling biopharmaceutical products, our initial estimate of the size of the required field force may be materially more or less than the size of the field force actually required to effectively commercialize our product candidates. As such, we may be required to hire large teams to adequately support the commercialization of our product candidates or we may incur excess costs as a result of hiring more commercial personnel than necessary. With respect to certain geographical markets, we may enter into collaborations with other entities to utilize their local marketing and distribution capabilities, but we may be unable to enter into such agreements on favorable terms, if at all. If our future collaborators do not commit sufficient resources to commercialize our future products, if any, and we are unable to develop the necessary marketing capabilities on our own, we will be unable to generate sufficient product revenue to sustain our business. We may be competing with companies that currently have extensive and well-funded marketing and sales operations. Without an internal team or the support of a third-party to perform key commercial functions, we may be unable to compete successfully against these more established companies.</w:t>
      </w:r>
    </w:p>
    <w:p>
      <w:pPr>
        <w:spacing w:after="0" w:line="20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commercial success of any current or future product candidate will depend upon the degree of market acceptance by physicians, patients, third-party payors, and others in the medical community.</w:t>
      </w:r>
    </w:p>
    <w:p>
      <w:pPr>
        <w:spacing w:after="0" w:line="22"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Even with the requisite approvals from the FDA and comparable foreign regulatory authorities, the commercial success of our product candidates will depend in part on the medical community, patients, and payors accepting our product candidates as medically useful, cost-effective, and safe. Any product that we bring to the market may not gain market acceptance by physicians, patients, payors, and others in the medical community. The degree of market acceptance of any of our product candidates, if approved for commercial sale, will depend on a number of factors, including:</w:t>
      </w:r>
    </w:p>
    <w:p>
      <w:pPr>
        <w:spacing w:after="0" w:line="6" w:lineRule="exact"/>
        <w:rPr>
          <w:sz w:val="20"/>
          <w:szCs w:val="20"/>
          <w:color w:val="auto"/>
        </w:rPr>
      </w:pPr>
    </w:p>
    <w:p>
      <w:pPr>
        <w:ind w:left="900" w:hanging="37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efficacy of the product as demonstrated in clinical studies and potential advantages over competing treatments;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prevalence and severity of any side effects, including any limitations or warnings contained in a product’s approved labeling;</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clinical indications for which approval is granted;</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treatment, particularly in relation to competing treatments;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effectiveness of our field forces and marketing efforts;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 and</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sufficient third-party insurance coverage and reimbursement.</w:t>
      </w:r>
    </w:p>
    <w:p>
      <w:pPr>
        <w:spacing w:after="0" w:line="77"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Even if a potential product displays a favorable efficacy and safety profile in nonclinical and clinical studies, market acceptance of the product will not be fully known until after it is launched. Our efforts to educate the medical community and payors on the benefits of the product candidates may require significant resources and may never be successful. If our product candidates are approved but fail to achieve an adequate level of acceptance by physicians, patients, payors, and others in the medical community, we will not be able to generate sufficient revenue to become or remain profitable.</w:t>
      </w:r>
    </w:p>
    <w:p>
      <w:pPr>
        <w:spacing w:after="0" w:line="198" w:lineRule="exact"/>
        <w:rPr>
          <w:sz w:val="20"/>
          <w:szCs w:val="20"/>
          <w:color w:val="auto"/>
        </w:rPr>
      </w:pPr>
    </w:p>
    <w:p>
      <w:pPr>
        <w:ind w:right="640"/>
        <w:spacing w:after="0" w:line="325" w:lineRule="auto"/>
        <w:rPr>
          <w:sz w:val="20"/>
          <w:szCs w:val="20"/>
          <w:color w:val="auto"/>
        </w:rPr>
      </w:pPr>
      <w:r>
        <w:rPr>
          <w:rFonts w:ascii="Arial" w:cs="Arial" w:eastAsia="Arial" w:hAnsi="Arial"/>
          <w:sz w:val="16"/>
          <w:szCs w:val="16"/>
          <w:b w:val="1"/>
          <w:bCs w:val="1"/>
          <w:i w:val="1"/>
          <w:iCs w:val="1"/>
          <w:color w:val="auto"/>
        </w:rPr>
        <w:t>The insurance coverage and reimbursement status of newly approved products is uncertain. Failure to obtain or maintain adequate coverage and reimbursement for new or current products could limit our ability to market those products and decrease our ability to generate revenue.</w:t>
      </w:r>
    </w:p>
    <w:p>
      <w:pPr>
        <w:spacing w:after="0" w:line="1"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Our target patient populations are small, and accordingly the pricing, coverage, and reimbursement of our product candidates, if approved, must be adequate to support our commercial infrastructure. Our per-patient prices must be sufficient to recover our development and manufacturing costs and potentially achieve profitability. Accordingly, the availability and adequacy of coverage and reimbursement by governmental and private payors are essential for most patients to afford expensive treatments such as ours, assuming approval. Sales of our product candidates will depend substantially, both domestically and abroad, on the extent to which the costs of our product candidates will be paid for by health maintenance, managed care, pharmacy benefit, and similar healthcare management organizations, or reimbursed by government authorities, private health insurers, and other payors. If coverage and reimbursement are not available, or are available only to limited levels, we may not be able to successfully commercialize our product candidates. Even if coverage is provided, the approved reimbursement amount may not be high enough to allow us to establish or maintain pricing sufficient to sustain our overall enterprise.</w:t>
      </w:r>
    </w:p>
    <w:p>
      <w:pPr>
        <w:spacing w:after="0" w:line="18"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Centers for Medicare &amp; Medicaid Services, or CMS, an agency within the U.S. Department of Health and Human Services, decides whether and to what extent a new drug will be covered and reimbursed under Medicare. Private payors tend to follow the coverage reimbursement policies established by CMS to a substantial degree. It is difficult to predict what CMS or private payors will decide with respect to reimbursement for products such as ours.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41" w:name="page42"/>
    <w:bookmarkEnd w:id="41"/>
    <w:p>
      <w:pPr>
        <w:ind w:firstLine="518"/>
        <w:spacing w:after="0" w:line="255"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cost-containment initiatives in Europe, Canada, and other countries will put pressure on the pricing and usage of our product candidates. In many countries, the prices of medical products are subject to varying price control mechanisms as part of national health systems. Other countries allow companies to fix their own prices for medicinal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54"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Moreover, increasing efforts by governmental and third-party payors in the United States and abroad to cap or reduce healthcare costs may cause such organizations to limit both coverage and the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For example, recently, several states in the U.S. have introduced legislation to require pharmaceutical companies to disclose their costs to justify the prices of their products, and an “Affordable Drug Pricing Task-Force” has been formed in the U.S. House of Representatives with the goal of combating the increased costs of prescription drugs. The downward pressure on healthcare costs in general, and with respect to prescription drugs, surgical procedures, and other treatments in particular, has become very intense. As a result, increasingly high barriers are being erected to the entry of new products.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we are unable to obtain and maintain effective patent rights for our product candidates or any future product candidates, we may not be able to compete effectively in our markets.</w:t>
      </w:r>
    </w:p>
    <w:p>
      <w:pPr>
        <w:spacing w:after="0" w:line="35" w:lineRule="exact"/>
        <w:rPr>
          <w:sz w:val="20"/>
          <w:szCs w:val="20"/>
          <w:color w:val="auto"/>
        </w:rPr>
      </w:pPr>
    </w:p>
    <w:p>
      <w:pPr>
        <w:ind w:right="200" w:firstLine="518"/>
        <w:spacing w:after="0" w:line="286" w:lineRule="auto"/>
        <w:rPr>
          <w:sz w:val="20"/>
          <w:szCs w:val="20"/>
          <w:color w:val="auto"/>
        </w:rPr>
      </w:pPr>
      <w:r>
        <w:rPr>
          <w:rFonts w:ascii="Arial" w:cs="Arial" w:eastAsia="Arial" w:hAnsi="Arial"/>
          <w:sz w:val="17"/>
          <w:szCs w:val="17"/>
          <w:color w:val="auto"/>
        </w:rPr>
        <w:t>We rely upon a combination of patents, trade secret protection, and confidentiality agreements to protect the intellectual property related to our technologies and product candidates. Our success depends in large part on our and our licensors’ ability to obtain and maintain patent and other intellectual property protection in the United States and in other countries with respect to our proprietary technology and products.</w:t>
      </w:r>
    </w:p>
    <w:p>
      <w:pPr>
        <w:spacing w:after="0" w:line="17"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We have sought to protect our proprietary position by filing patent applications in the United States and abroad related to our novel technologies and products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38"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The patent position of biotechnology and pharmaceutical companies generally is highly uncertain and involves complex legal and factual questions for which legal principles remain unsolved. The patent applications that we own or in-license may fail to result in issued patents with claims that cover our product candidates in the United States or in other foreign countries. 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Furthermore, even if they are unchallenged, our patents and patent applications may not adequately protect our intellectual property, provide exclusivity for our product candidates, or prevent others from designing around our claims. Any of these outcomes could impair our ability to prevent competition from third parties, which may have an adverse impact on our business.</w:t>
      </w:r>
    </w:p>
    <w:p>
      <w:pPr>
        <w:spacing w:after="0" w:line="31"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We, independently or together with our licensors, have filed several patent applications covering various aspects of our product candidates. We cannot offer any assurances about which, if any, patents will issue, the breadth of any such patent or whether any issued patents will be found invalid and unenforceable or will be threatened by third parties. Any successful opposition to these patents or any other patents owned by or licensed to us after patent issuance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w:t>
      </w:r>
    </w:p>
    <w:p>
      <w:pPr>
        <w:spacing w:after="0" w:line="10"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Although we have a number of patents or applications covering methods of use and certain compositions of matter, we do not have complete patent protection for our product candidates. For example, there are no issued patents and very limited pending applications for KRN23 in Latin America, where we have rights to commercialize the compound. Therefore, a competitor could develop the same antibody or a similar antibody as well as other approaches that target FGF23. Additionally, there are currently no issued patents that cover the rhPPCA composition of matter or the use of rhPPCA for the treatment of galactosialidosis. Therefore, it is possible that a competitor could develop the same enzyme or a similar enzyme with respect to rhPPCA and its use in the treatment of galactosialidosis, subject to any regulatory exclusivities. With respect to Ace-ER, none of the patents or applications relating to Ace-ER cover the sialic acid composition of matter. Therefore, it is possible that a competitor could develop the same or similar molecule. If we cannot obtain and maintain effective patent rights for our product candidates, we may not be able to compete effectively and our business and results of operations would be harmed.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36" w:right="2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We may not have sufficient patent terms to effectively protect our products and business.</w:t>
      </w:r>
    </w:p>
    <w:p>
      <w:pPr>
        <w:spacing w:after="0" w:line="9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Patents have a limited lifespan. In the United States, the natural expiration of a patent is generally 20 years after it is filed. Although various extensions may be available, the life of a patent, and the protection it affords, is limited. Even if patents covering our product candidates are obtained, once the patent life has expired for a product, we may be open to competition from generic medications.</w:t>
      </w:r>
    </w:p>
    <w:p>
      <w:pPr>
        <w:spacing w:after="0" w:line="33" w:lineRule="exact"/>
        <w:rPr>
          <w:sz w:val="20"/>
          <w:szCs w:val="20"/>
          <w:color w:val="auto"/>
        </w:rPr>
      </w:pPr>
    </w:p>
    <w:p>
      <w:pPr>
        <w:ind w:right="260" w:firstLine="518"/>
        <w:spacing w:after="0" w:line="255" w:lineRule="auto"/>
        <w:rPr>
          <w:sz w:val="20"/>
          <w:szCs w:val="20"/>
          <w:color w:val="auto"/>
        </w:rPr>
      </w:pPr>
      <w:r>
        <w:rPr>
          <w:rFonts w:ascii="Arial" w:cs="Arial" w:eastAsia="Arial" w:hAnsi="Arial"/>
          <w:sz w:val="18"/>
          <w:szCs w:val="18"/>
          <w:color w:val="auto"/>
        </w:rPr>
        <w:t>While patent term extensions under the Hatch-Waxman Act in the United States and under supplementary protection certificates in Europe may be available to extend the patent exclusivity term for KRN23, rhGUS, UX007, and Ace-ER, we cannot provide any assurances that any such patent term extension will be obtained and, if so, for how long. In addition, upon issuance in the United States, any patent term can be adjusted based on certain delays caused by the applicant(s) or the United States Patent and Trademark Office (USPTO). For example, a patent term can be reduced based on certain delays caused by the patent applicant during patent prosecution. If we do not have sufficient patent terms or regulatory exclusivity to protect our products, our business and results of operations will be adversely affected.</w:t>
      </w:r>
    </w:p>
    <w:p>
      <w:pPr>
        <w:spacing w:after="0" w:line="20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Patent policy and rule changes could increase the uncertainties and costs surrounding the prosecution of our patent applications and the enforcement or defense of our issued patents.</w:t>
      </w:r>
    </w:p>
    <w:p>
      <w:pPr>
        <w:spacing w:after="0" w:line="35" w:lineRule="exact"/>
        <w:rPr>
          <w:sz w:val="20"/>
          <w:szCs w:val="20"/>
          <w:color w:val="auto"/>
        </w:rPr>
      </w:pPr>
    </w:p>
    <w:p>
      <w:pPr>
        <w:ind w:right="140" w:firstLine="518"/>
        <w:spacing w:after="0" w:line="286" w:lineRule="auto"/>
        <w:rPr>
          <w:sz w:val="20"/>
          <w:szCs w:val="20"/>
          <w:color w:val="auto"/>
        </w:rPr>
      </w:pPr>
      <w:r>
        <w:rPr>
          <w:rFonts w:ascii="Arial" w:cs="Arial" w:eastAsia="Arial" w:hAnsi="Arial"/>
          <w:sz w:val="16"/>
          <w:szCs w:val="16"/>
          <w:color w:val="auto"/>
        </w:rPr>
        <w:t>Changes in either the patent laws or interpretation of the patent laws in the United States and other countries may diminish the value of our patents or narrow the scope of our patent protection.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We therefore cannot be certain that we or our licensors were the first to make the invention claimed in our owned and licensed patents or pending applications, or that we or our licensor were the first to file for patent protection of such inventions.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or the Leahy-Smith Act, enacted on September 16, 2011, the United States has moved to a first to file system. The Leahy-Smith Act also includes a number of significant changes that affect the way patent applications will be prosecuted and may also affect patent litigation. The effects of these changes are currently unclear as the USPTO must still implement various regulations, the courts have yet to address any of these provisions and the applicability of the act and new regulations on specific patents discussed herein have not been determined and would need to be reviewed. In general,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8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we are unable to maintain effective proprietary rights for our product candidates or any future product candidates, we may not be able to compete effectively in our markets.</w:t>
      </w:r>
    </w:p>
    <w:p>
      <w:pPr>
        <w:spacing w:after="0" w:line="22"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44"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Although we expect all of our employees and consultants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Misappropriation or unauthorized disclosure of our trade secrets could impair our competitive position and may have a material adverse effect on our business. Additionally, if the steps taken to maintain our trade secrets are deemed inadequate, we may have insufficient recourse against third parties for misappropriating the trade secret.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Claims of intellectual property infringement may prevent or delay our development and commercialization efforts.</w:t>
      </w:r>
    </w:p>
    <w:p>
      <w:pPr>
        <w:spacing w:after="0" w:line="90"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Our commercial success depends in part on our avoiding infringement of the patents and proprietary rights of others. There have been many lawsuits and other proceedings involving patent and other intellectual property rights in the biotechnology and pharmaceutical industries, including patent infringement lawsuits, interferences, oppositions, and reexamination proceedings before the USPTO and corresponding foreign patent offices. Numerous U.S. and foreign issued patents and pending patent applications, which are owned by other parties, exist in the fields in which we are developing product candidates. As the biotechnology and pharmaceutical industries expand and more patents are issued, the risk increases that our product candidates may be subject to claims of infringement of the patent rights of these other parties.</w:t>
      </w:r>
    </w:p>
    <w:p>
      <w:pPr>
        <w:spacing w:after="0" w:line="45"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Other parties may assert that we are employing their proprietary technology without authorization. There may be patents or patent applications with claims to materials, formulations, methods of manufacture, or methods for treatment related to the use or manufacture of our product candidates. We have conducted freedom to operate analyses with respect to only certain of our product candidates, and therefore we do not know whether there are any patents of other parties that would impair our ability to commercialize all of our product candidates. We also cannot guarantee that any of our analyses are complete and thorough, nor can we be sure that we have identified each and every patent and pending application in the United States and abroad that is relevant or necessary to the commercialization of our product candidates. Because patent applications can take many years to issue, there may be currently pending patent applications that may later result in issued patents that our product candidates may infringe. For example, we are aware of a pending U.S. patent application by the Japan Health Sciences Foundation. Although we do not believe any valid and enforceable claim covering our product candidate will be issued from this U.S. application, we cannot guarantee that such claim will not issue.</w:t>
      </w:r>
    </w:p>
    <w:p>
      <w:pPr>
        <w:spacing w:after="0" w:line="33"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In addition, other parties may obtain patents in the future and claim that use of our technologies infringes upon these patents. If any of these patents were held by a court of competent jurisdiction to cover aspects of our formulations, the manufacturing process of any of our product candidates, methods of use, any molecules formed during the manufacturing process or any final product itself, the holders of any such patents may be able to block our ability to commercialize such product candidate unless we obtained a license under the applicable patents, or until such patents expire or are finally determined to be invalid or unenforceable. Such a license may not be available on commercially reasonable terms or at all.</w:t>
      </w:r>
    </w:p>
    <w:p>
      <w:pPr>
        <w:spacing w:after="0" w:line="37"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88"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currently have rights to the intellectual property, through licenses from third parties and under patents that we own, to develop our product candidates. Because our programs may require the use of proprietary rights held by third parties, the growth of our business will likely depend in part on our ability to acquire, in-license, or use these proprietary rights. For example, our product candidates may require specific formulations to work effectively and efficiently and the rights to these formulations may be held by others.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43"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We sometimes collaborate with U.S. and foreign academic institutions to accelerate our preclinical research or development under written agreements with these institutions. Typically, these institutions provide us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w:t>
      </w:r>
    </w:p>
    <w:p>
      <w:pPr>
        <w:spacing w:after="0" w:line="6"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44" w:name="page45"/>
    <w:bookmarkEnd w:id="44"/>
    <w:p>
      <w:pPr>
        <w:ind w:right="580"/>
        <w:spacing w:after="0" w:line="277" w:lineRule="auto"/>
        <w:rPr>
          <w:sz w:val="20"/>
          <w:szCs w:val="20"/>
          <w:color w:val="auto"/>
        </w:rPr>
      </w:pPr>
      <w:r>
        <w:rPr>
          <w:rFonts w:ascii="Arial" w:cs="Arial" w:eastAsia="Arial" w:hAnsi="Arial"/>
          <w:sz w:val="18"/>
          <w:szCs w:val="18"/>
          <w:b w:val="1"/>
          <w:bCs w:val="1"/>
          <w:i w:val="1"/>
          <w:iCs w:val="1"/>
          <w:color w:val="auto"/>
        </w:rPr>
        <w:t>We may face competition from biosimilars, which may have a material adverse impact on the future commercial prospects of KRN23, rhGUS, and rhPPCA.</w:t>
      </w:r>
    </w:p>
    <w:p>
      <w:pPr>
        <w:spacing w:after="0" w:line="35"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Even if we are successful in achieving regulatory approval to commercialize a product candidate faster than our competitors, we may face competition from biosimilars with respect to KRN23, rhGUS, and rhPPCA. In the United States, the Biologics Price Competition and Innovation Act of 2009, or BPCI Act, was included in the Affordable Care Act and created an abbreviated approval pathway for biological products that are demonstrated to be “highly similar,” or biosimilar, to or “interchangeable” with an FDA-approved biological product. The BPCI Act prohibits the FDA from approving a biosimilar or interchangeable product that references a brand biological product until 12 years after the licensure of the reference product, but permits submission of an application for a biosimilar or interchangeable product to the FDA four years after the reference product was first licensed. The BPCI Act does not prevent another company from developing a product that is highly similar to the innovative product, generating its own data, and seeking approval. The BPCI Act is complex and is only beginning to be interpreted and implemented by the FDA. Moreover, it is not known whether the BPCI Act will survive in whole or in part if the Affordable Care Act is repealed. As a result, its ultimate impact, implementation, meaning, and long-term existence are subject to uncertainty. Elimination or modification of the BPCI Act, or changes to the FDA’s interpretation or implementation of the BPCI Act, could have a material adverse effect on the future commercial prospects for KRN23, rhGUS, and rhPPCA.</w:t>
      </w:r>
    </w:p>
    <w:p>
      <w:pPr>
        <w:spacing w:after="0" w:line="34" w:lineRule="exact"/>
        <w:rPr>
          <w:sz w:val="20"/>
          <w:szCs w:val="20"/>
          <w:color w:val="auto"/>
        </w:rPr>
      </w:pPr>
    </w:p>
    <w:p>
      <w:pPr>
        <w:ind w:right="160" w:firstLine="518"/>
        <w:spacing w:after="0" w:line="273" w:lineRule="auto"/>
        <w:rPr>
          <w:sz w:val="20"/>
          <w:szCs w:val="20"/>
          <w:color w:val="auto"/>
        </w:rPr>
      </w:pPr>
      <w:r>
        <w:rPr>
          <w:rFonts w:ascii="Arial" w:cs="Arial" w:eastAsia="Arial" w:hAnsi="Arial"/>
          <w:sz w:val="17"/>
          <w:szCs w:val="17"/>
          <w:color w:val="auto"/>
        </w:rPr>
        <w:t>In Europe, the European Commission has granted marketing authorizations for several biosimilars pursuant to a set of general and product class-specific guidelines for biosimilar approvals issued over the past few years. In Europe, a competitor may reference data supporting approval of an innovative biological product, but will not be able to get on the market until 10 years after the time of approval of the innovative product. This 10-year marketing exclusivity period will be extended to 11 years if, during the first eight of those 10 years, the marketing authorization holder obtains an approval for one or more new therapeutic indications that bring significant clinical benefits compared with existing therapies. In addition, companies may be developing biosimilars in other countries that could compete with our products.</w:t>
      </w:r>
    </w:p>
    <w:p>
      <w:pPr>
        <w:spacing w:after="0" w:line="30"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If competitors are able to obtain marketing approval for biosimilars referencing our products, our products may become subject to competition from such biosimilars, with the attendant competitive pressure and consequences.</w:t>
      </w:r>
    </w:p>
    <w:p>
      <w:pPr>
        <w:spacing w:after="0" w:line="19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Additional competitors could enter the market with generic versions of our small-molecule product candidates, which may result in a material decline in sales of UX007 and Ace-ER.</w:t>
      </w:r>
    </w:p>
    <w:p>
      <w:pPr>
        <w:spacing w:after="0" w:line="22"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Under the Hatch-Waxman Act, a pharmaceutical manufacturer may file an abbreviated new drug application, or ANDA, seeking approval of a generic copy of an approved innovator product. Under the Hatch-Waxman Act, a manufacturer may also submit an NDA under section 505(b)(2) that references the FDA’s finding of safety and effectiveness of a previously approved drug. A 505(b)(2) NDA product may be for a new or improved version of the original innovator product. Innovative small molecule drugs may be eligible for certain periods of regulatory exclusivity (e.g., five years for new chemical entities, three years for changes to an approved drug requiring a new clinical study, and seven years for orphan drugs), which preclude FDA approval (or in some circumstances, FDA filing and review of) an ANDA or 505(b)(2) NDA relying on the FDA’s finding of safety and effectiveness for the innovative drug. In addition to the benefits of regulatory exclusivity, an innovator NDA holder may have patents claiming the active ingredient, product formulation or an approved use of the drug, which would be listed with the product in the “Orange Book.” If there are patents listed in the Orange Book, a generic applicant that seeks to market its product before expiration of the patents must include in the ANDA or 505(b)(2) what is known as a “Paragraph IV certification,” challenging the validity or enforceability of, or claiming non-infringement of, the listed patent or patents. Notice of the certification must be given to the innovator, too, and if within 45 days of receiving notice the innovator sues to protect its patents, approval of the ANDA is stayed for 30 months, or as lengthened or shortened by the court.</w:t>
      </w:r>
    </w:p>
    <w:p>
      <w:pPr>
        <w:spacing w:after="0" w:line="31"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Accordingly, if UX007 and Ace-ER are approved, competitors could file ANDAs for generic versions of UX007 and Ace-ER, or 505(b)(2) NDAs that reference UX007 and Ace-ER, respectively. If there are patents listed for UX007 and Ace-ER in the Orange Book, those ANDAs and 505(b)(2) NDAs would be required to include a certification as to each listed patent indicating whether the ANDA applicant does or does not intend to challenge the patent. We cannot predict whether any patents issuing from our pending patent applications will be eligible for listing in the Orange Book, how any generic competitor would address such patents, whether we would sue on any such patents, or the outcome of any such suit.</w:t>
      </w:r>
    </w:p>
    <w:p>
      <w:pPr>
        <w:spacing w:after="0" w:line="37"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We may not be successful in securing or maintaining proprietary patent protection for products and technologies we develop or license. Moreover, if any patents that are granted and listed in the Orange Book are successfully challenged by way of a Paragraph IV certification and subsequent litigation, the affected product could more immediately face generic competition and its sales would likely decline materially. Should sales decline, we may have to write off a portion or all of the intangible assets associated with the affected product and our results of operations and cash flows could be materially and adversely affected.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is dependent on third parties.</w:t>
      </w:r>
    </w:p>
    <w:p>
      <w:pPr>
        <w:spacing w:after="0" w:line="90"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While we normally seek and gain the right to fully prosecute the patents relating to our product candidates, there may be times when patents relating to our product candidates are controlled by our licensors. This is the case with our agreement with KHK, who is primarily responsible for the prosecution of patents and patent applications licensed to us under the collaboration agreement. If KHK or any of our future licensing partners fail to appropriately prosecute and maintain patent protection for patents covering any of our product candidates, our ability to develop and commercialize those product candidates may be adversely affected and we may not be able to prevent competitors from making, using, and selling competing products. In addition, even where we now have the right to control patent prosecution of patents and patent applications we have licensed from third parties, we may still be adversely affected or prejudiced by actions or inactions of our licensors and their counsel that took place prior to us assuming control over patent prosecution.</w:t>
      </w:r>
    </w:p>
    <w:p>
      <w:pPr>
        <w:spacing w:after="0" w:line="181" w:lineRule="exact"/>
        <w:rPr>
          <w:sz w:val="20"/>
          <w:szCs w:val="20"/>
          <w:color w:val="auto"/>
        </w:rPr>
      </w:pPr>
    </w:p>
    <w:p>
      <w:pPr>
        <w:ind w:right="220"/>
        <w:spacing w:after="0" w:line="325" w:lineRule="auto"/>
        <w:rPr>
          <w:sz w:val="20"/>
          <w:szCs w:val="20"/>
          <w:color w:val="auto"/>
        </w:rPr>
      </w:pPr>
      <w:r>
        <w:rPr>
          <w:rFonts w:ascii="Arial" w:cs="Arial" w:eastAsia="Arial" w:hAnsi="Arial"/>
          <w:sz w:val="16"/>
          <w:szCs w:val="16"/>
          <w:b w:val="1"/>
          <w:bCs w:val="1"/>
          <w:i w:val="1"/>
          <w:iCs w:val="1"/>
          <w:color w:val="auto"/>
        </w:rPr>
        <w:t>If we fail to comply with our obligations in the agreements under which we license intellectual property and other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We are a party to a number of intellectual property license agreements that are important to our business and expect to enter into additional license agreements in the future. Our existing license agreements impose, and we expect that future license agreements will impose, various diligence, milestone payment, royalty, and other obligations on us. If we fail to comply with our obligations under these agreements, or we are subject to a bankruptcy, we may be required to make certain payments to the licensor, we may lose the exclusivity of our license, or the licensor may have the right to terminate the license, in which event we would not be able to develop or market products covered by the license. Additionally, the milestone and other payments associated with these licenses will make it less profitable for us to develop our drug candidates. See “Business—License and Collaboration Agreements” for a description of our license agreements with KHK, Baylor Research Institute, Nobelpharma, Alcami, HIBM Research Group, Saint Louis University, St. Jude Children’s Research Hospital and Takeda Pharmaceutical Company Limited, which include descriptions of the termination provisions of these agreements.</w:t>
      </w:r>
    </w:p>
    <w:p>
      <w:pPr>
        <w:spacing w:after="0" w:line="3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In certain cases, we control the prosecution of patents resulting from licensed technology. In the event we breach any of our obligations related to such prosecution, we may incur significant liability to our licensing partners. Licensing of intellectual property is of critical importance to our business and involves complex legal, business, and scientific issues. Disputes may arise regarding intellectual property subject to a licensing agreement, including but not limited to:</w:t>
      </w:r>
    </w:p>
    <w:p>
      <w:pPr>
        <w:spacing w:after="0" w:line="38" w:lineRule="exact"/>
        <w:rPr>
          <w:sz w:val="20"/>
          <w:szCs w:val="20"/>
          <w:color w:val="auto"/>
        </w:rPr>
      </w:pPr>
    </w:p>
    <w:p>
      <w:pPr>
        <w:ind w:left="900" w:hanging="37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99" w:lineRule="exact"/>
        <w:rPr>
          <w:rFonts w:ascii="Arial" w:cs="Arial" w:eastAsia="Arial" w:hAnsi="Arial"/>
          <w:sz w:val="16"/>
          <w:szCs w:val="16"/>
          <w:color w:val="auto"/>
        </w:rPr>
      </w:pPr>
    </w:p>
    <w:p>
      <w:pPr>
        <w:ind w:left="900" w:hanging="37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sublicensing of patent and other rights;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76" w:lineRule="exact"/>
        <w:rPr>
          <w:rFonts w:ascii="Arial" w:cs="Arial" w:eastAsia="Arial" w:hAnsi="Arial"/>
          <w:sz w:val="18"/>
          <w:szCs w:val="18"/>
          <w:color w:val="auto"/>
        </w:rPr>
      </w:pPr>
    </w:p>
    <w:p>
      <w:pPr>
        <w:ind w:left="900" w:right="600" w:hanging="379"/>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collaborators; and</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7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If disputes over intellectual property and other rights that we have licensed prevent or impair our ability to maintain our current licensing arrangements on acceptable terms, we may be unable to successfully develop and commercialize the affected product candidates.</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Although we are not currently involved in any litigation, we may be involved in lawsuits to protect or enforce our patents or the patents of our licensors, which could be expensive, time consuming, and unsuccessful.</w:t>
      </w:r>
    </w:p>
    <w:p>
      <w:pPr>
        <w:spacing w:after="0" w:line="35"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color w:val="auto"/>
        </w:rPr>
        <w:t>Competitors may infringe our patents or the patents of our licensors. Although we are not currently involved in any litigation, if we or one of our licensing partners were to initiate legal proceedings against a third party to enforce a patent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46" w:name="page47"/>
    <w:bookmarkEnd w:id="46"/>
    <w:p>
      <w:pPr>
        <w:ind w:right="260" w:firstLine="518"/>
        <w:spacing w:after="0" w:line="272" w:lineRule="auto"/>
        <w:rPr>
          <w:sz w:val="20"/>
          <w:szCs w:val="20"/>
          <w:color w:val="auto"/>
        </w:rPr>
      </w:pPr>
      <w:r>
        <w:rPr>
          <w:rFonts w:ascii="Arial" w:cs="Arial" w:eastAsia="Arial" w:hAnsi="Arial"/>
          <w:sz w:val="17"/>
          <w:szCs w:val="17"/>
          <w:color w:val="auto"/>
        </w:rPr>
        <w:t>Interference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sufficient capital to continue our clinical studies, continue our research programs, license necessary technology from third parties, or enter into development partnerships that would help us bring our product candidates to market.</w:t>
      </w:r>
    </w:p>
    <w:p>
      <w:pPr>
        <w:spacing w:after="0" w:line="43"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00" w:lineRule="exact"/>
        <w:rPr>
          <w:sz w:val="20"/>
          <w:szCs w:val="20"/>
          <w:color w:val="auto"/>
        </w:rPr>
      </w:pPr>
    </w:p>
    <w:p>
      <w:pPr>
        <w:ind w:right="240"/>
        <w:spacing w:after="0" w:line="306"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color w:val="auto"/>
        </w:rPr>
        <w:t>We employ certain individuals who were previously employed at universities or other biotechnology or pharmaceutical companies, including our competitors or potential competitors. Although we try to ensure that our employees, consultants, and independent contractors do not use the proprietary information or know-how of others in their work for us, and we are not currently subject to any claims that our employees, consultants, or independent contractors have wrongfully used or disclosed confidential information of third parties, we may in the future be subject to such claims.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distract management and other employees.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7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Although we are not currently experiencing any claims challenging the inventorship of our patents or ownership of our intellectual property, we may in the future be subject to claims that former employees, collaborators, or other third parties have an interest in our patents or other intellectual property as an inventor or co-inventor. For example, we may have inventorship disputes arise from conflicting obligations of consultants or others who are involved in developing our product candidates. Litigation may be necessary to defend against these and other claims challenging inventorship. If we fail to successfully defend against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distract management and other employees.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90"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As is the case with other biopharmaceutical companies, our success is heavily dependent on intellectual property, particularly patents. Obtaining and enforcing patents in the biotechnology industry involves both technological and legal complexity. Therefore, obtaining and enforcing biotechnology patents is costly, time consuming, and inherently uncertain.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about our ability to obtain patents in the future, this combination of events has created uncertainty with respect to the value of patents, once obtained. Depending on future actions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90"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Further, licensing partners such as KHK may not prosecute patents in certain jurisdictions in which we may obtain commercial rights, thereby precluding the possibility of later obtaining patent protection in these countries.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may also export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33"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future success depends in part on our ability to retain our Founder, President, and Chief Executive Officer and to attract, retain, and motivate other qualified personnel.</w:t>
      </w:r>
    </w:p>
    <w:p>
      <w:pPr>
        <w:spacing w:after="0" w:line="22" w:lineRule="exact"/>
        <w:rPr>
          <w:sz w:val="20"/>
          <w:szCs w:val="20"/>
          <w:color w:val="auto"/>
        </w:rPr>
      </w:pPr>
    </w:p>
    <w:p>
      <w:pPr>
        <w:ind w:right="120" w:firstLine="518"/>
        <w:spacing w:after="0" w:line="271" w:lineRule="auto"/>
        <w:rPr>
          <w:sz w:val="20"/>
          <w:szCs w:val="20"/>
          <w:color w:val="auto"/>
        </w:rPr>
      </w:pPr>
      <w:r>
        <w:rPr>
          <w:rFonts w:ascii="Arial" w:cs="Arial" w:eastAsia="Arial" w:hAnsi="Arial"/>
          <w:sz w:val="17"/>
          <w:szCs w:val="17"/>
          <w:color w:val="auto"/>
        </w:rPr>
        <w:t>We are dependent on Emil D. Kakkis, M.D., Ph.D., our Founder, President, and Chief Executive Officer, the loss of whose services may adversely impact the achievement of our objectives. Dr. Kakkis could leave our employment at any time, as he is an “at will” employee. Recruiting and retaining other qualified employees, consultants, and advisors for our business, including scientific and technical personnel, will also be critical to our success. There is currently a shortage of skilled personnel in our industry, which is likely to continue. As a result, competition for skilled personnel is intense and the turnover rate can be high. We may not be able to attract and retain personnel on acceptable terms given the competition among numerous pharmaceutical and biotechnology companies for individuals with similar skill sets. In addition, failure to succeed in preclinical or clinical studies may make it more challenging to recruit and retain qualified personnel. The inability to recruit and retain qualified personnel, or the loss of the services of Dr. Kakkis, may impede the progress of our research, development, and commercialization objectives.</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obtain or maintain orphan drug exclusivity for our products, our competitors may sell products to treat the same conditions and our revenue will be reduced.</w:t>
      </w:r>
    </w:p>
    <w:p>
      <w:pPr>
        <w:spacing w:after="0" w:line="35"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Our business strategy focuses on the development of drugs that are eligible for FDA and EU orphan drug designation. In the United States, orphan drug designation entitles a party to financial incentives such as opportunities for grant funding towards clinical study costs, tax advantages, and user-fee waivers. 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 In the EU, orphan drug designation entitles a party to financial incentives such as reduction of fees or fee waivers and ten years of market exclusivity following drug or biological product approval. This period may be reduced to six years if the orphan drug designation criteria are no longer met, including where it is shown that the product is sufficiently profitable not to justify maintenance of market exclusivity.</w:t>
      </w:r>
    </w:p>
    <w:p>
      <w:pPr>
        <w:spacing w:after="0" w:line="18"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Because the extent and scope of patent protection for our products may in some cases be limited, orphan drug designation is especially important for our products for which orphan drug designation may be available. For eligible drugs, we plan to rely on the exclusivity period under the Orphan Drug Act to maintain a competitive position. If we do not obtain orphan drug exclusivity for our drug products and biologic products that do not have broad patent protection, our competitors may then sell the same drug to treat the same condition sooner than if we had obtained orphan drug exclusivity, and our revenue will be reduced.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48" w:name="page49"/>
    <w:bookmarkEnd w:id="48"/>
    <w:p>
      <w:pPr>
        <w:ind w:firstLine="518"/>
        <w:spacing w:after="0" w:line="253" w:lineRule="auto"/>
        <w:rPr>
          <w:sz w:val="20"/>
          <w:szCs w:val="20"/>
          <w:color w:val="auto"/>
        </w:rPr>
      </w:pPr>
      <w:r>
        <w:rPr>
          <w:rFonts w:ascii="Arial" w:cs="Arial" w:eastAsia="Arial" w:hAnsi="Arial"/>
          <w:sz w:val="18"/>
          <w:szCs w:val="18"/>
          <w:color w:val="auto"/>
        </w:rPr>
        <w:t>Even though we have orphan drug designation for UX007 for the treatment of fatty acid oxidation disorders in the United States, as well as for UX007 for the treatment of Glut1 DS, KRN23, rhGUS, and Ace-ER in the United States and Europe, we may not be the first to obtain marketing approval for any particular orphan indication due to the uncertainties associated with developing pharmaceutical products. Further, even if we obtain orphan drug exclusivity for a product, that exclusivity may not effectively protect the product from competition because different drugs with different active moieties can be approved for the same condition or the same drug can be approved for a different indication unless there are other exclusivities such as new chemical entity exclusivity preventing such approval. Even after an orphan drug is approved, the FDA or EMA can subsequently approve the same drug with the same active moiety for the same condition if the FDA or EMA concludes that the later drug is safer, more effective, or makes a major contribution to patient care. Orphan drug designation neither shortens the development time or regulatory review time of a drug nor gives the drug any advantage in the regulatory review or approval process.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need to expand our organization and we may experience difficulties in managing this growth, which could disrupt our operations.</w:t>
      </w:r>
    </w:p>
    <w:p>
      <w:pPr>
        <w:spacing w:after="0" w:line="88"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As of December 31, 2016, we had 376 full-time employees. As our development and commercialization plans and strategies develop, we expect to need additional managerial, operational, field forces, marketing, financial, legal, and other resources.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Our expected growth could require significant capital expenditures and may divert financial resources from other projects, such as the development of additional product candidates. If our management is unable to effectively manage our growth, our expenses may increase more than expected, our ability to generate and/or grow revenue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license, discover, develop, or commercialize additional product candidates.</w:t>
      </w:r>
    </w:p>
    <w:p>
      <w:pPr>
        <w:spacing w:after="0" w:line="90"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Although a substantial amount of our effort will focus on the continued clinical testing, potential approval, and commercialization of our existing product candidates, the success of our business also depends upon our ability to identify, license, discover, develop, or commercialize additional product candidates. Research programs to identify and develop new product candidates, such as those under our collaboration with Arcturus, requires substantial technical, financial, and human resources. We may focus our efforts and resources on potential programs or product candidates that ultimately prove to be unsuccessful. Our research programs or licensing efforts may fail to yield additional product candidates for clinical development and commercialization for a number of reasons, including but not limited to the following:</w:t>
      </w:r>
    </w:p>
    <w:p>
      <w:pPr>
        <w:spacing w:after="0" w:line="45" w:lineRule="exact"/>
        <w:rPr>
          <w:sz w:val="20"/>
          <w:szCs w:val="20"/>
          <w:color w:val="auto"/>
        </w:rPr>
      </w:pPr>
    </w:p>
    <w:p>
      <w:pPr>
        <w:ind w:left="900" w:right="800" w:hanging="379"/>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research or business development methodology or search criteria and process may be unsuccessful in identifying potential product candidates;</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may not be able or willing to assemble sufficient technical, financial or human resources to acquire or discover additional product candidates;</w:t>
      </w:r>
    </w:p>
    <w:p>
      <w:pPr>
        <w:spacing w:after="0" w:line="99" w:lineRule="exact"/>
        <w:rPr>
          <w:rFonts w:ascii="Arial" w:cs="Arial" w:eastAsia="Arial" w:hAnsi="Arial"/>
          <w:sz w:val="16"/>
          <w:szCs w:val="16"/>
          <w:color w:val="auto"/>
        </w:rPr>
      </w:pPr>
    </w:p>
    <w:p>
      <w:pPr>
        <w:ind w:left="900" w:hanging="37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face competition in obtaining and/or developing additional product candidates;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product candidates may not succeed in research, discovery, preclinical or clinical testing;</w:t>
      </w:r>
    </w:p>
    <w:p>
      <w:pPr>
        <w:spacing w:after="0" w:line="76" w:lineRule="exact"/>
        <w:rPr>
          <w:rFonts w:ascii="Arial" w:cs="Arial" w:eastAsia="Arial" w:hAnsi="Arial"/>
          <w:sz w:val="18"/>
          <w:szCs w:val="18"/>
          <w:color w:val="auto"/>
        </w:rPr>
      </w:pPr>
    </w:p>
    <w:p>
      <w:pPr>
        <w:ind w:left="900" w:right="580" w:hanging="379"/>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potential product candidates may be shown to have harmful side effects or may have other characteristics that may make the products unmarketable or unlikely to receive marketing approval;</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candidates we develop may be covered by third parties’ patents or other exclusive rights;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market for a product candidate may change during our program so that such a product may become unreasonable to continue to develop;</w:t>
      </w:r>
    </w:p>
    <w:p>
      <w:pPr>
        <w:spacing w:after="0" w:line="99" w:lineRule="exact"/>
        <w:rPr>
          <w:rFonts w:ascii="Arial" w:cs="Arial" w:eastAsia="Arial" w:hAnsi="Arial"/>
          <w:sz w:val="16"/>
          <w:szCs w:val="16"/>
          <w:color w:val="auto"/>
        </w:rPr>
      </w:pPr>
    </w:p>
    <w:p>
      <w:pPr>
        <w:ind w:left="900" w:hanging="37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product candidate may not be accepted as safe and effective by regulatory authorities, patients, the medical community, or payors.</w:t>
      </w:r>
    </w:p>
    <w:p>
      <w:pPr>
        <w:spacing w:after="0" w:line="88"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or we may not be able to identify, license, discover, develop, or commercialize additional product candidates, which would have a material adverse effect on our business and could potentially cause us to cease operations.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36" w:right="279" w:bottom="1440" w:gutter="0" w:footer="0" w:header="0"/>
        </w:sectPr>
      </w:pPr>
    </w:p>
    <w:bookmarkStart w:id="49" w:name="page50"/>
    <w:bookmarkEnd w:id="49"/>
    <w:p>
      <w:pPr>
        <w:ind w:right="280"/>
        <w:spacing w:after="0" w:line="277" w:lineRule="auto"/>
        <w:rPr>
          <w:sz w:val="20"/>
          <w:szCs w:val="20"/>
          <w:color w:val="auto"/>
        </w:rPr>
      </w:pPr>
      <w:r>
        <w:rPr>
          <w:rFonts w:ascii="Arial" w:cs="Arial" w:eastAsia="Arial" w:hAnsi="Arial"/>
          <w:sz w:val="18"/>
          <w:szCs w:val="18"/>
          <w:b w:val="1"/>
          <w:bCs w:val="1"/>
          <w:i w:val="1"/>
          <w:iCs w:val="1"/>
          <w:color w:val="auto"/>
        </w:rPr>
        <w:t>If we are unable to maintain and further develop effective internal control over financial reporting, investors may lose confidence in the accuracy and completeness of our financial reports and the market price of our stock may decrease.</w:t>
      </w:r>
    </w:p>
    <w:p>
      <w:pPr>
        <w:spacing w:after="0" w:line="35" w:lineRule="exact"/>
        <w:rPr>
          <w:sz w:val="20"/>
          <w:szCs w:val="20"/>
          <w:color w:val="auto"/>
        </w:rPr>
      </w:pPr>
    </w:p>
    <w:p>
      <w:pPr>
        <w:ind w:right="140" w:firstLine="518"/>
        <w:spacing w:after="0" w:line="270" w:lineRule="auto"/>
        <w:rPr>
          <w:sz w:val="20"/>
          <w:szCs w:val="20"/>
          <w:color w:val="auto"/>
        </w:rPr>
      </w:pPr>
      <w:r>
        <w:rPr>
          <w:rFonts w:ascii="Arial" w:cs="Arial" w:eastAsia="Arial" w:hAnsi="Arial"/>
          <w:sz w:val="17"/>
          <w:szCs w:val="17"/>
          <w:color w:val="auto"/>
        </w:rPr>
        <w:t>The Sarbanes-Oxley Act requires, among other things, that we maintain effective internal controls for financial reporting and disclosure controls and procedures. In particular, we are required to perform system and process evaluation and testing of our internal controls over financial reporting to allow management to report on the effectiveness of our internal controls over financial reporting, as required by Section 404(a) of the Sarbanes-Oxley Act. We are also subject to the compliance requirements of Section 404(b) of the Sarbanes-Oxley Act, which results in us incurring substantial expenses and expending significant management efforts to comply with the Act. We currently do not have an internal audit group. We may need to hire additional accounting and financial staff with appropriate public company experience and technical accounting knowledge. If we are not able to comply with the requirements of Section 404(b) or if we identify or our independent registered public accounting firm identifies deficiencies in our internal controls over financial reporting that are deemed to be material weaknesses, investors may lose confidence in the accuracy and completeness of our financial reports, the market price of our stock could decline and we could be subject to sanctions or investigations by NASDAQ, the SEC, or other regulatory authorities, which would require additional financial and management resources.</w:t>
      </w:r>
    </w:p>
    <w:p>
      <w:pPr>
        <w:spacing w:after="0" w:line="191" w:lineRule="exact"/>
        <w:rPr>
          <w:sz w:val="20"/>
          <w:szCs w:val="20"/>
          <w:color w:val="auto"/>
        </w:rPr>
      </w:pPr>
    </w:p>
    <w:p>
      <w:pPr>
        <w:ind w:right="960"/>
        <w:spacing w:after="0" w:line="336" w:lineRule="auto"/>
        <w:rPr>
          <w:sz w:val="20"/>
          <w:szCs w:val="20"/>
          <w:color w:val="auto"/>
        </w:rPr>
      </w:pPr>
      <w:r>
        <w:rPr>
          <w:rFonts w:ascii="Arial" w:cs="Arial" w:eastAsia="Arial" w:hAnsi="Arial"/>
          <w:sz w:val="18"/>
          <w:szCs w:val="18"/>
          <w:b w:val="1"/>
          <w:bCs w:val="1"/>
          <w:i w:val="1"/>
          <w:iCs w:val="1"/>
          <w:color w:val="auto"/>
        </w:rPr>
        <w:t xml:space="preserve">Changes to healthcare and FDA laws, regulations, and policies may have a material adverse effect on our business and results of operations. </w:t>
      </w:r>
      <w:r>
        <w:rPr>
          <w:rFonts w:ascii="Arial" w:cs="Arial" w:eastAsia="Arial" w:hAnsi="Arial"/>
          <w:sz w:val="18"/>
          <w:szCs w:val="18"/>
          <w:i w:val="1"/>
          <w:iCs w:val="1"/>
          <w:u w:val="single" w:color="auto"/>
          <w:color w:val="auto"/>
        </w:rPr>
        <w:t>United States</w:t>
      </w:r>
    </w:p>
    <w:p>
      <w:pPr>
        <w:spacing w:after="0" w:line="1"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In the United States, there have been and continue to be a number of legislative initiatives to contain healthcare costs and to modify the regulation of drug and biologic products. For example, the Affordable Care Act, as amended, substantially changed the way health care is financed by both governmental and private insurers, and significantly impacts the U.S. pharmaceutical industry. The Affordable Care Act, among other things, subjects biologic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and establishes annual fees and taxes on manufacturers of certain branded prescription drugs. Implementation of the Affordable Care Act remains ongoing, and there remains uncertainty as to how the law’s various provisions will ultimately affect the industry.</w:t>
      </w:r>
    </w:p>
    <w:p>
      <w:pPr>
        <w:spacing w:after="0" w:line="3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Other legislative changes have been adopted in the United States, including the Cures Act and the Budget Control Act of 2011, or the Budget Act, signed into law on August 2, 2011. The Cures Act introduces a wide range of reforms and the Budget Act, among other things, required reductions in federal spending, which eventually triggered Medicare sequestration—the requirement to reduce Medicare payments to providers up to 2% per fiscal year. In 2013, the 2% Medicare payment reductions were applied to fee-for-service claims with dates of service or dates of discharge on or after April 1, 2013. Sequestration was initially set to expire in fiscal year 2021 but has been extended to 2025.</w:t>
      </w:r>
    </w:p>
    <w:p>
      <w:pPr>
        <w:spacing w:after="0" w:line="40"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We expect that additional state and federal healthcare reform measures and regulations will be adopted in the future, including proposals to reduce the exclusivity protections provided to already approved biological products and to provide biosimilar and interchangeable biologic products an easier path to approval. Any of these measures and regulations could limit the amounts that federal and state governments will pay for healthcare products and services, result in reduced demand for our product candidates or additional pricing pressures and affect our product development, testing, marketing approvals and post-market activities.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European Union</w:t>
      </w:r>
    </w:p>
    <w:p>
      <w:pPr>
        <w:spacing w:after="0" w:line="77"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In the EU, the European Commission has adopted detailed rules for the safety features appearing on the packaging of medicinal products for human use. The regulations set forth the rules for the features appearing on the packaging of these medicinal products, including, inter alia, the characteristics and technical specifications of the unique identifier that enables the authenticity of medicinal products to be verified and individual packs to be identified, the modalities for the verification of the safety features, and the list of medicinal products and product categories subject and not subject to prescription which shall not bear and bear (respectively) safety features.</w:t>
      </w:r>
    </w:p>
    <w:p>
      <w:pPr>
        <w:spacing w:after="0" w:line="40"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The European Commission has also launched a series of public consultations that are aimed at the adoption of notices and guidelines which will serve the interpretation of currently applicable regulations and directives. For example, between August 2015 and December 2016, the European Commission launched public consultations which concerned good manufacturing practices, clinical trials for human medicinal products, and orphan medicinal products. The purpose of the consultation on orphan medicinal products (which will be replaced with a Notice) is to streamline the regulatory framework and to adapt the applicable regulations to technical progress. The consultation focuses on a variety of elements of Regulation (EC) No 141/2000, which include the encouragement of development of orphan medicinal products for communicable diseases and the simplification of the procedure for the reassessment of orphan criteria when two authorization application procedures are pending in parallel for two orphan medicinal products.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50" w:name="page51"/>
    <w:bookmarkEnd w:id="50"/>
    <w:p>
      <w:pPr>
        <w:ind w:right="380"/>
        <w:spacing w:after="0" w:line="308" w:lineRule="auto"/>
        <w:rPr>
          <w:sz w:val="20"/>
          <w:szCs w:val="20"/>
          <w:color w:val="auto"/>
        </w:rPr>
      </w:pPr>
      <w:r>
        <w:rPr>
          <w:rFonts w:ascii="Arial" w:cs="Arial" w:eastAsia="Arial" w:hAnsi="Arial"/>
          <w:sz w:val="17"/>
          <w:szCs w:val="17"/>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1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If we obtain FDA approval for any of our product candidates and begin commercializing those products in the United States, our operations may be directly, or indirectly through our customers, subject to various federal and state fraud and abuse laws, including, without limitation, the federal Anti-Kickback Statute, the federal False Claims Act, and physician sunshine laws and regulations. These laws may impact, among other things, our proposed field marketing and education programs. In addition, we may be subject to patient privacy regulation by both the federal government and the states in which we conduct our business. The laws that may affect our ability to operate are described under “Business—Government Regulation” elsewhere in this Annual Report. 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governmental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19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2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currently have limited international operations, but our business strategy incorporates significant international expansion, particularly in anticipation of approval of our product candidates. We currently conduct physician and patient association outreach activities, as well as clinical studies, outside of the United States and plan to maintain field forces representatives internationally in the future. Doing business internationally involves a number of risks, including but not limited to:</w:t>
      </w:r>
    </w:p>
    <w:p>
      <w:pPr>
        <w:spacing w:after="0" w:line="52" w:lineRule="exact"/>
        <w:rPr>
          <w:sz w:val="20"/>
          <w:szCs w:val="20"/>
          <w:color w:val="auto"/>
        </w:rPr>
      </w:pPr>
    </w:p>
    <w:p>
      <w:pPr>
        <w:ind w:left="900" w:right="380" w:hanging="379"/>
        <w:spacing w:after="0" w:line="306"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multiple, conflicting, and changing laws and regulations such as privacy and data regulations, transparency regulations, tax laws, export and import restrictions, employment laws, regulatory requirements, and other governmental approvals, permits, and licenses;</w:t>
      </w:r>
    </w:p>
    <w:p>
      <w:pPr>
        <w:spacing w:after="0" w:line="1" w:lineRule="exact"/>
        <w:rPr>
          <w:rFonts w:ascii="Arial" w:cs="Arial" w:eastAsia="Arial" w:hAnsi="Arial"/>
          <w:sz w:val="17"/>
          <w:szCs w:val="17"/>
          <w:color w:val="auto"/>
        </w:rPr>
      </w:pPr>
    </w:p>
    <w:p>
      <w:pPr>
        <w:ind w:left="900" w:hanging="379"/>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introduction of new health authority requirements and/or changes in health authority expectations;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products in various countries;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complexities and difficulties in obtaining protection for, and enforcing, our intellectual property;</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limits in our ability to penetrate international markets;</w:t>
      </w:r>
    </w:p>
    <w:p>
      <w:pPr>
        <w:spacing w:after="0" w:line="76" w:lineRule="exact"/>
        <w:rPr>
          <w:rFonts w:ascii="Arial" w:cs="Arial" w:eastAsia="Arial" w:hAnsi="Arial"/>
          <w:sz w:val="18"/>
          <w:szCs w:val="18"/>
          <w:color w:val="auto"/>
        </w:rPr>
      </w:pPr>
    </w:p>
    <w:p>
      <w:pPr>
        <w:ind w:left="900" w:right="480" w:hanging="379"/>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21" w:lineRule="exact"/>
        <w:rPr>
          <w:rFonts w:ascii="Arial" w:cs="Arial" w:eastAsia="Arial" w:hAnsi="Arial"/>
          <w:sz w:val="18"/>
          <w:szCs w:val="18"/>
          <w:color w:val="auto"/>
        </w:rPr>
      </w:pPr>
    </w:p>
    <w:p>
      <w:pPr>
        <w:ind w:left="900" w:right="220" w:hanging="379"/>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natural disasters and political and economic instability, including wars, terrorism, political unrest, outbreak of disease, boycotts, curtailment of trade, and other business restrictions;</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w:t>
      </w:r>
    </w:p>
    <w:p>
      <w:pPr>
        <w:spacing w:after="0" w:line="76" w:lineRule="exact"/>
        <w:rPr>
          <w:rFonts w:ascii="Arial" w:cs="Arial" w:eastAsia="Arial" w:hAnsi="Arial"/>
          <w:sz w:val="18"/>
          <w:szCs w:val="18"/>
          <w:color w:val="auto"/>
        </w:rPr>
      </w:pPr>
    </w:p>
    <w:p>
      <w:pPr>
        <w:ind w:left="900" w:right="200" w:hanging="379"/>
        <w:spacing w:after="0" w:line="264"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commercial operations and activities that may fall within the purview of the U.S. Foreign Corrupt Practices Act, or FCPA, its books and records provisions, or its anti-bribery provisions, including those under the U.K. Bribery Act and similar foreign laws and regulations; and</w:t>
      </w:r>
    </w:p>
    <w:p>
      <w:pPr>
        <w:spacing w:after="0" w:line="32" w:lineRule="exact"/>
        <w:rPr>
          <w:rFonts w:ascii="Arial" w:cs="Arial" w:eastAsia="Arial" w:hAnsi="Arial"/>
          <w:sz w:val="18"/>
          <w:szCs w:val="18"/>
          <w:color w:val="auto"/>
        </w:rPr>
      </w:pPr>
    </w:p>
    <w:p>
      <w:pPr>
        <w:ind w:left="900" w:right="460" w:hanging="379"/>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and compliance risks relating to doing business with any entity that is subject to sanctions administered by the Office of Foreign Assets Control of the U.S. Department of the Treasury.</w:t>
      </w:r>
    </w:p>
    <w:p>
      <w:pPr>
        <w:spacing w:after="0" w:line="22"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our results of operations.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98" w:right="27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We may incur additional tax liabilities related to our operations.</w:t>
      </w:r>
    </w:p>
    <w:p>
      <w:pPr>
        <w:spacing w:after="0" w:line="90"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We have a multinational tax structure and are subject to income tax in the United States and various foreign jurisdictions. Our effective tax rate is influenced by many factors including changes in our operating structure, changes in the mix of our earnings among countries, our allocation of profits and losses among our subsidiaries, our intercompany transfer pricing agreements and rules relating to transfer pricing, the availability of U.S. research and development tax credits, and future changes in tax laws and regulations in the U.S. and foreign countries. Significant judgment is required in determining our tax liabilities including management’s judgment for uncertain tax positions. The Internal Revenue Service, other domestic taxing authorities, or foreign taxing authorities may disagree with our interpretation of tax laws as applied to our operations. Our reported effective tax rate and after-tax cash flows may be materially and adversely affected by tax assessments in excess of amounts accrued for our financial statements. This could materially increase our future effective tax rate thereby reducing net income and adversely impacting our results of our operations for future periods.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laws and regulations could harm our business and our reputation.</w:t>
      </w:r>
    </w:p>
    <w:p>
      <w:pPr>
        <w:spacing w:after="0" w:line="7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Our business is subject to regulation by various federal, state, local and foreign governmental agencies, including agencies responsible for monitoring and enforcing employment and labor laws, workplace safety, tax laws and regulations. In certain jurisdictions, these regulatory requirements may be more stringent than those in the United States and in other circumstances these requirements may be more stringent in the United States. Noncompliance with applicable regulations or requirements could subject us to investigations, sanctions, mandatory recalls, enforcement actions, disgorgement of profits, fines, damages, civil and criminal penalties or injunctions. If any governmental sanctions, fines or penalties are imposed, or if we do not prevail in any possible civil or criminal litigation, our business, operating results, financial condition and our reputation could be harmed. In addition, responding to any action will likely result in a significant diversion of management’s attention and resources and an increase in professional fees. Enforcement actions and sanctions could further harm our business, operating results, financial condition and our reputation.</w:t>
      </w:r>
    </w:p>
    <w:p>
      <w:pPr>
        <w:spacing w:after="0" w:line="44"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In particular, our research and development activities and our third-party manufacturers’ and suppliers’ activities involve the controlled storage, use, and disposal of hazardous materials, including the components of our product candidates and other hazardous compounds, which subjects us to laws and regulations governing such activities. In some cases, these hazardous materials and various wastes resulting from their use are stored at our or our manufacturers’ facilities pending their use and disposal. We cannot eliminate the risk of contamination, which could cause an interruption of our commercialization efforts, research and development efforts, and business operations or environmental damage that could result in costly clean-up and liabilities under applicable laws and regulations governing the use, storage, handling, and disposal of these materials and specified waste products. We cannot guarantee that the safety procedures utilized by us and our third-party manufacturers for handling and disposing of these materials comply with the standards prescribed by these laws and regulations, or eliminate the risk of accidental contamination or injury from these materials. In such an event, we may be held liable for any resulting damages—and such liability could exceed our resources—and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Risks generally associated with a company-wide implementation of an enterprise resource planning (ERP) system may adversely affect our business and results of operations or the effectiveness of our internal controls over financial reporting.</w:t>
      </w:r>
    </w:p>
    <w:p>
      <w:pPr>
        <w:spacing w:after="0" w:line="22" w:lineRule="exact"/>
        <w:rPr>
          <w:sz w:val="20"/>
          <w:szCs w:val="20"/>
          <w:color w:val="auto"/>
        </w:rPr>
      </w:pPr>
    </w:p>
    <w:p>
      <w:pPr>
        <w:ind w:right="100" w:firstLine="518"/>
        <w:spacing w:after="0" w:line="253" w:lineRule="auto"/>
        <w:rPr>
          <w:sz w:val="20"/>
          <w:szCs w:val="20"/>
          <w:color w:val="auto"/>
        </w:rPr>
      </w:pPr>
      <w:r>
        <w:rPr>
          <w:rFonts w:ascii="Arial" w:cs="Arial" w:eastAsia="Arial" w:hAnsi="Arial"/>
          <w:sz w:val="18"/>
          <w:szCs w:val="18"/>
          <w:color w:val="auto"/>
        </w:rPr>
        <w:t>We are in the process of implementing a company-wide ERP system to upgrade certain existing business, operational, and financial processes. Our ERP implementation is a complex and time-consuming project that we expect will require multiple years to complete. Our results of operations could be adversely affected if we experience time delays or cost overruns during the ERP implementation process, or if the ERP system or associated process changes do not give rise to the benefits that we expect. This project has required and may continue to require investment of capital and human resources, the re-engineering of processes of our business, and the attention of many employees who would otherwise be focused on other aspects of our business. Any deficiencies in the design and implementation of the new ERP system could result in potentially much higher costs than we had incurred and could adversely affect our ability to develop and launch solutions, provide services, fulfill contractual obligations, file reports with the SEC in a timely manner, operate our business or otherwise affect our controls environment. Any of these consequences could have an adverse effect on our results of operations and financial condition.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Our business and operations may be materially adversely affected in the event of computer system failures or security breaches.</w:t>
      </w:r>
    </w:p>
    <w:p>
      <w:pPr>
        <w:spacing w:after="0" w:line="90"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Despite the implementation of security measures, our internal computer systems, and those of our CROs and other third parties on which we rely, are vulnerable to damage from computer viruses, unauthorized access, cyber-attacks, natural disasters, fire, terrorism, war, and telecommunication and electrical failures. If such an event were to occur and interrupt our operations, it could result in a material disruption of our drug development programs. For example, the loss of clinical trial data from ongoing or planned clinical trials could result in delays in our regulatory approval efforts and significantly increase our costs to recover or reproduce the data. To the extent that any disruption or security breach results in a loss of or damage to our data or applications, loss of trade secrets or inappropriate disclosure of confidential or proprietary information, including protected health information or personal data of employees or former employees, access to our clinical data, or disruption of the manufacturing process, we could incur liability and the further development of our drug candidates could be delayed. We may also be vulnerable to cyber-attacks by hackers or other malfeasance. This type of breach of our cybersecurity may compromise our confidential information and/or our financial information and adversely affect our business or result in legal proceedings.</w:t>
      </w:r>
    </w:p>
    <w:p>
      <w:pPr>
        <w:spacing w:after="0" w:line="18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22"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Our corporate headquarters and laboratory are located in the San Francisco Bay Area, and our collaboration partner for KRN23, KHK, is located in Japan, which have both in the past experienced severe earthquakes and other natural disasters. We do not carry earthquake insurance. Earthquakes or other natural disasters could severely disrupt our operations or those of our collaborators,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20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acquire other companies or products or engage in strategic transactions, which could divert our management’s attention and cause us to incur various costs and expenses.</w:t>
      </w:r>
    </w:p>
    <w:p>
      <w:pPr>
        <w:spacing w:after="0" w:line="22" w:lineRule="exact"/>
        <w:rPr>
          <w:sz w:val="20"/>
          <w:szCs w:val="20"/>
          <w:color w:val="auto"/>
        </w:rPr>
      </w:pPr>
    </w:p>
    <w:p>
      <w:pPr>
        <w:jc w:val="both"/>
        <w:ind w:right="60" w:firstLine="518"/>
        <w:spacing w:after="0" w:line="259" w:lineRule="auto"/>
        <w:rPr>
          <w:sz w:val="20"/>
          <w:szCs w:val="20"/>
          <w:color w:val="auto"/>
        </w:rPr>
      </w:pPr>
      <w:r>
        <w:rPr>
          <w:rFonts w:ascii="Arial" w:cs="Arial" w:eastAsia="Arial" w:hAnsi="Arial"/>
          <w:sz w:val="18"/>
          <w:szCs w:val="18"/>
          <w:color w:val="auto"/>
        </w:rPr>
        <w:t>We may acquire or invest in businesses or products that we believe could complement or expand our business or otherwise offer growth opportunities. The pursuit of potential acquisitions or investments may divert the attention of management, and cause us to incur various costs and expenses in identifying, investigating and pursuing them, whether or not they are consummated. We may not be able to identify desirable acquisitions or investments or be successful in entering into an agreement for such transactions.</w:t>
      </w:r>
    </w:p>
    <w:p>
      <w:pPr>
        <w:spacing w:after="0" w:line="38" w:lineRule="exact"/>
        <w:rPr>
          <w:sz w:val="20"/>
          <w:szCs w:val="20"/>
          <w:color w:val="auto"/>
        </w:rPr>
      </w:pPr>
    </w:p>
    <w:p>
      <w:pPr>
        <w:ind w:right="380" w:firstLine="518"/>
        <w:spacing w:after="0" w:line="264" w:lineRule="auto"/>
        <w:rPr>
          <w:sz w:val="20"/>
          <w:szCs w:val="20"/>
          <w:color w:val="auto"/>
        </w:rPr>
      </w:pPr>
      <w:r>
        <w:rPr>
          <w:rFonts w:ascii="Arial" w:cs="Arial" w:eastAsia="Arial" w:hAnsi="Arial"/>
          <w:sz w:val="18"/>
          <w:szCs w:val="18"/>
          <w:color w:val="auto"/>
        </w:rPr>
        <w:t>In addition, we may receive inquiries relating to potential strategic transactions, including collaborations, licenses and acquisitions. Such potential transactions may divert the attention of management, and cause us to incur various costs and expenses in investigating and evaluating such transactions, whether or not they are consummated.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may substantially increase our costs and harm our business.</w:t>
      </w:r>
    </w:p>
    <w:p>
      <w:pPr>
        <w:spacing w:after="0" w:line="77"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We may become party to lawsuits in the future, including, without limitation, actions and proceedings in the ordinary course of business relating to our stockholders, intellectual property and employment matters, which will cause us to incur legal fees and other costs related thereto, including potential expenses for the reimbursement of legal fees of officers and directors under indemnification obligations. The expense of defending such litigation may be significant. In addition, there can be no assurance that we will be successful in any defense. Further, the amount of time that may be required to resolve such lawsuits is unpredictable and these actions may divert management’s attention from the day-to-day operations of our business, which could adversely affect our business, results of operations and cash flows. Litigation is subject to inherent uncertainties, and an adverse result in such matters that may arise from time to time could have a material adverse effect on our business, results of operations and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highly volatile.</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market price of our common stock has been, and is likely to continue to be, volatile, including for reasons unrelated to changes in our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stock price could be subject to wide fluctuations in response to a variety of factors, including but not limited to the following:</w:t>
      </w:r>
    </w:p>
    <w:p>
      <w:pPr>
        <w:spacing w:after="0" w:line="62" w:lineRule="exact"/>
        <w:rPr>
          <w:sz w:val="20"/>
          <w:szCs w:val="20"/>
          <w:color w:val="auto"/>
        </w:rPr>
      </w:pPr>
    </w:p>
    <w:p>
      <w:pPr>
        <w:ind w:left="900" w:hanging="37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results or delays in preclinical or clinical studies;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inability to obtain additional funding;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53" w:name="page54"/>
    <w:bookmarkEnd w:id="53"/>
    <w:p>
      <w:pPr>
        <w:ind w:left="900" w:right="60" w:hanging="379"/>
        <w:spacing w:after="0" w:line="26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delay in filing an IND, NDA, BLA, MAA, or other regulatory submission for any of our product candidates and any adverse development or perceived adverse development with respect to the applicable regulatory agency’s review of that IND, NDA, BLA, MAA, or other regulatory submission;</w:t>
      </w:r>
    </w:p>
    <w:p>
      <w:pPr>
        <w:spacing w:after="0" w:line="32" w:lineRule="exact"/>
        <w:rPr>
          <w:rFonts w:ascii="Arial" w:cs="Arial" w:eastAsia="Arial" w:hAnsi="Arial"/>
          <w:sz w:val="18"/>
          <w:szCs w:val="18"/>
          <w:color w:val="auto"/>
        </w:rPr>
      </w:pPr>
    </w:p>
    <w:p>
      <w:pPr>
        <w:ind w:left="900" w:hanging="37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perception of limited market sizes or pricing for our product candidates;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successfully develop and commercialize our product candidates;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level of any revenue we receive from named patient sales;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post-marketing safety issues;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maintain our existing strategic collaborations or enter into new collaborations;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by us or our licensors and strategic collaboration partners to prosecute, maintain, or enforce our intellectual property rights;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inability to obtain adequate product supply for our product candidates or the inability to do so at acceptable prices;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introduction of new products, services, or technologies by our competitors;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meet or exceed financial projections we may provide to the public;</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meet or exceed the financial projections of the investment community;</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perception of the pharmaceutical industry by the public, legislatures, regulators, and the investment community;</w:t>
      </w:r>
    </w:p>
    <w:p>
      <w:pPr>
        <w:spacing w:after="0" w:line="76" w:lineRule="exact"/>
        <w:rPr>
          <w:rFonts w:ascii="Arial" w:cs="Arial" w:eastAsia="Arial" w:hAnsi="Arial"/>
          <w:sz w:val="18"/>
          <w:szCs w:val="18"/>
          <w:color w:val="auto"/>
        </w:rPr>
      </w:pPr>
    </w:p>
    <w:p>
      <w:pPr>
        <w:ind w:left="900" w:right="580" w:hanging="379"/>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our strategic collaboration partners, or our competitors;</w:t>
      </w:r>
    </w:p>
    <w:p>
      <w:pPr>
        <w:spacing w:after="0" w:line="21" w:lineRule="exact"/>
        <w:rPr>
          <w:rFonts w:ascii="Arial" w:cs="Arial" w:eastAsia="Arial" w:hAnsi="Arial"/>
          <w:sz w:val="18"/>
          <w:szCs w:val="18"/>
          <w:color w:val="auto"/>
        </w:rPr>
      </w:pPr>
    </w:p>
    <w:p>
      <w:pPr>
        <w:ind w:left="900" w:right="200" w:hanging="379"/>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securities or industry analysts’ reports regarding our stock, or their failure to issue such reports;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market or macroeconomic conditions;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 and</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7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In addition, biotechnology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20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22"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will need additional capital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gain rights superior to our existing stockholders.</w:t>
      </w:r>
    </w:p>
    <w:p>
      <w:pPr>
        <w:spacing w:after="0" w:line="40"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Pursuant to our 2014 Incentive Plan, or the 2014 Plan, our management is authorized to grant stock options and other equity-based awards to our employees, directors, and consultants. At December 31, 2016, 944,269 shares were available for issuance under the 2014 Plan. The number of shares available for future grant under the 2014 Plan will automatically increase on January 1 of each year by the lesser of 2,500,000 shares or 4% of all shares of our capital stock outstanding as of December 31 of the prior calendar year, subject to the ability of our compensation committee to take action to reduce the size of the increase in any given year.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bookmarkStart w:id="54" w:name="page55"/>
    <w:bookmarkEnd w:id="54"/>
    <w:p>
      <w:pPr>
        <w:ind w:firstLine="518"/>
        <w:spacing w:after="0" w:line="257" w:lineRule="auto"/>
        <w:rPr>
          <w:sz w:val="20"/>
          <w:szCs w:val="20"/>
          <w:color w:val="auto"/>
        </w:rPr>
      </w:pPr>
      <w:r>
        <w:rPr>
          <w:rFonts w:ascii="Arial" w:cs="Arial" w:eastAsia="Arial" w:hAnsi="Arial"/>
          <w:sz w:val="18"/>
          <w:szCs w:val="18"/>
          <w:color w:val="auto"/>
        </w:rPr>
        <w:t>Pursuant to our 2014 Employee Stock Purchase Plan, or 2014 ESPP, eligible employees can acquire shares of our common stock at a discount to the prevailing market price. At December 31, 2016, 1,380,922 shares were available for issuance under the 2014 ESPP. The number of shares available for issuance under the 2014 ESPP will automatically increase on January 1 of each year by the lesser of 1,200,000 shares or 1% of all shares of our capital stock outstanding as of December 31 of the prior calendar year, subject to the ability of our compensation committee to take action to reduce the size of the increase in any given year.</w:t>
      </w:r>
    </w:p>
    <w:p>
      <w:pPr>
        <w:spacing w:after="0" w:line="53"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Currently we plan to register the increased number of shares available under the 2014 Plan and the 2014 ESPP each year. If our board of directors elects to increase the number of shares available for future grant under the 2014 Plan or the 2014 ESPP, our stockholders may experience additional dilution, which could cause our stock price to fall.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77"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We have incurred substantial losses during our history and do not expect to become profitable in the near future nor may we ever achieve profitability. To the extent that we continue to generate taxable losses, unused taxable losses will, subject to certain limitations, carry forward to offset future taxable income, if any, until such unused losses expire. Under Sections 382 and 383 of the Internal Revenue Code of 1986, as amended, if a corporation undergoes an “ownership change,” generally defined as a greater than 50% change (by value) in its equity ownership over a three-year period, the corporation’s ability to use its pre-change net operating loss carryforwards, or NOL carryforwards, and other pre-change tax attributes (such as research tax credits) to offset its post-change income may be limited. An analysis to determine limitations upon our NOL carryforwards and other pre-change tax attributes for ownership changes that have occurred previously has been performed, resulting in a permanent decrease of federal and state NOL carryforwards in the amount of $7.2 million and a permanent decrease in federal research tax credit carryforwards in the amount of $0.2 million. As a result of these decreases and others that may occur as a result of future ownership changes, our ability to use our pre-change NOL carryforwards and other tax attribute carryforwards to offset U.S. federal taxable income and tax liabilities is limited and may become subject to even greater limitations, which could potentially accelerate or permanently increase future federal tax liabilities for us. In addition, there may be periods during which the use of state income tax NOL carryforwards and other state tax attribute carryforwards (such as state research tax credits) are suspended or otherwise limited, which could potentially accelerate or permanently increase future state tax liabilities for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7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all available funds and any future earnings, if any, for the development, operation, and expansion of our business and do not anticipate declaring or paying any cash dividends for the foreseeable future. Any return to stockholders will therefore be limited to the appreciation of their stock.</w:t>
      </w:r>
    </w:p>
    <w:p>
      <w:pPr>
        <w:spacing w:after="0" w:line="195" w:lineRule="exact"/>
        <w:rPr>
          <w:sz w:val="20"/>
          <w:szCs w:val="20"/>
          <w:color w:val="auto"/>
        </w:rPr>
      </w:pPr>
    </w:p>
    <w:p>
      <w:pPr>
        <w:ind w:right="80"/>
        <w:spacing w:after="0" w:line="357" w:lineRule="auto"/>
        <w:rPr>
          <w:sz w:val="20"/>
          <w:szCs w:val="20"/>
          <w:color w:val="auto"/>
        </w:rPr>
      </w:pPr>
      <w:r>
        <w:rPr>
          <w:rFonts w:ascii="Arial" w:cs="Arial" w:eastAsia="Arial" w:hAnsi="Arial"/>
          <w:sz w:val="15"/>
          <w:szCs w:val="15"/>
          <w:b w:val="1"/>
          <w:bCs w:val="1"/>
          <w:i w:val="1"/>
          <w:iCs w:val="1"/>
          <w:color w:val="auto"/>
        </w:rPr>
        <w:t>Provisions in our amended and restated certificate of incorporation and by-laws, as well as provisions of Delaware law, could make it more difficult for a third-party to acquire us or increase the cost of acquiring us, even if doing so would benefit our stockholders, or remove our current management.</w:t>
      </w:r>
    </w:p>
    <w:p>
      <w:pPr>
        <w:ind w:right="20" w:firstLine="518"/>
        <w:spacing w:after="0" w:line="264"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33" w:lineRule="exact"/>
        <w:rPr>
          <w:sz w:val="20"/>
          <w:szCs w:val="20"/>
          <w:color w:val="auto"/>
        </w:rPr>
      </w:pPr>
    </w:p>
    <w:p>
      <w:pPr>
        <w:ind w:left="900" w:right="180" w:hanging="379"/>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specify that special meetings of our stockholders can be called only by our board of directors or the chairperson of our board of directors;</w:t>
      </w:r>
    </w:p>
    <w:p>
      <w:pPr>
        <w:spacing w:after="0" w:line="88" w:lineRule="exact"/>
        <w:rPr>
          <w:rFonts w:ascii="Arial" w:cs="Arial" w:eastAsia="Arial" w:hAnsi="Arial"/>
          <w:sz w:val="17"/>
          <w:szCs w:val="17"/>
          <w:color w:val="auto"/>
        </w:rPr>
      </w:pPr>
    </w:p>
    <w:p>
      <w:pPr>
        <w:ind w:left="900" w:hanging="379"/>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76" w:lineRule="exact"/>
        <w:rPr>
          <w:rFonts w:ascii="Arial" w:cs="Arial" w:eastAsia="Arial" w:hAnsi="Arial"/>
          <w:sz w:val="18"/>
          <w:szCs w:val="18"/>
          <w:color w:val="auto"/>
        </w:rPr>
      </w:pPr>
    </w:p>
    <w:p>
      <w:pPr>
        <w:ind w:left="900" w:right="100" w:hanging="379"/>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resolution adopted by the board of directors;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expressly authorize our board of directors to modify, alter or repeal our amended and restated by-laws; and</w:t>
      </w:r>
    </w:p>
    <w:p>
      <w:pPr>
        <w:spacing w:after="0" w:line="76" w:lineRule="exact"/>
        <w:rPr>
          <w:rFonts w:ascii="Arial" w:cs="Arial" w:eastAsia="Arial" w:hAnsi="Arial"/>
          <w:sz w:val="18"/>
          <w:szCs w:val="18"/>
          <w:color w:val="auto"/>
        </w:rPr>
      </w:pPr>
    </w:p>
    <w:p>
      <w:pPr>
        <w:ind w:left="900" w:right="120" w:hanging="379"/>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holders of 75% of our outstanding common stock to amend specified provisions of our amended and restated certificate of incorporation and amended and restated by-laws.</w:t>
      </w:r>
    </w:p>
    <w:p>
      <w:pPr>
        <w:spacing w:after="0" w:line="22"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These provisions, alone or together, could delay, deter, or prevent hostile takeovers and changes in control or changes in our management.</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bookmarkStart w:id="55" w:name="page56"/>
    <w:bookmarkEnd w:id="55"/>
    <w:p>
      <w:pPr>
        <w:ind w:right="260" w:firstLine="518"/>
        <w:spacing w:after="0" w:line="312" w:lineRule="auto"/>
        <w:rPr>
          <w:sz w:val="20"/>
          <w:szCs w:val="20"/>
          <w:color w:val="auto"/>
        </w:rPr>
      </w:pPr>
      <w:r>
        <w:rPr>
          <w:rFonts w:ascii="Arial" w:cs="Arial" w:eastAsia="Arial" w:hAnsi="Arial"/>
          <w:sz w:val="16"/>
          <w:szCs w:val="16"/>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 Further, no stockholder is permitted to cumulate votes at any election of directors because this right is not included in our amended and restated certificate of incorporation.</w:t>
      </w:r>
    </w:p>
    <w:p>
      <w:pPr>
        <w:spacing w:after="0" w:line="12"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9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is the sole and exclusive forum for substantially all disputes between us and our stockholders, which could limit our stockholders’ ability to obtain a favorable judicial forum for disputes with us or our directors, officers or employees.</w:t>
      </w:r>
    </w:p>
    <w:p>
      <w:pPr>
        <w:spacing w:after="0" w:line="3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sole and exclusive forum for</w:t>
      </w:r>
    </w:p>
    <w:p>
      <w:pPr>
        <w:spacing w:after="0" w:line="46"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derivative action or proceeding brought on our behalf, (2) any action asserting a claim of breach of fiduciary duty owed by any of our directors,</w:t>
      </w:r>
    </w:p>
    <w:p>
      <w:pPr>
        <w:spacing w:after="0" w:line="20" w:lineRule="exact"/>
        <w:rPr>
          <w:rFonts w:ascii="Arial" w:cs="Arial" w:eastAsia="Arial" w:hAnsi="Arial"/>
          <w:sz w:val="17"/>
          <w:szCs w:val="17"/>
          <w:color w:val="auto"/>
        </w:rPr>
      </w:pPr>
    </w:p>
    <w:p>
      <w:pPr>
        <w:spacing w:after="0" w:line="290" w:lineRule="auto"/>
        <w:rPr>
          <w:rFonts w:ascii="Arial" w:cs="Arial" w:eastAsia="Arial" w:hAnsi="Arial"/>
          <w:sz w:val="17"/>
          <w:szCs w:val="17"/>
          <w:color w:val="auto"/>
        </w:rPr>
      </w:pPr>
      <w:r>
        <w:rPr>
          <w:rFonts w:ascii="Arial" w:cs="Arial" w:eastAsia="Arial" w:hAnsi="Arial"/>
          <w:sz w:val="16"/>
          <w:szCs w:val="16"/>
          <w:color w:val="auto"/>
        </w:rPr>
        <w:t>officers or other employees to us or to our stockholders, (3) any action asserting a claim against us arising under the Delaware General Corporation Law or under our amended and restated certificate of incorporation or bylaws or (4) any action against us asserting a claim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primary operations are conducted at the leased facilities described below.</w:t>
      </w:r>
    </w:p>
    <w:p>
      <w:pPr>
        <w:spacing w:after="0" w:line="77" w:lineRule="exact"/>
        <w:rPr>
          <w:sz w:val="20"/>
          <w:szCs w:val="20"/>
          <w:color w:val="auto"/>
        </w:rPr>
      </w:pPr>
    </w:p>
    <w:p>
      <w:pPr>
        <w:ind w:right="700" w:firstLine="518"/>
        <w:spacing w:after="0" w:line="311" w:lineRule="auto"/>
        <w:rPr>
          <w:sz w:val="20"/>
          <w:szCs w:val="20"/>
          <w:color w:val="auto"/>
        </w:rPr>
      </w:pPr>
      <w:r>
        <w:rPr>
          <w:rFonts w:ascii="Arial" w:cs="Arial" w:eastAsia="Arial" w:hAnsi="Arial"/>
          <w:sz w:val="16"/>
          <w:szCs w:val="16"/>
          <w:color w:val="auto"/>
        </w:rPr>
        <w:t>We lease approximately 112,000 square feet of office space in Novato, California used primarily for corporate, clinical, regulatory, quality, manufacturing administration, and commercial functions. The lease for approximately 83,000 square feet will expire on April 30, 2019, the lease for approximately 4,000 square feet will expire on July 31, 2017, and the lease for approximately 25,000 square feet will expire on December 31, 2020.</w:t>
      </w:r>
    </w:p>
    <w:p>
      <w:pPr>
        <w:spacing w:after="0" w:line="1"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We also lease approximately 6,500 square feet of research lab and related office space in Novato, California. The rental term for this space will expire on September 28, 2018.</w:t>
      </w:r>
    </w:p>
    <w:p>
      <w:pPr>
        <w:spacing w:after="0" w:line="3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also lease approximately 63,000 square feet of office space in Brisbane, California. The rental term for this space will expire on June 30, 2026.</w:t>
      </w:r>
    </w:p>
    <w:p>
      <w:pPr>
        <w:spacing w:after="0" w:line="100"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We believe our facilities are adequate and suitable for our current needs, and that we will be able to obtain new or additional leased space in the future when necessary.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94" w:lineRule="exact"/>
        <w:rPr>
          <w:sz w:val="20"/>
          <w:szCs w:val="20"/>
          <w:color w:val="auto"/>
        </w:rPr>
      </w:pPr>
    </w:p>
    <w:p>
      <w:pPr>
        <w:ind w:right="280" w:firstLine="518"/>
        <w:spacing w:after="0" w:line="272" w:lineRule="auto"/>
        <w:rPr>
          <w:sz w:val="20"/>
          <w:szCs w:val="20"/>
          <w:color w:val="auto"/>
        </w:rPr>
      </w:pPr>
      <w:r>
        <w:rPr>
          <w:rFonts w:ascii="Arial" w:cs="Arial" w:eastAsia="Arial" w:hAnsi="Arial"/>
          <w:sz w:val="17"/>
          <w:szCs w:val="17"/>
          <w:color w:val="auto"/>
        </w:rPr>
        <w:t>We are not currently a party to any material legal proceedings. We may, however, in the ordinary course of business face various claims brought by third parties and we may, from time to time, make claims or take legal actions to assert our rights, including intellectual property rights as well as claims relating to employment matters and the safety or efficacy of our products. Any of these claims could subject us to costly litigation and, while we generally believe that we have adequate insurance to cover many different types of liabilities,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consolidated operations, cash flows and financial position. Additionally, any such claims, whether or not successful, could damage our reputation and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bookmarkStart w:id="56" w:name="page57"/>
    <w:bookmarkEnd w:id="56"/>
    <w:p>
      <w:pPr>
        <w:ind w:left="5380"/>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8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Our common stock has been traded on The NASDAQ Global Select Market since January 31, 2014 under the symbol “RARE”. The following tables set forth, for the periods indicated, the intraday high and low sales prices of our common stock as reported by NASDAQ.</w:t>
      </w:r>
    </w:p>
    <w:p>
      <w:pPr>
        <w:spacing w:after="0" w:line="45"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Fiscal 2015</w:t>
            </w: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180" w:type="dxa"/>
            <w:vAlign w:val="bottom"/>
            <w:tcBorders>
              <w:bottom w:val="single" w:sz="8" w:color="CCECFF"/>
            </w:tcBorders>
          </w:tcPr>
          <w:p>
            <w:pPr>
              <w:spacing w:after="0"/>
              <w:rPr>
                <w:sz w:val="19"/>
                <w:szCs w:val="19"/>
                <w:color w:val="auto"/>
              </w:rPr>
            </w:pPr>
          </w:p>
        </w:tc>
        <w:tc>
          <w:tcPr>
            <w:tcW w:w="2060" w:type="dxa"/>
            <w:vAlign w:val="bottom"/>
            <w:tcBorders>
              <w:bottom w:val="single" w:sz="8" w:color="CCEC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High</w:t>
            </w:r>
          </w:p>
        </w:tc>
        <w:tc>
          <w:tcPr>
            <w:tcW w:w="220" w:type="dxa"/>
            <w:vAlign w:val="bottom"/>
            <w:tcBorders>
              <w:bottom w:val="single" w:sz="8" w:color="CCEC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Low</w:t>
            </w:r>
          </w:p>
        </w:tc>
        <w:tc>
          <w:tcPr>
            <w:tcW w:w="80" w:type="dxa"/>
            <w:vAlign w:val="bottom"/>
            <w:tcBorders>
              <w:bottom w:val="single" w:sz="8" w:color="CCECFF"/>
            </w:tcBorders>
          </w:tcPr>
          <w:p>
            <w:pPr>
              <w:spacing w:after="0"/>
              <w:rPr>
                <w:sz w:val="19"/>
                <w:szCs w:val="19"/>
                <w:color w:val="auto"/>
              </w:rPr>
            </w:pPr>
          </w:p>
        </w:tc>
      </w:tr>
      <w:tr>
        <w:trPr>
          <w:trHeight w:val="223"/>
        </w:trPr>
        <w:tc>
          <w:tcPr>
            <w:tcW w:w="3180" w:type="dxa"/>
            <w:vAlign w:val="bottom"/>
            <w:shd w:val="clear" w:color="auto" w:fill="CCECFF"/>
          </w:tcPr>
          <w:p>
            <w:pPr>
              <w:spacing w:after="0"/>
              <w:rPr>
                <w:sz w:val="20"/>
                <w:szCs w:val="20"/>
                <w:color w:val="auto"/>
              </w:rPr>
            </w:pPr>
            <w:r>
              <w:rPr>
                <w:rFonts w:ascii="Arial" w:cs="Arial" w:eastAsia="Arial" w:hAnsi="Arial"/>
                <w:sz w:val="18"/>
                <w:szCs w:val="18"/>
                <w:color w:val="auto"/>
              </w:rPr>
              <w:t>First Quarter</w:t>
            </w:r>
          </w:p>
        </w:tc>
        <w:tc>
          <w:tcPr>
            <w:tcW w:w="2060" w:type="dxa"/>
            <w:vAlign w:val="bottom"/>
            <w:shd w:val="clear" w:color="auto" w:fill="CCECFF"/>
          </w:tcPr>
          <w:p>
            <w:pPr>
              <w:spacing w:after="0"/>
              <w:rPr>
                <w:sz w:val="19"/>
                <w:szCs w:val="19"/>
                <w:color w:val="auto"/>
              </w:rPr>
            </w:pPr>
          </w:p>
        </w:tc>
        <w:tc>
          <w:tcPr>
            <w:tcW w:w="2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65.35</w:t>
            </w:r>
          </w:p>
        </w:tc>
        <w:tc>
          <w:tcPr>
            <w:tcW w:w="220" w:type="dxa"/>
            <w:vAlign w:val="bottom"/>
            <w:shd w:val="clear" w:color="auto" w:fill="CCECFF"/>
          </w:tcPr>
          <w:p>
            <w:pPr>
              <w:spacing w:after="0"/>
              <w:rPr>
                <w:sz w:val="19"/>
                <w:szCs w:val="19"/>
                <w:color w:val="auto"/>
              </w:rPr>
            </w:pPr>
          </w:p>
        </w:tc>
        <w:tc>
          <w:tcPr>
            <w:tcW w:w="380" w:type="dxa"/>
            <w:vAlign w:val="bottom"/>
            <w:shd w:val="clear" w:color="auto" w:fill="CCEC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44.27</w:t>
            </w:r>
          </w:p>
        </w:tc>
        <w:tc>
          <w:tcPr>
            <w:tcW w:w="80" w:type="dxa"/>
            <w:vAlign w:val="bottom"/>
            <w:shd w:val="clear" w:color="auto" w:fill="CCECFF"/>
          </w:tcPr>
          <w:p>
            <w:pPr>
              <w:spacing w:after="0"/>
              <w:rPr>
                <w:sz w:val="19"/>
                <w:szCs w:val="19"/>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Second Quarter</w:t>
            </w:r>
          </w:p>
        </w:tc>
        <w:tc>
          <w:tcPr>
            <w:tcW w:w="2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105.97</w:t>
            </w:r>
          </w:p>
        </w:tc>
        <w:tc>
          <w:tcPr>
            <w:tcW w:w="6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56.11</w:t>
            </w:r>
          </w:p>
        </w:tc>
        <w:tc>
          <w:tcPr>
            <w:tcW w:w="80" w:type="dxa"/>
            <w:vAlign w:val="bottom"/>
          </w:tcPr>
          <w:p>
            <w:pPr>
              <w:spacing w:after="0"/>
              <w:rPr>
                <w:sz w:val="19"/>
                <w:szCs w:val="19"/>
                <w:color w:val="auto"/>
              </w:rPr>
            </w:pPr>
          </w:p>
        </w:tc>
      </w:tr>
      <w:tr>
        <w:trPr>
          <w:trHeight w:val="230"/>
        </w:trPr>
        <w:tc>
          <w:tcPr>
            <w:tcW w:w="3180" w:type="dxa"/>
            <w:vAlign w:val="bottom"/>
            <w:shd w:val="clear" w:color="auto" w:fill="CCECFF"/>
          </w:tcPr>
          <w:p>
            <w:pPr>
              <w:spacing w:after="0"/>
              <w:rPr>
                <w:sz w:val="20"/>
                <w:szCs w:val="20"/>
                <w:color w:val="auto"/>
              </w:rPr>
            </w:pPr>
            <w:r>
              <w:rPr>
                <w:rFonts w:ascii="Arial" w:cs="Arial" w:eastAsia="Arial" w:hAnsi="Arial"/>
                <w:sz w:val="18"/>
                <w:szCs w:val="18"/>
                <w:color w:val="auto"/>
              </w:rPr>
              <w:t>Third Quarter</w:t>
            </w:r>
          </w:p>
        </w:tc>
        <w:tc>
          <w:tcPr>
            <w:tcW w:w="2320" w:type="dxa"/>
            <w:vAlign w:val="bottom"/>
            <w:gridSpan w:val="2"/>
            <w:shd w:val="clear" w:color="auto" w:fill="CCEC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137.05</w:t>
            </w:r>
          </w:p>
        </w:tc>
        <w:tc>
          <w:tcPr>
            <w:tcW w:w="600" w:type="dxa"/>
            <w:vAlign w:val="bottom"/>
            <w:gridSpan w:val="2"/>
            <w:shd w:val="clear" w:color="auto" w:fill="CCEC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83.40</w:t>
            </w:r>
          </w:p>
        </w:tc>
        <w:tc>
          <w:tcPr>
            <w:tcW w:w="80" w:type="dxa"/>
            <w:vAlign w:val="bottom"/>
            <w:shd w:val="clear" w:color="auto" w:fill="CCECFF"/>
          </w:tcPr>
          <w:p>
            <w:pPr>
              <w:spacing w:after="0"/>
              <w:rPr>
                <w:sz w:val="19"/>
                <w:szCs w:val="19"/>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Fourth Quarter</w:t>
            </w:r>
          </w:p>
        </w:tc>
        <w:tc>
          <w:tcPr>
            <w:tcW w:w="2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117.12</w:t>
            </w:r>
          </w:p>
        </w:tc>
        <w:tc>
          <w:tcPr>
            <w:tcW w:w="6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79.34</w:t>
            </w:r>
          </w:p>
        </w:tc>
        <w:tc>
          <w:tcPr>
            <w:tcW w:w="80" w:type="dxa"/>
            <w:vAlign w:val="bottom"/>
          </w:tcPr>
          <w:p>
            <w:pPr>
              <w:spacing w:after="0"/>
              <w:rPr>
                <w:sz w:val="20"/>
                <w:szCs w:val="20"/>
                <w:color w:val="auto"/>
              </w:rPr>
            </w:pPr>
          </w:p>
        </w:tc>
      </w:tr>
    </w:tbl>
    <w:p>
      <w:pPr>
        <w:spacing w:after="0" w:line="102"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Fiscal 2016</w:t>
            </w: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180" w:type="dxa"/>
            <w:vAlign w:val="bottom"/>
            <w:tcBorders>
              <w:bottom w:val="single" w:sz="8" w:color="CCECFF"/>
            </w:tcBorders>
          </w:tcPr>
          <w:p>
            <w:pPr>
              <w:spacing w:after="0"/>
              <w:rPr>
                <w:sz w:val="19"/>
                <w:szCs w:val="19"/>
                <w:color w:val="auto"/>
              </w:rPr>
            </w:pPr>
          </w:p>
        </w:tc>
        <w:tc>
          <w:tcPr>
            <w:tcW w:w="2060" w:type="dxa"/>
            <w:vAlign w:val="bottom"/>
            <w:tcBorders>
              <w:bottom w:val="single" w:sz="8" w:color="CCEC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High</w:t>
            </w:r>
          </w:p>
        </w:tc>
        <w:tc>
          <w:tcPr>
            <w:tcW w:w="220" w:type="dxa"/>
            <w:vAlign w:val="bottom"/>
            <w:tcBorders>
              <w:bottom w:val="single" w:sz="8" w:color="CCEC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Low</w:t>
            </w:r>
          </w:p>
        </w:tc>
        <w:tc>
          <w:tcPr>
            <w:tcW w:w="80" w:type="dxa"/>
            <w:vAlign w:val="bottom"/>
            <w:tcBorders>
              <w:bottom w:val="single" w:sz="8" w:color="CCECFF"/>
            </w:tcBorders>
          </w:tcPr>
          <w:p>
            <w:pPr>
              <w:spacing w:after="0"/>
              <w:rPr>
                <w:sz w:val="19"/>
                <w:szCs w:val="19"/>
                <w:color w:val="auto"/>
              </w:rPr>
            </w:pPr>
          </w:p>
        </w:tc>
      </w:tr>
      <w:tr>
        <w:trPr>
          <w:trHeight w:val="223"/>
        </w:trPr>
        <w:tc>
          <w:tcPr>
            <w:tcW w:w="3180" w:type="dxa"/>
            <w:vAlign w:val="bottom"/>
            <w:shd w:val="clear" w:color="auto" w:fill="CCECFF"/>
          </w:tcPr>
          <w:p>
            <w:pPr>
              <w:spacing w:after="0"/>
              <w:rPr>
                <w:sz w:val="20"/>
                <w:szCs w:val="20"/>
                <w:color w:val="auto"/>
              </w:rPr>
            </w:pPr>
            <w:r>
              <w:rPr>
                <w:rFonts w:ascii="Arial" w:cs="Arial" w:eastAsia="Arial" w:hAnsi="Arial"/>
                <w:sz w:val="18"/>
                <w:szCs w:val="18"/>
                <w:color w:val="auto"/>
              </w:rPr>
              <w:t>First Quarter</w:t>
            </w:r>
          </w:p>
        </w:tc>
        <w:tc>
          <w:tcPr>
            <w:tcW w:w="2060" w:type="dxa"/>
            <w:vAlign w:val="bottom"/>
            <w:shd w:val="clear" w:color="auto" w:fill="CCECFF"/>
          </w:tcPr>
          <w:p>
            <w:pPr>
              <w:spacing w:after="0"/>
              <w:rPr>
                <w:sz w:val="19"/>
                <w:szCs w:val="19"/>
                <w:color w:val="auto"/>
              </w:rPr>
            </w:pPr>
          </w:p>
        </w:tc>
        <w:tc>
          <w:tcPr>
            <w:tcW w:w="2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110.06</w:t>
            </w:r>
          </w:p>
        </w:tc>
        <w:tc>
          <w:tcPr>
            <w:tcW w:w="220" w:type="dxa"/>
            <w:vAlign w:val="bottom"/>
            <w:shd w:val="clear" w:color="auto" w:fill="CCECFF"/>
          </w:tcPr>
          <w:p>
            <w:pPr>
              <w:spacing w:after="0"/>
              <w:rPr>
                <w:sz w:val="19"/>
                <w:szCs w:val="19"/>
                <w:color w:val="auto"/>
              </w:rPr>
            </w:pPr>
          </w:p>
        </w:tc>
        <w:tc>
          <w:tcPr>
            <w:tcW w:w="380" w:type="dxa"/>
            <w:vAlign w:val="bottom"/>
            <w:shd w:val="clear" w:color="auto" w:fill="CCEC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49.00</w:t>
            </w:r>
          </w:p>
        </w:tc>
        <w:tc>
          <w:tcPr>
            <w:tcW w:w="80" w:type="dxa"/>
            <w:vAlign w:val="bottom"/>
            <w:shd w:val="clear" w:color="auto" w:fill="CCECFF"/>
          </w:tcPr>
          <w:p>
            <w:pPr>
              <w:spacing w:after="0"/>
              <w:rPr>
                <w:sz w:val="19"/>
                <w:szCs w:val="19"/>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Second Quarter</w:t>
            </w:r>
          </w:p>
        </w:tc>
        <w:tc>
          <w:tcPr>
            <w:tcW w:w="2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78.13</w:t>
            </w:r>
          </w:p>
        </w:tc>
        <w:tc>
          <w:tcPr>
            <w:tcW w:w="6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46.52</w:t>
            </w:r>
          </w:p>
        </w:tc>
        <w:tc>
          <w:tcPr>
            <w:tcW w:w="80" w:type="dxa"/>
            <w:vAlign w:val="bottom"/>
          </w:tcPr>
          <w:p>
            <w:pPr>
              <w:spacing w:after="0"/>
              <w:rPr>
                <w:sz w:val="19"/>
                <w:szCs w:val="19"/>
                <w:color w:val="auto"/>
              </w:rPr>
            </w:pPr>
          </w:p>
        </w:tc>
      </w:tr>
      <w:tr>
        <w:trPr>
          <w:trHeight w:val="230"/>
        </w:trPr>
        <w:tc>
          <w:tcPr>
            <w:tcW w:w="3180" w:type="dxa"/>
            <w:vAlign w:val="bottom"/>
            <w:shd w:val="clear" w:color="auto" w:fill="CCECFF"/>
          </w:tcPr>
          <w:p>
            <w:pPr>
              <w:spacing w:after="0"/>
              <w:rPr>
                <w:sz w:val="20"/>
                <w:szCs w:val="20"/>
                <w:color w:val="auto"/>
              </w:rPr>
            </w:pPr>
            <w:r>
              <w:rPr>
                <w:rFonts w:ascii="Arial" w:cs="Arial" w:eastAsia="Arial" w:hAnsi="Arial"/>
                <w:sz w:val="18"/>
                <w:szCs w:val="18"/>
                <w:color w:val="auto"/>
              </w:rPr>
              <w:t>Third Quarter</w:t>
            </w:r>
          </w:p>
        </w:tc>
        <w:tc>
          <w:tcPr>
            <w:tcW w:w="2320" w:type="dxa"/>
            <w:vAlign w:val="bottom"/>
            <w:gridSpan w:val="2"/>
            <w:shd w:val="clear" w:color="auto" w:fill="CCEC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81.40</w:t>
            </w:r>
          </w:p>
        </w:tc>
        <w:tc>
          <w:tcPr>
            <w:tcW w:w="600" w:type="dxa"/>
            <w:vAlign w:val="bottom"/>
            <w:gridSpan w:val="2"/>
            <w:shd w:val="clear" w:color="auto" w:fill="CCEC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48.33</w:t>
            </w:r>
          </w:p>
        </w:tc>
        <w:tc>
          <w:tcPr>
            <w:tcW w:w="80" w:type="dxa"/>
            <w:vAlign w:val="bottom"/>
            <w:shd w:val="clear" w:color="auto" w:fill="CCECFF"/>
          </w:tcPr>
          <w:p>
            <w:pPr>
              <w:spacing w:after="0"/>
              <w:rPr>
                <w:sz w:val="19"/>
                <w:szCs w:val="19"/>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Fourth Quarter</w:t>
            </w:r>
          </w:p>
        </w:tc>
        <w:tc>
          <w:tcPr>
            <w:tcW w:w="2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86.77</w:t>
            </w:r>
          </w:p>
        </w:tc>
        <w:tc>
          <w:tcPr>
            <w:tcW w:w="6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52.60</w:t>
            </w:r>
          </w:p>
        </w:tc>
        <w:tc>
          <w:tcPr>
            <w:tcW w:w="80" w:type="dxa"/>
            <w:vAlign w:val="bottom"/>
          </w:tcPr>
          <w:p>
            <w:pPr>
              <w:spacing w:after="0"/>
              <w:rPr>
                <w:sz w:val="20"/>
                <w:szCs w:val="20"/>
                <w:color w:val="auto"/>
              </w:rPr>
            </w:pPr>
          </w:p>
        </w:tc>
      </w:tr>
    </w:tbl>
    <w:p>
      <w:pPr>
        <w:spacing w:after="0" w:line="66"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As of February 15, 2017, we had 3 holders of record of our common stock. Certain shares are held in “street” name and, accordingly, the number of beneficial owners of such shares is not known or included in the foregoing number.</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STOCK PRICE PERFORMANCE GRAPH</w:t>
      </w:r>
    </w:p>
    <w:p>
      <w:pPr>
        <w:spacing w:after="0" w:line="94"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The following stock performance graph compares our total stock return with the total return for (i) the NASDAQ Composite Index and the (ii) the NASDAQ Biotechnology Index for the period from January 31, 2014 (the date our common stock commenced trading on the NASDAQ Global Market) through December 31, 2016. The figures represented below assume an investment of $100 in our common stock at the closing price of $42.25 on January 31, 2014 and in the NASDAQ Composite Index and the NASDAQ Biotechnology Index on January 31, 2014 and the reinvestment of dividends into shares of common stock. The comparisons in the table are required by the SEC and are not intended to forecast or be indicative of possible future performance of our common stock. This graph shall not be deemed “soliciting material” or be deemed “filed” for purposes of Section 18 of the Securities Exchange Act of 1934, as amended, or the Exchange Act, or otherwise subject to the liabilities under that section, and shall not be deemed to be incorporated by reference into any of our filings under the Securities Act of 1933, as amended, or the Securities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38735</wp:posOffset>
            </wp:positionV>
            <wp:extent cx="6165850" cy="2040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65850" cy="2040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31,</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w:t>
            </w:r>
          </w:p>
        </w:tc>
        <w:tc>
          <w:tcPr>
            <w:tcW w:w="2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w:t>
            </w:r>
          </w:p>
        </w:tc>
        <w:tc>
          <w:tcPr>
            <w:tcW w:w="240" w:type="dxa"/>
            <w:vAlign w:val="bottom"/>
          </w:tcPr>
          <w:p>
            <w:pPr>
              <w:spacing w:after="0"/>
              <w:rPr>
                <w:sz w:val="18"/>
                <w:szCs w:val="18"/>
                <w:color w:val="auto"/>
              </w:rPr>
            </w:pPr>
          </w:p>
        </w:tc>
        <w:tc>
          <w:tcPr>
            <w:tcW w:w="132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8"/>
                <w:szCs w:val="18"/>
                <w:color w:val="auto"/>
              </w:rPr>
            </w:pPr>
          </w:p>
        </w:tc>
      </w:tr>
      <w:tr>
        <w:trPr>
          <w:trHeight w:val="234"/>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$100 investment in stock or index</w:t>
            </w:r>
          </w:p>
        </w:tc>
        <w:tc>
          <w:tcPr>
            <w:tcW w:w="1060" w:type="dxa"/>
            <w:vAlign w:val="bottom"/>
          </w:tcPr>
          <w:p>
            <w:pPr>
              <w:jc w:val="center"/>
              <w:ind w:left="130"/>
              <w:spacing w:after="0"/>
              <w:rPr>
                <w:sz w:val="20"/>
                <w:szCs w:val="20"/>
                <w:color w:val="auto"/>
              </w:rPr>
            </w:pPr>
            <w:r>
              <w:rPr>
                <w:rFonts w:ascii="Arial" w:cs="Arial" w:eastAsia="Arial" w:hAnsi="Arial"/>
                <w:sz w:val="18"/>
                <w:szCs w:val="18"/>
                <w:b w:val="1"/>
                <w:bCs w:val="1"/>
                <w:color w:val="auto"/>
                <w:w w:val="97"/>
              </w:rPr>
              <w:t>Ticker</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4240" w:type="dxa"/>
            <w:vAlign w:val="bottom"/>
            <w:tcBorders>
              <w:top w:val="single" w:sz="8" w:color="auto"/>
            </w:tcBorders>
            <w:shd w:val="clear" w:color="auto" w:fill="CCECFF"/>
          </w:tcPr>
          <w:p>
            <w:pPr>
              <w:ind w:left="140"/>
              <w:spacing w:after="0"/>
              <w:rPr>
                <w:sz w:val="20"/>
                <w:szCs w:val="20"/>
                <w:color w:val="auto"/>
              </w:rPr>
            </w:pPr>
            <w:r>
              <w:rPr>
                <w:rFonts w:ascii="Arial" w:cs="Arial" w:eastAsia="Arial" w:hAnsi="Arial"/>
                <w:sz w:val="18"/>
                <w:szCs w:val="18"/>
                <w:color w:val="auto"/>
              </w:rPr>
              <w:t>Ultragenyx Pharmaceutical Inc.</w:t>
            </w:r>
          </w:p>
        </w:tc>
        <w:tc>
          <w:tcPr>
            <w:tcW w:w="140" w:type="dxa"/>
            <w:vAlign w:val="bottom"/>
            <w:tcBorders>
              <w:top w:val="single" w:sz="8" w:color="CCECFF"/>
            </w:tcBorders>
            <w:shd w:val="clear" w:color="auto" w:fill="CCECFF"/>
          </w:tcPr>
          <w:p>
            <w:pPr>
              <w:spacing w:after="0"/>
              <w:rPr>
                <w:sz w:val="19"/>
                <w:szCs w:val="19"/>
                <w:color w:val="auto"/>
              </w:rPr>
            </w:pPr>
          </w:p>
        </w:tc>
        <w:tc>
          <w:tcPr>
            <w:tcW w:w="1060" w:type="dxa"/>
            <w:vAlign w:val="bottom"/>
            <w:tcBorders>
              <w:top w:val="single" w:sz="8" w:color="auto"/>
            </w:tcBorders>
            <w:shd w:val="clear" w:color="auto" w:fill="CCECFF"/>
          </w:tcPr>
          <w:p>
            <w:pPr>
              <w:jc w:val="center"/>
              <w:ind w:left="130"/>
              <w:spacing w:after="0"/>
              <w:rPr>
                <w:sz w:val="20"/>
                <w:szCs w:val="20"/>
                <w:color w:val="auto"/>
              </w:rPr>
            </w:pPr>
            <w:r>
              <w:rPr>
                <w:rFonts w:ascii="Arial" w:cs="Arial" w:eastAsia="Arial" w:hAnsi="Arial"/>
                <w:sz w:val="18"/>
                <w:szCs w:val="18"/>
                <w:color w:val="auto"/>
                <w:w w:val="95"/>
              </w:rPr>
              <w:t>RARE</w:t>
            </w:r>
          </w:p>
        </w:tc>
        <w:tc>
          <w:tcPr>
            <w:tcW w:w="240" w:type="dxa"/>
            <w:vAlign w:val="bottom"/>
            <w:tcBorders>
              <w:top w:val="single" w:sz="8" w:color="auto"/>
            </w:tcBorders>
            <w:shd w:val="clear" w:color="auto" w:fill="CCECFF"/>
          </w:tcPr>
          <w:p>
            <w:pPr>
              <w:spacing w:after="0"/>
              <w:rPr>
                <w:sz w:val="19"/>
                <w:szCs w:val="19"/>
                <w:color w:val="auto"/>
              </w:rPr>
            </w:pPr>
          </w:p>
        </w:tc>
        <w:tc>
          <w:tcPr>
            <w:tcW w:w="140" w:type="dxa"/>
            <w:vAlign w:val="bottom"/>
            <w:tcBorders>
              <w:top w:val="single" w:sz="8" w:color="CCECFF"/>
            </w:tcBorders>
            <w:shd w:val="clear" w:color="auto" w:fill="CCECFF"/>
          </w:tcPr>
          <w:p>
            <w:pPr>
              <w:spacing w:after="0"/>
              <w:rPr>
                <w:sz w:val="19"/>
                <w:szCs w:val="19"/>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tcBorders>
              <w:top w:val="single" w:sz="8" w:color="CCECFF"/>
            </w:tcBorders>
            <w:shd w:val="clear" w:color="auto" w:fill="CCECFF"/>
          </w:tcPr>
          <w:p>
            <w:pPr>
              <w:spacing w:after="0"/>
              <w:rPr>
                <w:sz w:val="19"/>
                <w:szCs w:val="19"/>
                <w:color w:val="auto"/>
              </w:rPr>
            </w:pPr>
          </w:p>
        </w:tc>
        <w:tc>
          <w:tcPr>
            <w:tcW w:w="240" w:type="dxa"/>
            <w:vAlign w:val="bottom"/>
            <w:tcBorders>
              <w:top w:val="single" w:sz="8" w:color="auto"/>
            </w:tcBorders>
            <w:shd w:val="clear" w:color="auto" w:fill="CCECFF"/>
          </w:tcPr>
          <w:p>
            <w:pPr>
              <w:jc w:val="right"/>
              <w:ind w:right="81"/>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103.86</w:t>
            </w:r>
          </w:p>
        </w:tc>
        <w:tc>
          <w:tcPr>
            <w:tcW w:w="240" w:type="dxa"/>
            <w:vAlign w:val="bottom"/>
            <w:tcBorders>
              <w:top w:val="single" w:sz="8" w:color="CCECFF"/>
            </w:tcBorders>
            <w:shd w:val="clear" w:color="auto" w:fill="CCECFF"/>
          </w:tcPr>
          <w:p>
            <w:pPr>
              <w:spacing w:after="0"/>
              <w:rPr>
                <w:sz w:val="19"/>
                <w:szCs w:val="19"/>
                <w:color w:val="auto"/>
              </w:rPr>
            </w:pPr>
          </w:p>
        </w:tc>
        <w:tc>
          <w:tcPr>
            <w:tcW w:w="260" w:type="dxa"/>
            <w:vAlign w:val="bottom"/>
            <w:tcBorders>
              <w:top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265.51</w:t>
            </w:r>
          </w:p>
        </w:tc>
        <w:tc>
          <w:tcPr>
            <w:tcW w:w="240" w:type="dxa"/>
            <w:vAlign w:val="bottom"/>
            <w:tcBorders>
              <w:top w:val="single" w:sz="8" w:color="CCECFF"/>
            </w:tcBorders>
            <w:shd w:val="clear" w:color="auto" w:fill="CCECFF"/>
          </w:tcPr>
          <w:p>
            <w:pPr>
              <w:spacing w:after="0"/>
              <w:rPr>
                <w:sz w:val="19"/>
                <w:szCs w:val="19"/>
                <w:color w:val="auto"/>
              </w:rPr>
            </w:pPr>
          </w:p>
        </w:tc>
        <w:tc>
          <w:tcPr>
            <w:tcW w:w="240" w:type="dxa"/>
            <w:vAlign w:val="bottom"/>
            <w:tcBorders>
              <w:top w:val="single" w:sz="8" w:color="auto"/>
            </w:tcBorders>
            <w:shd w:val="clear" w:color="auto" w:fill="CCECFF"/>
          </w:tcPr>
          <w:p>
            <w:pPr>
              <w:jc w:val="right"/>
              <w:ind w:right="7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166.41</w:t>
            </w:r>
          </w:p>
        </w:tc>
        <w:tc>
          <w:tcPr>
            <w:tcW w:w="120" w:type="dxa"/>
            <w:vAlign w:val="bottom"/>
            <w:tcBorders>
              <w:top w:val="single" w:sz="8" w:color="CCECFF"/>
            </w:tcBorders>
            <w:shd w:val="clear" w:color="auto" w:fill="CCEC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80" w:type="dxa"/>
            <w:vAlign w:val="bottom"/>
            <w:gridSpan w:val="2"/>
          </w:tcPr>
          <w:p>
            <w:pPr>
              <w:ind w:left="140"/>
              <w:spacing w:after="0"/>
              <w:rPr>
                <w:sz w:val="20"/>
                <w:szCs w:val="20"/>
                <w:color w:val="auto"/>
              </w:rPr>
            </w:pPr>
            <w:r>
              <w:rPr>
                <w:rFonts w:ascii="Arial" w:cs="Arial" w:eastAsia="Arial" w:hAnsi="Arial"/>
                <w:sz w:val="18"/>
                <w:szCs w:val="18"/>
                <w:color w:val="auto"/>
              </w:rPr>
              <w:t>NASDAQ Composite Index</w:t>
            </w:r>
          </w:p>
        </w:tc>
        <w:tc>
          <w:tcPr>
            <w:tcW w:w="1060" w:type="dxa"/>
            <w:vAlign w:val="bottom"/>
          </w:tcPr>
          <w:p>
            <w:pPr>
              <w:jc w:val="center"/>
              <w:ind w:left="130"/>
              <w:spacing w:after="0"/>
              <w:rPr>
                <w:sz w:val="20"/>
                <w:szCs w:val="20"/>
                <w:color w:val="auto"/>
              </w:rPr>
            </w:pPr>
            <w:r>
              <w:rPr>
                <w:rFonts w:ascii="Arial" w:cs="Arial" w:eastAsia="Arial" w:hAnsi="Arial"/>
                <w:sz w:val="18"/>
                <w:szCs w:val="18"/>
                <w:color w:val="auto"/>
              </w:rPr>
              <w:t>^IXIC</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19"/>
                <w:szCs w:val="19"/>
                <w:color w:val="auto"/>
              </w:rPr>
            </w:pP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115.40</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122.02</w:t>
            </w:r>
          </w:p>
        </w:tc>
        <w:tc>
          <w:tcPr>
            <w:tcW w:w="48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131.17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80" w:type="dxa"/>
            <w:vAlign w:val="bottom"/>
            <w:gridSpan w:val="2"/>
            <w:shd w:val="clear" w:color="auto" w:fill="CCECFF"/>
          </w:tcPr>
          <w:p>
            <w:pPr>
              <w:ind w:left="140"/>
              <w:spacing w:after="0"/>
              <w:rPr>
                <w:sz w:val="20"/>
                <w:szCs w:val="20"/>
                <w:color w:val="auto"/>
              </w:rPr>
            </w:pPr>
            <w:r>
              <w:rPr>
                <w:rFonts w:ascii="Arial" w:cs="Arial" w:eastAsia="Arial" w:hAnsi="Arial"/>
                <w:sz w:val="18"/>
                <w:szCs w:val="18"/>
                <w:color w:val="auto"/>
              </w:rPr>
              <w:t>NASDAQ Biotechnology Index</w:t>
            </w:r>
          </w:p>
        </w:tc>
        <w:tc>
          <w:tcPr>
            <w:tcW w:w="1060" w:type="dxa"/>
            <w:vAlign w:val="bottom"/>
            <w:shd w:val="clear" w:color="auto" w:fill="CCECFF"/>
          </w:tcPr>
          <w:p>
            <w:pPr>
              <w:jc w:val="center"/>
              <w:ind w:left="130"/>
              <w:spacing w:after="0"/>
              <w:rPr>
                <w:sz w:val="20"/>
                <w:szCs w:val="20"/>
                <w:color w:val="auto"/>
              </w:rPr>
            </w:pPr>
            <w:r>
              <w:rPr>
                <w:rFonts w:ascii="Arial" w:cs="Arial" w:eastAsia="Arial" w:hAnsi="Arial"/>
                <w:sz w:val="18"/>
                <w:szCs w:val="18"/>
                <w:color w:val="auto"/>
              </w:rPr>
              <w:t>^NBI</w:t>
            </w:r>
          </w:p>
        </w:tc>
        <w:tc>
          <w:tcPr>
            <w:tcW w:w="480" w:type="dxa"/>
            <w:vAlign w:val="bottom"/>
            <w:gridSpan w:val="3"/>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shd w:val="clear" w:color="auto" w:fill="CCECFF"/>
          </w:tcPr>
          <w:p>
            <w:pPr>
              <w:spacing w:after="0"/>
              <w:rPr>
                <w:sz w:val="19"/>
                <w:szCs w:val="19"/>
                <w:color w:val="auto"/>
              </w:rPr>
            </w:pPr>
          </w:p>
        </w:tc>
        <w:tc>
          <w:tcPr>
            <w:tcW w:w="240" w:type="dxa"/>
            <w:vAlign w:val="bottom"/>
            <w:shd w:val="clear" w:color="auto" w:fill="CCECFF"/>
          </w:tcPr>
          <w:p>
            <w:pPr>
              <w:jc w:val="right"/>
              <w:ind w:right="81"/>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123.70</w:t>
            </w:r>
          </w:p>
        </w:tc>
        <w:tc>
          <w:tcPr>
            <w:tcW w:w="500" w:type="dxa"/>
            <w:vAlign w:val="bottom"/>
            <w:gridSpan w:val="2"/>
            <w:shd w:val="clear" w:color="auto" w:fill="CCEC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137.83</w:t>
            </w:r>
          </w:p>
        </w:tc>
        <w:tc>
          <w:tcPr>
            <w:tcW w:w="480" w:type="dxa"/>
            <w:vAlign w:val="bottom"/>
            <w:gridSpan w:val="2"/>
            <w:shd w:val="clear" w:color="auto" w:fill="CCECFF"/>
          </w:tcPr>
          <w:p>
            <w:pPr>
              <w:jc w:val="right"/>
              <w:ind w:right="7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107.94</w:t>
            </w:r>
          </w:p>
        </w:tc>
        <w:tc>
          <w:tcPr>
            <w:tcW w:w="120" w:type="dxa"/>
            <w:vAlign w:val="bottom"/>
            <w:shd w:val="clear" w:color="auto" w:fill="CCECFF"/>
          </w:tcPr>
          <w:p>
            <w:pPr>
              <w:spacing w:after="0"/>
              <w:rPr>
                <w:sz w:val="19"/>
                <w:szCs w:val="19"/>
                <w:color w:val="auto"/>
              </w:rPr>
            </w:pPr>
          </w:p>
        </w:tc>
        <w:tc>
          <w:tcPr>
            <w:tcW w:w="20" w:type="dxa"/>
            <w:vAlign w:val="bottom"/>
          </w:tcPr>
          <w:p>
            <w:pPr>
              <w:spacing w:after="0"/>
              <w:rPr>
                <w:sz w:val="19"/>
                <w:szCs w:val="19"/>
                <w:color w:val="auto"/>
              </w:rPr>
            </w:pPr>
          </w:p>
        </w:tc>
      </w:tr>
      <w:tr>
        <w:trPr>
          <w:trHeight w:val="432"/>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Dividend Policy</w:t>
      </w:r>
    </w:p>
    <w:p>
      <w:pPr>
        <w:spacing w:after="0" w:line="94" w:lineRule="exact"/>
        <w:rPr>
          <w:sz w:val="20"/>
          <w:szCs w:val="20"/>
          <w:color w:val="auto"/>
        </w:rPr>
      </w:pPr>
    </w:p>
    <w:p>
      <w:pPr>
        <w:ind w:right="120" w:firstLine="518"/>
        <w:spacing w:after="0" w:line="312" w:lineRule="auto"/>
        <w:rPr>
          <w:sz w:val="20"/>
          <w:szCs w:val="20"/>
          <w:color w:val="auto"/>
        </w:rPr>
      </w:pPr>
      <w:r>
        <w:rPr>
          <w:rFonts w:ascii="Arial" w:cs="Arial" w:eastAsia="Arial" w:hAnsi="Arial"/>
          <w:sz w:val="16"/>
          <w:szCs w:val="16"/>
          <w:color w:val="auto"/>
        </w:rPr>
        <w:t>We have never declared or paid cash dividends on our common stock. We currently intend to retain all available funds and any future earnings, if any, to fund the development, operation, and expansion of our business, and we do not anticipate paying any cash dividends on our common stock in the foreseeable future. Any future determination to pay dividends will be made at the discretion of our board of directors or any authorized committee thereof.</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8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On July 26, 2016 and November 3, 2016, we issued 374,590 shares and 352,530 shares, respectively, of our common stock to Takeda in exchange for $40.0 million and $25.0 million, respectively, pursuant to the terms of the common stock purchase agreement between us and Takeda. These issuances of common stock to an accredited investor were exempt from the registration requirements of the Securities Act in reliance upon Section 4(a)(2) of the Securities Act or Regulation D promulgated under the Securities Act.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Issuer’s Purchases of Equity Securities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Consolidated Financial Data</w:t>
      </w:r>
    </w:p>
    <w:p>
      <w:pPr>
        <w:spacing w:after="0" w:line="8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information set forth below for the five years ended December 31, 2016 is not necessarily indicative of the results that may be expected in the future and interim results are not necessarily indicative of results to be expected for the full year. You should read the selected historical financial data below in conjunction with the section titled “Management’s Discussion and Analysis of Financial Condition and Results of Operations” and the consolidated financial statements and related notes included elsewhere in this Annual Report.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7"/>
          </w:tcPr>
          <w:p>
            <w:pPr>
              <w:jc w:val="center"/>
              <w:ind w:left="550"/>
              <w:spacing w:after="0"/>
              <w:rPr>
                <w:sz w:val="20"/>
                <w:szCs w:val="20"/>
                <w:color w:val="auto"/>
              </w:rPr>
            </w:pPr>
            <w:r>
              <w:rPr>
                <w:rFonts w:ascii="Arial" w:cs="Arial" w:eastAsia="Arial" w:hAnsi="Arial"/>
                <w:sz w:val="18"/>
                <w:szCs w:val="18"/>
                <w:b w:val="1"/>
                <w:bCs w:val="1"/>
                <w:color w:val="auto"/>
                <w:w w:val="90"/>
              </w:rPr>
              <w:t>Year Ended December 31,</w:t>
            </w: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2013</w:t>
            </w:r>
          </w:p>
        </w:tc>
        <w:tc>
          <w:tcPr>
            <w:tcW w:w="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60" w:type="dxa"/>
            <w:vAlign w:val="bottom"/>
            <w:gridSpan w:val="11"/>
          </w:tcPr>
          <w:p>
            <w:pPr>
              <w:jc w:val="center"/>
              <w:ind w:right="4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C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6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0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0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0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78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88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60"/>
              <w:spacing w:after="0"/>
              <w:rPr>
                <w:sz w:val="20"/>
                <w:szCs w:val="20"/>
                <w:color w:val="auto"/>
              </w:rPr>
            </w:pPr>
            <w:r>
              <w:rPr>
                <w:rFonts w:ascii="Arial" w:cs="Arial" w:eastAsia="Arial" w:hAnsi="Arial"/>
                <w:sz w:val="18"/>
                <w:szCs w:val="18"/>
                <w:color w:val="auto"/>
              </w:rPr>
              <w:t>Revenue</w:t>
            </w:r>
          </w:p>
        </w:tc>
        <w:tc>
          <w:tcPr>
            <w:tcW w:w="7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00" w:type="dxa"/>
            <w:vAlign w:val="bottom"/>
            <w:shd w:val="clear" w:color="auto" w:fill="CCECFF"/>
          </w:tcPr>
          <w:p>
            <w:pPr>
              <w:ind w:left="260"/>
              <w:spacing w:after="0"/>
              <w:rPr>
                <w:sz w:val="20"/>
                <w:szCs w:val="20"/>
                <w:color w:val="auto"/>
              </w:rPr>
            </w:pPr>
            <w:r>
              <w:rPr>
                <w:rFonts w:ascii="Arial" w:cs="Arial" w:eastAsia="Arial" w:hAnsi="Arial"/>
                <w:sz w:val="18"/>
                <w:szCs w:val="18"/>
                <w:color w:val="auto"/>
              </w:rPr>
              <w:t>Operating expenses:</w:t>
            </w:r>
          </w:p>
        </w:tc>
        <w:tc>
          <w:tcPr>
            <w:tcW w:w="6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0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0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0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78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88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183,204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114,737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45,967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27,829</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CFF"/>
          </w:tcPr>
          <w:p>
            <w:pPr>
              <w:ind w:left="500"/>
              <w:spacing w:after="0"/>
              <w:rPr>
                <w:sz w:val="20"/>
                <w:szCs w:val="20"/>
                <w:color w:val="auto"/>
              </w:rPr>
            </w:pPr>
            <w:r>
              <w:rPr>
                <w:rFonts w:ascii="Arial" w:cs="Arial" w:eastAsia="Arial" w:hAnsi="Arial"/>
                <w:sz w:val="18"/>
                <w:szCs w:val="18"/>
                <w:color w:val="auto"/>
              </w:rPr>
              <w:t>General and administrative</w:t>
            </w:r>
          </w:p>
        </w:tc>
        <w:tc>
          <w:tcPr>
            <w:tcW w:w="620" w:type="dxa"/>
            <w:vAlign w:val="bottom"/>
            <w:shd w:val="clear" w:color="auto" w:fill="CCECFF"/>
          </w:tcPr>
          <w:p>
            <w:pPr>
              <w:spacing w:after="0"/>
              <w:rPr>
                <w:sz w:val="19"/>
                <w:szCs w:val="19"/>
                <w:color w:val="auto"/>
              </w:rPr>
            </w:pPr>
          </w:p>
        </w:tc>
        <w:tc>
          <w:tcPr>
            <w:tcW w:w="160" w:type="dxa"/>
            <w:vAlign w:val="bottom"/>
            <w:tcBorders>
              <w:bottom w:val="single" w:sz="8" w:color="auto"/>
            </w:tcBorders>
            <w:shd w:val="clear" w:color="auto" w:fill="CCECFF"/>
          </w:tcPr>
          <w:p>
            <w:pPr>
              <w:spacing w:after="0"/>
              <w:rPr>
                <w:sz w:val="19"/>
                <w:szCs w:val="19"/>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64,936</w:t>
            </w:r>
          </w:p>
        </w:tc>
        <w:tc>
          <w:tcPr>
            <w:tcW w:w="10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60" w:type="dxa"/>
            <w:vAlign w:val="bottom"/>
            <w:tcBorders>
              <w:bottom w:val="single" w:sz="8" w:color="auto"/>
            </w:tcBorders>
            <w:shd w:val="clear" w:color="auto" w:fill="CCECFF"/>
          </w:tcPr>
          <w:p>
            <w:pPr>
              <w:spacing w:after="0"/>
              <w:rPr>
                <w:sz w:val="19"/>
                <w:szCs w:val="19"/>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33,001</w:t>
            </w:r>
          </w:p>
        </w:tc>
        <w:tc>
          <w:tcPr>
            <w:tcW w:w="16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160" w:type="dxa"/>
            <w:vAlign w:val="bottom"/>
            <w:tcBorders>
              <w:bottom w:val="single" w:sz="8" w:color="auto"/>
            </w:tcBorders>
            <w:shd w:val="clear" w:color="auto" w:fill="CCECFF"/>
          </w:tcPr>
          <w:p>
            <w:pPr>
              <w:spacing w:after="0"/>
              <w:rPr>
                <w:sz w:val="19"/>
                <w:szCs w:val="19"/>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10,811</w:t>
            </w:r>
          </w:p>
        </w:tc>
        <w:tc>
          <w:tcPr>
            <w:tcW w:w="260" w:type="dxa"/>
            <w:vAlign w:val="bottom"/>
            <w:shd w:val="clear" w:color="auto" w:fill="CCECFF"/>
          </w:tcPr>
          <w:p>
            <w:pPr>
              <w:spacing w:after="0"/>
              <w:rPr>
                <w:sz w:val="19"/>
                <w:szCs w:val="19"/>
                <w:color w:val="auto"/>
              </w:rPr>
            </w:pPr>
          </w:p>
        </w:tc>
        <w:tc>
          <w:tcPr>
            <w:tcW w:w="280" w:type="dxa"/>
            <w:vAlign w:val="bottom"/>
            <w:tcBorders>
              <w:bottom w:val="single" w:sz="8" w:color="auto"/>
            </w:tcBorders>
            <w:shd w:val="clear" w:color="auto" w:fill="CCECFF"/>
          </w:tcPr>
          <w:p>
            <w:pPr>
              <w:spacing w:after="0"/>
              <w:rPr>
                <w:sz w:val="19"/>
                <w:szCs w:val="19"/>
                <w:color w:val="auto"/>
              </w:rPr>
            </w:pPr>
          </w:p>
        </w:tc>
        <w:tc>
          <w:tcPr>
            <w:tcW w:w="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4,451</w:t>
            </w:r>
          </w:p>
        </w:tc>
        <w:tc>
          <w:tcPr>
            <w:tcW w:w="200" w:type="dxa"/>
            <w:vAlign w:val="bottom"/>
            <w:shd w:val="clear" w:color="auto" w:fill="CCECFF"/>
          </w:tcPr>
          <w:p>
            <w:pPr>
              <w:spacing w:after="0"/>
              <w:rPr>
                <w:sz w:val="19"/>
                <w:szCs w:val="19"/>
                <w:color w:val="auto"/>
              </w:rPr>
            </w:pPr>
          </w:p>
        </w:tc>
        <w:tc>
          <w:tcPr>
            <w:tcW w:w="60" w:type="dxa"/>
            <w:vAlign w:val="bottom"/>
            <w:shd w:val="clear" w:color="auto" w:fill="CCECFF"/>
          </w:tcPr>
          <w:p>
            <w:pPr>
              <w:spacing w:after="0"/>
              <w:rPr>
                <w:sz w:val="19"/>
                <w:szCs w:val="19"/>
                <w:color w:val="auto"/>
              </w:rPr>
            </w:pPr>
          </w:p>
        </w:tc>
        <w:tc>
          <w:tcPr>
            <w:tcW w:w="220" w:type="dxa"/>
            <w:vAlign w:val="bottom"/>
            <w:tcBorders>
              <w:bottom w:val="single" w:sz="8" w:color="auto"/>
            </w:tcBorders>
            <w:shd w:val="clear" w:color="auto" w:fill="CCECFF"/>
          </w:tcPr>
          <w:p>
            <w:pPr>
              <w:spacing w:after="0"/>
              <w:rPr>
                <w:sz w:val="19"/>
                <w:szCs w:val="19"/>
                <w:color w:val="auto"/>
              </w:rPr>
            </w:pPr>
          </w:p>
        </w:tc>
        <w:tc>
          <w:tcPr>
            <w:tcW w:w="8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3,344</w:t>
            </w: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CCECFF"/>
            </w:tcBorders>
          </w:tcPr>
          <w:p>
            <w:pPr>
              <w:ind w:left="740"/>
              <w:spacing w:after="0"/>
              <w:rPr>
                <w:sz w:val="20"/>
                <w:szCs w:val="20"/>
                <w:color w:val="auto"/>
              </w:rPr>
            </w:pPr>
            <w:r>
              <w:rPr>
                <w:rFonts w:ascii="Arial" w:cs="Arial" w:eastAsia="Arial" w:hAnsi="Arial"/>
                <w:sz w:val="18"/>
                <w:szCs w:val="18"/>
                <w:color w:val="auto"/>
              </w:rPr>
              <w:t>Total operating expenses</w:t>
            </w:r>
          </w:p>
        </w:tc>
        <w:tc>
          <w:tcPr>
            <w:tcW w:w="62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248,140</w:t>
            </w:r>
          </w:p>
        </w:tc>
        <w:tc>
          <w:tcPr>
            <w:tcW w:w="100" w:type="dxa"/>
            <w:vAlign w:val="bottom"/>
            <w:tcBorders>
              <w:bottom w:val="single" w:sz="8" w:color="CCECFF"/>
            </w:tcBorders>
          </w:tcPr>
          <w:p>
            <w:pPr>
              <w:spacing w:after="0"/>
              <w:rPr>
                <w:sz w:val="19"/>
                <w:szCs w:val="19"/>
                <w:color w:val="auto"/>
              </w:rPr>
            </w:pPr>
          </w:p>
        </w:tc>
        <w:tc>
          <w:tcPr>
            <w:tcW w:w="16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147,738</w:t>
            </w:r>
          </w:p>
        </w:tc>
        <w:tc>
          <w:tcPr>
            <w:tcW w:w="160" w:type="dxa"/>
            <w:vAlign w:val="bottom"/>
            <w:tcBorders>
              <w:bottom w:val="single" w:sz="8" w:color="CCECFF"/>
            </w:tcBorders>
          </w:tcPr>
          <w:p>
            <w:pPr>
              <w:spacing w:after="0"/>
              <w:rPr>
                <w:sz w:val="19"/>
                <w:szCs w:val="19"/>
                <w:color w:val="auto"/>
              </w:rPr>
            </w:pPr>
          </w:p>
        </w:tc>
        <w:tc>
          <w:tcPr>
            <w:tcW w:w="10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56,778</w:t>
            </w:r>
          </w:p>
        </w:tc>
        <w:tc>
          <w:tcPr>
            <w:tcW w:w="260" w:type="dxa"/>
            <w:vAlign w:val="bottom"/>
            <w:tcBorders>
              <w:bottom w:val="single" w:sz="8" w:color="CCEC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32,280</w:t>
            </w:r>
          </w:p>
        </w:tc>
        <w:tc>
          <w:tcPr>
            <w:tcW w:w="200" w:type="dxa"/>
            <w:vAlign w:val="bottom"/>
            <w:tcBorders>
              <w:bottom w:val="single" w:sz="8" w:color="CCECFF"/>
            </w:tcBorders>
          </w:tcPr>
          <w:p>
            <w:pPr>
              <w:spacing w:after="0"/>
              <w:rPr>
                <w:sz w:val="19"/>
                <w:szCs w:val="19"/>
                <w:color w:val="auto"/>
              </w:rPr>
            </w:pPr>
          </w:p>
        </w:tc>
        <w:tc>
          <w:tcPr>
            <w:tcW w:w="60" w:type="dxa"/>
            <w:vAlign w:val="bottom"/>
            <w:tcBorders>
              <w:bottom w:val="single" w:sz="8" w:color="CCEC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15,985</w:t>
            </w:r>
          </w:p>
        </w:tc>
        <w:tc>
          <w:tcPr>
            <w:tcW w:w="120" w:type="dxa"/>
            <w:vAlign w:val="bottom"/>
            <w:tcBorders>
              <w:bottom w:val="single" w:sz="8" w:color="CCEC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CECFF"/>
          </w:tcPr>
          <w:p>
            <w:pPr>
              <w:ind w:left="260"/>
              <w:spacing w:after="0"/>
              <w:rPr>
                <w:sz w:val="20"/>
                <w:szCs w:val="20"/>
                <w:color w:val="auto"/>
              </w:rPr>
            </w:pPr>
            <w:r>
              <w:rPr>
                <w:rFonts w:ascii="Arial" w:cs="Arial" w:eastAsia="Arial" w:hAnsi="Arial"/>
                <w:sz w:val="18"/>
                <w:szCs w:val="18"/>
                <w:color w:val="auto"/>
              </w:rPr>
              <w:t>Loss from operations</w:t>
            </w:r>
          </w:p>
        </w:tc>
        <w:tc>
          <w:tcPr>
            <w:tcW w:w="6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(248,007)</w:t>
            </w:r>
          </w:p>
        </w:tc>
        <w:tc>
          <w:tcPr>
            <w:tcW w:w="10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(147,738)</w:t>
            </w:r>
          </w:p>
        </w:tc>
        <w:tc>
          <w:tcPr>
            <w:tcW w:w="16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(56,778)</w:t>
            </w:r>
          </w:p>
        </w:tc>
        <w:tc>
          <w:tcPr>
            <w:tcW w:w="26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(32,280)</w:t>
            </w:r>
          </w:p>
        </w:tc>
        <w:tc>
          <w:tcPr>
            <w:tcW w:w="200" w:type="dxa"/>
            <w:vAlign w:val="bottom"/>
            <w:shd w:val="clear" w:color="auto" w:fill="CCECFF"/>
          </w:tcPr>
          <w:p>
            <w:pPr>
              <w:spacing w:after="0"/>
              <w:rPr>
                <w:sz w:val="19"/>
                <w:szCs w:val="19"/>
                <w:color w:val="auto"/>
              </w:rPr>
            </w:pPr>
          </w:p>
        </w:tc>
        <w:tc>
          <w:tcPr>
            <w:tcW w:w="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(15,985)</w:t>
            </w: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CFF"/>
          </w:tcPr>
          <w:p>
            <w:pPr>
              <w:ind w:left="260"/>
              <w:spacing w:after="0"/>
              <w:rPr>
                <w:sz w:val="20"/>
                <w:szCs w:val="20"/>
                <w:color w:val="auto"/>
              </w:rPr>
            </w:pPr>
            <w:r>
              <w:rPr>
                <w:rFonts w:ascii="Arial" w:cs="Arial" w:eastAsia="Arial" w:hAnsi="Arial"/>
                <w:sz w:val="18"/>
                <w:szCs w:val="18"/>
                <w:color w:val="auto"/>
              </w:rPr>
              <w:t>Other expense, net</w:t>
            </w:r>
          </w:p>
        </w:tc>
        <w:tc>
          <w:tcPr>
            <w:tcW w:w="6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0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(1,621)</w:t>
            </w:r>
          </w:p>
        </w:tc>
        <w:tc>
          <w:tcPr>
            <w:tcW w:w="16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06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16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(3,632)</w:t>
            </w:r>
          </w:p>
        </w:tc>
        <w:tc>
          <w:tcPr>
            <w:tcW w:w="280" w:type="dxa"/>
            <w:vAlign w:val="bottom"/>
            <w:shd w:val="clear" w:color="auto" w:fill="CCECFF"/>
          </w:tcPr>
          <w:p>
            <w:pPr>
              <w:spacing w:after="0"/>
              <w:rPr>
                <w:sz w:val="19"/>
                <w:szCs w:val="19"/>
                <w:color w:val="auto"/>
              </w:rPr>
            </w:pPr>
          </w:p>
        </w:tc>
        <w:tc>
          <w:tcPr>
            <w:tcW w:w="98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(3,006)</w:t>
            </w:r>
          </w:p>
        </w:tc>
        <w:tc>
          <w:tcPr>
            <w:tcW w:w="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100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3"/>
        </w:trPr>
        <w:tc>
          <w:tcPr>
            <w:tcW w:w="4300" w:type="dxa"/>
            <w:vAlign w:val="bottom"/>
          </w:tcPr>
          <w:p>
            <w:pPr>
              <w:ind w:left="260"/>
              <w:spacing w:after="0"/>
              <w:rPr>
                <w:sz w:val="20"/>
                <w:szCs w:val="20"/>
                <w:color w:val="auto"/>
              </w:rPr>
            </w:pPr>
            <w:r>
              <w:rPr>
                <w:rFonts w:ascii="Arial" w:cs="Arial" w:eastAsia="Arial" w:hAnsi="Arial"/>
                <w:sz w:val="18"/>
                <w:szCs w:val="18"/>
                <w:color w:val="auto"/>
              </w:rPr>
              <w:t>Loss before income taxes</w:t>
            </w:r>
          </w:p>
        </w:tc>
        <w:tc>
          <w:tcPr>
            <w:tcW w:w="62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(245,839)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(145,618)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(59,802)</w:t>
            </w:r>
          </w:p>
        </w:tc>
        <w:tc>
          <w:tcPr>
            <w:tcW w:w="26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(35,070)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CFF"/>
          </w:tcPr>
          <w:p>
            <w:pPr>
              <w:ind w:left="260"/>
              <w:spacing w:after="0"/>
              <w:rPr>
                <w:sz w:val="20"/>
                <w:szCs w:val="20"/>
                <w:color w:val="auto"/>
              </w:rPr>
            </w:pPr>
            <w:r>
              <w:rPr>
                <w:rFonts w:ascii="Arial" w:cs="Arial" w:eastAsia="Arial" w:hAnsi="Arial"/>
                <w:sz w:val="18"/>
                <w:szCs w:val="18"/>
                <w:color w:val="auto"/>
              </w:rPr>
              <w:t>Income tax provision</w:t>
            </w:r>
          </w:p>
        </w:tc>
        <w:tc>
          <w:tcPr>
            <w:tcW w:w="6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0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06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160" w:type="dxa"/>
            <w:vAlign w:val="bottom"/>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CFF"/>
          </w:tcPr>
          <w:p>
            <w:pPr>
              <w:spacing w:after="0"/>
              <w:rPr>
                <w:sz w:val="19"/>
                <w:szCs w:val="19"/>
                <w:color w:val="auto"/>
              </w:rPr>
            </w:pPr>
          </w:p>
        </w:tc>
        <w:tc>
          <w:tcPr>
            <w:tcW w:w="98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100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300" w:type="dxa"/>
            <w:vAlign w:val="bottom"/>
            <w:tcBorders>
              <w:bottom w:val="single" w:sz="8" w:color="CCECFF"/>
            </w:tcBorders>
          </w:tcPr>
          <w:p>
            <w:pPr>
              <w:ind w:left="260"/>
              <w:spacing w:after="0"/>
              <w:rPr>
                <w:sz w:val="20"/>
                <w:szCs w:val="20"/>
                <w:color w:val="auto"/>
              </w:rPr>
            </w:pPr>
            <w:r>
              <w:rPr>
                <w:rFonts w:ascii="Arial" w:cs="Arial" w:eastAsia="Arial" w:hAnsi="Arial"/>
                <w:sz w:val="18"/>
                <w:szCs w:val="18"/>
                <w:color w:val="auto"/>
              </w:rPr>
              <w:t>Net loss</w:t>
            </w:r>
          </w:p>
        </w:tc>
        <w:tc>
          <w:tcPr>
            <w:tcW w:w="620" w:type="dxa"/>
            <w:vAlign w:val="bottom"/>
            <w:tcBorders>
              <w:bottom w:val="single" w:sz="8" w:color="CCEC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(245,874</w:t>
            </w:r>
          </w:p>
        </w:tc>
        <w:tc>
          <w:tcPr>
            <w:tcW w:w="100" w:type="dxa"/>
            <w:vAlign w:val="bottom"/>
            <w:tcBorders>
              <w:bottom w:val="single" w:sz="8" w:color="CCECFF"/>
            </w:tcBorders>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CEC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(145,618</w:t>
            </w:r>
          </w:p>
        </w:tc>
        <w:tc>
          <w:tcPr>
            <w:tcW w:w="160" w:type="dxa"/>
            <w:vAlign w:val="bottom"/>
            <w:tcBorders>
              <w:bottom w:val="single" w:sz="8" w:color="CCECFF"/>
            </w:tcBorders>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C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(59,802)</w:t>
            </w:r>
          </w:p>
        </w:tc>
        <w:tc>
          <w:tcPr>
            <w:tcW w:w="260" w:type="dxa"/>
            <w:vAlign w:val="bottom"/>
            <w:tcBorders>
              <w:bottom w:val="single" w:sz="8" w:color="CCEC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(35,070)</w:t>
            </w:r>
          </w:p>
        </w:tc>
        <w:tc>
          <w:tcPr>
            <w:tcW w:w="200" w:type="dxa"/>
            <w:vAlign w:val="bottom"/>
            <w:tcBorders>
              <w:bottom w:val="single" w:sz="8" w:color="CCECFF"/>
            </w:tcBorders>
          </w:tcPr>
          <w:p>
            <w:pPr>
              <w:spacing w:after="0"/>
              <w:rPr>
                <w:sz w:val="22"/>
                <w:szCs w:val="22"/>
                <w:color w:val="auto"/>
              </w:rPr>
            </w:pPr>
          </w:p>
        </w:tc>
        <w:tc>
          <w:tcPr>
            <w:tcW w:w="60" w:type="dxa"/>
            <w:vAlign w:val="bottom"/>
            <w:tcBorders>
              <w:bottom w:val="single" w:sz="8" w:color="CCEC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(16,334)</w:t>
            </w:r>
          </w:p>
        </w:tc>
        <w:tc>
          <w:tcPr>
            <w:tcW w:w="120" w:type="dxa"/>
            <w:vAlign w:val="bottom"/>
            <w:tcBorders>
              <w:bottom w:val="single" w:sz="8" w:color="CCEC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300" w:type="dxa"/>
            <w:vAlign w:val="bottom"/>
            <w:tcBorders>
              <w:bottom w:val="single" w:sz="8" w:color="CCECFF"/>
            </w:tcBorders>
            <w:shd w:val="clear" w:color="auto" w:fill="CCECFF"/>
          </w:tcPr>
          <w:p>
            <w:pPr>
              <w:ind w:left="260"/>
              <w:spacing w:after="0"/>
              <w:rPr>
                <w:sz w:val="20"/>
                <w:szCs w:val="20"/>
                <w:color w:val="auto"/>
              </w:rPr>
            </w:pPr>
            <w:r>
              <w:rPr>
                <w:rFonts w:ascii="Arial" w:cs="Arial" w:eastAsia="Arial" w:hAnsi="Arial"/>
                <w:sz w:val="18"/>
                <w:szCs w:val="18"/>
                <w:color w:val="auto"/>
              </w:rPr>
              <w:t>Net loss attributable to common stockholders</w:t>
            </w:r>
            <w:r>
              <w:rPr>
                <w:rFonts w:ascii="Arial" w:cs="Arial" w:eastAsia="Arial" w:hAnsi="Arial"/>
                <w:sz w:val="15"/>
                <w:szCs w:val="15"/>
                <w:color w:val="auto"/>
              </w:rPr>
              <w:t>(1)</w:t>
            </w:r>
          </w:p>
        </w:tc>
        <w:tc>
          <w:tcPr>
            <w:tcW w:w="620" w:type="dxa"/>
            <w:vAlign w:val="bottom"/>
            <w:tcBorders>
              <w:bottom w:val="single" w:sz="8" w:color="CCECFF"/>
            </w:tcBorders>
            <w:shd w:val="clear" w:color="auto" w:fill="CCECFF"/>
          </w:tcPr>
          <w:p>
            <w:pPr>
              <w:spacing w:after="0"/>
              <w:rPr>
                <w:sz w:val="18"/>
                <w:szCs w:val="18"/>
                <w:color w:val="auto"/>
              </w:rPr>
            </w:pPr>
          </w:p>
        </w:tc>
        <w:tc>
          <w:tcPr>
            <w:tcW w:w="160" w:type="dxa"/>
            <w:vAlign w:val="bottom"/>
            <w:tcBorders>
              <w:bottom w:val="single" w:sz="8" w:color="auto"/>
            </w:tcBorders>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(245,874</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CECFF"/>
            </w:tcBorders>
            <w:shd w:val="clear" w:color="auto" w:fill="CCECFF"/>
          </w:tcPr>
          <w:p>
            <w:pPr>
              <w:spacing w:after="0"/>
              <w:rPr>
                <w:sz w:val="18"/>
                <w:szCs w:val="18"/>
                <w:color w:val="auto"/>
              </w:rPr>
            </w:pPr>
          </w:p>
        </w:tc>
        <w:tc>
          <w:tcPr>
            <w:tcW w:w="160" w:type="dxa"/>
            <w:vAlign w:val="bottom"/>
            <w:tcBorders>
              <w:bottom w:val="single" w:sz="8" w:color="auto"/>
            </w:tcBorders>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(145,618</w:t>
            </w:r>
          </w:p>
        </w:tc>
        <w:tc>
          <w:tcPr>
            <w:tcW w:w="160" w:type="dxa"/>
            <w:vAlign w:val="bottom"/>
            <w:tcBorders>
              <w:bottom w:val="single" w:sz="8" w:color="CCECFF"/>
            </w:tcBorders>
            <w:shd w:val="clear" w:color="auto" w:fill="CCEC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CFF"/>
            </w:tcBorders>
            <w:shd w:val="clear" w:color="auto" w:fill="CCECFF"/>
          </w:tcPr>
          <w:p>
            <w:pPr>
              <w:spacing w:after="0"/>
              <w:rPr>
                <w:sz w:val="18"/>
                <w:szCs w:val="18"/>
                <w:color w:val="auto"/>
              </w:rPr>
            </w:pPr>
          </w:p>
        </w:tc>
        <w:tc>
          <w:tcPr>
            <w:tcW w:w="160" w:type="dxa"/>
            <w:vAlign w:val="bottom"/>
            <w:tcBorders>
              <w:bottom w:val="single" w:sz="8" w:color="auto"/>
            </w:tcBorders>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(64,610)</w:t>
            </w:r>
          </w:p>
        </w:tc>
        <w:tc>
          <w:tcPr>
            <w:tcW w:w="26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auto"/>
            </w:tcBorders>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(50,289)</w:t>
            </w:r>
          </w:p>
        </w:tc>
        <w:tc>
          <w:tcPr>
            <w:tcW w:w="200" w:type="dxa"/>
            <w:vAlign w:val="bottom"/>
            <w:tcBorders>
              <w:bottom w:val="single" w:sz="8" w:color="CCECFF"/>
            </w:tcBorders>
            <w:shd w:val="clear" w:color="auto" w:fill="CCECFF"/>
          </w:tcPr>
          <w:p>
            <w:pPr>
              <w:spacing w:after="0"/>
              <w:rPr>
                <w:sz w:val="18"/>
                <w:szCs w:val="18"/>
                <w:color w:val="auto"/>
              </w:rPr>
            </w:pPr>
          </w:p>
        </w:tc>
        <w:tc>
          <w:tcPr>
            <w:tcW w:w="6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(19,561)</w:t>
            </w:r>
          </w:p>
        </w:tc>
        <w:tc>
          <w:tcPr>
            <w:tcW w:w="12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ind w:left="260"/>
              <w:spacing w:after="0"/>
              <w:rPr>
                <w:sz w:val="20"/>
                <w:szCs w:val="20"/>
                <w:color w:val="auto"/>
              </w:rPr>
            </w:pPr>
            <w:r>
              <w:rPr>
                <w:rFonts w:ascii="Arial" w:cs="Arial" w:eastAsia="Arial" w:hAnsi="Arial"/>
                <w:sz w:val="18"/>
                <w:szCs w:val="18"/>
                <w:color w:val="auto"/>
              </w:rPr>
              <w:t>Net loss per share attributable to common</w:t>
            </w: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0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380"/>
              <w:spacing w:after="0"/>
              <w:rPr>
                <w:sz w:val="20"/>
                <w:szCs w:val="20"/>
                <w:color w:val="auto"/>
              </w:rPr>
            </w:pPr>
            <w:r>
              <w:rPr>
                <w:rFonts w:ascii="Arial" w:cs="Arial" w:eastAsia="Arial" w:hAnsi="Arial"/>
                <w:sz w:val="18"/>
                <w:szCs w:val="18"/>
                <w:color w:val="auto"/>
              </w:rPr>
              <w:t>stockholders, basic and diluted</w:t>
            </w:r>
            <w:r>
              <w:rPr>
                <w:rFonts w:ascii="Arial" w:cs="Arial" w:eastAsia="Arial" w:hAnsi="Arial"/>
                <w:sz w:val="15"/>
                <w:szCs w:val="15"/>
                <w:color w:val="auto"/>
              </w:rPr>
              <w:t>(1)</w:t>
            </w:r>
          </w:p>
        </w:tc>
        <w:tc>
          <w:tcPr>
            <w:tcW w:w="7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(6.21)</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(3.96)</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(2.25)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(14.87)</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196"/>
        </w:trPr>
        <w:tc>
          <w:tcPr>
            <w:tcW w:w="4300" w:type="dxa"/>
            <w:vAlign w:val="bottom"/>
            <w:tcBorders>
              <w:top w:val="single" w:sz="8" w:color="CCECFF"/>
            </w:tcBorders>
            <w:shd w:val="clear" w:color="auto" w:fill="CCECFF"/>
          </w:tcPr>
          <w:p>
            <w:pPr>
              <w:ind w:left="260"/>
              <w:spacing w:after="0" w:line="196" w:lineRule="exact"/>
              <w:rPr>
                <w:sz w:val="20"/>
                <w:szCs w:val="20"/>
                <w:color w:val="auto"/>
              </w:rPr>
            </w:pPr>
            <w:r>
              <w:rPr>
                <w:rFonts w:ascii="Arial" w:cs="Arial" w:eastAsia="Arial" w:hAnsi="Arial"/>
                <w:sz w:val="18"/>
                <w:szCs w:val="18"/>
                <w:color w:val="auto"/>
              </w:rPr>
              <w:t>Shares used to compute net loss per share</w:t>
            </w:r>
          </w:p>
        </w:tc>
        <w:tc>
          <w:tcPr>
            <w:tcW w:w="620" w:type="dxa"/>
            <w:vAlign w:val="bottom"/>
            <w:tcBorders>
              <w:top w:val="single" w:sz="8" w:color="CCECFF"/>
            </w:tcBorders>
            <w:shd w:val="clear" w:color="auto" w:fill="CCECFF"/>
          </w:tcPr>
          <w:p>
            <w:pPr>
              <w:spacing w:after="0"/>
              <w:rPr>
                <w:sz w:val="17"/>
                <w:szCs w:val="17"/>
                <w:color w:val="auto"/>
              </w:rPr>
            </w:pPr>
          </w:p>
        </w:tc>
        <w:tc>
          <w:tcPr>
            <w:tcW w:w="160" w:type="dxa"/>
            <w:vAlign w:val="bottom"/>
            <w:tcBorders>
              <w:top w:val="single" w:sz="8" w:color="auto"/>
            </w:tcBorders>
            <w:shd w:val="clear" w:color="auto" w:fill="CCECFF"/>
          </w:tcPr>
          <w:p>
            <w:pPr>
              <w:spacing w:after="0"/>
              <w:rPr>
                <w:sz w:val="17"/>
                <w:szCs w:val="17"/>
                <w:color w:val="auto"/>
              </w:rPr>
            </w:pPr>
          </w:p>
        </w:tc>
        <w:tc>
          <w:tcPr>
            <w:tcW w:w="900" w:type="dxa"/>
            <w:vAlign w:val="bottom"/>
            <w:tcBorders>
              <w:top w:val="single" w:sz="8" w:color="auto"/>
            </w:tcBorders>
            <w:shd w:val="clear" w:color="auto" w:fill="CCECFF"/>
          </w:tcPr>
          <w:p>
            <w:pPr>
              <w:spacing w:after="0"/>
              <w:rPr>
                <w:sz w:val="17"/>
                <w:szCs w:val="17"/>
                <w:color w:val="auto"/>
              </w:rPr>
            </w:pPr>
          </w:p>
        </w:tc>
        <w:tc>
          <w:tcPr>
            <w:tcW w:w="100" w:type="dxa"/>
            <w:vAlign w:val="bottom"/>
            <w:tcBorders>
              <w:top w:val="single" w:sz="8" w:color="CCECFF"/>
            </w:tcBorders>
            <w:shd w:val="clear" w:color="auto" w:fill="CCECFF"/>
          </w:tcPr>
          <w:p>
            <w:pPr>
              <w:spacing w:after="0"/>
              <w:rPr>
                <w:sz w:val="17"/>
                <w:szCs w:val="17"/>
                <w:color w:val="auto"/>
              </w:rPr>
            </w:pPr>
          </w:p>
        </w:tc>
        <w:tc>
          <w:tcPr>
            <w:tcW w:w="160" w:type="dxa"/>
            <w:vAlign w:val="bottom"/>
            <w:tcBorders>
              <w:top w:val="single" w:sz="8" w:color="CCECFF"/>
            </w:tcBorders>
            <w:shd w:val="clear" w:color="auto" w:fill="CCECFF"/>
          </w:tcPr>
          <w:p>
            <w:pPr>
              <w:spacing w:after="0"/>
              <w:rPr>
                <w:sz w:val="17"/>
                <w:szCs w:val="17"/>
                <w:color w:val="auto"/>
              </w:rPr>
            </w:pPr>
          </w:p>
        </w:tc>
        <w:tc>
          <w:tcPr>
            <w:tcW w:w="160" w:type="dxa"/>
            <w:vAlign w:val="bottom"/>
            <w:tcBorders>
              <w:top w:val="single" w:sz="8" w:color="auto"/>
            </w:tcBorders>
            <w:shd w:val="clear" w:color="auto" w:fill="CCECFF"/>
          </w:tcPr>
          <w:p>
            <w:pPr>
              <w:spacing w:after="0"/>
              <w:rPr>
                <w:sz w:val="17"/>
                <w:szCs w:val="17"/>
                <w:color w:val="auto"/>
              </w:rPr>
            </w:pPr>
          </w:p>
        </w:tc>
        <w:tc>
          <w:tcPr>
            <w:tcW w:w="900" w:type="dxa"/>
            <w:vAlign w:val="bottom"/>
            <w:tcBorders>
              <w:top w:val="single" w:sz="8" w:color="auto"/>
            </w:tcBorders>
            <w:shd w:val="clear" w:color="auto" w:fill="CCECFF"/>
          </w:tcPr>
          <w:p>
            <w:pPr>
              <w:spacing w:after="0"/>
              <w:rPr>
                <w:sz w:val="17"/>
                <w:szCs w:val="17"/>
                <w:color w:val="auto"/>
              </w:rPr>
            </w:pPr>
          </w:p>
        </w:tc>
        <w:tc>
          <w:tcPr>
            <w:tcW w:w="160" w:type="dxa"/>
            <w:vAlign w:val="bottom"/>
            <w:tcBorders>
              <w:top w:val="single" w:sz="8" w:color="CCECFF"/>
            </w:tcBorders>
            <w:shd w:val="clear" w:color="auto" w:fill="CCECFF"/>
          </w:tcPr>
          <w:p>
            <w:pPr>
              <w:spacing w:after="0"/>
              <w:rPr>
                <w:sz w:val="17"/>
                <w:szCs w:val="17"/>
                <w:color w:val="auto"/>
              </w:rPr>
            </w:pPr>
          </w:p>
        </w:tc>
        <w:tc>
          <w:tcPr>
            <w:tcW w:w="100" w:type="dxa"/>
            <w:vAlign w:val="bottom"/>
            <w:tcBorders>
              <w:top w:val="single" w:sz="8" w:color="CCECFF"/>
            </w:tcBorders>
            <w:shd w:val="clear" w:color="auto" w:fill="CCECFF"/>
          </w:tcPr>
          <w:p>
            <w:pPr>
              <w:spacing w:after="0"/>
              <w:rPr>
                <w:sz w:val="17"/>
                <w:szCs w:val="17"/>
                <w:color w:val="auto"/>
              </w:rPr>
            </w:pPr>
          </w:p>
        </w:tc>
        <w:tc>
          <w:tcPr>
            <w:tcW w:w="160" w:type="dxa"/>
            <w:vAlign w:val="bottom"/>
            <w:tcBorders>
              <w:top w:val="single" w:sz="8" w:color="auto"/>
            </w:tcBorders>
            <w:shd w:val="clear" w:color="auto" w:fill="CCECFF"/>
          </w:tcPr>
          <w:p>
            <w:pPr>
              <w:spacing w:after="0"/>
              <w:rPr>
                <w:sz w:val="17"/>
                <w:szCs w:val="17"/>
                <w:color w:val="auto"/>
              </w:rPr>
            </w:pPr>
          </w:p>
        </w:tc>
        <w:tc>
          <w:tcPr>
            <w:tcW w:w="900" w:type="dxa"/>
            <w:vAlign w:val="bottom"/>
            <w:tcBorders>
              <w:top w:val="single" w:sz="8" w:color="auto"/>
            </w:tcBorders>
            <w:shd w:val="clear" w:color="auto" w:fill="CCECFF"/>
          </w:tcPr>
          <w:p>
            <w:pPr>
              <w:spacing w:after="0"/>
              <w:rPr>
                <w:sz w:val="17"/>
                <w:szCs w:val="17"/>
                <w:color w:val="auto"/>
              </w:rPr>
            </w:pPr>
          </w:p>
        </w:tc>
        <w:tc>
          <w:tcPr>
            <w:tcW w:w="260" w:type="dxa"/>
            <w:vAlign w:val="bottom"/>
            <w:tcBorders>
              <w:top w:val="single" w:sz="8" w:color="CCECFF"/>
            </w:tcBorders>
            <w:shd w:val="clear" w:color="auto" w:fill="CCECFF"/>
          </w:tcPr>
          <w:p>
            <w:pPr>
              <w:spacing w:after="0"/>
              <w:rPr>
                <w:sz w:val="17"/>
                <w:szCs w:val="17"/>
                <w:color w:val="auto"/>
              </w:rPr>
            </w:pPr>
          </w:p>
        </w:tc>
        <w:tc>
          <w:tcPr>
            <w:tcW w:w="280" w:type="dxa"/>
            <w:vAlign w:val="bottom"/>
            <w:tcBorders>
              <w:top w:val="single" w:sz="8" w:color="auto"/>
            </w:tcBorders>
            <w:shd w:val="clear" w:color="auto" w:fill="CCECFF"/>
          </w:tcPr>
          <w:p>
            <w:pPr>
              <w:spacing w:after="0"/>
              <w:rPr>
                <w:sz w:val="17"/>
                <w:szCs w:val="17"/>
                <w:color w:val="auto"/>
              </w:rPr>
            </w:pPr>
          </w:p>
        </w:tc>
        <w:tc>
          <w:tcPr>
            <w:tcW w:w="780" w:type="dxa"/>
            <w:vAlign w:val="bottom"/>
            <w:tcBorders>
              <w:top w:val="single" w:sz="8" w:color="auto"/>
            </w:tcBorders>
            <w:shd w:val="clear" w:color="auto" w:fill="CCECFF"/>
          </w:tcPr>
          <w:p>
            <w:pPr>
              <w:spacing w:after="0"/>
              <w:rPr>
                <w:sz w:val="17"/>
                <w:szCs w:val="17"/>
                <w:color w:val="auto"/>
              </w:rPr>
            </w:pPr>
          </w:p>
        </w:tc>
        <w:tc>
          <w:tcPr>
            <w:tcW w:w="200" w:type="dxa"/>
            <w:vAlign w:val="bottom"/>
            <w:tcBorders>
              <w:top w:val="single" w:sz="8" w:color="CCECFF"/>
            </w:tcBorders>
            <w:shd w:val="clear" w:color="auto" w:fill="CCECFF"/>
          </w:tcPr>
          <w:p>
            <w:pPr>
              <w:spacing w:after="0"/>
              <w:rPr>
                <w:sz w:val="17"/>
                <w:szCs w:val="17"/>
                <w:color w:val="auto"/>
              </w:rPr>
            </w:pPr>
          </w:p>
        </w:tc>
        <w:tc>
          <w:tcPr>
            <w:tcW w:w="60" w:type="dxa"/>
            <w:vAlign w:val="bottom"/>
            <w:tcBorders>
              <w:top w:val="single" w:sz="8" w:color="CCECFF"/>
            </w:tcBorders>
            <w:shd w:val="clear" w:color="auto" w:fill="CCECFF"/>
          </w:tcPr>
          <w:p>
            <w:pPr>
              <w:spacing w:after="0"/>
              <w:rPr>
                <w:sz w:val="17"/>
                <w:szCs w:val="17"/>
                <w:color w:val="auto"/>
              </w:rPr>
            </w:pPr>
          </w:p>
        </w:tc>
        <w:tc>
          <w:tcPr>
            <w:tcW w:w="220" w:type="dxa"/>
            <w:vAlign w:val="bottom"/>
            <w:tcBorders>
              <w:top w:val="single" w:sz="8" w:color="auto"/>
            </w:tcBorders>
            <w:shd w:val="clear" w:color="auto" w:fill="CCECFF"/>
          </w:tcPr>
          <w:p>
            <w:pPr>
              <w:spacing w:after="0"/>
              <w:rPr>
                <w:sz w:val="17"/>
                <w:szCs w:val="17"/>
                <w:color w:val="auto"/>
              </w:rPr>
            </w:pPr>
          </w:p>
        </w:tc>
        <w:tc>
          <w:tcPr>
            <w:tcW w:w="880" w:type="dxa"/>
            <w:vAlign w:val="bottom"/>
            <w:tcBorders>
              <w:top w:val="single" w:sz="8" w:color="auto"/>
            </w:tcBorders>
            <w:shd w:val="clear" w:color="auto" w:fill="CCECFF"/>
          </w:tcPr>
          <w:p>
            <w:pPr>
              <w:spacing w:after="0"/>
              <w:rPr>
                <w:sz w:val="17"/>
                <w:szCs w:val="17"/>
                <w:color w:val="auto"/>
              </w:rPr>
            </w:pPr>
          </w:p>
        </w:tc>
        <w:tc>
          <w:tcPr>
            <w:tcW w:w="120" w:type="dxa"/>
            <w:vAlign w:val="bottom"/>
            <w:tcBorders>
              <w:top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CFF"/>
          </w:tcPr>
          <w:p>
            <w:pPr>
              <w:ind w:left="380"/>
              <w:spacing w:after="0"/>
              <w:rPr>
                <w:sz w:val="20"/>
                <w:szCs w:val="20"/>
                <w:color w:val="auto"/>
              </w:rPr>
            </w:pPr>
            <w:r>
              <w:rPr>
                <w:rFonts w:ascii="Arial" w:cs="Arial" w:eastAsia="Arial" w:hAnsi="Arial"/>
                <w:sz w:val="18"/>
                <w:szCs w:val="18"/>
                <w:color w:val="auto"/>
              </w:rPr>
              <w:t>attributable to common stockholders,</w:t>
            </w:r>
          </w:p>
        </w:tc>
        <w:tc>
          <w:tcPr>
            <w:tcW w:w="6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9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9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9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7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6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8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tcBorders>
              <w:bottom w:val="single" w:sz="8" w:color="CCECFF"/>
            </w:tcBorders>
            <w:shd w:val="clear" w:color="auto" w:fill="CCECFF"/>
          </w:tcPr>
          <w:p>
            <w:pPr>
              <w:ind w:left="380"/>
              <w:spacing w:after="0"/>
              <w:rPr>
                <w:sz w:val="20"/>
                <w:szCs w:val="20"/>
                <w:color w:val="auto"/>
              </w:rPr>
            </w:pPr>
            <w:r>
              <w:rPr>
                <w:rFonts w:ascii="Arial" w:cs="Arial" w:eastAsia="Arial" w:hAnsi="Arial"/>
                <w:sz w:val="18"/>
                <w:szCs w:val="18"/>
                <w:color w:val="auto"/>
              </w:rPr>
              <w:t>basic and diluted</w:t>
            </w:r>
            <w:r>
              <w:rPr>
                <w:rFonts w:ascii="Arial" w:cs="Arial" w:eastAsia="Arial" w:hAnsi="Arial"/>
                <w:sz w:val="15"/>
                <w:szCs w:val="15"/>
                <w:color w:val="auto"/>
              </w:rPr>
              <w:t>(1)</w:t>
            </w:r>
          </w:p>
        </w:tc>
        <w:tc>
          <w:tcPr>
            <w:tcW w:w="620" w:type="dxa"/>
            <w:vAlign w:val="bottom"/>
            <w:tcBorders>
              <w:bottom w:val="single" w:sz="8" w:color="CCECFF"/>
            </w:tcBorders>
            <w:shd w:val="clear" w:color="auto" w:fill="CCECFF"/>
          </w:tcPr>
          <w:p>
            <w:pPr>
              <w:spacing w:after="0"/>
              <w:rPr>
                <w:sz w:val="20"/>
                <w:szCs w:val="20"/>
                <w:color w:val="auto"/>
              </w:rPr>
            </w:pPr>
          </w:p>
        </w:tc>
        <w:tc>
          <w:tcPr>
            <w:tcW w:w="160" w:type="dxa"/>
            <w:vAlign w:val="bottom"/>
            <w:tcBorders>
              <w:bottom w:val="single" w:sz="8" w:color="auto"/>
            </w:tcBorders>
            <w:shd w:val="clear" w:color="auto" w:fill="CCECFF"/>
          </w:tcPr>
          <w:p>
            <w:pPr>
              <w:spacing w:after="0"/>
              <w:rPr>
                <w:sz w:val="20"/>
                <w:szCs w:val="20"/>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5"/>
              </w:rPr>
              <w:t>39,586,908</w:t>
            </w:r>
          </w:p>
        </w:tc>
        <w:tc>
          <w:tcPr>
            <w:tcW w:w="100" w:type="dxa"/>
            <w:vAlign w:val="bottom"/>
            <w:tcBorders>
              <w:bottom w:val="single" w:sz="8" w:color="CCECFF"/>
            </w:tcBorders>
            <w:shd w:val="clear" w:color="auto" w:fill="CCECFF"/>
          </w:tcPr>
          <w:p>
            <w:pPr>
              <w:spacing w:after="0"/>
              <w:rPr>
                <w:sz w:val="20"/>
                <w:szCs w:val="20"/>
                <w:color w:val="auto"/>
              </w:rPr>
            </w:pPr>
          </w:p>
        </w:tc>
        <w:tc>
          <w:tcPr>
            <w:tcW w:w="160" w:type="dxa"/>
            <w:vAlign w:val="bottom"/>
            <w:tcBorders>
              <w:bottom w:val="single" w:sz="8" w:color="CCECFF"/>
            </w:tcBorders>
            <w:shd w:val="clear" w:color="auto" w:fill="CCECFF"/>
          </w:tcPr>
          <w:p>
            <w:pPr>
              <w:spacing w:after="0"/>
              <w:rPr>
                <w:sz w:val="20"/>
                <w:szCs w:val="20"/>
                <w:color w:val="auto"/>
              </w:rPr>
            </w:pPr>
          </w:p>
        </w:tc>
        <w:tc>
          <w:tcPr>
            <w:tcW w:w="160" w:type="dxa"/>
            <w:vAlign w:val="bottom"/>
            <w:tcBorders>
              <w:bottom w:val="single" w:sz="8" w:color="auto"/>
            </w:tcBorders>
            <w:shd w:val="clear" w:color="auto" w:fill="CCECFF"/>
          </w:tcPr>
          <w:p>
            <w:pPr>
              <w:spacing w:after="0"/>
              <w:rPr>
                <w:sz w:val="20"/>
                <w:szCs w:val="20"/>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5"/>
              </w:rPr>
              <w:t>36,782,603</w:t>
            </w:r>
          </w:p>
        </w:tc>
        <w:tc>
          <w:tcPr>
            <w:tcW w:w="160" w:type="dxa"/>
            <w:vAlign w:val="bottom"/>
            <w:tcBorders>
              <w:bottom w:val="single" w:sz="8" w:color="CCECFF"/>
            </w:tcBorders>
            <w:shd w:val="clear" w:color="auto" w:fill="CCECFF"/>
          </w:tcPr>
          <w:p>
            <w:pPr>
              <w:spacing w:after="0"/>
              <w:rPr>
                <w:sz w:val="20"/>
                <w:szCs w:val="20"/>
                <w:color w:val="auto"/>
              </w:rPr>
            </w:pPr>
          </w:p>
        </w:tc>
        <w:tc>
          <w:tcPr>
            <w:tcW w:w="100" w:type="dxa"/>
            <w:vAlign w:val="bottom"/>
            <w:tcBorders>
              <w:bottom w:val="single" w:sz="8" w:color="CCECFF"/>
            </w:tcBorders>
            <w:shd w:val="clear" w:color="auto" w:fill="CCECFF"/>
          </w:tcPr>
          <w:p>
            <w:pPr>
              <w:spacing w:after="0"/>
              <w:rPr>
                <w:sz w:val="20"/>
                <w:szCs w:val="20"/>
                <w:color w:val="auto"/>
              </w:rPr>
            </w:pPr>
          </w:p>
        </w:tc>
        <w:tc>
          <w:tcPr>
            <w:tcW w:w="160" w:type="dxa"/>
            <w:vAlign w:val="bottom"/>
            <w:tcBorders>
              <w:bottom w:val="single" w:sz="8" w:color="auto"/>
            </w:tcBorders>
            <w:shd w:val="clear" w:color="auto" w:fill="CCECFF"/>
          </w:tcPr>
          <w:p>
            <w:pPr>
              <w:spacing w:after="0"/>
              <w:rPr>
                <w:sz w:val="20"/>
                <w:szCs w:val="20"/>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7"/>
              </w:rPr>
              <w:t>28,755,758</w:t>
            </w:r>
          </w:p>
        </w:tc>
        <w:tc>
          <w:tcPr>
            <w:tcW w:w="260" w:type="dxa"/>
            <w:vAlign w:val="bottom"/>
            <w:tcBorders>
              <w:bottom w:val="single" w:sz="8" w:color="CCECFF"/>
            </w:tcBorders>
            <w:shd w:val="clear" w:color="auto" w:fill="CCECFF"/>
          </w:tcPr>
          <w:p>
            <w:pPr>
              <w:spacing w:after="0"/>
              <w:rPr>
                <w:sz w:val="20"/>
                <w:szCs w:val="20"/>
                <w:color w:val="auto"/>
              </w:rPr>
            </w:pPr>
          </w:p>
        </w:tc>
        <w:tc>
          <w:tcPr>
            <w:tcW w:w="280" w:type="dxa"/>
            <w:vAlign w:val="bottom"/>
            <w:tcBorders>
              <w:bottom w:val="single" w:sz="8" w:color="auto"/>
            </w:tcBorders>
            <w:shd w:val="clear" w:color="auto" w:fill="CCECFF"/>
          </w:tcPr>
          <w:p>
            <w:pPr>
              <w:spacing w:after="0"/>
              <w:rPr>
                <w:sz w:val="20"/>
                <w:szCs w:val="20"/>
                <w:color w:val="auto"/>
              </w:rPr>
            </w:pPr>
          </w:p>
        </w:tc>
        <w:tc>
          <w:tcPr>
            <w:tcW w:w="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4"/>
              </w:rPr>
              <w:t>3,382,489</w:t>
            </w:r>
          </w:p>
        </w:tc>
        <w:tc>
          <w:tcPr>
            <w:tcW w:w="200" w:type="dxa"/>
            <w:vAlign w:val="bottom"/>
            <w:tcBorders>
              <w:bottom w:val="single" w:sz="8" w:color="CCECFF"/>
            </w:tcBorders>
            <w:shd w:val="clear" w:color="auto" w:fill="CCECFF"/>
          </w:tcPr>
          <w:p>
            <w:pPr>
              <w:spacing w:after="0"/>
              <w:rPr>
                <w:sz w:val="20"/>
                <w:szCs w:val="20"/>
                <w:color w:val="auto"/>
              </w:rPr>
            </w:pPr>
          </w:p>
        </w:tc>
        <w:tc>
          <w:tcPr>
            <w:tcW w:w="60" w:type="dxa"/>
            <w:vAlign w:val="bottom"/>
            <w:tcBorders>
              <w:bottom w:val="single" w:sz="8" w:color="CCECFF"/>
            </w:tcBorders>
            <w:shd w:val="clear" w:color="auto" w:fill="CCECFF"/>
          </w:tcPr>
          <w:p>
            <w:pPr>
              <w:spacing w:after="0"/>
              <w:rPr>
                <w:sz w:val="20"/>
                <w:szCs w:val="20"/>
                <w:color w:val="auto"/>
              </w:rPr>
            </w:pPr>
          </w:p>
        </w:tc>
        <w:tc>
          <w:tcPr>
            <w:tcW w:w="220" w:type="dxa"/>
            <w:vAlign w:val="bottom"/>
            <w:tcBorders>
              <w:bottom w:val="single" w:sz="8" w:color="auto"/>
            </w:tcBorders>
            <w:shd w:val="clear" w:color="auto" w:fill="CCECFF"/>
          </w:tcPr>
          <w:p>
            <w:pPr>
              <w:spacing w:after="0"/>
              <w:rPr>
                <w:sz w:val="20"/>
                <w:szCs w:val="20"/>
                <w:color w:val="auto"/>
              </w:rPr>
            </w:pPr>
          </w:p>
        </w:tc>
        <w:tc>
          <w:tcPr>
            <w:tcW w:w="8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1,377,207</w:t>
            </w:r>
          </w:p>
        </w:tc>
        <w:tc>
          <w:tcPr>
            <w:tcW w:w="120" w:type="dxa"/>
            <w:vAlign w:val="bottom"/>
            <w:tcBorders>
              <w:bottom w:val="single" w:sz="8" w:color="CCECFF"/>
            </w:tcBorders>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900" w:right="440" w:hanging="379"/>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See Notes 2 and 11 to our audited consolidated financial statements of this Annual Report for an explanation of the calculations of basic and diluted net loss per share attributable to common stockholders.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As of December 31,</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4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b w:val="1"/>
                <w:bCs w:val="1"/>
                <w:color w:val="auto"/>
                <w:w w:val="89"/>
              </w:rPr>
              <w:t>2014</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40" w:type="dxa"/>
            <w:vAlign w:val="bottom"/>
            <w:shd w:val="clear" w:color="auto" w:fill="CCECFF"/>
          </w:tcPr>
          <w:p>
            <w:pPr>
              <w:spacing w:after="0"/>
              <w:rPr>
                <w:sz w:val="20"/>
                <w:szCs w:val="20"/>
                <w:color w:val="auto"/>
              </w:rPr>
            </w:pPr>
            <w:r>
              <w:rPr>
                <w:rFonts w:ascii="Arial" w:cs="Arial" w:eastAsia="Arial" w:hAnsi="Arial"/>
                <w:sz w:val="18"/>
                <w:szCs w:val="18"/>
                <w:b w:val="1"/>
                <w:bCs w:val="1"/>
                <w:color w:val="auto"/>
              </w:rPr>
              <w:t>Consolidated Balance Sheets Data:</w:t>
            </w:r>
          </w:p>
        </w:tc>
        <w:tc>
          <w:tcPr>
            <w:tcW w:w="88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980" w:type="dxa"/>
            <w:vAlign w:val="bottom"/>
            <w:shd w:val="clear" w:color="auto" w:fill="CCECFF"/>
          </w:tcPr>
          <w:p>
            <w:pPr>
              <w:spacing w:after="0"/>
              <w:rPr>
                <w:sz w:val="19"/>
                <w:szCs w:val="19"/>
                <w:color w:val="auto"/>
              </w:rPr>
            </w:pPr>
          </w:p>
        </w:tc>
        <w:tc>
          <w:tcPr>
            <w:tcW w:w="360" w:type="dxa"/>
            <w:vAlign w:val="bottom"/>
            <w:shd w:val="clear" w:color="auto" w:fill="CCECFF"/>
          </w:tcPr>
          <w:p>
            <w:pPr>
              <w:spacing w:after="0"/>
              <w:rPr>
                <w:sz w:val="19"/>
                <w:szCs w:val="19"/>
                <w:color w:val="auto"/>
              </w:rPr>
            </w:pPr>
          </w:p>
        </w:tc>
        <w:tc>
          <w:tcPr>
            <w:tcW w:w="860" w:type="dxa"/>
            <w:vAlign w:val="bottom"/>
            <w:shd w:val="clear" w:color="auto" w:fill="CCECFF"/>
          </w:tcPr>
          <w:p>
            <w:pPr>
              <w:spacing w:after="0"/>
              <w:rPr>
                <w:sz w:val="19"/>
                <w:szCs w:val="19"/>
                <w:color w:val="auto"/>
              </w:rPr>
            </w:pPr>
          </w:p>
        </w:tc>
        <w:tc>
          <w:tcPr>
            <w:tcW w:w="460" w:type="dxa"/>
            <w:vAlign w:val="bottom"/>
            <w:shd w:val="clear" w:color="auto" w:fill="CCECFF"/>
          </w:tcPr>
          <w:p>
            <w:pPr>
              <w:spacing w:after="0"/>
              <w:rPr>
                <w:sz w:val="19"/>
                <w:szCs w:val="19"/>
                <w:color w:val="auto"/>
              </w:rPr>
            </w:pPr>
          </w:p>
        </w:tc>
        <w:tc>
          <w:tcPr>
            <w:tcW w:w="108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1000" w:type="dxa"/>
            <w:vAlign w:val="bottom"/>
            <w:shd w:val="clear" w:color="auto" w:fill="CCECFF"/>
          </w:tcPr>
          <w:p>
            <w:pPr>
              <w:spacing w:after="0"/>
              <w:rPr>
                <w:sz w:val="19"/>
                <w:szCs w:val="19"/>
                <w:color w:val="auto"/>
              </w:rPr>
            </w:pPr>
          </w:p>
        </w:tc>
        <w:tc>
          <w:tcPr>
            <w:tcW w:w="320" w:type="dxa"/>
            <w:vAlign w:val="bottom"/>
            <w:shd w:val="clear" w:color="auto" w:fill="CCECFF"/>
          </w:tcPr>
          <w:p>
            <w:pPr>
              <w:spacing w:after="0"/>
              <w:rPr>
                <w:sz w:val="19"/>
                <w:szCs w:val="19"/>
                <w:color w:val="auto"/>
              </w:rPr>
            </w:pPr>
          </w:p>
        </w:tc>
        <w:tc>
          <w:tcPr>
            <w:tcW w:w="88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Cash, cash equivalents and investments</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498,111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536,256</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187,487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53,377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86,190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40" w:type="dxa"/>
            <w:vAlign w:val="bottom"/>
            <w:shd w:val="clear" w:color="auto" w:fill="CCECFF"/>
          </w:tcPr>
          <w:p>
            <w:pPr>
              <w:spacing w:after="0"/>
              <w:rPr>
                <w:sz w:val="20"/>
                <w:szCs w:val="20"/>
                <w:color w:val="auto"/>
              </w:rPr>
            </w:pPr>
            <w:r>
              <w:rPr>
                <w:rFonts w:ascii="Arial" w:cs="Arial" w:eastAsia="Arial" w:hAnsi="Arial"/>
                <w:sz w:val="18"/>
                <w:szCs w:val="18"/>
                <w:color w:val="auto"/>
              </w:rPr>
              <w:t>Working capital</w:t>
            </w:r>
          </w:p>
        </w:tc>
        <w:tc>
          <w:tcPr>
            <w:tcW w:w="88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98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341,436</w:t>
            </w:r>
          </w:p>
        </w:tc>
        <w:tc>
          <w:tcPr>
            <w:tcW w:w="360" w:type="dxa"/>
            <w:vAlign w:val="bottom"/>
            <w:shd w:val="clear" w:color="auto" w:fill="CCECFF"/>
          </w:tcPr>
          <w:p>
            <w:pPr>
              <w:spacing w:after="0"/>
              <w:rPr>
                <w:sz w:val="19"/>
                <w:szCs w:val="19"/>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422,289</w:t>
            </w:r>
          </w:p>
        </w:tc>
        <w:tc>
          <w:tcPr>
            <w:tcW w:w="460" w:type="dxa"/>
            <w:vAlign w:val="bottom"/>
            <w:shd w:val="clear" w:color="auto" w:fill="CCECFF"/>
          </w:tcPr>
          <w:p>
            <w:pPr>
              <w:spacing w:after="0"/>
              <w:rPr>
                <w:sz w:val="19"/>
                <w:szCs w:val="19"/>
                <w:color w:val="auto"/>
              </w:rPr>
            </w:pPr>
          </w:p>
        </w:tc>
        <w:tc>
          <w:tcPr>
            <w:tcW w:w="1080" w:type="dxa"/>
            <w:vAlign w:val="bottom"/>
            <w:shd w:val="clear" w:color="auto" w:fill="CCECFF"/>
          </w:tcPr>
          <w:p>
            <w:pPr>
              <w:jc w:val="right"/>
              <w:ind w:right="150"/>
              <w:spacing w:after="0"/>
              <w:rPr>
                <w:sz w:val="20"/>
                <w:szCs w:val="20"/>
                <w:color w:val="auto"/>
              </w:rPr>
            </w:pPr>
            <w:r>
              <w:rPr>
                <w:rFonts w:ascii="Arial" w:cs="Arial" w:eastAsia="Arial" w:hAnsi="Arial"/>
                <w:sz w:val="18"/>
                <w:szCs w:val="18"/>
                <w:color w:val="auto"/>
              </w:rPr>
              <w:t>180,899</w:t>
            </w:r>
          </w:p>
        </w:tc>
        <w:tc>
          <w:tcPr>
            <w:tcW w:w="240" w:type="dxa"/>
            <w:vAlign w:val="bottom"/>
            <w:shd w:val="clear" w:color="auto" w:fill="CCECFF"/>
          </w:tcPr>
          <w:p>
            <w:pPr>
              <w:spacing w:after="0"/>
              <w:rPr>
                <w:sz w:val="19"/>
                <w:szCs w:val="19"/>
                <w:color w:val="auto"/>
              </w:rPr>
            </w:pPr>
          </w:p>
        </w:tc>
        <w:tc>
          <w:tcPr>
            <w:tcW w:w="100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rPr>
              <w:t>49,304</w:t>
            </w:r>
          </w:p>
        </w:tc>
        <w:tc>
          <w:tcPr>
            <w:tcW w:w="320" w:type="dxa"/>
            <w:vAlign w:val="bottom"/>
            <w:shd w:val="clear" w:color="auto" w:fill="CCECFF"/>
          </w:tcPr>
          <w:p>
            <w:pPr>
              <w:spacing w:after="0"/>
              <w:rPr>
                <w:sz w:val="19"/>
                <w:szCs w:val="19"/>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83,257</w:t>
            </w:r>
          </w:p>
        </w:tc>
        <w:tc>
          <w:tcPr>
            <w:tcW w:w="120" w:type="dxa"/>
            <w:vAlign w:val="bottom"/>
            <w:shd w:val="clear" w:color="auto" w:fill="CCEC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Total assets</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540,626</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559,569</w:t>
            </w:r>
          </w:p>
        </w:tc>
        <w:tc>
          <w:tcPr>
            <w:tcW w:w="46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197,967</w:t>
            </w:r>
          </w:p>
        </w:tc>
        <w:tc>
          <w:tcPr>
            <w:tcW w:w="24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59,649</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88,316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40" w:type="dxa"/>
            <w:vAlign w:val="bottom"/>
            <w:shd w:val="clear" w:color="auto" w:fill="CCECFF"/>
          </w:tcPr>
          <w:p>
            <w:pPr>
              <w:spacing w:after="0"/>
              <w:rPr>
                <w:sz w:val="20"/>
                <w:szCs w:val="20"/>
                <w:color w:val="auto"/>
              </w:rPr>
            </w:pPr>
            <w:r>
              <w:rPr>
                <w:rFonts w:ascii="Arial" w:cs="Arial" w:eastAsia="Arial" w:hAnsi="Arial"/>
                <w:sz w:val="18"/>
                <w:szCs w:val="18"/>
                <w:color w:val="auto"/>
              </w:rPr>
              <w:t>Convertible preferred stock warrant liability</w:t>
            </w:r>
          </w:p>
        </w:tc>
        <w:tc>
          <w:tcPr>
            <w:tcW w:w="88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98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CFF"/>
          </w:tcPr>
          <w:p>
            <w:pPr>
              <w:spacing w:after="0"/>
              <w:rPr>
                <w:sz w:val="19"/>
                <w:szCs w:val="19"/>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CFF"/>
          </w:tcPr>
          <w:p>
            <w:pPr>
              <w:spacing w:after="0"/>
              <w:rPr>
                <w:sz w:val="19"/>
                <w:szCs w:val="19"/>
                <w:color w:val="auto"/>
              </w:rPr>
            </w:pPr>
          </w:p>
        </w:tc>
        <w:tc>
          <w:tcPr>
            <w:tcW w:w="1080" w:type="dxa"/>
            <w:vAlign w:val="bottom"/>
            <w:shd w:val="clear" w:color="auto" w:fill="CCECFF"/>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CFF"/>
          </w:tcPr>
          <w:p>
            <w:pPr>
              <w:spacing w:after="0"/>
              <w:rPr>
                <w:sz w:val="19"/>
                <w:szCs w:val="19"/>
                <w:color w:val="auto"/>
              </w:rPr>
            </w:pPr>
          </w:p>
        </w:tc>
        <w:tc>
          <w:tcPr>
            <w:tcW w:w="100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rPr>
              <w:t>3,419</w:t>
            </w:r>
          </w:p>
        </w:tc>
        <w:tc>
          <w:tcPr>
            <w:tcW w:w="320" w:type="dxa"/>
            <w:vAlign w:val="bottom"/>
            <w:shd w:val="clear" w:color="auto" w:fill="CCECFF"/>
          </w:tcPr>
          <w:p>
            <w:pPr>
              <w:spacing w:after="0"/>
              <w:rPr>
                <w:sz w:val="19"/>
                <w:szCs w:val="19"/>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518</w:t>
            </w:r>
          </w:p>
        </w:tc>
        <w:tc>
          <w:tcPr>
            <w:tcW w:w="120" w:type="dxa"/>
            <w:vAlign w:val="bottom"/>
            <w:shd w:val="clear" w:color="auto" w:fill="CCEC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124,930</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111,387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40" w:type="dxa"/>
            <w:vAlign w:val="bottom"/>
            <w:shd w:val="clear" w:color="auto" w:fill="CCECFF"/>
          </w:tcPr>
          <w:p>
            <w:pPr>
              <w:spacing w:after="0"/>
              <w:rPr>
                <w:sz w:val="20"/>
                <w:szCs w:val="20"/>
                <w:color w:val="auto"/>
              </w:rPr>
            </w:pPr>
            <w:r>
              <w:rPr>
                <w:rFonts w:ascii="Arial" w:cs="Arial" w:eastAsia="Arial" w:hAnsi="Arial"/>
                <w:sz w:val="18"/>
                <w:szCs w:val="18"/>
                <w:color w:val="auto"/>
              </w:rPr>
              <w:t>Total stockholders' equity (deficit)</w:t>
            </w:r>
          </w:p>
        </w:tc>
        <w:tc>
          <w:tcPr>
            <w:tcW w:w="88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98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473,974</w:t>
            </w:r>
          </w:p>
        </w:tc>
        <w:tc>
          <w:tcPr>
            <w:tcW w:w="360" w:type="dxa"/>
            <w:vAlign w:val="bottom"/>
            <w:shd w:val="clear" w:color="auto" w:fill="CCECFF"/>
          </w:tcPr>
          <w:p>
            <w:pPr>
              <w:spacing w:after="0"/>
              <w:rPr>
                <w:sz w:val="19"/>
                <w:szCs w:val="19"/>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531,090</w:t>
            </w:r>
          </w:p>
        </w:tc>
        <w:tc>
          <w:tcPr>
            <w:tcW w:w="460" w:type="dxa"/>
            <w:vAlign w:val="bottom"/>
            <w:shd w:val="clear" w:color="auto" w:fill="CCECFF"/>
          </w:tcPr>
          <w:p>
            <w:pPr>
              <w:spacing w:after="0"/>
              <w:rPr>
                <w:sz w:val="19"/>
                <w:szCs w:val="19"/>
                <w:color w:val="auto"/>
              </w:rPr>
            </w:pPr>
          </w:p>
        </w:tc>
        <w:tc>
          <w:tcPr>
            <w:tcW w:w="1080" w:type="dxa"/>
            <w:vAlign w:val="bottom"/>
            <w:shd w:val="clear" w:color="auto" w:fill="CCECFF"/>
          </w:tcPr>
          <w:p>
            <w:pPr>
              <w:jc w:val="right"/>
              <w:ind w:right="150"/>
              <w:spacing w:after="0"/>
              <w:rPr>
                <w:sz w:val="20"/>
                <w:szCs w:val="20"/>
                <w:color w:val="auto"/>
              </w:rPr>
            </w:pPr>
            <w:r>
              <w:rPr>
                <w:rFonts w:ascii="Arial" w:cs="Arial" w:eastAsia="Arial" w:hAnsi="Arial"/>
                <w:sz w:val="18"/>
                <w:szCs w:val="18"/>
                <w:color w:val="auto"/>
              </w:rPr>
              <w:t>184,945</w:t>
            </w:r>
          </w:p>
        </w:tc>
        <w:tc>
          <w:tcPr>
            <w:tcW w:w="240" w:type="dxa"/>
            <w:vAlign w:val="bottom"/>
            <w:shd w:val="clear" w:color="auto" w:fill="CCECFF"/>
          </w:tcPr>
          <w:p>
            <w:pPr>
              <w:spacing w:after="0"/>
              <w:rPr>
                <w:sz w:val="19"/>
                <w:szCs w:val="19"/>
                <w:color w:val="auto"/>
              </w:rPr>
            </w:pPr>
          </w:p>
        </w:tc>
        <w:tc>
          <w:tcPr>
            <w:tcW w:w="100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rPr>
              <w:t>(74,821)</w:t>
            </w:r>
          </w:p>
        </w:tc>
        <w:tc>
          <w:tcPr>
            <w:tcW w:w="320" w:type="dxa"/>
            <w:vAlign w:val="bottom"/>
            <w:shd w:val="clear" w:color="auto" w:fill="CCECFF"/>
          </w:tcPr>
          <w:p>
            <w:pPr>
              <w:spacing w:after="0"/>
              <w:rPr>
                <w:sz w:val="19"/>
                <w:szCs w:val="19"/>
                <w:color w:val="auto"/>
              </w:rPr>
            </w:pPr>
          </w:p>
        </w:tc>
        <w:tc>
          <w:tcPr>
            <w:tcW w:w="100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(27,047)</w:t>
            </w:r>
          </w:p>
        </w:tc>
        <w:tc>
          <w:tcPr>
            <w:tcW w:w="20" w:type="dxa"/>
            <w:vAlign w:val="bottom"/>
          </w:tcPr>
          <w:p>
            <w:pPr>
              <w:spacing w:after="0"/>
              <w:rPr>
                <w:sz w:val="19"/>
                <w:szCs w:val="19"/>
                <w:color w:val="auto"/>
              </w:rPr>
            </w:pPr>
          </w:p>
        </w:tc>
      </w:tr>
      <w:tr>
        <w:trPr>
          <w:trHeight w:val="513"/>
        </w:trPr>
        <w:tc>
          <w:tcPr>
            <w:tcW w:w="4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58</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94" w:right="21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76"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section of this Annual Report entitled “Selected Financial Data” and our consolidated financial statements and related notes included elsewhere in this Annual Report. This discussion and other parts of this Annual Report contain forward-looking statements that involve risk and uncertainties, such as statements of our plans, objectives, expectations, and intentions. In this Annual Report, words such as “may,” “will,” “expect,” “anticipate,” “estimate,” “intend,” and similar expressions (as well as other words or expressions referencing future events, conditions or circumstances) are intended to identify forward-looking statements, as described elsewhere herein. As a result of many factors, including those factors set forth in the “Risk Factors” section of this Annual Report, our actual results could differ materially from the results described in or implied by the forward-looking statements contained in the following discussion and analysis.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1"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We are a clinical-stage biopharmaceutical company focused on the identification, acquisition, development, and commercialization of novel products for the treatment of serious rare and ultra-rare diseases, with a focus on serious, debilitating genetic diseases. We target diseases for which the unmet medical need is high, the biology for treatment is clear, and for which there are no currently approved therapies. Since our inception in 2010, we have in-licensed potential treatments for multiple rare genetic disorders. Our strategy, which is predicated upon time- and cost-efficient drug development, allows us to pursue multiple programs in parallel with the goal of delivering safe and effective therapies to patients with the utmost urgency.</w:t>
      </w:r>
    </w:p>
    <w:p>
      <w:pPr>
        <w:spacing w:after="0" w:line="23"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Our current clinical-stage pipeline consists of two product categories: biologics (including a monoclonal antibody and an enzyme replacement therapy); and small-molecule substrate replacement therapies. Enzymes are proteins that the body uses to process materials needed for normal cellular function, and substrates are the materials upon which enzymes act. When enzymes or substrates are missing, the body is unable to perform its normal cellular functions, often leading to significant clinical disease. Several of our therapies are intended to replace deficient enzymes or substrates.</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biologics pipeline includes the following product candidates in clinical development for the treatment of three diseases:</w:t>
      </w:r>
    </w:p>
    <w:p>
      <w:pPr>
        <w:spacing w:after="0" w:line="77" w:lineRule="exact"/>
        <w:rPr>
          <w:sz w:val="20"/>
          <w:szCs w:val="20"/>
          <w:color w:val="auto"/>
        </w:rPr>
      </w:pPr>
    </w:p>
    <w:p>
      <w:pPr>
        <w:ind w:left="900" w:hanging="379"/>
        <w:spacing w:after="0" w:line="269"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KRN23, or UX023, is an antibody targeting fibroblast growth factor 23, or FGF23, in development for the treatment of X-linked hypophosphatemia, or XLH, a rare genetic disease that impairs bone growth. We are developing KRN23 pursuant to our collaboration with Kyowa Hakko Kirin Co., Ltd., or KHK. KHK has completed one Phase 1 study, one Phase 1/2 study, and one longer-term Phase 1/2 study of KRN23 in adults with XLH. We initiated a Phase 2 pediatric study in July 2014 and a Phase 3 study in pediatric patients in October 2016. We also completed enrollment in a 134-patient Phase 3 adult study in July 2016. We expect data from this study in the first half of 2017. In January 2017, we and Kyowa Kirin International PLC, a wholly owned subsidiary of KHK, announced that we filed a Marketing Authorization Application, or MAA, for the conditional marketing authorization of KRN23 for the treatment of XLH based on the Phase 2 data, and that the EMA validated the application. An opinion from Committee for Medicinal Products for Human Use, or CHMP, is expected in the second half of 2017.We plan to submit a biologics license application, or BLA to the FDA for KRN23 in the second half of 2017. Based on discussions with the FDA, our understanding is that the pediatric Phase 3 study is currently not expected to be required for a U.S. filing. We continue to discuss the details of the planned submission with the FDA.</w:t>
      </w:r>
    </w:p>
    <w:p>
      <w:pPr>
        <w:spacing w:after="0" w:line="34" w:lineRule="exact"/>
        <w:rPr>
          <w:rFonts w:ascii="Arial" w:cs="Arial" w:eastAsia="Arial" w:hAnsi="Arial"/>
          <w:sz w:val="17"/>
          <w:szCs w:val="17"/>
          <w:color w:val="auto"/>
        </w:rPr>
      </w:pPr>
    </w:p>
    <w:p>
      <w:pPr>
        <w:ind w:left="900" w:right="60" w:hanging="379"/>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KRN23 is also being developed for the treatment of tumor-induced osteomalacia, or TIO. TIO results from typically benign tumors that produce excess levels of FGF23, which can lead to severe hypophosphatemia, osteomalacia, fractures, fatigue, bone and muscle pain, and muscle weakness. We initiated a Phase 2 study of KRN23 in adult inoperable TIO patients in March 2015. We expect additional data from this study in the second half of 2017.</w:t>
      </w:r>
    </w:p>
    <w:p>
      <w:pPr>
        <w:spacing w:after="0" w:line="38" w:lineRule="exact"/>
        <w:rPr>
          <w:rFonts w:ascii="Arial" w:cs="Arial" w:eastAsia="Arial" w:hAnsi="Arial"/>
          <w:sz w:val="18"/>
          <w:szCs w:val="18"/>
          <w:color w:val="auto"/>
        </w:rPr>
      </w:pPr>
    </w:p>
    <w:p>
      <w:pPr>
        <w:ind w:left="900" w:right="60" w:hanging="379"/>
        <w:spacing w:after="0" w:line="311"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Recombinant human beta-glucuronidase, or rhGUS or UX003, is an enzyme replacement therapy we are developing for the treatment of mucopolysaccharidosis 7, or MPS 7, a rare lysosomal storage disease that often leads to multi-organ dysfunction, pervasive skeletal disease, and death. We have met with the FDA and the EMA and plan to submit regulatory filings in the first half of 2017 based on Phase 3 study results.</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substrate replacement therapy pipeline includes the following product candidates in clinical development for the treatment of three diseases:</w:t>
      </w:r>
    </w:p>
    <w:p>
      <w:pPr>
        <w:spacing w:after="0" w:line="113" w:lineRule="exact"/>
        <w:rPr>
          <w:sz w:val="20"/>
          <w:szCs w:val="20"/>
          <w:color w:val="auto"/>
        </w:rPr>
      </w:pPr>
    </w:p>
    <w:p>
      <w:pPr>
        <w:ind w:left="900" w:hanging="379"/>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UX007 is a synthetic triglyceride with a specifically designed chemical composition being studied in an open-label Phase 2 study for the treatment of long-chain fatty acid oxidation disorders, or LC-FAOD. LC-FAOD is a set of rare metabolic diseases that prevents the conversion of fat into energy and can cause low blood sugar, muscle rupture, and heart and liver disease. We are planning for a Phase 3 study that we expect to initiate in 2017 after discussions with regulatory authorities.</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64" w:right="299" w:bottom="1440" w:gutter="0" w:footer="0" w:header="0"/>
        </w:sectPr>
      </w:pPr>
    </w:p>
    <w:bookmarkStart w:id="59" w:name="page60"/>
    <w:bookmarkEnd w:id="59"/>
    <w:p>
      <w:pPr>
        <w:ind w:left="900" w:right="120" w:hanging="379"/>
        <w:spacing w:after="0" w:line="286"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UX007 is also in a Phase 2 study for the treatment of glucose transporter type-1 deficiency syndrome, or Glut1 DS, a rare metabolic disease of brain energy deficiency that is characterized by seizures, developmental delay, and movement disorder. We expect data from the Phase 2 seizure study in the first quarter of 2017. We plan to initiate a Phase 3 study in the first quarter of 2017.</w:t>
      </w:r>
    </w:p>
    <w:p>
      <w:pPr>
        <w:spacing w:after="0" w:line="16" w:lineRule="exact"/>
        <w:rPr>
          <w:rFonts w:ascii="Arial" w:cs="Arial" w:eastAsia="Arial" w:hAnsi="Arial"/>
          <w:sz w:val="17"/>
          <w:szCs w:val="17"/>
          <w:color w:val="auto"/>
        </w:rPr>
      </w:pPr>
    </w:p>
    <w:p>
      <w:pPr>
        <w:ind w:left="900" w:hanging="379"/>
        <w:spacing w:after="0" w:line="276"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Aceneuramic acid extended-release, or Ace-ER or UX001, is an extended-release form of aceneuramic acid in a fully enrolled Phase 3 study for the treatment of GNE myopathy, a neuromuscular disorder that causes muscle weakness and wasting. Data from the Phase 3 study are expected in the second half of 2017. We filed a MAA, seeking conditional approval from the EMA for the use of Ace-ER in the treatment of GNE myopathy based on Phase 2 data. We withdrew this MAA in November 2016, after the CHMP indicated that the Phase 2 study was encouraging, but did not provide a sufficient amount of evidence to support an approval at that time.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94"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color w:val="auto"/>
        </w:rPr>
        <w:t>We are a clinical-stage company and have only a limited operating history. To date, we have invested substantially all of our efforts and financial resources in identifying, acquiring, and developing our product candidates, including conducting clinical studies and providing general and administrative support for these operations. To date, we have funded our operations primarily from the sale of equity securities.</w:t>
      </w:r>
    </w:p>
    <w:p>
      <w:pPr>
        <w:spacing w:after="0" w:line="33"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We have never been profitable and have incurred net losses in each year since inception. Our net losses were $245.9 million, $145.6 million and $59.8 million for the years ended December 31, 2016, 2015 and 2014. Substantially all of our net losses have resulted from costs incurred in connection with our research and development programs and from general and administrative costs associated with our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We recorded $0.1 million in revenue for UX003 for the year ended December 31, 2016 for named patient sales in Europe. All of the costs to manufacture the associated inventory were expensed as incurred because the product is not approved for commercial sale. We do not expect to receive any significant product sales revenue until we obtain regulatory approval for any of our product candidates.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expenses consist primarily of costs incurred for the development of our product candidates, which include:</w:t>
      </w:r>
    </w:p>
    <w:p>
      <w:pPr>
        <w:spacing w:after="0" w:line="90" w:lineRule="exact"/>
        <w:rPr>
          <w:sz w:val="20"/>
          <w:szCs w:val="20"/>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expenses incurred under agreements with clinical study sites that conduct research and development activities on our behalf;</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expenses incurred under license agreements with third parties;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employee and consultant-related expenses, which include salaries, benefits, travel, and stock-based compensation;</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laboratory and vendor expenses related to the execution of preclinical, non-clinical, and clinical studies;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 of acquiring, developing, and manufacturing clinical study materials; and</w:t>
      </w:r>
    </w:p>
    <w:p>
      <w:pPr>
        <w:spacing w:after="0" w:line="76" w:lineRule="exact"/>
        <w:rPr>
          <w:rFonts w:ascii="Arial" w:cs="Arial" w:eastAsia="Arial" w:hAnsi="Arial"/>
          <w:sz w:val="18"/>
          <w:szCs w:val="18"/>
          <w:color w:val="auto"/>
        </w:rPr>
      </w:pPr>
    </w:p>
    <w:p>
      <w:pPr>
        <w:ind w:left="900" w:right="380" w:hanging="379"/>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facilities, depreciation, and other expenses, which include direct and allocated expenses for rent and maintenance of facilities, insurance, and other supply costs.</w:t>
      </w:r>
    </w:p>
    <w:p>
      <w:pPr>
        <w:spacing w:after="0" w:line="22"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We expense all research and development costs in the periods in which they are incurred. Costs for certain development activities are recognized based on an evaluation of the progress to completion of specific tasks using information and data provided to us by our vendors and clinical sites. Nonrefundable advance payments for goods or services to be received in future periods for use in research and development activities are deferred and capitalized. The capitalized amounts are then expensed as the related goods are delivered and the services are performed.</w:t>
      </w:r>
    </w:p>
    <w:p>
      <w:pPr>
        <w:spacing w:after="0" w:line="23" w:lineRule="exact"/>
        <w:rPr>
          <w:sz w:val="20"/>
          <w:szCs w:val="20"/>
          <w:color w:val="auto"/>
        </w:rPr>
      </w:pPr>
    </w:p>
    <w:p>
      <w:pPr>
        <w:ind w:right="120" w:firstLine="518"/>
        <w:spacing w:after="0" w:line="271" w:lineRule="auto"/>
        <w:rPr>
          <w:sz w:val="20"/>
          <w:szCs w:val="20"/>
          <w:color w:val="auto"/>
        </w:rPr>
      </w:pPr>
      <w:r>
        <w:rPr>
          <w:rFonts w:ascii="Arial" w:cs="Arial" w:eastAsia="Arial" w:hAnsi="Arial"/>
          <w:sz w:val="17"/>
          <w:szCs w:val="17"/>
          <w:color w:val="auto"/>
        </w:rPr>
        <w:t>The largest component of our total operating expenses has historically been our investment in research and development activities, including the clinical development of our product candidates. We allocate research and development salaries, benefits, stock-based compensation, and indirect costs to our product candidates on a program-specific basis, and we include these costs in the program-specific expenses. We expect our research and development expenses will increase in absolute dollars in future periods as we continue to invest in research and development activities related to developing our product candidates, and as programs advance into later stages of development and we enter into larger clinical studies. The process of conducting the necessary clinical research to obtain FDA approval is costly and time consuming and the successful development of our product candidates is highly uncertain. As a result, we are unable to determine the duration and completion costs of our research and development projects or when and to what extent, if any, we will generate revenue from the commercialization and sale of any of our product candidates.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90" w:lineRule="exact"/>
        <w:rPr>
          <w:sz w:val="20"/>
          <w:szCs w:val="20"/>
          <w:color w:val="auto"/>
        </w:rPr>
      </w:pPr>
    </w:p>
    <w:p>
      <w:pPr>
        <w:ind w:right="280" w:firstLine="518"/>
        <w:spacing w:after="0" w:line="273" w:lineRule="auto"/>
        <w:rPr>
          <w:sz w:val="20"/>
          <w:szCs w:val="20"/>
          <w:color w:val="auto"/>
        </w:rPr>
      </w:pPr>
      <w:r>
        <w:rPr>
          <w:rFonts w:ascii="Arial" w:cs="Arial" w:eastAsia="Arial" w:hAnsi="Arial"/>
          <w:sz w:val="17"/>
          <w:szCs w:val="17"/>
          <w:color w:val="auto"/>
        </w:rPr>
        <w:t>General and administrative expenses consist primarily of personnel costs, allocated facilities costs, and other expenses for outside professional services, including legal, human resources, audit, and accounting services. Personnel costs consist of salaries, benefits, and stock-based compensation. We expect that our general and administrative expenses will increase in the future to support continued research and development activities, preparation for potential commercialization of our product candidates, and as a result of operating as a public company, including expenses related to compliance with the rules and regulations of the SEC and those of any national securities exchange on which our securities are traded, additional insurance expenses, investor relations activities, and other administration and professional services.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of interest earned on our cash, cash equivalents, and investments.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77" w:lineRule="exact"/>
        <w:rPr>
          <w:sz w:val="20"/>
          <w:szCs w:val="20"/>
          <w:color w:val="auto"/>
        </w:rPr>
      </w:pPr>
    </w:p>
    <w:p>
      <w:pPr>
        <w:ind w:right="680" w:firstLine="518"/>
        <w:spacing w:after="0" w:line="277" w:lineRule="auto"/>
        <w:rPr>
          <w:sz w:val="20"/>
          <w:szCs w:val="20"/>
          <w:color w:val="auto"/>
        </w:rPr>
      </w:pPr>
      <w:r>
        <w:rPr>
          <w:rFonts w:ascii="Arial" w:cs="Arial" w:eastAsia="Arial" w:hAnsi="Arial"/>
          <w:sz w:val="18"/>
          <w:szCs w:val="18"/>
          <w:color w:val="auto"/>
        </w:rPr>
        <w:t>Other expense, net primarily consists of foreign currency exchange gains and losses. Our foreign currency exchange gains and losses relate to transactions and asset and liability balances denominated in currencies other than the U.S. dollar.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periodically review our estimates in light of changes in circumstances, facts and experience. The effects of material revisions in estimates are reflected in the financial statements prospectively from the date of the change in estimate. Our significant accounting policies are more fully described in Note 2 to our financial statements included elsewhere in this Annual Report.</w:t>
      </w:r>
    </w:p>
    <w:p>
      <w:pPr>
        <w:spacing w:after="0" w:line="47"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We define our critical accounting policies as those accounting principles generally accepted in the United States of America that require us to make subjective estimates and judgments about matters that are uncertain and are likely to have a material impact on our financial condition and results of operations as well as the specific manner in which we apply those principles. We believe the critical accounting policies used in the preparation of our financial statements that require significant estimates and judgments are as follows: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and Research and Development Expenses</w:t>
      </w:r>
    </w:p>
    <w:p>
      <w:pPr>
        <w:spacing w:after="0" w:line="7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As part of the process of preparing consolidated financial statements, we are required to estimate and accrue expenses, the largest of which is related to accrued research and development expenses. This process involves reviewing contracts and purchase orders, identifying services that have been performed on our behalf, and estimating the level of service performed and the associated cost incurred for the service when we have not yet been invoiced or otherwise notified of the actual costs.</w:t>
      </w:r>
    </w:p>
    <w:p>
      <w:pPr>
        <w:spacing w:after="0" w:line="52"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We record accruals for estimated costs of research, preclinical and clinical studies, and manufacturing development. These costs are a significant component of our research and development expenses. A substantial portion of our ongoing research and development activities is conducted by third-party service providers. We accrue the costs incurred under our agreements with these third parties based on actual work completed in accordance with agreements established with these third parties. We determine the actual costs through discussions with internal personnel and external service providers as to the progress or stage of completion of the services and the agreed-upon fee to be paid for such services. We make significant judgments and estimates in determining the accrual balance in each reporting period. As actual costs become known, we adjust our accruals. Although we do not expect our estimates to be materially different from amounts actually incurred, our understanding of the status and timing of services performed relative to the actual status and timing of services performed may vary and could result in us reporting amounts that are too high or too low in any particular period. Our accrual is dependent, in part, upon the receipt of timely and accurate reporting from clinical research organizations and other third-party vendors.</w:t>
      </w:r>
    </w:p>
    <w:p>
      <w:pPr>
        <w:spacing w:after="0" w:line="18"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Research and development costs are expensed as incurred and consist of salaries and benefits, stock-based compensation, lab supplies, materials and facility costs, as well as fees paid to other nonemployees and entities that conduct certain research and development activities on our behalf. Amounts incurred in connection with collaboration and license agreements are also included in research and development expense. Payments made prior to the receipt of goods or services to be used in research and development are capitalized until the goods or services are received.</w:t>
      </w:r>
    </w:p>
    <w:p>
      <w:pPr>
        <w:spacing w:after="0" w:line="23"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To date, there have been no material differences from our accrued estimated expenses to the actual clinical trial expenses; however, due to the nature of estimates, we cannot assure you that we will not make changes to our estimates in the future as we become aware of additional information about the status or conduct of our clinical studies and other research activities.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We recognize revenue when persuasive evidence of an arrangement exists, delivery has occurred, the price is fixed or determinable, and collectability is reasonably assured. Revenue is recognized once all revenue recognition criteria are met.</w:t>
      </w:r>
    </w:p>
    <w:p>
      <w:pPr>
        <w:spacing w:after="0" w:line="35"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During the year ended December 31, 2016, we recognized revenue from sales of rhGUS (UX003) on a “named patient” basis, which are allowed in certain European countries prior to the commercial approval of the product in the territory. Due to our limited sales and collection history to date, revenue has been recognized upon receipt of payment.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77"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Stock-based compensation costs related to stock options granted to employees are measured at the date of grant based on the estimated fair value of the award, net of estimated forfeitures. We estimate the grant date fair value, and the resulting stock-based compensation expense, using the Black-Scholes option-pricing model. The grant date fair value of the stock-based awards is recognized on a straight-line basis over the requisite service period, which is generally the vesting period of the respective awards. We expect to continue to grant stock options in the future, and to the extent that we do, our actual stock-based compensation will likely increase. The Black-Scholes option-pricing model requires the use of highly subjective assumptions which determine the estimated fair value of stock-based awards. These assumptions include:</w:t>
      </w:r>
    </w:p>
    <w:p>
      <w:pPr>
        <w:spacing w:after="0" w:line="43" w:lineRule="exact"/>
        <w:rPr>
          <w:sz w:val="20"/>
          <w:szCs w:val="20"/>
          <w:color w:val="auto"/>
        </w:rPr>
      </w:pPr>
    </w:p>
    <w:p>
      <w:pPr>
        <w:ind w:left="900" w:right="40" w:hanging="379"/>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expected term represents the period that the stock-based awards are expected to be outstanding and is determined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simplified method (based on the midpoint between the vesting date and the end of the contractual term).</w:t>
      </w:r>
    </w:p>
    <w:p>
      <w:pPr>
        <w:spacing w:after="0" w:line="21" w:lineRule="exact"/>
        <w:rPr>
          <w:rFonts w:ascii="Arial" w:cs="Arial" w:eastAsia="Arial" w:hAnsi="Arial"/>
          <w:sz w:val="18"/>
          <w:szCs w:val="18"/>
          <w:color w:val="auto"/>
        </w:rPr>
      </w:pPr>
    </w:p>
    <w:p>
      <w:pPr>
        <w:ind w:left="900" w:hanging="379"/>
        <w:spacing w:after="0" w:line="270"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As we do not have sufficient historical stock price information to meet the expected life of the stock-based awards, our</w:t>
      </w:r>
      <w:r>
        <w:rPr>
          <w:rFonts w:ascii="Arial" w:cs="Arial" w:eastAsia="Arial" w:hAnsi="Arial"/>
          <w:sz w:val="17"/>
          <w:szCs w:val="17"/>
          <w:i w:val="1"/>
          <w:iCs w:val="1"/>
          <w:color w:val="auto"/>
        </w:rPr>
        <w:t xml:space="preserve"> </w:t>
      </w:r>
      <w:r>
        <w:rPr>
          <w:rFonts w:ascii="Arial" w:cs="Arial" w:eastAsia="Arial" w:hAnsi="Arial"/>
          <w:sz w:val="17"/>
          <w:szCs w:val="17"/>
          <w:color w:val="auto"/>
        </w:rPr>
        <w:t>approach to estimating expected volatility is to phase in our own common stock trading history and supplement the remaining historical information with a blended volatility from the trading history from the common stock of the set of comparable publicly traded biopharmaceutical companies. When selecting comparable publicly traded biopharmaceutical companies on which to base the expected stock price volatility, we selected companies with comparable characteristics to us, including enterprise value, risk profiles, position within the industry, and with historical share price information sufficient to meet the expected life of the stock-based awards. The historical volatility data was computed using the daily closing prices for the selected companies’ shares during the equivalent period of the calculated expected term of the stock-based awards. The average volatility for comparable publicly traded biopharmaceutical companies over a period equal to the expected term of the stock option grants is used to supplement our historical volatility. We will continue to apply this process until a sufficient amount of historical information regarding the volatility of our own stock price becomes available.</w:t>
      </w:r>
    </w:p>
    <w:p>
      <w:pPr>
        <w:spacing w:after="0" w:line="29" w:lineRule="exact"/>
        <w:rPr>
          <w:rFonts w:ascii="Arial" w:cs="Arial" w:eastAsia="Arial" w:hAnsi="Arial"/>
          <w:sz w:val="17"/>
          <w:szCs w:val="17"/>
          <w:color w:val="auto"/>
        </w:rPr>
      </w:pPr>
    </w:p>
    <w:p>
      <w:pPr>
        <w:ind w:left="900" w:right="440" w:hanging="379"/>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risk-free interest rate is based on the U.S. Treasury zero coupon issues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option.</w:t>
      </w:r>
    </w:p>
    <w:p>
      <w:pPr>
        <w:spacing w:after="0" w:line="21" w:lineRule="exact"/>
        <w:rPr>
          <w:rFonts w:ascii="Arial" w:cs="Arial" w:eastAsia="Arial" w:hAnsi="Arial"/>
          <w:sz w:val="18"/>
          <w:szCs w:val="18"/>
          <w:color w:val="auto"/>
        </w:rPr>
      </w:pPr>
    </w:p>
    <w:p>
      <w:pPr>
        <w:ind w:left="900" w:right="120" w:hanging="379"/>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w:t>
      </w:r>
      <w:r>
        <w:rPr>
          <w:rFonts w:ascii="Arial" w:cs="Arial" w:eastAsia="Arial" w:hAnsi="Arial"/>
          <w:sz w:val="18"/>
          <w:szCs w:val="18"/>
          <w:color w:val="auto"/>
        </w:rPr>
        <w:t>— We have never paid dividends on our common stock and have no plans to pay dividends on our common stock. Therefore,</w:t>
      </w:r>
      <w:r>
        <w:rPr>
          <w:rFonts w:ascii="Arial" w:cs="Arial" w:eastAsia="Arial" w:hAnsi="Arial"/>
          <w:sz w:val="18"/>
          <w:szCs w:val="18"/>
          <w:i w:val="1"/>
          <w:iCs w:val="1"/>
          <w:color w:val="auto"/>
        </w:rPr>
        <w:t xml:space="preserve"> </w:t>
      </w:r>
      <w:r>
        <w:rPr>
          <w:rFonts w:ascii="Arial" w:cs="Arial" w:eastAsia="Arial" w:hAnsi="Arial"/>
          <w:sz w:val="18"/>
          <w:szCs w:val="18"/>
          <w:color w:val="auto"/>
        </w:rPr>
        <w:t>we used an expected dividend yield of zero.</w:t>
      </w:r>
    </w:p>
    <w:p>
      <w:pPr>
        <w:spacing w:after="0" w:line="22" w:lineRule="exact"/>
        <w:rPr>
          <w:sz w:val="20"/>
          <w:szCs w:val="20"/>
          <w:color w:val="auto"/>
        </w:rPr>
      </w:pPr>
    </w:p>
    <w:p>
      <w:pPr>
        <w:ind w:right="440" w:firstLine="518"/>
        <w:spacing w:after="0" w:line="311" w:lineRule="auto"/>
        <w:rPr>
          <w:sz w:val="20"/>
          <w:szCs w:val="20"/>
          <w:color w:val="auto"/>
        </w:rPr>
      </w:pPr>
      <w:r>
        <w:rPr>
          <w:rFonts w:ascii="Arial" w:cs="Arial" w:eastAsia="Arial" w:hAnsi="Arial"/>
          <w:sz w:val="16"/>
          <w:szCs w:val="16"/>
          <w:color w:val="auto"/>
        </w:rPr>
        <w:t>In addition to the assumptions used in the Black-Scholes option-pricing model, we also estimate a forfeiture rate to calculate the stock-based compensation for our awards. We will continue to use judgment in evaluating the expected volatility, expected terms, and forfeiture rates utilized for our stock-based compensation calculations on a prospective basis and will revise in subsequent periods, if actual forfeitures differ from those estimates.</w:t>
      </w:r>
    </w:p>
    <w:p>
      <w:pPr>
        <w:spacing w:after="0" w:line="1"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For the years ended December 31, 2016, 2015 and 2014 stock-based compensation expense was $48.3 million, $24.9 million and $5.4 million, respectively. As of December 31, 2016, we had $136.5 million of total unrecognized stock-based compensation costs, net of estimated forfeitures, which we expect to recognize over a weighted-average period of 2.78 years.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60" w:firstLine="518"/>
        <w:spacing w:after="0" w:line="279" w:lineRule="auto"/>
        <w:rPr>
          <w:sz w:val="20"/>
          <w:szCs w:val="20"/>
          <w:color w:val="auto"/>
        </w:rPr>
      </w:pPr>
      <w:r>
        <w:rPr>
          <w:rFonts w:ascii="Arial" w:cs="Arial" w:eastAsia="Arial" w:hAnsi="Arial"/>
          <w:sz w:val="17"/>
          <w:szCs w:val="17"/>
          <w:color w:val="auto"/>
        </w:rPr>
        <w:t>We use the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 We assess the likelihood that the resulting deferred tax assets will be realized. A valuation allowance is provided when it is more likely than not that some portion or all of a deferred tax asset will not be realized.</w:t>
      </w:r>
    </w:p>
    <w:p>
      <w:pPr>
        <w:spacing w:after="0" w:line="23"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We recognize benefits of uncertain tax positions if it is more likely than not that such positions will be sustained upon examination based solely on their technical merits, as the largest amount of benefit that is more likely than not to be realized upon the ultimate settlement. Our policy is to recognize interest and penalties related to the underpayment of income taxes as a component of income tax expense or benefit. To date, there have been no interest or penalties charged in relation to the unrecognized tax benefits.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2" w:name="page63"/>
    <w:bookmarkEnd w:id="62"/>
    <w:p>
      <w:pPr>
        <w:ind w:right="60" w:firstLine="518"/>
        <w:spacing w:after="0" w:line="297" w:lineRule="auto"/>
        <w:rPr>
          <w:sz w:val="20"/>
          <w:szCs w:val="20"/>
          <w:color w:val="auto"/>
        </w:rPr>
      </w:pPr>
      <w:r>
        <w:rPr>
          <w:rFonts w:ascii="Arial" w:cs="Arial" w:eastAsia="Arial" w:hAnsi="Arial"/>
          <w:sz w:val="16"/>
          <w:szCs w:val="16"/>
          <w:color w:val="auto"/>
        </w:rPr>
        <w:t>As of December 31, 2016, our total deferred tax assets were $212.4 million. Due to our lack of earnings history and uncertainties surrounding our ability to generate future taxable income, the net deferred tax assets have been fully offset by a valuation allowance. The deferred tax assets were primarily comprised of federal and state tax net operating losses and tax credit carryforwards. Utilization of the net operating loss and tax credit carryforwards may be subject to an annual limitation due to historical or future ownership percentage change rules provided by the Internal Revenue Code of 1986, and similar state provisions. The annual limitation may result in the expiration of certain net operating loss and tax credit carryforwards before their utilization.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3"/>
          </w:tcPr>
          <w:p>
            <w:pPr>
              <w:spacing w:after="0"/>
              <w:rPr>
                <w:sz w:val="20"/>
                <w:szCs w:val="20"/>
                <w:color w:val="auto"/>
              </w:rPr>
            </w:pPr>
            <w:r>
              <w:rPr>
                <w:rFonts w:ascii="Arial" w:cs="Arial" w:eastAsia="Arial" w:hAnsi="Arial"/>
                <w:sz w:val="18"/>
                <w:szCs w:val="18"/>
                <w:b w:val="1"/>
                <w:bCs w:val="1"/>
                <w:color w:val="auto"/>
              </w:rPr>
              <w:t>Results of Operations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5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Comparison of Years Ended December 31, 2016 and 2015</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00" w:type="dxa"/>
            <w:vAlign w:val="bottom"/>
            <w:gridSpan w:val="3"/>
          </w:tcPr>
          <w:p>
            <w:pPr>
              <w:spacing w:after="0"/>
              <w:rPr>
                <w:sz w:val="20"/>
                <w:szCs w:val="20"/>
                <w:color w:val="auto"/>
              </w:rPr>
            </w:pPr>
            <w:r>
              <w:rPr>
                <w:rFonts w:ascii="Arial" w:cs="Arial" w:eastAsia="Arial" w:hAnsi="Arial"/>
                <w:sz w:val="18"/>
                <w:szCs w:val="18"/>
                <w:i w:val="1"/>
                <w:iCs w:val="1"/>
                <w:color w:val="auto"/>
              </w:rPr>
              <w:t>Revenue (dollars in thousands)</w:t>
            </w:r>
          </w:p>
        </w:tc>
        <w:tc>
          <w:tcPr>
            <w:tcW w:w="160" w:type="dxa"/>
            <w:vAlign w:val="bottom"/>
          </w:tcPr>
          <w:p>
            <w:pPr>
              <w:spacing w:after="0"/>
              <w:rPr>
                <w:sz w:val="21"/>
                <w:szCs w:val="21"/>
                <w:color w:val="auto"/>
              </w:rPr>
            </w:pPr>
          </w:p>
        </w:tc>
        <w:tc>
          <w:tcPr>
            <w:tcW w:w="2760" w:type="dxa"/>
            <w:vAlign w:val="bottom"/>
            <w:gridSpan w:val="6"/>
            <w:vMerge w:val="restart"/>
          </w:tcPr>
          <w:p>
            <w:pPr>
              <w:jc w:val="right"/>
              <w:ind w:right="625"/>
              <w:spacing w:after="0"/>
              <w:rPr>
                <w:sz w:val="20"/>
                <w:szCs w:val="20"/>
                <w:color w:val="auto"/>
              </w:rPr>
            </w:pPr>
            <w:r>
              <w:rPr>
                <w:rFonts w:ascii="Arial" w:cs="Arial" w:eastAsia="Arial" w:hAnsi="Arial"/>
                <w:sz w:val="18"/>
                <w:szCs w:val="18"/>
                <w:b w:val="1"/>
                <w:bCs w:val="1"/>
                <w:color w:val="auto"/>
                <w:w w:val="92"/>
              </w:rPr>
              <w:t>Year Ended December 31,</w:t>
            </w:r>
          </w:p>
        </w:tc>
        <w:tc>
          <w:tcPr>
            <w:tcW w:w="1200" w:type="dxa"/>
            <w:vAlign w:val="bottom"/>
            <w:gridSpan w:val="2"/>
            <w:vMerge w:val="restart"/>
          </w:tcPr>
          <w:p>
            <w:pPr>
              <w:jc w:val="center"/>
              <w:ind w:right="460"/>
              <w:spacing w:after="0"/>
              <w:rPr>
                <w:sz w:val="20"/>
                <w:szCs w:val="20"/>
                <w:color w:val="auto"/>
              </w:rPr>
            </w:pPr>
            <w:r>
              <w:rPr>
                <w:rFonts w:ascii="Arial" w:cs="Arial" w:eastAsia="Arial" w:hAnsi="Arial"/>
                <w:sz w:val="18"/>
                <w:szCs w:val="18"/>
                <w:b w:val="1"/>
                <w:bCs w:val="1"/>
                <w:color w:val="auto"/>
                <w:w w:val="97"/>
              </w:rPr>
              <w:t>Dollar</w:t>
            </w:r>
          </w:p>
        </w:tc>
        <w:tc>
          <w:tcPr>
            <w:tcW w:w="124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0"/>
        </w:trPr>
        <w:tc>
          <w:tcPr>
            <w:tcW w:w="58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c>
          <w:tcPr>
            <w:tcW w:w="3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760" w:type="dxa"/>
            <w:vAlign w:val="bottom"/>
            <w:gridSpan w:val="6"/>
            <w:vMerge w:val="continue"/>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Change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Change</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920" w:type="dxa"/>
            <w:vAlign w:val="bottom"/>
            <w:tcBorders>
              <w:top w:val="single" w:sz="8" w:color="CCECFF"/>
            </w:tcBorders>
            <w:gridSpan w:val="2"/>
            <w:shd w:val="clear" w:color="auto" w:fill="CCECFF"/>
          </w:tcPr>
          <w:p>
            <w:pPr>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133</w:t>
            </w:r>
          </w:p>
        </w:tc>
        <w:tc>
          <w:tcPr>
            <w:tcW w:w="240" w:type="dxa"/>
            <w:vAlign w:val="bottom"/>
            <w:tcBorders>
              <w:top w:val="single" w:sz="8" w:color="CCECFF"/>
            </w:tcBorders>
            <w:shd w:val="clear" w:color="auto" w:fill="CCECFF"/>
          </w:tcPr>
          <w:p>
            <w:pPr>
              <w:spacing w:after="0"/>
              <w:rPr>
                <w:sz w:val="19"/>
                <w:szCs w:val="19"/>
                <w:color w:val="auto"/>
              </w:rPr>
            </w:pPr>
          </w:p>
        </w:tc>
        <w:tc>
          <w:tcPr>
            <w:tcW w:w="240" w:type="dxa"/>
            <w:vAlign w:val="bottom"/>
            <w:tcBorders>
              <w:top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CFF"/>
            </w:tcBorders>
            <w:shd w:val="clear" w:color="auto" w:fill="CCECFF"/>
          </w:tcPr>
          <w:p>
            <w:pPr>
              <w:spacing w:after="0"/>
              <w:rPr>
                <w:sz w:val="19"/>
                <w:szCs w:val="19"/>
                <w:color w:val="auto"/>
              </w:rPr>
            </w:pPr>
          </w:p>
        </w:tc>
        <w:tc>
          <w:tcPr>
            <w:tcW w:w="180" w:type="dxa"/>
            <w:vAlign w:val="bottom"/>
            <w:tcBorders>
              <w:top w:val="single" w:sz="8" w:color="auto"/>
            </w:tcBorders>
            <w:shd w:val="clear" w:color="auto" w:fill="CCEC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133</w:t>
            </w:r>
          </w:p>
        </w:tc>
        <w:tc>
          <w:tcPr>
            <w:tcW w:w="260" w:type="dxa"/>
            <w:vAlign w:val="bottom"/>
            <w:tcBorders>
              <w:top w:val="single" w:sz="8" w:color="CCECFF"/>
            </w:tcBorders>
            <w:shd w:val="clear" w:color="auto" w:fill="CCECFF"/>
          </w:tcPr>
          <w:p>
            <w:pPr>
              <w:spacing w:after="0"/>
              <w:rPr>
                <w:sz w:val="19"/>
                <w:szCs w:val="19"/>
                <w:color w:val="auto"/>
              </w:rPr>
            </w:pPr>
          </w:p>
        </w:tc>
        <w:tc>
          <w:tcPr>
            <w:tcW w:w="12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500" w:type="dxa"/>
            <w:vAlign w:val="bottom"/>
            <w:gridSpan w:val="3"/>
          </w:tcPr>
          <w:p>
            <w:pPr>
              <w:ind w:left="520"/>
              <w:spacing w:after="0"/>
              <w:rPr>
                <w:sz w:val="20"/>
                <w:szCs w:val="20"/>
                <w:color w:val="auto"/>
              </w:rPr>
            </w:pPr>
            <w:r>
              <w:rPr>
                <w:rFonts w:ascii="Arial" w:cs="Arial" w:eastAsia="Arial" w:hAnsi="Arial"/>
                <w:sz w:val="18"/>
                <w:szCs w:val="18"/>
                <w:color w:val="auto"/>
              </w:rPr>
              <w:t>*not meaningful</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We recognized revenue for $0.1 million of named patient sales of UX003 in Europe for the year ended December 31, 2016. We did not recognize any revenue for the year ended December 31, 2015.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80" w:type="dxa"/>
            <w:vAlign w:val="bottom"/>
            <w:gridSpan w:val="3"/>
          </w:tcPr>
          <w:p>
            <w:pPr>
              <w:spacing w:after="0"/>
              <w:rPr>
                <w:sz w:val="20"/>
                <w:szCs w:val="20"/>
                <w:color w:val="auto"/>
              </w:rPr>
            </w:pPr>
            <w:r>
              <w:rPr>
                <w:rFonts w:ascii="Arial" w:cs="Arial" w:eastAsia="Arial" w:hAnsi="Arial"/>
                <w:sz w:val="18"/>
                <w:szCs w:val="18"/>
                <w:i w:val="1"/>
                <w:iCs w:val="1"/>
                <w:color w:val="auto"/>
              </w:rPr>
              <w:t>Research and Development Expenses (dollars in thousands)</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31"/>
        </w:trPr>
        <w:tc>
          <w:tcPr>
            <w:tcW w:w="580" w:type="dxa"/>
            <w:vAlign w:val="bottom"/>
            <w:tcBorders>
              <w:top w:val="single" w:sz="8" w:color="auto"/>
            </w:tcBorders>
          </w:tcPr>
          <w:p>
            <w:pPr>
              <w:spacing w:after="0"/>
              <w:rPr>
                <w:sz w:val="24"/>
                <w:szCs w:val="24"/>
                <w:color w:val="auto"/>
              </w:rPr>
            </w:pPr>
          </w:p>
        </w:tc>
        <w:tc>
          <w:tcPr>
            <w:tcW w:w="376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w w:val="93"/>
              </w:rPr>
              <w:t>Year Ended December 31,</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Dollar</w:t>
            </w:r>
          </w:p>
        </w:tc>
        <w:tc>
          <w:tcPr>
            <w:tcW w:w="136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Change</w:t>
            </w:r>
          </w:p>
        </w:tc>
        <w:tc>
          <w:tcPr>
            <w:tcW w:w="240" w:type="dxa"/>
            <w:vAlign w:val="bottom"/>
          </w:tcPr>
          <w:p>
            <w:pPr>
              <w:spacing w:after="0"/>
              <w:rPr>
                <w:sz w:val="19"/>
                <w:szCs w:val="19"/>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Change</w:t>
            </w:r>
          </w:p>
        </w:tc>
      </w:tr>
      <w:tr>
        <w:trPr>
          <w:trHeight w:val="223"/>
        </w:trPr>
        <w:tc>
          <w:tcPr>
            <w:tcW w:w="580" w:type="dxa"/>
            <w:vAlign w:val="bottom"/>
          </w:tcPr>
          <w:p>
            <w:pPr>
              <w:spacing w:after="0"/>
              <w:rPr>
                <w:sz w:val="19"/>
                <w:szCs w:val="19"/>
                <w:color w:val="auto"/>
              </w:rPr>
            </w:pPr>
          </w:p>
        </w:tc>
        <w:tc>
          <w:tcPr>
            <w:tcW w:w="4300" w:type="dxa"/>
            <w:vAlign w:val="bottom"/>
            <w:tcBorders>
              <w:top w:val="single" w:sz="8" w:color="CCECFF"/>
            </w:tcBorders>
            <w:gridSpan w:val="2"/>
            <w:shd w:val="clear" w:color="auto" w:fill="CCECFF"/>
          </w:tcPr>
          <w:p>
            <w:pPr>
              <w:spacing w:after="0"/>
              <w:rPr>
                <w:sz w:val="20"/>
                <w:szCs w:val="20"/>
                <w:color w:val="auto"/>
              </w:rPr>
            </w:pPr>
            <w:r>
              <w:rPr>
                <w:rFonts w:ascii="Arial" w:cs="Arial" w:eastAsia="Arial" w:hAnsi="Arial"/>
                <w:sz w:val="18"/>
                <w:szCs w:val="18"/>
                <w:color w:val="auto"/>
              </w:rPr>
              <w:t>Development candidate:</w:t>
            </w:r>
          </w:p>
        </w:tc>
        <w:tc>
          <w:tcPr>
            <w:tcW w:w="560" w:type="dxa"/>
            <w:vAlign w:val="bottom"/>
            <w:tcBorders>
              <w:top w:val="single" w:sz="8" w:color="CCECFF"/>
            </w:tcBorders>
            <w:shd w:val="clear" w:color="auto" w:fill="CCECFF"/>
          </w:tcPr>
          <w:p>
            <w:pPr>
              <w:spacing w:after="0"/>
              <w:rPr>
                <w:sz w:val="19"/>
                <w:szCs w:val="19"/>
                <w:color w:val="auto"/>
              </w:rPr>
            </w:pPr>
          </w:p>
        </w:tc>
        <w:tc>
          <w:tcPr>
            <w:tcW w:w="160" w:type="dxa"/>
            <w:vAlign w:val="bottom"/>
            <w:tcBorders>
              <w:top w:val="single" w:sz="8" w:color="auto"/>
            </w:tcBorders>
            <w:shd w:val="clear" w:color="auto" w:fill="CCECFF"/>
          </w:tcPr>
          <w:p>
            <w:pPr>
              <w:spacing w:after="0"/>
              <w:rPr>
                <w:sz w:val="19"/>
                <w:szCs w:val="19"/>
                <w:color w:val="auto"/>
              </w:rPr>
            </w:pPr>
          </w:p>
        </w:tc>
        <w:tc>
          <w:tcPr>
            <w:tcW w:w="960" w:type="dxa"/>
            <w:vAlign w:val="bottom"/>
            <w:tcBorders>
              <w:top w:val="single" w:sz="8" w:color="auto"/>
            </w:tcBorders>
            <w:shd w:val="clear" w:color="auto" w:fill="CCECFF"/>
          </w:tcPr>
          <w:p>
            <w:pPr>
              <w:spacing w:after="0"/>
              <w:rPr>
                <w:sz w:val="19"/>
                <w:szCs w:val="19"/>
                <w:color w:val="auto"/>
              </w:rPr>
            </w:pPr>
          </w:p>
        </w:tc>
        <w:tc>
          <w:tcPr>
            <w:tcW w:w="260" w:type="dxa"/>
            <w:vAlign w:val="bottom"/>
            <w:tcBorders>
              <w:top w:val="single" w:sz="8" w:color="CCECFF"/>
            </w:tcBorders>
            <w:shd w:val="clear" w:color="auto" w:fill="CCECFF"/>
          </w:tcPr>
          <w:p>
            <w:pPr>
              <w:spacing w:after="0"/>
              <w:rPr>
                <w:sz w:val="19"/>
                <w:szCs w:val="19"/>
                <w:color w:val="auto"/>
              </w:rPr>
            </w:pPr>
          </w:p>
        </w:tc>
        <w:tc>
          <w:tcPr>
            <w:tcW w:w="220" w:type="dxa"/>
            <w:vAlign w:val="bottom"/>
            <w:tcBorders>
              <w:top w:val="single" w:sz="8" w:color="auto"/>
            </w:tcBorders>
            <w:shd w:val="clear" w:color="auto" w:fill="CCECFF"/>
          </w:tcPr>
          <w:p>
            <w:pPr>
              <w:spacing w:after="0"/>
              <w:rPr>
                <w:sz w:val="19"/>
                <w:szCs w:val="19"/>
                <w:color w:val="auto"/>
              </w:rPr>
            </w:pPr>
          </w:p>
        </w:tc>
        <w:tc>
          <w:tcPr>
            <w:tcW w:w="900" w:type="dxa"/>
            <w:vAlign w:val="bottom"/>
            <w:tcBorders>
              <w:top w:val="single" w:sz="8" w:color="auto"/>
            </w:tcBorders>
            <w:shd w:val="clear" w:color="auto" w:fill="CCECFF"/>
          </w:tcPr>
          <w:p>
            <w:pPr>
              <w:spacing w:after="0"/>
              <w:rPr>
                <w:sz w:val="19"/>
                <w:szCs w:val="19"/>
                <w:color w:val="auto"/>
              </w:rPr>
            </w:pPr>
          </w:p>
        </w:tc>
        <w:tc>
          <w:tcPr>
            <w:tcW w:w="260" w:type="dxa"/>
            <w:vAlign w:val="bottom"/>
            <w:tcBorders>
              <w:top w:val="single" w:sz="8" w:color="CCECFF"/>
            </w:tcBorders>
            <w:shd w:val="clear" w:color="auto" w:fill="CCECFF"/>
          </w:tcPr>
          <w:p>
            <w:pPr>
              <w:spacing w:after="0"/>
              <w:rPr>
                <w:sz w:val="19"/>
                <w:szCs w:val="19"/>
                <w:color w:val="auto"/>
              </w:rPr>
            </w:pPr>
          </w:p>
        </w:tc>
        <w:tc>
          <w:tcPr>
            <w:tcW w:w="160" w:type="dxa"/>
            <w:vAlign w:val="bottom"/>
            <w:tcBorders>
              <w:top w:val="single" w:sz="8" w:color="auto"/>
            </w:tcBorders>
            <w:shd w:val="clear" w:color="auto" w:fill="CCECFF"/>
          </w:tcPr>
          <w:p>
            <w:pPr>
              <w:spacing w:after="0"/>
              <w:rPr>
                <w:sz w:val="19"/>
                <w:szCs w:val="19"/>
                <w:color w:val="auto"/>
              </w:rPr>
            </w:pPr>
          </w:p>
        </w:tc>
        <w:tc>
          <w:tcPr>
            <w:tcW w:w="960" w:type="dxa"/>
            <w:vAlign w:val="bottom"/>
            <w:tcBorders>
              <w:top w:val="single" w:sz="8" w:color="auto"/>
            </w:tcBorders>
            <w:shd w:val="clear" w:color="auto" w:fill="CCECFF"/>
          </w:tcPr>
          <w:p>
            <w:pPr>
              <w:spacing w:after="0"/>
              <w:rPr>
                <w:sz w:val="19"/>
                <w:szCs w:val="19"/>
                <w:color w:val="auto"/>
              </w:rPr>
            </w:pPr>
          </w:p>
        </w:tc>
        <w:tc>
          <w:tcPr>
            <w:tcW w:w="240" w:type="dxa"/>
            <w:vAlign w:val="bottom"/>
            <w:tcBorders>
              <w:top w:val="single" w:sz="8" w:color="CCECFF"/>
            </w:tcBorders>
            <w:shd w:val="clear" w:color="auto" w:fill="CCECFF"/>
          </w:tcPr>
          <w:p>
            <w:pPr>
              <w:spacing w:after="0"/>
              <w:rPr>
                <w:sz w:val="19"/>
                <w:szCs w:val="19"/>
                <w:color w:val="auto"/>
              </w:rPr>
            </w:pPr>
          </w:p>
        </w:tc>
        <w:tc>
          <w:tcPr>
            <w:tcW w:w="1120" w:type="dxa"/>
            <w:vAlign w:val="bottom"/>
            <w:tcBorders>
              <w:top w:val="single" w:sz="8" w:color="auto"/>
            </w:tcBorders>
            <w:shd w:val="clear" w:color="auto" w:fill="CCECFF"/>
          </w:tcPr>
          <w:p>
            <w:pPr>
              <w:spacing w:after="0"/>
              <w:rPr>
                <w:sz w:val="19"/>
                <w:szCs w:val="19"/>
                <w:color w:val="auto"/>
              </w:rPr>
            </w:pPr>
          </w:p>
        </w:tc>
        <w:tc>
          <w:tcPr>
            <w:tcW w:w="180" w:type="dxa"/>
            <w:vAlign w:val="bottom"/>
            <w:tcBorders>
              <w:top w:val="single" w:sz="8" w:color="CCECFF"/>
            </w:tcBorders>
            <w:shd w:val="clear" w:color="auto" w:fill="CCECFF"/>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300" w:type="dxa"/>
            <w:vAlign w:val="bottom"/>
            <w:gridSpan w:val="2"/>
          </w:tcPr>
          <w:p>
            <w:pPr>
              <w:ind w:left="240"/>
              <w:spacing w:after="0"/>
              <w:rPr>
                <w:sz w:val="20"/>
                <w:szCs w:val="20"/>
                <w:color w:val="auto"/>
              </w:rPr>
            </w:pPr>
            <w:r>
              <w:rPr>
                <w:rFonts w:ascii="Arial" w:cs="Arial" w:eastAsia="Arial" w:hAnsi="Arial"/>
                <w:sz w:val="18"/>
                <w:szCs w:val="18"/>
                <w:color w:val="auto"/>
              </w:rPr>
              <w:t>KRN23</w:t>
            </w:r>
          </w:p>
        </w:tc>
        <w:tc>
          <w:tcPr>
            <w:tcW w:w="7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34,723</w:t>
            </w:r>
          </w:p>
        </w:tc>
        <w:tc>
          <w:tcPr>
            <w:tcW w:w="4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12,886</w:t>
            </w:r>
          </w:p>
        </w:tc>
        <w:tc>
          <w:tcPr>
            <w:tcW w:w="4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21,837</w:t>
            </w: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169%</w:t>
            </w:r>
          </w:p>
        </w:tc>
      </w:tr>
      <w:tr>
        <w:trPr>
          <w:trHeight w:val="230"/>
        </w:trPr>
        <w:tc>
          <w:tcPr>
            <w:tcW w:w="580" w:type="dxa"/>
            <w:vAlign w:val="bottom"/>
          </w:tcPr>
          <w:p>
            <w:pPr>
              <w:spacing w:after="0"/>
              <w:rPr>
                <w:sz w:val="19"/>
                <w:szCs w:val="19"/>
                <w:color w:val="auto"/>
              </w:rPr>
            </w:pPr>
          </w:p>
        </w:tc>
        <w:tc>
          <w:tcPr>
            <w:tcW w:w="4300" w:type="dxa"/>
            <w:vAlign w:val="bottom"/>
            <w:gridSpan w:val="2"/>
            <w:shd w:val="clear" w:color="auto" w:fill="CCECFF"/>
          </w:tcPr>
          <w:p>
            <w:pPr>
              <w:ind w:left="240"/>
              <w:spacing w:after="0"/>
              <w:rPr>
                <w:sz w:val="20"/>
                <w:szCs w:val="20"/>
                <w:color w:val="auto"/>
              </w:rPr>
            </w:pPr>
            <w:r>
              <w:rPr>
                <w:rFonts w:ascii="Arial" w:cs="Arial" w:eastAsia="Arial" w:hAnsi="Arial"/>
                <w:sz w:val="18"/>
                <w:szCs w:val="18"/>
                <w:color w:val="auto"/>
              </w:rPr>
              <w:t>rhGUS</w:t>
            </w:r>
          </w:p>
        </w:tc>
        <w:tc>
          <w:tcPr>
            <w:tcW w:w="56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29,707</w:t>
            </w:r>
          </w:p>
        </w:tc>
        <w:tc>
          <w:tcPr>
            <w:tcW w:w="2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18,989</w:t>
            </w:r>
          </w:p>
        </w:tc>
        <w:tc>
          <w:tcPr>
            <w:tcW w:w="26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10,718</w:t>
            </w:r>
          </w:p>
        </w:tc>
        <w:tc>
          <w:tcPr>
            <w:tcW w:w="1540" w:type="dxa"/>
            <w:vAlign w:val="bottom"/>
            <w:gridSpan w:val="3"/>
            <w:shd w:val="clear" w:color="auto" w:fill="CCECFF"/>
          </w:tcPr>
          <w:p>
            <w:pPr>
              <w:jc w:val="right"/>
              <w:ind w:right="40"/>
              <w:spacing w:after="0"/>
              <w:rPr>
                <w:sz w:val="20"/>
                <w:szCs w:val="20"/>
                <w:color w:val="auto"/>
              </w:rPr>
            </w:pPr>
            <w:r>
              <w:rPr>
                <w:rFonts w:ascii="Arial" w:cs="Arial" w:eastAsia="Arial" w:hAnsi="Arial"/>
                <w:sz w:val="18"/>
                <w:szCs w:val="18"/>
                <w:color w:val="auto"/>
              </w:rPr>
              <w:t>56%</w:t>
            </w:r>
          </w:p>
        </w:tc>
      </w:tr>
      <w:tr>
        <w:trPr>
          <w:trHeight w:val="230"/>
        </w:trPr>
        <w:tc>
          <w:tcPr>
            <w:tcW w:w="580" w:type="dxa"/>
            <w:vAlign w:val="bottom"/>
          </w:tcPr>
          <w:p>
            <w:pPr>
              <w:spacing w:after="0"/>
              <w:rPr>
                <w:sz w:val="19"/>
                <w:szCs w:val="19"/>
                <w:color w:val="auto"/>
              </w:rPr>
            </w:pPr>
          </w:p>
        </w:tc>
        <w:tc>
          <w:tcPr>
            <w:tcW w:w="4300" w:type="dxa"/>
            <w:vAlign w:val="bottom"/>
            <w:gridSpan w:val="2"/>
          </w:tcPr>
          <w:p>
            <w:pPr>
              <w:ind w:left="240"/>
              <w:spacing w:after="0"/>
              <w:rPr>
                <w:sz w:val="20"/>
                <w:szCs w:val="20"/>
                <w:color w:val="auto"/>
              </w:rPr>
            </w:pPr>
            <w:r>
              <w:rPr>
                <w:rFonts w:ascii="Arial" w:cs="Arial" w:eastAsia="Arial" w:hAnsi="Arial"/>
                <w:sz w:val="18"/>
                <w:szCs w:val="18"/>
                <w:color w:val="auto"/>
              </w:rPr>
              <w:t>UX007</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34,478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19,952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14,526</w:t>
            </w: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73%</w:t>
            </w:r>
          </w:p>
        </w:tc>
      </w:tr>
      <w:tr>
        <w:trPr>
          <w:trHeight w:val="230"/>
        </w:trPr>
        <w:tc>
          <w:tcPr>
            <w:tcW w:w="580" w:type="dxa"/>
            <w:vAlign w:val="bottom"/>
          </w:tcPr>
          <w:p>
            <w:pPr>
              <w:spacing w:after="0"/>
              <w:rPr>
                <w:sz w:val="19"/>
                <w:szCs w:val="19"/>
                <w:color w:val="auto"/>
              </w:rPr>
            </w:pPr>
          </w:p>
        </w:tc>
        <w:tc>
          <w:tcPr>
            <w:tcW w:w="4300" w:type="dxa"/>
            <w:vAlign w:val="bottom"/>
            <w:gridSpan w:val="2"/>
            <w:shd w:val="clear" w:color="auto" w:fill="CCECFF"/>
          </w:tcPr>
          <w:p>
            <w:pPr>
              <w:ind w:left="240"/>
              <w:spacing w:after="0"/>
              <w:rPr>
                <w:sz w:val="20"/>
                <w:szCs w:val="20"/>
                <w:color w:val="auto"/>
              </w:rPr>
            </w:pPr>
            <w:r>
              <w:rPr>
                <w:rFonts w:ascii="Arial" w:cs="Arial" w:eastAsia="Arial" w:hAnsi="Arial"/>
                <w:sz w:val="18"/>
                <w:szCs w:val="18"/>
                <w:color w:val="auto"/>
              </w:rPr>
              <w:t>Ace-ER</w:t>
            </w:r>
          </w:p>
        </w:tc>
        <w:tc>
          <w:tcPr>
            <w:tcW w:w="56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32,532</w:t>
            </w:r>
          </w:p>
        </w:tc>
        <w:tc>
          <w:tcPr>
            <w:tcW w:w="2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24,164</w:t>
            </w:r>
          </w:p>
        </w:tc>
        <w:tc>
          <w:tcPr>
            <w:tcW w:w="26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8,368</w:t>
            </w:r>
          </w:p>
        </w:tc>
        <w:tc>
          <w:tcPr>
            <w:tcW w:w="1540" w:type="dxa"/>
            <w:vAlign w:val="bottom"/>
            <w:gridSpan w:val="3"/>
            <w:shd w:val="clear" w:color="auto" w:fill="CCECFF"/>
          </w:tcPr>
          <w:p>
            <w:pPr>
              <w:jc w:val="right"/>
              <w:ind w:right="40"/>
              <w:spacing w:after="0"/>
              <w:rPr>
                <w:sz w:val="20"/>
                <w:szCs w:val="20"/>
                <w:color w:val="auto"/>
              </w:rPr>
            </w:pPr>
            <w:r>
              <w:rPr>
                <w:rFonts w:ascii="Arial" w:cs="Arial" w:eastAsia="Arial" w:hAnsi="Arial"/>
                <w:sz w:val="18"/>
                <w:szCs w:val="18"/>
                <w:color w:val="auto"/>
              </w:rPr>
              <w:t>35%</w:t>
            </w:r>
          </w:p>
        </w:tc>
      </w:tr>
      <w:tr>
        <w:trPr>
          <w:trHeight w:val="230"/>
        </w:trPr>
        <w:tc>
          <w:tcPr>
            <w:tcW w:w="580" w:type="dxa"/>
            <w:vAlign w:val="bottom"/>
          </w:tcPr>
          <w:p>
            <w:pPr>
              <w:spacing w:after="0"/>
              <w:rPr>
                <w:sz w:val="19"/>
                <w:szCs w:val="19"/>
                <w:color w:val="auto"/>
              </w:rPr>
            </w:pPr>
          </w:p>
        </w:tc>
        <w:tc>
          <w:tcPr>
            <w:tcW w:w="4300" w:type="dxa"/>
            <w:vAlign w:val="bottom"/>
            <w:tcBorders>
              <w:bottom w:val="single" w:sz="8" w:color="CCECFF"/>
            </w:tcBorders>
            <w:gridSpan w:val="2"/>
          </w:tcPr>
          <w:p>
            <w:pPr>
              <w:ind w:left="240"/>
              <w:spacing w:after="0"/>
              <w:rPr>
                <w:sz w:val="20"/>
                <w:szCs w:val="20"/>
                <w:color w:val="auto"/>
              </w:rPr>
            </w:pPr>
            <w:r>
              <w:rPr>
                <w:rFonts w:ascii="Arial" w:cs="Arial" w:eastAsia="Arial" w:hAnsi="Arial"/>
                <w:sz w:val="18"/>
                <w:szCs w:val="18"/>
                <w:color w:val="auto"/>
              </w:rPr>
              <w:t>Other research costs and preclinical costs</w:t>
            </w:r>
          </w:p>
        </w:tc>
        <w:tc>
          <w:tcPr>
            <w:tcW w:w="56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51,764</w:t>
            </w:r>
          </w:p>
        </w:tc>
        <w:tc>
          <w:tcPr>
            <w:tcW w:w="260" w:type="dxa"/>
            <w:vAlign w:val="bottom"/>
            <w:tcBorders>
              <w:bottom w:val="single" w:sz="8" w:color="CCEC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38,746</w:t>
            </w:r>
          </w:p>
        </w:tc>
        <w:tc>
          <w:tcPr>
            <w:tcW w:w="26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13,018</w:t>
            </w:r>
          </w:p>
        </w:tc>
        <w:tc>
          <w:tcPr>
            <w:tcW w:w="1540" w:type="dxa"/>
            <w:vAlign w:val="bottom"/>
            <w:tcBorders>
              <w:bottom w:val="single" w:sz="8" w:color="CCECFF"/>
            </w:tcBorders>
            <w:gridSpan w:val="3"/>
          </w:tcPr>
          <w:p>
            <w:pPr>
              <w:jc w:val="right"/>
              <w:ind w:right="40"/>
              <w:spacing w:after="0"/>
              <w:rPr>
                <w:sz w:val="20"/>
                <w:szCs w:val="20"/>
                <w:color w:val="auto"/>
              </w:rPr>
            </w:pPr>
            <w:r>
              <w:rPr>
                <w:rFonts w:ascii="Arial" w:cs="Arial" w:eastAsia="Arial" w:hAnsi="Arial"/>
                <w:sz w:val="18"/>
                <w:szCs w:val="18"/>
                <w:color w:val="auto"/>
              </w:rPr>
              <w:t>34%</w:t>
            </w:r>
          </w:p>
        </w:tc>
      </w:tr>
      <w:tr>
        <w:trPr>
          <w:trHeight w:val="223"/>
        </w:trPr>
        <w:tc>
          <w:tcPr>
            <w:tcW w:w="580" w:type="dxa"/>
            <w:vAlign w:val="bottom"/>
          </w:tcPr>
          <w:p>
            <w:pPr>
              <w:spacing w:after="0"/>
              <w:rPr>
                <w:sz w:val="19"/>
                <w:szCs w:val="19"/>
                <w:color w:val="auto"/>
              </w:rPr>
            </w:pPr>
          </w:p>
        </w:tc>
        <w:tc>
          <w:tcPr>
            <w:tcW w:w="4300" w:type="dxa"/>
            <w:vAlign w:val="bottom"/>
            <w:tcBorders>
              <w:bottom w:val="single" w:sz="8" w:color="CCECFF"/>
            </w:tcBorders>
            <w:gridSpan w:val="2"/>
            <w:shd w:val="clear" w:color="auto" w:fill="CCECFF"/>
          </w:tcPr>
          <w:p>
            <w:pPr>
              <w:spacing w:after="0"/>
              <w:rPr>
                <w:sz w:val="20"/>
                <w:szCs w:val="20"/>
                <w:color w:val="auto"/>
              </w:rPr>
            </w:pPr>
            <w:r>
              <w:rPr>
                <w:rFonts w:ascii="Arial" w:cs="Arial" w:eastAsia="Arial" w:hAnsi="Arial"/>
                <w:sz w:val="18"/>
                <w:szCs w:val="18"/>
                <w:color w:val="auto"/>
              </w:rPr>
              <w:t>Total research and development expenses</w:t>
            </w:r>
          </w:p>
        </w:tc>
        <w:tc>
          <w:tcPr>
            <w:tcW w:w="560" w:type="dxa"/>
            <w:vAlign w:val="bottom"/>
            <w:tcBorders>
              <w:bottom w:val="single" w:sz="8" w:color="CCECFF"/>
            </w:tcBorders>
            <w:shd w:val="clear" w:color="auto" w:fill="CCECFF"/>
          </w:tcPr>
          <w:p>
            <w:pPr>
              <w:spacing w:after="0"/>
              <w:rPr>
                <w:sz w:val="19"/>
                <w:szCs w:val="19"/>
                <w:color w:val="auto"/>
              </w:rPr>
            </w:pPr>
          </w:p>
        </w:tc>
        <w:tc>
          <w:tcPr>
            <w:tcW w:w="160" w:type="dxa"/>
            <w:vAlign w:val="bottom"/>
            <w:tcBorders>
              <w:bottom w:val="single" w:sz="8" w:color="auto"/>
            </w:tcBorders>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183,204</w:t>
            </w:r>
          </w:p>
        </w:tc>
        <w:tc>
          <w:tcPr>
            <w:tcW w:w="260" w:type="dxa"/>
            <w:vAlign w:val="bottom"/>
            <w:tcBorders>
              <w:bottom w:val="single" w:sz="8" w:color="CCECFF"/>
            </w:tcBorders>
            <w:shd w:val="clear" w:color="auto" w:fill="CCECFF"/>
          </w:tcPr>
          <w:p>
            <w:pPr>
              <w:spacing w:after="0"/>
              <w:rPr>
                <w:sz w:val="19"/>
                <w:szCs w:val="19"/>
                <w:color w:val="auto"/>
              </w:rPr>
            </w:pPr>
          </w:p>
        </w:tc>
        <w:tc>
          <w:tcPr>
            <w:tcW w:w="220" w:type="dxa"/>
            <w:vAlign w:val="bottom"/>
            <w:tcBorders>
              <w:bottom w:val="single" w:sz="8" w:color="auto"/>
            </w:tcBorders>
            <w:shd w:val="clear" w:color="auto" w:fill="CCEC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114,737</w:t>
            </w:r>
          </w:p>
        </w:tc>
        <w:tc>
          <w:tcPr>
            <w:tcW w:w="260" w:type="dxa"/>
            <w:vAlign w:val="bottom"/>
            <w:tcBorders>
              <w:bottom w:val="single" w:sz="8" w:color="CCECFF"/>
            </w:tcBorders>
            <w:shd w:val="clear" w:color="auto" w:fill="CCECFF"/>
          </w:tcPr>
          <w:p>
            <w:pPr>
              <w:spacing w:after="0"/>
              <w:rPr>
                <w:sz w:val="19"/>
                <w:szCs w:val="19"/>
                <w:color w:val="auto"/>
              </w:rPr>
            </w:pPr>
          </w:p>
        </w:tc>
        <w:tc>
          <w:tcPr>
            <w:tcW w:w="160" w:type="dxa"/>
            <w:vAlign w:val="bottom"/>
            <w:tcBorders>
              <w:bottom w:val="single" w:sz="8" w:color="auto"/>
            </w:tcBorders>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68,467</w:t>
            </w:r>
          </w:p>
        </w:tc>
        <w:tc>
          <w:tcPr>
            <w:tcW w:w="1540" w:type="dxa"/>
            <w:vAlign w:val="bottom"/>
            <w:tcBorders>
              <w:bottom w:val="single" w:sz="8" w:color="CCECFF"/>
            </w:tcBorders>
            <w:gridSpan w:val="3"/>
            <w:shd w:val="clear" w:color="auto" w:fill="CCECFF"/>
          </w:tcPr>
          <w:p>
            <w:pPr>
              <w:jc w:val="right"/>
              <w:ind w:right="40"/>
              <w:spacing w:after="0"/>
              <w:rPr>
                <w:sz w:val="20"/>
                <w:szCs w:val="20"/>
                <w:color w:val="auto"/>
              </w:rPr>
            </w:pPr>
            <w:r>
              <w:rPr>
                <w:rFonts w:ascii="Arial" w:cs="Arial" w:eastAsia="Arial" w:hAnsi="Arial"/>
                <w:sz w:val="18"/>
                <w:szCs w:val="18"/>
                <w:color w:val="auto"/>
              </w:rPr>
              <w:t>60%</w:t>
            </w:r>
          </w:p>
        </w:tc>
      </w:tr>
      <w:tr>
        <w:trPr>
          <w:trHeight w:val="20"/>
        </w:trPr>
        <w:tc>
          <w:tcPr>
            <w:tcW w:w="5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67"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Research and development expenses increased $68.5 million for the year ended December 31, 2016 compared to the same period in 2015. The increase in research and development expenses above is primarily due to:</w:t>
      </w:r>
    </w:p>
    <w:p>
      <w:pPr>
        <w:spacing w:after="0" w:line="22" w:lineRule="exact"/>
        <w:rPr>
          <w:sz w:val="20"/>
          <w:szCs w:val="20"/>
          <w:color w:val="auto"/>
        </w:rPr>
      </w:pPr>
    </w:p>
    <w:p>
      <w:pPr>
        <w:ind w:left="900" w:right="140" w:hanging="379"/>
        <w:spacing w:after="0" w:line="264"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KRN23, an increase of $21.8 million related to the continued development of the XLH clinical program, including the enrollment of our Phase 3 adult study, the initiation of our Phase 3 pediatric study, the execution of our MAA filing, as well as continued clinical development and other regulatory activities for both the XLH and TIO clinical programs, net of KHK reimbursement;</w:t>
      </w:r>
    </w:p>
    <w:p>
      <w:pPr>
        <w:spacing w:after="0" w:line="32" w:lineRule="exact"/>
        <w:rPr>
          <w:rFonts w:ascii="Arial" w:cs="Arial" w:eastAsia="Arial" w:hAnsi="Arial"/>
          <w:sz w:val="18"/>
          <w:szCs w:val="18"/>
          <w:color w:val="auto"/>
        </w:rPr>
      </w:pPr>
    </w:p>
    <w:p>
      <w:pPr>
        <w:ind w:left="900" w:right="200" w:hanging="379"/>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rhGUS, an increase of $10.7 million related to our Phase 3 and Under 5 studies in addition to increases in manufacturing-related and quality activities;</w:t>
      </w:r>
    </w:p>
    <w:p>
      <w:pPr>
        <w:spacing w:after="0" w:line="21" w:lineRule="exact"/>
        <w:rPr>
          <w:rFonts w:ascii="Arial" w:cs="Arial" w:eastAsia="Arial" w:hAnsi="Arial"/>
          <w:sz w:val="18"/>
          <w:szCs w:val="18"/>
          <w:color w:val="auto"/>
        </w:rPr>
      </w:pPr>
    </w:p>
    <w:p>
      <w:pPr>
        <w:jc w:val="both"/>
        <w:ind w:left="900" w:right="280" w:hanging="379"/>
        <w:spacing w:after="0" w:line="264"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UX007, an increase of $14.5 million related to clinical manufacturing, the continued development of our clinical Phase 2 program for LC-FAOD, study start-up activities for our Phase 3 clinical study for Glut1 DS, as well as patient identification efforts and support of investigator-sponsored studies across multiple diseases;</w:t>
      </w:r>
    </w:p>
    <w:p>
      <w:pPr>
        <w:spacing w:after="0" w:line="32" w:lineRule="exact"/>
        <w:rPr>
          <w:rFonts w:ascii="Arial" w:cs="Arial" w:eastAsia="Arial" w:hAnsi="Arial"/>
          <w:sz w:val="18"/>
          <w:szCs w:val="18"/>
          <w:color w:val="auto"/>
        </w:rPr>
      </w:pPr>
    </w:p>
    <w:p>
      <w:pPr>
        <w:ind w:left="900" w:right="420" w:hanging="379"/>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Ace-ER, an increase of $8.4 million related to the enrollment of our Phase 3 study, and manufacturing, quality, patient identification, and regulatory activities for this program;</w:t>
      </w:r>
    </w:p>
    <w:p>
      <w:pPr>
        <w:spacing w:after="0" w:line="21" w:lineRule="exact"/>
        <w:rPr>
          <w:rFonts w:ascii="Arial" w:cs="Arial" w:eastAsia="Arial" w:hAnsi="Arial"/>
          <w:sz w:val="18"/>
          <w:szCs w:val="18"/>
          <w:color w:val="auto"/>
        </w:rPr>
      </w:pPr>
    </w:p>
    <w:p>
      <w:pPr>
        <w:ind w:left="900" w:right="360" w:hanging="379"/>
        <w:spacing w:after="0" w:line="325"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 increase of $13.0 million in other research and development costs including expenses in support of our clinical product candidate pipeline, expenses related to our research stage programs and research collaborations, and certain cost allocations, including stock compensation.</w:t>
      </w:r>
    </w:p>
    <w:p>
      <w:pPr>
        <w:spacing w:after="0" w:line="1" w:lineRule="exact"/>
        <w:rPr>
          <w:sz w:val="20"/>
          <w:szCs w:val="20"/>
          <w:color w:val="auto"/>
        </w:rPr>
      </w:pPr>
    </w:p>
    <w:p>
      <w:pPr>
        <w:jc w:val="both"/>
        <w:ind w:right="220" w:firstLine="518"/>
        <w:spacing w:after="0" w:line="312" w:lineRule="auto"/>
        <w:rPr>
          <w:sz w:val="20"/>
          <w:szCs w:val="20"/>
          <w:color w:val="auto"/>
        </w:rPr>
      </w:pPr>
      <w:r>
        <w:rPr>
          <w:rFonts w:ascii="Arial" w:cs="Arial" w:eastAsia="Arial" w:hAnsi="Arial"/>
          <w:sz w:val="16"/>
          <w:szCs w:val="16"/>
          <w:color w:val="auto"/>
        </w:rPr>
        <w:t>We expect our research and development expenses to increase in the future as we advance our product candidates through clinical development. The timing and amount of expenses incurred will depend largely upon the outcomes of current or future clinical studies for our product candidates as well as the related regulatory requirements, manufacturing costs and any costs associated with the advancement of our preclinical programs.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gridSpan w:val="3"/>
          </w:tcPr>
          <w:p>
            <w:pPr>
              <w:spacing w:after="0"/>
              <w:rPr>
                <w:sz w:val="20"/>
                <w:szCs w:val="20"/>
                <w:color w:val="auto"/>
              </w:rPr>
            </w:pPr>
            <w:r>
              <w:rPr>
                <w:rFonts w:ascii="Arial" w:cs="Arial" w:eastAsia="Arial" w:hAnsi="Arial"/>
                <w:sz w:val="18"/>
                <w:szCs w:val="18"/>
                <w:i w:val="1"/>
                <w:iCs w:val="1"/>
                <w:color w:val="auto"/>
              </w:rPr>
              <w:t>General and Administrative Expenses (dollars in thousands)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331"/>
        </w:trPr>
        <w:tc>
          <w:tcPr>
            <w:tcW w:w="580" w:type="dxa"/>
            <w:vAlign w:val="bottom"/>
            <w:tcBorders>
              <w:top w:val="single" w:sz="8" w:color="auto"/>
            </w:tcBorders>
          </w:tcPr>
          <w:p>
            <w:pPr>
              <w:spacing w:after="0"/>
              <w:rPr>
                <w:sz w:val="24"/>
                <w:szCs w:val="24"/>
                <w:color w:val="auto"/>
              </w:rPr>
            </w:pPr>
          </w:p>
        </w:tc>
        <w:tc>
          <w:tcPr>
            <w:tcW w:w="378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w w:val="94"/>
              </w:rPr>
              <w:t>Year Ended December 31,</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Dollar</w:t>
            </w: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3780" w:type="dxa"/>
            <w:vAlign w:val="bottom"/>
            <w:tcBorders>
              <w:bottom w:val="single" w:sz="8" w:color="CCECFF"/>
            </w:tcBorders>
          </w:tcPr>
          <w:p>
            <w:pPr>
              <w:spacing w:after="0"/>
              <w:rPr>
                <w:sz w:val="19"/>
                <w:szCs w:val="19"/>
                <w:color w:val="auto"/>
              </w:rPr>
            </w:pPr>
          </w:p>
        </w:tc>
        <w:tc>
          <w:tcPr>
            <w:tcW w:w="1080" w:type="dxa"/>
            <w:vAlign w:val="bottom"/>
            <w:tcBorders>
              <w:bottom w:val="single" w:sz="8" w:color="CCEC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CCEC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Change</w:t>
            </w:r>
          </w:p>
        </w:tc>
        <w:tc>
          <w:tcPr>
            <w:tcW w:w="240" w:type="dxa"/>
            <w:vAlign w:val="bottom"/>
            <w:tcBorders>
              <w:bottom w:val="single" w:sz="8" w:color="CCECFF"/>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180" w:type="dxa"/>
            <w:vAlign w:val="bottom"/>
            <w:tcBorders>
              <w:bottom w:val="single" w:sz="8" w:color="CCECFF"/>
            </w:tcBorders>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86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64,936</w:t>
            </w:r>
          </w:p>
        </w:tc>
        <w:tc>
          <w:tcPr>
            <w:tcW w:w="260" w:type="dxa"/>
            <w:vAlign w:val="bottom"/>
            <w:shd w:val="clear" w:color="auto" w:fill="CCECFF"/>
          </w:tcPr>
          <w:p>
            <w:pPr>
              <w:spacing w:after="0"/>
              <w:rPr>
                <w:sz w:val="19"/>
                <w:szCs w:val="19"/>
                <w:color w:val="auto"/>
              </w:rPr>
            </w:pPr>
          </w:p>
        </w:tc>
        <w:tc>
          <w:tcPr>
            <w:tcW w:w="220" w:type="dxa"/>
            <w:vAlign w:val="bottom"/>
            <w:shd w:val="clear" w:color="auto" w:fill="CCEC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33,001</w:t>
            </w:r>
          </w:p>
        </w:tc>
        <w:tc>
          <w:tcPr>
            <w:tcW w:w="260" w:type="dxa"/>
            <w:vAlign w:val="bottom"/>
            <w:shd w:val="clear" w:color="auto" w:fill="CCECFF"/>
          </w:tcPr>
          <w:p>
            <w:pPr>
              <w:spacing w:after="0"/>
              <w:rPr>
                <w:sz w:val="19"/>
                <w:szCs w:val="19"/>
                <w:color w:val="auto"/>
              </w:rPr>
            </w:pPr>
          </w:p>
        </w:tc>
        <w:tc>
          <w:tcPr>
            <w:tcW w:w="160" w:type="dxa"/>
            <w:vAlign w:val="bottom"/>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31,935</w:t>
            </w:r>
          </w:p>
        </w:tc>
        <w:tc>
          <w:tcPr>
            <w:tcW w:w="240" w:type="dxa"/>
            <w:vAlign w:val="bottom"/>
            <w:shd w:val="clear" w:color="auto" w:fill="CCECFF"/>
          </w:tcPr>
          <w:p>
            <w:pPr>
              <w:spacing w:after="0"/>
              <w:rPr>
                <w:sz w:val="19"/>
                <w:szCs w:val="19"/>
                <w:color w:val="auto"/>
              </w:rPr>
            </w:pPr>
          </w:p>
        </w:tc>
        <w:tc>
          <w:tcPr>
            <w:tcW w:w="130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97%</w:t>
            </w:r>
          </w:p>
        </w:tc>
        <w:tc>
          <w:tcPr>
            <w:tcW w:w="580" w:type="dxa"/>
            <w:vAlign w:val="bottom"/>
          </w:tcPr>
          <w:p>
            <w:pPr>
              <w:spacing w:after="0"/>
              <w:rPr>
                <w:sz w:val="19"/>
                <w:szCs w:val="19"/>
                <w:color w:val="auto"/>
              </w:rPr>
            </w:pPr>
          </w:p>
        </w:tc>
      </w:tr>
      <w:tr>
        <w:trPr>
          <w:trHeight w:val="513"/>
        </w:trPr>
        <w:tc>
          <w:tcPr>
            <w:tcW w:w="5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670"/>
              <w:spacing w:after="0"/>
              <w:rPr>
                <w:sz w:val="20"/>
                <w:szCs w:val="20"/>
                <w:color w:val="auto"/>
              </w:rPr>
            </w:pPr>
            <w:r>
              <w:rPr>
                <w:rFonts w:ascii="Arial" w:cs="Arial" w:eastAsia="Arial" w:hAnsi="Arial"/>
                <w:sz w:val="18"/>
                <w:szCs w:val="18"/>
                <w:color w:val="auto"/>
                <w:w w:val="99"/>
              </w:rPr>
              <w:t>63</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36" w:right="219" w:bottom="1440" w:gutter="0" w:footer="0" w:header="0"/>
        </w:sectPr>
      </w:pPr>
    </w:p>
    <w:bookmarkStart w:id="63" w:name="page64"/>
    <w:bookmarkEnd w:id="63"/>
    <w:p>
      <w:pPr>
        <w:jc w:val="both"/>
        <w:ind w:right="600" w:firstLine="518"/>
        <w:spacing w:after="0" w:line="286" w:lineRule="auto"/>
        <w:rPr>
          <w:sz w:val="20"/>
          <w:szCs w:val="20"/>
          <w:color w:val="auto"/>
        </w:rPr>
      </w:pPr>
      <w:r>
        <w:rPr>
          <w:rFonts w:ascii="Arial" w:cs="Arial" w:eastAsia="Arial" w:hAnsi="Arial"/>
          <w:sz w:val="17"/>
          <w:szCs w:val="17"/>
          <w:color w:val="auto"/>
        </w:rPr>
        <w:t>General and administrative expenses increased $31.9 million for the year ended December 31, 2016 compared to the same period in 2015. The increase in general and administrative expenses was primarily due to increases in commercial planning costs, professional services costs, stock-based compensation, and personnel costs resulting from an increase in the number of employees in support of our activities</w:t>
      </w:r>
    </w:p>
    <w:p>
      <w:pPr>
        <w:spacing w:after="0" w:line="17"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We expect general and administrative expenses to increase to support our organizational growth and for our expected staged build out of our commercial organization over the next several years related to multiple late-stage product candidates.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gridSpan w:val="3"/>
          </w:tcPr>
          <w:p>
            <w:pPr>
              <w:spacing w:after="0"/>
              <w:rPr>
                <w:sz w:val="20"/>
                <w:szCs w:val="20"/>
                <w:color w:val="auto"/>
              </w:rPr>
            </w:pPr>
            <w:r>
              <w:rPr>
                <w:rFonts w:ascii="Arial" w:cs="Arial" w:eastAsia="Arial" w:hAnsi="Arial"/>
                <w:sz w:val="18"/>
                <w:szCs w:val="18"/>
                <w:i w:val="1"/>
                <w:iCs w:val="1"/>
                <w:color w:val="auto"/>
              </w:rPr>
              <w:t>Interest Income (dollars in thousands)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31"/>
        </w:trPr>
        <w:tc>
          <w:tcPr>
            <w:tcW w:w="580" w:type="dxa"/>
            <w:vAlign w:val="bottom"/>
            <w:tcBorders>
              <w:top w:val="single" w:sz="8" w:color="auto"/>
            </w:tcBorders>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2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w w:val="93"/>
              </w:rPr>
              <w:t>Year Ended December 31,</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Dollar</w:t>
            </w: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2180" w:type="dxa"/>
            <w:vAlign w:val="bottom"/>
            <w:tcBorders>
              <w:bottom w:val="single" w:sz="8" w:color="CCECFF"/>
            </w:tcBorders>
          </w:tcPr>
          <w:p>
            <w:pPr>
              <w:spacing w:after="0"/>
              <w:rPr>
                <w:sz w:val="19"/>
                <w:szCs w:val="19"/>
                <w:color w:val="auto"/>
              </w:rPr>
            </w:pPr>
          </w:p>
        </w:tc>
        <w:tc>
          <w:tcPr>
            <w:tcW w:w="268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CCEC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Change</w:t>
            </w:r>
          </w:p>
        </w:tc>
        <w:tc>
          <w:tcPr>
            <w:tcW w:w="240" w:type="dxa"/>
            <w:vAlign w:val="bottom"/>
            <w:tcBorders>
              <w:bottom w:val="single" w:sz="8" w:color="CCECFF"/>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180" w:type="dxa"/>
            <w:vAlign w:val="bottom"/>
            <w:tcBorders>
              <w:bottom w:val="single" w:sz="8" w:color="CCECFF"/>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86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3,789</w:t>
            </w:r>
          </w:p>
        </w:tc>
        <w:tc>
          <w:tcPr>
            <w:tcW w:w="260" w:type="dxa"/>
            <w:vAlign w:val="bottom"/>
            <w:shd w:val="clear" w:color="auto" w:fill="CCECFF"/>
          </w:tcPr>
          <w:p>
            <w:pPr>
              <w:spacing w:after="0"/>
              <w:rPr>
                <w:sz w:val="19"/>
                <w:szCs w:val="19"/>
                <w:color w:val="auto"/>
              </w:rPr>
            </w:pPr>
          </w:p>
        </w:tc>
        <w:tc>
          <w:tcPr>
            <w:tcW w:w="220" w:type="dxa"/>
            <w:vAlign w:val="bottom"/>
            <w:shd w:val="clear" w:color="auto" w:fill="CCEC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2,320</w:t>
            </w:r>
          </w:p>
        </w:tc>
        <w:tc>
          <w:tcPr>
            <w:tcW w:w="260" w:type="dxa"/>
            <w:vAlign w:val="bottom"/>
            <w:shd w:val="clear" w:color="auto" w:fill="CCECFF"/>
          </w:tcPr>
          <w:p>
            <w:pPr>
              <w:spacing w:after="0"/>
              <w:rPr>
                <w:sz w:val="19"/>
                <w:szCs w:val="19"/>
                <w:color w:val="auto"/>
              </w:rPr>
            </w:pPr>
          </w:p>
        </w:tc>
        <w:tc>
          <w:tcPr>
            <w:tcW w:w="160" w:type="dxa"/>
            <w:vAlign w:val="bottom"/>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1,469</w:t>
            </w:r>
          </w:p>
        </w:tc>
        <w:tc>
          <w:tcPr>
            <w:tcW w:w="240" w:type="dxa"/>
            <w:vAlign w:val="bottom"/>
            <w:shd w:val="clear" w:color="auto" w:fill="CCECFF"/>
          </w:tcPr>
          <w:p>
            <w:pPr>
              <w:spacing w:after="0"/>
              <w:rPr>
                <w:sz w:val="19"/>
                <w:szCs w:val="19"/>
                <w:color w:val="auto"/>
              </w:rPr>
            </w:pPr>
          </w:p>
        </w:tc>
        <w:tc>
          <w:tcPr>
            <w:tcW w:w="130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63%</w:t>
            </w:r>
          </w:p>
        </w:tc>
      </w:tr>
    </w:tbl>
    <w:p>
      <w:pPr>
        <w:spacing w:after="0" w:line="67"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Interest income increased $1.5 million for the year ended December 31, 2016 compared to the same period in 2015, primarily due to funds invested from our common stock offerings and increased yield on our investment portfolio.</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gridSpan w:val="3"/>
          </w:tcPr>
          <w:p>
            <w:pPr>
              <w:spacing w:after="0"/>
              <w:rPr>
                <w:sz w:val="20"/>
                <w:szCs w:val="20"/>
                <w:color w:val="auto"/>
              </w:rPr>
            </w:pPr>
            <w:r>
              <w:rPr>
                <w:rFonts w:ascii="Arial" w:cs="Arial" w:eastAsia="Arial" w:hAnsi="Arial"/>
                <w:sz w:val="18"/>
                <w:szCs w:val="18"/>
                <w:i w:val="1"/>
                <w:iCs w:val="1"/>
                <w:color w:val="auto"/>
              </w:rPr>
              <w:t>Other Expense, net (dollars in thousands)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31"/>
        </w:trPr>
        <w:tc>
          <w:tcPr>
            <w:tcW w:w="580" w:type="dxa"/>
            <w:vAlign w:val="bottom"/>
            <w:tcBorders>
              <w:top w:val="single" w:sz="8" w:color="auto"/>
            </w:tcBorders>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2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w w:val="93"/>
              </w:rPr>
              <w:t>Year Ended December 31,</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Dollar</w:t>
            </w: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2440" w:type="dxa"/>
            <w:vAlign w:val="bottom"/>
            <w:tcBorders>
              <w:bottom w:val="single" w:sz="8" w:color="CCECFF"/>
            </w:tcBorders>
          </w:tcPr>
          <w:p>
            <w:pPr>
              <w:spacing w:after="0"/>
              <w:rPr>
                <w:sz w:val="19"/>
                <w:szCs w:val="19"/>
                <w:color w:val="auto"/>
              </w:rPr>
            </w:pPr>
          </w:p>
        </w:tc>
        <w:tc>
          <w:tcPr>
            <w:tcW w:w="242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CCEC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Change</w:t>
            </w:r>
          </w:p>
        </w:tc>
        <w:tc>
          <w:tcPr>
            <w:tcW w:w="240" w:type="dxa"/>
            <w:vAlign w:val="bottom"/>
            <w:tcBorders>
              <w:bottom w:val="single" w:sz="8" w:color="CCECFF"/>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180" w:type="dxa"/>
            <w:vAlign w:val="bottom"/>
            <w:tcBorders>
              <w:bottom w:val="single" w:sz="8" w:color="CCECFF"/>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86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Other expense, net</w:t>
            </w:r>
          </w:p>
        </w:tc>
        <w:tc>
          <w:tcPr>
            <w:tcW w:w="160" w:type="dxa"/>
            <w:vAlign w:val="bottom"/>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1,621</w:t>
            </w:r>
          </w:p>
        </w:tc>
        <w:tc>
          <w:tcPr>
            <w:tcW w:w="260" w:type="dxa"/>
            <w:vAlign w:val="bottom"/>
            <w:shd w:val="clear" w:color="auto" w:fill="CCECFF"/>
          </w:tcPr>
          <w:p>
            <w:pPr>
              <w:spacing w:after="0"/>
              <w:rPr>
                <w:sz w:val="19"/>
                <w:szCs w:val="19"/>
                <w:color w:val="auto"/>
              </w:rPr>
            </w:pPr>
          </w:p>
        </w:tc>
        <w:tc>
          <w:tcPr>
            <w:tcW w:w="220" w:type="dxa"/>
            <w:vAlign w:val="bottom"/>
            <w:shd w:val="clear" w:color="auto" w:fill="CCEC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200</w:t>
            </w:r>
          </w:p>
        </w:tc>
        <w:tc>
          <w:tcPr>
            <w:tcW w:w="260" w:type="dxa"/>
            <w:vAlign w:val="bottom"/>
            <w:shd w:val="clear" w:color="auto" w:fill="CCECFF"/>
          </w:tcPr>
          <w:p>
            <w:pPr>
              <w:spacing w:after="0"/>
              <w:rPr>
                <w:sz w:val="19"/>
                <w:szCs w:val="19"/>
                <w:color w:val="auto"/>
              </w:rPr>
            </w:pPr>
          </w:p>
        </w:tc>
        <w:tc>
          <w:tcPr>
            <w:tcW w:w="160" w:type="dxa"/>
            <w:vAlign w:val="bottom"/>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1,421</w:t>
            </w:r>
          </w:p>
        </w:tc>
        <w:tc>
          <w:tcPr>
            <w:tcW w:w="240" w:type="dxa"/>
            <w:vAlign w:val="bottom"/>
            <w:shd w:val="clear" w:color="auto" w:fill="CCECFF"/>
          </w:tcPr>
          <w:p>
            <w:pPr>
              <w:spacing w:after="0"/>
              <w:rPr>
                <w:sz w:val="19"/>
                <w:szCs w:val="19"/>
                <w:color w:val="auto"/>
              </w:rPr>
            </w:pPr>
          </w:p>
        </w:tc>
        <w:tc>
          <w:tcPr>
            <w:tcW w:w="130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711%</w:t>
            </w:r>
          </w:p>
        </w:tc>
      </w:tr>
    </w:tbl>
    <w:p>
      <w:pPr>
        <w:spacing w:after="0" w:line="67" w:lineRule="exact"/>
        <w:rPr>
          <w:sz w:val="20"/>
          <w:szCs w:val="20"/>
          <w:color w:val="auto"/>
        </w:rPr>
      </w:pPr>
    </w:p>
    <w:p>
      <w:pPr>
        <w:ind w:right="160" w:firstLine="518"/>
        <w:spacing w:after="0" w:line="342" w:lineRule="auto"/>
        <w:rPr>
          <w:sz w:val="20"/>
          <w:szCs w:val="20"/>
          <w:color w:val="auto"/>
        </w:rPr>
      </w:pPr>
      <w:r>
        <w:rPr>
          <w:rFonts w:ascii="Arial" w:cs="Arial" w:eastAsia="Arial" w:hAnsi="Arial"/>
          <w:sz w:val="16"/>
          <w:szCs w:val="16"/>
          <w:color w:val="auto"/>
        </w:rPr>
        <w:t>Other expense, net increased $1.4 million for the year ended December 31, 2016 compared to the same period in 2015. This was primarily due to the fluctuations of the volume of transactions and the foreign exchange rates used in the remeasurement of transactions denominated in foreign currencies.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8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99"/>
              </w:rPr>
              <w:t>Comparison of Years Ended December 31, 2015 and 2014</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57"/>
        </w:trPr>
        <w:tc>
          <w:tcPr>
            <w:tcW w:w="4880" w:type="dxa"/>
            <w:vAlign w:val="bottom"/>
            <w:gridSpan w:val="3"/>
          </w:tcPr>
          <w:p>
            <w:pPr>
              <w:spacing w:after="0"/>
              <w:rPr>
                <w:sz w:val="20"/>
                <w:szCs w:val="20"/>
                <w:color w:val="auto"/>
              </w:rPr>
            </w:pPr>
            <w:r>
              <w:rPr>
                <w:rFonts w:ascii="Arial" w:cs="Arial" w:eastAsia="Arial" w:hAnsi="Arial"/>
                <w:sz w:val="18"/>
                <w:szCs w:val="18"/>
                <w:i w:val="1"/>
                <w:iCs w:val="1"/>
                <w:color w:val="auto"/>
              </w:rPr>
              <w:t>Research and Development Expenses (dollars in thousands)</w:t>
            </w: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331"/>
        </w:trPr>
        <w:tc>
          <w:tcPr>
            <w:tcW w:w="580" w:type="dxa"/>
            <w:vAlign w:val="bottom"/>
            <w:tcBorders>
              <w:top w:val="single" w:sz="8" w:color="auto"/>
            </w:tcBorders>
          </w:tcPr>
          <w:p>
            <w:pPr>
              <w:spacing w:after="0"/>
              <w:rPr>
                <w:sz w:val="24"/>
                <w:szCs w:val="24"/>
                <w:color w:val="auto"/>
              </w:rPr>
            </w:pPr>
          </w:p>
        </w:tc>
        <w:tc>
          <w:tcPr>
            <w:tcW w:w="376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w w:val="93"/>
              </w:rPr>
              <w:t>Year Ended December 31,</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Dollar</w:t>
            </w:r>
          </w:p>
        </w:tc>
        <w:tc>
          <w:tcPr>
            <w:tcW w:w="136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Change</w:t>
            </w:r>
          </w:p>
        </w:tc>
        <w:tc>
          <w:tcPr>
            <w:tcW w:w="240" w:type="dxa"/>
            <w:vAlign w:val="bottom"/>
          </w:tcPr>
          <w:p>
            <w:pPr>
              <w:spacing w:after="0"/>
              <w:rPr>
                <w:sz w:val="19"/>
                <w:szCs w:val="19"/>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Change</w:t>
            </w:r>
          </w:p>
        </w:tc>
      </w:tr>
      <w:tr>
        <w:trPr>
          <w:trHeight w:val="223"/>
        </w:trPr>
        <w:tc>
          <w:tcPr>
            <w:tcW w:w="580" w:type="dxa"/>
            <w:vAlign w:val="bottom"/>
          </w:tcPr>
          <w:p>
            <w:pPr>
              <w:spacing w:after="0"/>
              <w:rPr>
                <w:sz w:val="19"/>
                <w:szCs w:val="19"/>
                <w:color w:val="auto"/>
              </w:rPr>
            </w:pPr>
          </w:p>
        </w:tc>
        <w:tc>
          <w:tcPr>
            <w:tcW w:w="4300" w:type="dxa"/>
            <w:vAlign w:val="bottom"/>
            <w:tcBorders>
              <w:top w:val="single" w:sz="8" w:color="CCECFF"/>
            </w:tcBorders>
            <w:gridSpan w:val="2"/>
            <w:shd w:val="clear" w:color="auto" w:fill="CCECFF"/>
          </w:tcPr>
          <w:p>
            <w:pPr>
              <w:spacing w:after="0"/>
              <w:rPr>
                <w:sz w:val="20"/>
                <w:szCs w:val="20"/>
                <w:color w:val="auto"/>
              </w:rPr>
            </w:pPr>
            <w:r>
              <w:rPr>
                <w:rFonts w:ascii="Arial" w:cs="Arial" w:eastAsia="Arial" w:hAnsi="Arial"/>
                <w:sz w:val="18"/>
                <w:szCs w:val="18"/>
                <w:color w:val="auto"/>
              </w:rPr>
              <w:t>Development candidate:</w:t>
            </w:r>
          </w:p>
        </w:tc>
        <w:tc>
          <w:tcPr>
            <w:tcW w:w="560" w:type="dxa"/>
            <w:vAlign w:val="bottom"/>
            <w:tcBorders>
              <w:top w:val="single" w:sz="8" w:color="CCECFF"/>
            </w:tcBorders>
            <w:shd w:val="clear" w:color="auto" w:fill="CCECFF"/>
          </w:tcPr>
          <w:p>
            <w:pPr>
              <w:spacing w:after="0"/>
              <w:rPr>
                <w:sz w:val="19"/>
                <w:szCs w:val="19"/>
                <w:color w:val="auto"/>
              </w:rPr>
            </w:pPr>
          </w:p>
        </w:tc>
        <w:tc>
          <w:tcPr>
            <w:tcW w:w="160" w:type="dxa"/>
            <w:vAlign w:val="bottom"/>
            <w:tcBorders>
              <w:top w:val="single" w:sz="8" w:color="auto"/>
            </w:tcBorders>
            <w:shd w:val="clear" w:color="auto" w:fill="CCECFF"/>
          </w:tcPr>
          <w:p>
            <w:pPr>
              <w:spacing w:after="0"/>
              <w:rPr>
                <w:sz w:val="19"/>
                <w:szCs w:val="19"/>
                <w:color w:val="auto"/>
              </w:rPr>
            </w:pPr>
          </w:p>
        </w:tc>
        <w:tc>
          <w:tcPr>
            <w:tcW w:w="960" w:type="dxa"/>
            <w:vAlign w:val="bottom"/>
            <w:tcBorders>
              <w:top w:val="single" w:sz="8" w:color="auto"/>
            </w:tcBorders>
            <w:shd w:val="clear" w:color="auto" w:fill="CCECFF"/>
          </w:tcPr>
          <w:p>
            <w:pPr>
              <w:spacing w:after="0"/>
              <w:rPr>
                <w:sz w:val="19"/>
                <w:szCs w:val="19"/>
                <w:color w:val="auto"/>
              </w:rPr>
            </w:pPr>
          </w:p>
        </w:tc>
        <w:tc>
          <w:tcPr>
            <w:tcW w:w="260" w:type="dxa"/>
            <w:vAlign w:val="bottom"/>
            <w:tcBorders>
              <w:top w:val="single" w:sz="8" w:color="CCECFF"/>
            </w:tcBorders>
            <w:shd w:val="clear" w:color="auto" w:fill="CCECFF"/>
          </w:tcPr>
          <w:p>
            <w:pPr>
              <w:spacing w:after="0"/>
              <w:rPr>
                <w:sz w:val="19"/>
                <w:szCs w:val="19"/>
                <w:color w:val="auto"/>
              </w:rPr>
            </w:pPr>
          </w:p>
        </w:tc>
        <w:tc>
          <w:tcPr>
            <w:tcW w:w="220" w:type="dxa"/>
            <w:vAlign w:val="bottom"/>
            <w:tcBorders>
              <w:top w:val="single" w:sz="8" w:color="auto"/>
            </w:tcBorders>
            <w:shd w:val="clear" w:color="auto" w:fill="CCECFF"/>
          </w:tcPr>
          <w:p>
            <w:pPr>
              <w:spacing w:after="0"/>
              <w:rPr>
                <w:sz w:val="19"/>
                <w:szCs w:val="19"/>
                <w:color w:val="auto"/>
              </w:rPr>
            </w:pPr>
          </w:p>
        </w:tc>
        <w:tc>
          <w:tcPr>
            <w:tcW w:w="900" w:type="dxa"/>
            <w:vAlign w:val="bottom"/>
            <w:tcBorders>
              <w:top w:val="single" w:sz="8" w:color="auto"/>
            </w:tcBorders>
            <w:shd w:val="clear" w:color="auto" w:fill="CCECFF"/>
          </w:tcPr>
          <w:p>
            <w:pPr>
              <w:spacing w:after="0"/>
              <w:rPr>
                <w:sz w:val="19"/>
                <w:szCs w:val="19"/>
                <w:color w:val="auto"/>
              </w:rPr>
            </w:pPr>
          </w:p>
        </w:tc>
        <w:tc>
          <w:tcPr>
            <w:tcW w:w="260" w:type="dxa"/>
            <w:vAlign w:val="bottom"/>
            <w:tcBorders>
              <w:top w:val="single" w:sz="8" w:color="CCECFF"/>
            </w:tcBorders>
            <w:shd w:val="clear" w:color="auto" w:fill="CCECFF"/>
          </w:tcPr>
          <w:p>
            <w:pPr>
              <w:spacing w:after="0"/>
              <w:rPr>
                <w:sz w:val="19"/>
                <w:szCs w:val="19"/>
                <w:color w:val="auto"/>
              </w:rPr>
            </w:pPr>
          </w:p>
        </w:tc>
        <w:tc>
          <w:tcPr>
            <w:tcW w:w="160" w:type="dxa"/>
            <w:vAlign w:val="bottom"/>
            <w:tcBorders>
              <w:top w:val="single" w:sz="8" w:color="auto"/>
            </w:tcBorders>
            <w:shd w:val="clear" w:color="auto" w:fill="CCECFF"/>
          </w:tcPr>
          <w:p>
            <w:pPr>
              <w:spacing w:after="0"/>
              <w:rPr>
                <w:sz w:val="19"/>
                <w:szCs w:val="19"/>
                <w:color w:val="auto"/>
              </w:rPr>
            </w:pPr>
          </w:p>
        </w:tc>
        <w:tc>
          <w:tcPr>
            <w:tcW w:w="960" w:type="dxa"/>
            <w:vAlign w:val="bottom"/>
            <w:tcBorders>
              <w:top w:val="single" w:sz="8" w:color="auto"/>
            </w:tcBorders>
            <w:shd w:val="clear" w:color="auto" w:fill="CCECFF"/>
          </w:tcPr>
          <w:p>
            <w:pPr>
              <w:spacing w:after="0"/>
              <w:rPr>
                <w:sz w:val="19"/>
                <w:szCs w:val="19"/>
                <w:color w:val="auto"/>
              </w:rPr>
            </w:pPr>
          </w:p>
        </w:tc>
        <w:tc>
          <w:tcPr>
            <w:tcW w:w="240" w:type="dxa"/>
            <w:vAlign w:val="bottom"/>
            <w:tcBorders>
              <w:top w:val="single" w:sz="8" w:color="CCECFF"/>
            </w:tcBorders>
            <w:shd w:val="clear" w:color="auto" w:fill="CCECFF"/>
          </w:tcPr>
          <w:p>
            <w:pPr>
              <w:spacing w:after="0"/>
              <w:rPr>
                <w:sz w:val="19"/>
                <w:szCs w:val="19"/>
                <w:color w:val="auto"/>
              </w:rPr>
            </w:pPr>
          </w:p>
        </w:tc>
        <w:tc>
          <w:tcPr>
            <w:tcW w:w="1120" w:type="dxa"/>
            <w:vAlign w:val="bottom"/>
            <w:tcBorders>
              <w:top w:val="single" w:sz="8" w:color="auto"/>
            </w:tcBorders>
            <w:shd w:val="clear" w:color="auto" w:fill="CCECFF"/>
          </w:tcPr>
          <w:p>
            <w:pPr>
              <w:spacing w:after="0"/>
              <w:rPr>
                <w:sz w:val="19"/>
                <w:szCs w:val="19"/>
                <w:color w:val="auto"/>
              </w:rPr>
            </w:pPr>
          </w:p>
        </w:tc>
        <w:tc>
          <w:tcPr>
            <w:tcW w:w="180" w:type="dxa"/>
            <w:vAlign w:val="bottom"/>
            <w:tcBorders>
              <w:top w:val="single" w:sz="8" w:color="CCECFF"/>
            </w:tcBorders>
            <w:shd w:val="clear" w:color="auto" w:fill="CCECFF"/>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300" w:type="dxa"/>
            <w:vAlign w:val="bottom"/>
            <w:gridSpan w:val="2"/>
          </w:tcPr>
          <w:p>
            <w:pPr>
              <w:ind w:left="240"/>
              <w:spacing w:after="0"/>
              <w:rPr>
                <w:sz w:val="20"/>
                <w:szCs w:val="20"/>
                <w:color w:val="auto"/>
              </w:rPr>
            </w:pPr>
            <w:r>
              <w:rPr>
                <w:rFonts w:ascii="Arial" w:cs="Arial" w:eastAsia="Arial" w:hAnsi="Arial"/>
                <w:sz w:val="18"/>
                <w:szCs w:val="18"/>
                <w:color w:val="auto"/>
              </w:rPr>
              <w:t>KRN23</w:t>
            </w:r>
          </w:p>
        </w:tc>
        <w:tc>
          <w:tcPr>
            <w:tcW w:w="7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12,886</w:t>
            </w:r>
          </w:p>
        </w:tc>
        <w:tc>
          <w:tcPr>
            <w:tcW w:w="4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4,691</w:t>
            </w:r>
          </w:p>
        </w:tc>
        <w:tc>
          <w:tcPr>
            <w:tcW w:w="4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8,195</w:t>
            </w: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175%</w:t>
            </w:r>
          </w:p>
        </w:tc>
      </w:tr>
      <w:tr>
        <w:trPr>
          <w:trHeight w:val="230"/>
        </w:trPr>
        <w:tc>
          <w:tcPr>
            <w:tcW w:w="580" w:type="dxa"/>
            <w:vAlign w:val="bottom"/>
          </w:tcPr>
          <w:p>
            <w:pPr>
              <w:spacing w:after="0"/>
              <w:rPr>
                <w:sz w:val="19"/>
                <w:szCs w:val="19"/>
                <w:color w:val="auto"/>
              </w:rPr>
            </w:pPr>
          </w:p>
        </w:tc>
        <w:tc>
          <w:tcPr>
            <w:tcW w:w="4300" w:type="dxa"/>
            <w:vAlign w:val="bottom"/>
            <w:gridSpan w:val="2"/>
            <w:shd w:val="clear" w:color="auto" w:fill="CCECFF"/>
          </w:tcPr>
          <w:p>
            <w:pPr>
              <w:ind w:left="240"/>
              <w:spacing w:after="0"/>
              <w:rPr>
                <w:sz w:val="20"/>
                <w:szCs w:val="20"/>
                <w:color w:val="auto"/>
              </w:rPr>
            </w:pPr>
            <w:r>
              <w:rPr>
                <w:rFonts w:ascii="Arial" w:cs="Arial" w:eastAsia="Arial" w:hAnsi="Arial"/>
                <w:sz w:val="18"/>
                <w:szCs w:val="18"/>
                <w:color w:val="auto"/>
              </w:rPr>
              <w:t>rhGUS</w:t>
            </w:r>
          </w:p>
        </w:tc>
        <w:tc>
          <w:tcPr>
            <w:tcW w:w="56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18,989</w:t>
            </w:r>
          </w:p>
        </w:tc>
        <w:tc>
          <w:tcPr>
            <w:tcW w:w="2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9,445</w:t>
            </w:r>
          </w:p>
        </w:tc>
        <w:tc>
          <w:tcPr>
            <w:tcW w:w="26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9,544</w:t>
            </w:r>
          </w:p>
        </w:tc>
        <w:tc>
          <w:tcPr>
            <w:tcW w:w="1540" w:type="dxa"/>
            <w:vAlign w:val="bottom"/>
            <w:gridSpan w:val="3"/>
            <w:shd w:val="clear" w:color="auto" w:fill="CCECFF"/>
          </w:tcPr>
          <w:p>
            <w:pPr>
              <w:jc w:val="right"/>
              <w:ind w:right="40"/>
              <w:spacing w:after="0"/>
              <w:rPr>
                <w:sz w:val="20"/>
                <w:szCs w:val="20"/>
                <w:color w:val="auto"/>
              </w:rPr>
            </w:pPr>
            <w:r>
              <w:rPr>
                <w:rFonts w:ascii="Arial" w:cs="Arial" w:eastAsia="Arial" w:hAnsi="Arial"/>
                <w:sz w:val="18"/>
                <w:szCs w:val="18"/>
                <w:color w:val="auto"/>
              </w:rPr>
              <w:t>101%</w:t>
            </w:r>
          </w:p>
        </w:tc>
      </w:tr>
      <w:tr>
        <w:trPr>
          <w:trHeight w:val="230"/>
        </w:trPr>
        <w:tc>
          <w:tcPr>
            <w:tcW w:w="580" w:type="dxa"/>
            <w:vAlign w:val="bottom"/>
          </w:tcPr>
          <w:p>
            <w:pPr>
              <w:spacing w:after="0"/>
              <w:rPr>
                <w:sz w:val="19"/>
                <w:szCs w:val="19"/>
                <w:color w:val="auto"/>
              </w:rPr>
            </w:pPr>
          </w:p>
        </w:tc>
        <w:tc>
          <w:tcPr>
            <w:tcW w:w="4300" w:type="dxa"/>
            <w:vAlign w:val="bottom"/>
            <w:gridSpan w:val="2"/>
          </w:tcPr>
          <w:p>
            <w:pPr>
              <w:ind w:left="240"/>
              <w:spacing w:after="0"/>
              <w:rPr>
                <w:sz w:val="20"/>
                <w:szCs w:val="20"/>
                <w:color w:val="auto"/>
              </w:rPr>
            </w:pPr>
            <w:r>
              <w:rPr>
                <w:rFonts w:ascii="Arial" w:cs="Arial" w:eastAsia="Arial" w:hAnsi="Arial"/>
                <w:sz w:val="18"/>
                <w:szCs w:val="18"/>
                <w:color w:val="auto"/>
              </w:rPr>
              <w:t>UX007</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19,952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13,214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6,738</w:t>
            </w: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51%</w:t>
            </w:r>
          </w:p>
        </w:tc>
      </w:tr>
      <w:tr>
        <w:trPr>
          <w:trHeight w:val="230"/>
        </w:trPr>
        <w:tc>
          <w:tcPr>
            <w:tcW w:w="580" w:type="dxa"/>
            <w:vAlign w:val="bottom"/>
          </w:tcPr>
          <w:p>
            <w:pPr>
              <w:spacing w:after="0"/>
              <w:rPr>
                <w:sz w:val="19"/>
                <w:szCs w:val="19"/>
                <w:color w:val="auto"/>
              </w:rPr>
            </w:pPr>
          </w:p>
        </w:tc>
        <w:tc>
          <w:tcPr>
            <w:tcW w:w="4300" w:type="dxa"/>
            <w:vAlign w:val="bottom"/>
            <w:gridSpan w:val="2"/>
            <w:shd w:val="clear" w:color="auto" w:fill="CCECFF"/>
          </w:tcPr>
          <w:p>
            <w:pPr>
              <w:ind w:left="240"/>
              <w:spacing w:after="0"/>
              <w:rPr>
                <w:sz w:val="20"/>
                <w:szCs w:val="20"/>
                <w:color w:val="auto"/>
              </w:rPr>
            </w:pPr>
            <w:r>
              <w:rPr>
                <w:rFonts w:ascii="Arial" w:cs="Arial" w:eastAsia="Arial" w:hAnsi="Arial"/>
                <w:sz w:val="18"/>
                <w:szCs w:val="18"/>
                <w:color w:val="auto"/>
              </w:rPr>
              <w:t>Ace-ER</w:t>
            </w:r>
          </w:p>
        </w:tc>
        <w:tc>
          <w:tcPr>
            <w:tcW w:w="56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24,164</w:t>
            </w:r>
          </w:p>
        </w:tc>
        <w:tc>
          <w:tcPr>
            <w:tcW w:w="2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10,851</w:t>
            </w:r>
          </w:p>
        </w:tc>
        <w:tc>
          <w:tcPr>
            <w:tcW w:w="26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13,313</w:t>
            </w:r>
          </w:p>
        </w:tc>
        <w:tc>
          <w:tcPr>
            <w:tcW w:w="1540" w:type="dxa"/>
            <w:vAlign w:val="bottom"/>
            <w:gridSpan w:val="3"/>
            <w:shd w:val="clear" w:color="auto" w:fill="CCECFF"/>
          </w:tcPr>
          <w:p>
            <w:pPr>
              <w:jc w:val="right"/>
              <w:ind w:right="40"/>
              <w:spacing w:after="0"/>
              <w:rPr>
                <w:sz w:val="20"/>
                <w:szCs w:val="20"/>
                <w:color w:val="auto"/>
              </w:rPr>
            </w:pPr>
            <w:r>
              <w:rPr>
                <w:rFonts w:ascii="Arial" w:cs="Arial" w:eastAsia="Arial" w:hAnsi="Arial"/>
                <w:sz w:val="18"/>
                <w:szCs w:val="18"/>
                <w:color w:val="auto"/>
              </w:rPr>
              <w:t>123%</w:t>
            </w:r>
          </w:p>
        </w:tc>
      </w:tr>
      <w:tr>
        <w:trPr>
          <w:trHeight w:val="230"/>
        </w:trPr>
        <w:tc>
          <w:tcPr>
            <w:tcW w:w="580" w:type="dxa"/>
            <w:vAlign w:val="bottom"/>
          </w:tcPr>
          <w:p>
            <w:pPr>
              <w:spacing w:after="0"/>
              <w:rPr>
                <w:sz w:val="19"/>
                <w:szCs w:val="19"/>
                <w:color w:val="auto"/>
              </w:rPr>
            </w:pPr>
          </w:p>
        </w:tc>
        <w:tc>
          <w:tcPr>
            <w:tcW w:w="4300" w:type="dxa"/>
            <w:vAlign w:val="bottom"/>
            <w:tcBorders>
              <w:bottom w:val="single" w:sz="8" w:color="CCECFF"/>
            </w:tcBorders>
            <w:gridSpan w:val="2"/>
          </w:tcPr>
          <w:p>
            <w:pPr>
              <w:ind w:left="240"/>
              <w:spacing w:after="0"/>
              <w:rPr>
                <w:sz w:val="20"/>
                <w:szCs w:val="20"/>
                <w:color w:val="auto"/>
              </w:rPr>
            </w:pPr>
            <w:r>
              <w:rPr>
                <w:rFonts w:ascii="Arial" w:cs="Arial" w:eastAsia="Arial" w:hAnsi="Arial"/>
                <w:sz w:val="18"/>
                <w:szCs w:val="18"/>
                <w:color w:val="auto"/>
              </w:rPr>
              <w:t>Other research costs and preclinical costs</w:t>
            </w:r>
          </w:p>
        </w:tc>
        <w:tc>
          <w:tcPr>
            <w:tcW w:w="56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38,746</w:t>
            </w:r>
          </w:p>
        </w:tc>
        <w:tc>
          <w:tcPr>
            <w:tcW w:w="260" w:type="dxa"/>
            <w:vAlign w:val="bottom"/>
            <w:tcBorders>
              <w:bottom w:val="single" w:sz="8" w:color="CCEC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7,766</w:t>
            </w:r>
          </w:p>
        </w:tc>
        <w:tc>
          <w:tcPr>
            <w:tcW w:w="26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30,980</w:t>
            </w:r>
          </w:p>
        </w:tc>
        <w:tc>
          <w:tcPr>
            <w:tcW w:w="1540" w:type="dxa"/>
            <w:vAlign w:val="bottom"/>
            <w:tcBorders>
              <w:bottom w:val="single" w:sz="8" w:color="CCECFF"/>
            </w:tcBorders>
            <w:gridSpan w:val="3"/>
          </w:tcPr>
          <w:p>
            <w:pPr>
              <w:jc w:val="right"/>
              <w:ind w:right="40"/>
              <w:spacing w:after="0"/>
              <w:rPr>
                <w:sz w:val="20"/>
                <w:szCs w:val="20"/>
                <w:color w:val="auto"/>
              </w:rPr>
            </w:pPr>
            <w:r>
              <w:rPr>
                <w:rFonts w:ascii="Arial" w:cs="Arial" w:eastAsia="Arial" w:hAnsi="Arial"/>
                <w:sz w:val="18"/>
                <w:szCs w:val="18"/>
                <w:color w:val="auto"/>
              </w:rPr>
              <w:t>399%</w:t>
            </w:r>
          </w:p>
        </w:tc>
      </w:tr>
      <w:tr>
        <w:trPr>
          <w:trHeight w:val="223"/>
        </w:trPr>
        <w:tc>
          <w:tcPr>
            <w:tcW w:w="580" w:type="dxa"/>
            <w:vAlign w:val="bottom"/>
          </w:tcPr>
          <w:p>
            <w:pPr>
              <w:spacing w:after="0"/>
              <w:rPr>
                <w:sz w:val="19"/>
                <w:szCs w:val="19"/>
                <w:color w:val="auto"/>
              </w:rPr>
            </w:pPr>
          </w:p>
        </w:tc>
        <w:tc>
          <w:tcPr>
            <w:tcW w:w="4300" w:type="dxa"/>
            <w:vAlign w:val="bottom"/>
            <w:tcBorders>
              <w:bottom w:val="single" w:sz="8" w:color="CCECFF"/>
            </w:tcBorders>
            <w:gridSpan w:val="2"/>
            <w:shd w:val="clear" w:color="auto" w:fill="CCECFF"/>
          </w:tcPr>
          <w:p>
            <w:pPr>
              <w:spacing w:after="0"/>
              <w:rPr>
                <w:sz w:val="20"/>
                <w:szCs w:val="20"/>
                <w:color w:val="auto"/>
              </w:rPr>
            </w:pPr>
            <w:r>
              <w:rPr>
                <w:rFonts w:ascii="Arial" w:cs="Arial" w:eastAsia="Arial" w:hAnsi="Arial"/>
                <w:sz w:val="18"/>
                <w:szCs w:val="18"/>
                <w:color w:val="auto"/>
              </w:rPr>
              <w:t>Total research and development expenses</w:t>
            </w:r>
          </w:p>
        </w:tc>
        <w:tc>
          <w:tcPr>
            <w:tcW w:w="560" w:type="dxa"/>
            <w:vAlign w:val="bottom"/>
            <w:tcBorders>
              <w:bottom w:val="single" w:sz="8" w:color="CCECFF"/>
            </w:tcBorders>
            <w:shd w:val="clear" w:color="auto" w:fill="CCECFF"/>
          </w:tcPr>
          <w:p>
            <w:pPr>
              <w:spacing w:after="0"/>
              <w:rPr>
                <w:sz w:val="19"/>
                <w:szCs w:val="19"/>
                <w:color w:val="auto"/>
              </w:rPr>
            </w:pPr>
          </w:p>
        </w:tc>
        <w:tc>
          <w:tcPr>
            <w:tcW w:w="160" w:type="dxa"/>
            <w:vAlign w:val="bottom"/>
            <w:tcBorders>
              <w:bottom w:val="single" w:sz="8" w:color="auto"/>
            </w:tcBorders>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114,737</w:t>
            </w:r>
          </w:p>
        </w:tc>
        <w:tc>
          <w:tcPr>
            <w:tcW w:w="260" w:type="dxa"/>
            <w:vAlign w:val="bottom"/>
            <w:tcBorders>
              <w:bottom w:val="single" w:sz="8" w:color="CCECFF"/>
            </w:tcBorders>
            <w:shd w:val="clear" w:color="auto" w:fill="CCECFF"/>
          </w:tcPr>
          <w:p>
            <w:pPr>
              <w:spacing w:after="0"/>
              <w:rPr>
                <w:sz w:val="19"/>
                <w:szCs w:val="19"/>
                <w:color w:val="auto"/>
              </w:rPr>
            </w:pPr>
          </w:p>
        </w:tc>
        <w:tc>
          <w:tcPr>
            <w:tcW w:w="220" w:type="dxa"/>
            <w:vAlign w:val="bottom"/>
            <w:tcBorders>
              <w:bottom w:val="single" w:sz="8" w:color="auto"/>
            </w:tcBorders>
            <w:shd w:val="clear" w:color="auto" w:fill="CCEC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45,967</w:t>
            </w:r>
          </w:p>
        </w:tc>
        <w:tc>
          <w:tcPr>
            <w:tcW w:w="260" w:type="dxa"/>
            <w:vAlign w:val="bottom"/>
            <w:tcBorders>
              <w:bottom w:val="single" w:sz="8" w:color="CCECFF"/>
            </w:tcBorders>
            <w:shd w:val="clear" w:color="auto" w:fill="CCECFF"/>
          </w:tcPr>
          <w:p>
            <w:pPr>
              <w:spacing w:after="0"/>
              <w:rPr>
                <w:sz w:val="19"/>
                <w:szCs w:val="19"/>
                <w:color w:val="auto"/>
              </w:rPr>
            </w:pPr>
          </w:p>
        </w:tc>
        <w:tc>
          <w:tcPr>
            <w:tcW w:w="160" w:type="dxa"/>
            <w:vAlign w:val="bottom"/>
            <w:tcBorders>
              <w:bottom w:val="single" w:sz="8" w:color="auto"/>
            </w:tcBorders>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68,770</w:t>
            </w:r>
          </w:p>
        </w:tc>
        <w:tc>
          <w:tcPr>
            <w:tcW w:w="1540" w:type="dxa"/>
            <w:vAlign w:val="bottom"/>
            <w:tcBorders>
              <w:bottom w:val="single" w:sz="8" w:color="CCECFF"/>
            </w:tcBorders>
            <w:gridSpan w:val="3"/>
            <w:shd w:val="clear" w:color="auto" w:fill="CCECFF"/>
          </w:tcPr>
          <w:p>
            <w:pPr>
              <w:jc w:val="right"/>
              <w:ind w:right="40"/>
              <w:spacing w:after="0"/>
              <w:rPr>
                <w:sz w:val="20"/>
                <w:szCs w:val="20"/>
                <w:color w:val="auto"/>
              </w:rPr>
            </w:pPr>
            <w:r>
              <w:rPr>
                <w:rFonts w:ascii="Arial" w:cs="Arial" w:eastAsia="Arial" w:hAnsi="Arial"/>
                <w:sz w:val="18"/>
                <w:szCs w:val="18"/>
                <w:color w:val="auto"/>
              </w:rPr>
              <w:t>150%</w:t>
            </w:r>
          </w:p>
        </w:tc>
      </w:tr>
      <w:tr>
        <w:trPr>
          <w:trHeight w:val="20"/>
        </w:trPr>
        <w:tc>
          <w:tcPr>
            <w:tcW w:w="5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53"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Research and development expenses increased $68.8 million for the year ended December 31, 2015 compared to the same period in 2014. The increase in research and development expenses above is primarily due to:</w:t>
      </w:r>
    </w:p>
    <w:p>
      <w:pPr>
        <w:spacing w:after="0" w:line="22" w:lineRule="exact"/>
        <w:rPr>
          <w:sz w:val="20"/>
          <w:szCs w:val="20"/>
          <w:color w:val="auto"/>
        </w:rPr>
      </w:pPr>
    </w:p>
    <w:p>
      <w:pPr>
        <w:ind w:left="900" w:right="40" w:hanging="379"/>
        <w:spacing w:after="0" w:line="325"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for KRN23, an increase of $8.2 million related to the continued development of the XLH clinical program, including the initiation of our Phase 3 adult study, the initiation of our adult TIO study, and other clinical development and regulatory activities, net of KHK reimbursement;</w:t>
      </w:r>
    </w:p>
    <w:p>
      <w:pPr>
        <w:spacing w:after="0" w:line="1" w:lineRule="exact"/>
        <w:rPr>
          <w:rFonts w:ascii="Arial" w:cs="Arial" w:eastAsia="Arial" w:hAnsi="Arial"/>
          <w:sz w:val="16"/>
          <w:szCs w:val="16"/>
          <w:color w:val="auto"/>
        </w:rPr>
      </w:pPr>
    </w:p>
    <w:p>
      <w:pPr>
        <w:ind w:left="900" w:right="680" w:hanging="379"/>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rhGUS, an increase of $9.5 million related to an increase in manufacturing, quality, and clinical study related activities, including the enrollment of our Phase 3 study;</w:t>
      </w:r>
    </w:p>
    <w:p>
      <w:pPr>
        <w:spacing w:after="0" w:line="21" w:lineRule="exact"/>
        <w:rPr>
          <w:rFonts w:ascii="Arial" w:cs="Arial" w:eastAsia="Arial" w:hAnsi="Arial"/>
          <w:sz w:val="18"/>
          <w:szCs w:val="18"/>
          <w:color w:val="auto"/>
        </w:rPr>
      </w:pPr>
    </w:p>
    <w:p>
      <w:pPr>
        <w:ind w:left="900" w:hanging="379"/>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UX007, an increase of $6.7 million related to clinical manufacturing and the continued development of our clinical program, including patient identification efforts, and support of investigator-sponsored studies across multiple diseases;</w:t>
      </w:r>
    </w:p>
    <w:p>
      <w:pPr>
        <w:spacing w:after="0" w:line="21" w:lineRule="exact"/>
        <w:rPr>
          <w:rFonts w:ascii="Arial" w:cs="Arial" w:eastAsia="Arial" w:hAnsi="Arial"/>
          <w:sz w:val="18"/>
          <w:szCs w:val="18"/>
          <w:color w:val="auto"/>
        </w:rPr>
      </w:pPr>
    </w:p>
    <w:p>
      <w:pPr>
        <w:ind w:left="900" w:right="400" w:hanging="379"/>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Ace-ER, an increase of $13.3 million related to the increase in clinical, manufacturing, quality and regulatory activities for this program, including the initiation of our Phase 3 trial and efforts associated with the conditional MAA filing; and</w:t>
      </w:r>
    </w:p>
    <w:p>
      <w:pPr>
        <w:spacing w:after="0" w:line="21" w:lineRule="exact"/>
        <w:rPr>
          <w:rFonts w:ascii="Arial" w:cs="Arial" w:eastAsia="Arial" w:hAnsi="Arial"/>
          <w:sz w:val="18"/>
          <w:szCs w:val="18"/>
          <w:color w:val="auto"/>
        </w:rPr>
      </w:pPr>
    </w:p>
    <w:p>
      <w:pPr>
        <w:ind w:left="900" w:right="380" w:hanging="379"/>
        <w:spacing w:after="0" w:line="31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 increase of $31.0 million in other research and development costs includes: $10.0 million for the Arcturus upfront license fee that was expensed in the fourth quarter of 2015, an increase of $3.9 million related to the continued development of our pre-clinical programs, and an increase of $17.1 million in non-program specific support and overhead costs, including stock compensation expenses.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5440" w:type="dxa"/>
            <w:vAlign w:val="bottom"/>
            <w:gridSpan w:val="3"/>
          </w:tcPr>
          <w:p>
            <w:pPr>
              <w:spacing w:after="0"/>
              <w:rPr>
                <w:sz w:val="20"/>
                <w:szCs w:val="20"/>
                <w:color w:val="auto"/>
              </w:rPr>
            </w:pPr>
            <w:r>
              <w:rPr>
                <w:rFonts w:ascii="Arial" w:cs="Arial" w:eastAsia="Arial" w:hAnsi="Arial"/>
                <w:sz w:val="18"/>
                <w:szCs w:val="18"/>
                <w:i w:val="1"/>
                <w:iCs w:val="1"/>
                <w:color w:val="auto"/>
              </w:rPr>
              <w:t>General and Administrative Expenses (dollars in thousands)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31"/>
        </w:trPr>
        <w:tc>
          <w:tcPr>
            <w:tcW w:w="580" w:type="dxa"/>
            <w:vAlign w:val="bottom"/>
            <w:tcBorders>
              <w:top w:val="single" w:sz="8" w:color="auto"/>
            </w:tcBorders>
          </w:tcPr>
          <w:p>
            <w:pPr>
              <w:spacing w:after="0"/>
              <w:rPr>
                <w:sz w:val="24"/>
                <w:szCs w:val="24"/>
                <w:color w:val="auto"/>
              </w:rPr>
            </w:pPr>
          </w:p>
        </w:tc>
        <w:tc>
          <w:tcPr>
            <w:tcW w:w="378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w w:val="93"/>
              </w:rPr>
              <w:t>Year Ended December 31,</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Dollar</w:t>
            </w: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3780" w:type="dxa"/>
            <w:vAlign w:val="bottom"/>
            <w:tcBorders>
              <w:bottom w:val="single" w:sz="8" w:color="CCECFF"/>
            </w:tcBorders>
          </w:tcPr>
          <w:p>
            <w:pPr>
              <w:spacing w:after="0"/>
              <w:rPr>
                <w:sz w:val="19"/>
                <w:szCs w:val="19"/>
                <w:color w:val="auto"/>
              </w:rPr>
            </w:pPr>
          </w:p>
        </w:tc>
        <w:tc>
          <w:tcPr>
            <w:tcW w:w="108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bottom w:val="single" w:sz="8" w:color="CCEC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6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Change</w:t>
            </w:r>
          </w:p>
        </w:tc>
        <w:tc>
          <w:tcPr>
            <w:tcW w:w="240" w:type="dxa"/>
            <w:vAlign w:val="bottom"/>
            <w:tcBorders>
              <w:bottom w:val="single" w:sz="8" w:color="CCECFF"/>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180" w:type="dxa"/>
            <w:vAlign w:val="bottom"/>
            <w:tcBorders>
              <w:bottom w:val="single" w:sz="8" w:color="CCECFF"/>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86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33,001</w:t>
            </w:r>
          </w:p>
        </w:tc>
        <w:tc>
          <w:tcPr>
            <w:tcW w:w="260" w:type="dxa"/>
            <w:vAlign w:val="bottom"/>
            <w:shd w:val="clear" w:color="auto" w:fill="CCECFF"/>
          </w:tcPr>
          <w:p>
            <w:pPr>
              <w:spacing w:after="0"/>
              <w:rPr>
                <w:sz w:val="19"/>
                <w:szCs w:val="19"/>
                <w:color w:val="auto"/>
              </w:rPr>
            </w:pPr>
          </w:p>
        </w:tc>
        <w:tc>
          <w:tcPr>
            <w:tcW w:w="220" w:type="dxa"/>
            <w:vAlign w:val="bottom"/>
            <w:shd w:val="clear" w:color="auto" w:fill="CCEC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10,811</w:t>
            </w:r>
          </w:p>
        </w:tc>
        <w:tc>
          <w:tcPr>
            <w:tcW w:w="260" w:type="dxa"/>
            <w:vAlign w:val="bottom"/>
            <w:shd w:val="clear" w:color="auto" w:fill="CCECFF"/>
          </w:tcPr>
          <w:p>
            <w:pPr>
              <w:spacing w:after="0"/>
              <w:rPr>
                <w:sz w:val="19"/>
                <w:szCs w:val="19"/>
                <w:color w:val="auto"/>
              </w:rPr>
            </w:pPr>
          </w:p>
        </w:tc>
        <w:tc>
          <w:tcPr>
            <w:tcW w:w="160" w:type="dxa"/>
            <w:vAlign w:val="bottom"/>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22,190</w:t>
            </w:r>
          </w:p>
        </w:tc>
        <w:tc>
          <w:tcPr>
            <w:tcW w:w="240" w:type="dxa"/>
            <w:vAlign w:val="bottom"/>
            <w:shd w:val="clear" w:color="auto" w:fill="CCECFF"/>
          </w:tcPr>
          <w:p>
            <w:pPr>
              <w:spacing w:after="0"/>
              <w:rPr>
                <w:sz w:val="19"/>
                <w:szCs w:val="19"/>
                <w:color w:val="auto"/>
              </w:rPr>
            </w:pPr>
          </w:p>
        </w:tc>
        <w:tc>
          <w:tcPr>
            <w:tcW w:w="130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205%</w:t>
            </w:r>
          </w:p>
        </w:tc>
      </w:tr>
    </w:tbl>
    <w:p>
      <w:pPr>
        <w:spacing w:after="0" w:line="67" w:lineRule="exact"/>
        <w:rPr>
          <w:sz w:val="20"/>
          <w:szCs w:val="20"/>
          <w:color w:val="auto"/>
        </w:rPr>
      </w:pPr>
    </w:p>
    <w:p>
      <w:pPr>
        <w:jc w:val="both"/>
        <w:ind w:right="540" w:firstLine="518"/>
        <w:spacing w:after="0" w:line="286" w:lineRule="auto"/>
        <w:rPr>
          <w:sz w:val="20"/>
          <w:szCs w:val="20"/>
          <w:color w:val="auto"/>
        </w:rPr>
      </w:pPr>
      <w:r>
        <w:rPr>
          <w:rFonts w:ascii="Arial" w:cs="Arial" w:eastAsia="Arial" w:hAnsi="Arial"/>
          <w:sz w:val="17"/>
          <w:szCs w:val="17"/>
          <w:color w:val="auto"/>
        </w:rPr>
        <w:t>General and administrative expenses increased $22.2 million for the year ended December 31, 2015 compared to the same period in 2014. The increase in general and administrative expenses was primarily due to increases in commercial planning costs, professional services costs, stock-based compensation and personnel costs resulting from an increase in employees in support of our operations.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gridSpan w:val="3"/>
          </w:tcPr>
          <w:p>
            <w:pPr>
              <w:spacing w:after="0"/>
              <w:rPr>
                <w:sz w:val="20"/>
                <w:szCs w:val="20"/>
                <w:color w:val="auto"/>
              </w:rPr>
            </w:pPr>
            <w:r>
              <w:rPr>
                <w:rFonts w:ascii="Arial" w:cs="Arial" w:eastAsia="Arial" w:hAnsi="Arial"/>
                <w:sz w:val="18"/>
                <w:szCs w:val="18"/>
                <w:i w:val="1"/>
                <w:iCs w:val="1"/>
                <w:color w:val="auto"/>
              </w:rPr>
              <w:t>Interest Income (dollars in thousands)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31"/>
        </w:trPr>
        <w:tc>
          <w:tcPr>
            <w:tcW w:w="580" w:type="dxa"/>
            <w:vAlign w:val="bottom"/>
            <w:tcBorders>
              <w:top w:val="single" w:sz="8" w:color="auto"/>
            </w:tcBorders>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2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w w:val="93"/>
              </w:rPr>
              <w:t>Year Ended December 31,</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Dollar</w:t>
            </w: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2180" w:type="dxa"/>
            <w:vAlign w:val="bottom"/>
            <w:tcBorders>
              <w:bottom w:val="single" w:sz="8" w:color="CCECFF"/>
            </w:tcBorders>
          </w:tcPr>
          <w:p>
            <w:pPr>
              <w:spacing w:after="0"/>
              <w:rPr>
                <w:sz w:val="19"/>
                <w:szCs w:val="19"/>
                <w:color w:val="auto"/>
              </w:rPr>
            </w:pPr>
          </w:p>
        </w:tc>
        <w:tc>
          <w:tcPr>
            <w:tcW w:w="268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bottom w:val="single" w:sz="8" w:color="CCEC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6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Change</w:t>
            </w:r>
          </w:p>
        </w:tc>
        <w:tc>
          <w:tcPr>
            <w:tcW w:w="240" w:type="dxa"/>
            <w:vAlign w:val="bottom"/>
            <w:tcBorders>
              <w:bottom w:val="single" w:sz="8" w:color="CCECFF"/>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180" w:type="dxa"/>
            <w:vAlign w:val="bottom"/>
            <w:tcBorders>
              <w:bottom w:val="single" w:sz="8" w:color="CCECFF"/>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86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2,320</w:t>
            </w:r>
          </w:p>
        </w:tc>
        <w:tc>
          <w:tcPr>
            <w:tcW w:w="260" w:type="dxa"/>
            <w:vAlign w:val="bottom"/>
            <w:shd w:val="clear" w:color="auto" w:fill="CCECFF"/>
          </w:tcPr>
          <w:p>
            <w:pPr>
              <w:spacing w:after="0"/>
              <w:rPr>
                <w:sz w:val="19"/>
                <w:szCs w:val="19"/>
                <w:color w:val="auto"/>
              </w:rPr>
            </w:pPr>
          </w:p>
        </w:tc>
        <w:tc>
          <w:tcPr>
            <w:tcW w:w="220" w:type="dxa"/>
            <w:vAlign w:val="bottom"/>
            <w:shd w:val="clear" w:color="auto" w:fill="CCEC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608</w:t>
            </w:r>
          </w:p>
        </w:tc>
        <w:tc>
          <w:tcPr>
            <w:tcW w:w="260" w:type="dxa"/>
            <w:vAlign w:val="bottom"/>
            <w:shd w:val="clear" w:color="auto" w:fill="CCECFF"/>
          </w:tcPr>
          <w:p>
            <w:pPr>
              <w:spacing w:after="0"/>
              <w:rPr>
                <w:sz w:val="19"/>
                <w:szCs w:val="19"/>
                <w:color w:val="auto"/>
              </w:rPr>
            </w:pPr>
          </w:p>
        </w:tc>
        <w:tc>
          <w:tcPr>
            <w:tcW w:w="160" w:type="dxa"/>
            <w:vAlign w:val="bottom"/>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1,712</w:t>
            </w:r>
          </w:p>
        </w:tc>
        <w:tc>
          <w:tcPr>
            <w:tcW w:w="240" w:type="dxa"/>
            <w:vAlign w:val="bottom"/>
            <w:shd w:val="clear" w:color="auto" w:fill="CCECFF"/>
          </w:tcPr>
          <w:p>
            <w:pPr>
              <w:spacing w:after="0"/>
              <w:rPr>
                <w:sz w:val="19"/>
                <w:szCs w:val="19"/>
                <w:color w:val="auto"/>
              </w:rPr>
            </w:pPr>
          </w:p>
        </w:tc>
        <w:tc>
          <w:tcPr>
            <w:tcW w:w="130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282%</w:t>
            </w:r>
          </w:p>
        </w:tc>
      </w:tr>
    </w:tbl>
    <w:p>
      <w:pPr>
        <w:spacing w:after="0" w:line="6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Interest income increased $1.7 million for the year ended December 31, 2015 compared to the same period in 2014, primarily due to funds invested from our underwritten public offerings in July 2015, February 2015 and July 2014.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20" w:type="dxa"/>
            <w:vAlign w:val="bottom"/>
            <w:gridSpan w:val="3"/>
          </w:tcPr>
          <w:p>
            <w:pPr>
              <w:spacing w:after="0"/>
              <w:rPr>
                <w:sz w:val="20"/>
                <w:szCs w:val="20"/>
                <w:color w:val="auto"/>
              </w:rPr>
            </w:pPr>
            <w:r>
              <w:rPr>
                <w:rFonts w:ascii="Arial" w:cs="Arial" w:eastAsia="Arial" w:hAnsi="Arial"/>
                <w:sz w:val="18"/>
                <w:szCs w:val="18"/>
                <w:i w:val="1"/>
                <w:iCs w:val="1"/>
                <w:color w:val="auto"/>
              </w:rPr>
              <w:t>Other Expense, net (dollars in thousands)</w:t>
            </w: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31"/>
        </w:trPr>
        <w:tc>
          <w:tcPr>
            <w:tcW w:w="580" w:type="dxa"/>
            <w:vAlign w:val="bottom"/>
            <w:tcBorders>
              <w:top w:val="single" w:sz="8" w:color="auto"/>
            </w:tcBorders>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50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8"/>
                <w:szCs w:val="18"/>
                <w:b w:val="1"/>
                <w:bCs w:val="1"/>
                <w:color w:val="auto"/>
              </w:rPr>
              <w:t>Year Ended December 31,</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Dollar</w:t>
            </w: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2440" w:type="dxa"/>
            <w:vAlign w:val="bottom"/>
            <w:tcBorders>
              <w:bottom w:val="single" w:sz="8" w:color="CCECFF"/>
            </w:tcBorders>
          </w:tcPr>
          <w:p>
            <w:pPr>
              <w:spacing w:after="0"/>
              <w:rPr>
                <w:sz w:val="19"/>
                <w:szCs w:val="19"/>
                <w:color w:val="auto"/>
              </w:rPr>
            </w:pPr>
          </w:p>
        </w:tc>
        <w:tc>
          <w:tcPr>
            <w:tcW w:w="1200" w:type="dxa"/>
            <w:vAlign w:val="bottom"/>
            <w:tcBorders>
              <w:bottom w:val="single" w:sz="8" w:color="CCECFF"/>
            </w:tcBorders>
          </w:tcPr>
          <w:p>
            <w:pPr>
              <w:spacing w:after="0"/>
              <w:rPr>
                <w:sz w:val="19"/>
                <w:szCs w:val="19"/>
                <w:color w:val="auto"/>
              </w:rPr>
            </w:pPr>
          </w:p>
        </w:tc>
        <w:tc>
          <w:tcPr>
            <w:tcW w:w="1220" w:type="dxa"/>
            <w:vAlign w:val="bottom"/>
            <w:tcBorders>
              <w:bottom w:val="single" w:sz="8" w:color="CCEC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CCEC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6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Change</w:t>
            </w:r>
          </w:p>
        </w:tc>
        <w:tc>
          <w:tcPr>
            <w:tcW w:w="240" w:type="dxa"/>
            <w:vAlign w:val="bottom"/>
            <w:tcBorders>
              <w:bottom w:val="single" w:sz="8" w:color="CCECFF"/>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180" w:type="dxa"/>
            <w:vAlign w:val="bottom"/>
            <w:tcBorders>
              <w:bottom w:val="single" w:sz="8" w:color="CCECFF"/>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64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Other expense, net</w:t>
            </w:r>
          </w:p>
        </w:tc>
        <w:tc>
          <w:tcPr>
            <w:tcW w:w="1220" w:type="dxa"/>
            <w:vAlign w:val="bottom"/>
            <w:shd w:val="clear" w:color="auto" w:fill="CCECFF"/>
          </w:tcPr>
          <w:p>
            <w:pPr>
              <w:spacing w:after="0"/>
              <w:rPr>
                <w:sz w:val="19"/>
                <w:szCs w:val="19"/>
                <w:color w:val="auto"/>
              </w:rPr>
            </w:pPr>
          </w:p>
        </w:tc>
        <w:tc>
          <w:tcPr>
            <w:tcW w:w="780" w:type="dxa"/>
            <w:vAlign w:val="bottom"/>
            <w:shd w:val="clear" w:color="auto" w:fill="CCECFF"/>
          </w:tcPr>
          <w:p>
            <w:pPr>
              <w:jc w:val="right"/>
              <w:ind w:right="615"/>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200</w:t>
            </w:r>
          </w:p>
        </w:tc>
        <w:tc>
          <w:tcPr>
            <w:tcW w:w="260" w:type="dxa"/>
            <w:vAlign w:val="bottom"/>
            <w:shd w:val="clear" w:color="auto" w:fill="CCECFF"/>
          </w:tcPr>
          <w:p>
            <w:pPr>
              <w:spacing w:after="0"/>
              <w:rPr>
                <w:sz w:val="19"/>
                <w:szCs w:val="19"/>
                <w:color w:val="auto"/>
              </w:rPr>
            </w:pPr>
          </w:p>
        </w:tc>
        <w:tc>
          <w:tcPr>
            <w:tcW w:w="220" w:type="dxa"/>
            <w:vAlign w:val="bottom"/>
            <w:shd w:val="clear" w:color="auto" w:fill="CCEC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3,632</w:t>
            </w:r>
          </w:p>
        </w:tc>
        <w:tc>
          <w:tcPr>
            <w:tcW w:w="260" w:type="dxa"/>
            <w:vAlign w:val="bottom"/>
            <w:shd w:val="clear" w:color="auto" w:fill="CCECFF"/>
          </w:tcPr>
          <w:p>
            <w:pPr>
              <w:spacing w:after="0"/>
              <w:rPr>
                <w:sz w:val="19"/>
                <w:szCs w:val="19"/>
                <w:color w:val="auto"/>
              </w:rPr>
            </w:pPr>
          </w:p>
        </w:tc>
        <w:tc>
          <w:tcPr>
            <w:tcW w:w="160" w:type="dxa"/>
            <w:vAlign w:val="bottom"/>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(3,432)</w:t>
            </w:r>
          </w:p>
        </w:tc>
        <w:tc>
          <w:tcPr>
            <w:tcW w:w="240" w:type="dxa"/>
            <w:vAlign w:val="bottom"/>
            <w:shd w:val="clear" w:color="auto" w:fill="CCECFF"/>
          </w:tcPr>
          <w:p>
            <w:pPr>
              <w:spacing w:after="0"/>
              <w:rPr>
                <w:sz w:val="19"/>
                <w:szCs w:val="19"/>
                <w:color w:val="auto"/>
              </w:rPr>
            </w:pPr>
          </w:p>
        </w:tc>
        <w:tc>
          <w:tcPr>
            <w:tcW w:w="130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-94%</w:t>
            </w:r>
          </w:p>
        </w:tc>
      </w:tr>
    </w:tbl>
    <w:p>
      <w:pPr>
        <w:spacing w:after="0" w:line="67"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Other expense, net decreased $3.4 million for the year ended December 31, 2015 compared to the same period in 2014. This was primarily related to the fair value remeasurement of the liability related to our convertible preferred stock warrants. There was no corresponding expense in 2015 as the preferred stock warrants were converted to common stock warrants upon the completion of the IPO and are no longer subject to remeasurement.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Since our inception, we have funded our operations primarily with net proceeds from our equity financings. As of December 31, 2016, we had $498.1 million in available cash, cash equivalents, and investments. Our cash, cash equivalents and investments are held in a variety of interest-bearing accounts, corporate debt securities, U.S government securities and money market accounts. Cash in excess of immediate requirements is invested with a view toward liquidity and capital preservation, and we seek to minimize the potential effects of concentration and credit risk.</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100"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8"/>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080" w:type="dxa"/>
            <w:vAlign w:val="bottom"/>
            <w:tcBorders>
              <w:bottom w:val="single" w:sz="8" w:color="CCEC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CCECFF"/>
            </w:tcBorders>
          </w:tcPr>
          <w:p>
            <w:pPr>
              <w:spacing w:after="0"/>
              <w:rPr>
                <w:sz w:val="19"/>
                <w:szCs w:val="19"/>
                <w:color w:val="auto"/>
              </w:rPr>
            </w:pPr>
          </w:p>
        </w:tc>
        <w:tc>
          <w:tcPr>
            <w:tcW w:w="100" w:type="dxa"/>
            <w:vAlign w:val="bottom"/>
            <w:tcBorders>
              <w:bottom w:val="single" w:sz="8" w:color="CCEC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CCECFF"/>
            </w:tcBorders>
          </w:tcPr>
          <w:p>
            <w:pPr>
              <w:spacing w:after="0"/>
              <w:rPr>
                <w:sz w:val="19"/>
                <w:szCs w:val="19"/>
                <w:color w:val="auto"/>
              </w:rPr>
            </w:pPr>
          </w:p>
        </w:tc>
        <w:tc>
          <w:tcPr>
            <w:tcW w:w="80" w:type="dxa"/>
            <w:vAlign w:val="bottom"/>
            <w:tcBorders>
              <w:bottom w:val="single" w:sz="8" w:color="CCEC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80" w:type="dxa"/>
            <w:vAlign w:val="bottom"/>
            <w:tcBorders>
              <w:bottom w:val="single" w:sz="8" w:color="CCECFF"/>
            </w:tcBorders>
          </w:tcPr>
          <w:p>
            <w:pPr>
              <w:spacing w:after="0"/>
              <w:rPr>
                <w:sz w:val="19"/>
                <w:szCs w:val="19"/>
                <w:color w:val="auto"/>
              </w:rPr>
            </w:pPr>
          </w:p>
        </w:tc>
      </w:tr>
      <w:tr>
        <w:trPr>
          <w:trHeight w:val="223"/>
        </w:trPr>
        <w:tc>
          <w:tcPr>
            <w:tcW w:w="5080" w:type="dxa"/>
            <w:vAlign w:val="bottom"/>
            <w:shd w:val="clear" w:color="auto" w:fill="CCECFF"/>
          </w:tcPr>
          <w:p>
            <w:pPr>
              <w:ind w:left="120"/>
              <w:spacing w:after="0"/>
              <w:rPr>
                <w:sz w:val="20"/>
                <w:szCs w:val="20"/>
                <w:color w:val="auto"/>
              </w:rPr>
            </w:pPr>
            <w:r>
              <w:rPr>
                <w:rFonts w:ascii="Arial" w:cs="Arial" w:eastAsia="Arial" w:hAnsi="Arial"/>
                <w:sz w:val="18"/>
                <w:szCs w:val="18"/>
                <w:color w:val="auto"/>
              </w:rPr>
              <w:t>Cash used in operating activities</w:t>
            </w: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(160,975</w:t>
            </w:r>
          </w:p>
        </w:tc>
        <w:tc>
          <w:tcPr>
            <w:tcW w:w="140" w:type="dxa"/>
            <w:vAlign w:val="bottom"/>
            <w:shd w:val="clear" w:color="auto" w:fill="CCECFF"/>
          </w:tcPr>
          <w:p>
            <w:pPr>
              <w:jc w:val="right"/>
              <w:ind w:right="60"/>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CCECFF"/>
          </w:tcPr>
          <w:p>
            <w:pPr>
              <w:spacing w:after="0"/>
              <w:rPr>
                <w:sz w:val="19"/>
                <w:szCs w:val="19"/>
                <w:color w:val="auto"/>
              </w:rPr>
            </w:pPr>
          </w:p>
        </w:tc>
        <w:tc>
          <w:tcPr>
            <w:tcW w:w="240" w:type="dxa"/>
            <w:vAlign w:val="bottom"/>
            <w:shd w:val="clear" w:color="auto" w:fill="CCEC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(105,977</w:t>
            </w:r>
          </w:p>
        </w:tc>
        <w:tc>
          <w:tcPr>
            <w:tcW w:w="160" w:type="dxa"/>
            <w:vAlign w:val="bottom"/>
            <w:shd w:val="clear" w:color="auto" w:fill="CCEC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CFF"/>
          </w:tcPr>
          <w:p>
            <w:pPr>
              <w:spacing w:after="0"/>
              <w:rPr>
                <w:sz w:val="19"/>
                <w:szCs w:val="19"/>
                <w:color w:val="auto"/>
              </w:rPr>
            </w:pPr>
          </w:p>
        </w:tc>
        <w:tc>
          <w:tcPr>
            <w:tcW w:w="300" w:type="dxa"/>
            <w:vAlign w:val="bottom"/>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(44,634)</w:t>
            </w:r>
          </w:p>
        </w:tc>
        <w:tc>
          <w:tcPr>
            <w:tcW w:w="80" w:type="dxa"/>
            <w:vAlign w:val="bottom"/>
            <w:shd w:val="clear" w:color="auto" w:fill="CCECFF"/>
          </w:tcPr>
          <w:p>
            <w:pPr>
              <w:spacing w:after="0"/>
              <w:rPr>
                <w:sz w:val="19"/>
                <w:szCs w:val="19"/>
                <w:color w:val="auto"/>
              </w:rPr>
            </w:pPr>
          </w:p>
        </w:tc>
      </w:tr>
      <w:tr>
        <w:trPr>
          <w:trHeight w:val="230"/>
        </w:trPr>
        <w:tc>
          <w:tcPr>
            <w:tcW w:w="5080" w:type="dxa"/>
            <w:vAlign w:val="bottom"/>
          </w:tcPr>
          <w:p>
            <w:pPr>
              <w:ind w:left="120"/>
              <w:spacing w:after="0"/>
              <w:rPr>
                <w:sz w:val="20"/>
                <w:szCs w:val="20"/>
                <w:color w:val="auto"/>
              </w:rPr>
            </w:pPr>
            <w:r>
              <w:rPr>
                <w:rFonts w:ascii="Arial" w:cs="Arial" w:eastAsia="Arial" w:hAnsi="Arial"/>
                <w:sz w:val="18"/>
                <w:szCs w:val="18"/>
                <w:color w:val="auto"/>
              </w:rPr>
              <w:t>Cash provided by (used in) investing activities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89,915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(292,351)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(123,440)</w:t>
            </w:r>
          </w:p>
        </w:tc>
      </w:tr>
      <w:tr>
        <w:trPr>
          <w:trHeight w:val="230"/>
        </w:trPr>
        <w:tc>
          <w:tcPr>
            <w:tcW w:w="5080" w:type="dxa"/>
            <w:vAlign w:val="bottom"/>
            <w:shd w:val="clear" w:color="auto" w:fill="CCECFF"/>
          </w:tcPr>
          <w:p>
            <w:pPr>
              <w:ind w:left="120"/>
              <w:spacing w:after="0"/>
              <w:rPr>
                <w:sz w:val="20"/>
                <w:szCs w:val="20"/>
                <w:color w:val="auto"/>
              </w:rPr>
            </w:pPr>
            <w:r>
              <w:rPr>
                <w:rFonts w:ascii="Arial" w:cs="Arial" w:eastAsia="Arial" w:hAnsi="Arial"/>
                <w:sz w:val="18"/>
                <w:szCs w:val="18"/>
                <w:color w:val="auto"/>
              </w:rPr>
              <w:t>Cash provided by financing activities</w:t>
            </w:r>
          </w:p>
        </w:tc>
        <w:tc>
          <w:tcPr>
            <w:tcW w:w="240" w:type="dxa"/>
            <w:vAlign w:val="bottom"/>
            <w:shd w:val="clear" w:color="auto" w:fill="CCECFF"/>
          </w:tcPr>
          <w:p>
            <w:pPr>
              <w:spacing w:after="0"/>
              <w:rPr>
                <w:sz w:val="19"/>
                <w:szCs w:val="19"/>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138,676</w:t>
            </w:r>
          </w:p>
        </w:tc>
        <w:tc>
          <w:tcPr>
            <w:tcW w:w="14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467,573</w:t>
            </w:r>
          </w:p>
        </w:tc>
        <w:tc>
          <w:tcPr>
            <w:tcW w:w="16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184,971</w:t>
            </w:r>
          </w:p>
        </w:tc>
        <w:tc>
          <w:tcPr>
            <w:tcW w:w="80" w:type="dxa"/>
            <w:vAlign w:val="bottom"/>
            <w:shd w:val="clear" w:color="auto" w:fill="CCECFF"/>
          </w:tcPr>
          <w:p>
            <w:pPr>
              <w:spacing w:after="0"/>
              <w:rPr>
                <w:sz w:val="19"/>
                <w:szCs w:val="19"/>
                <w:color w:val="auto"/>
              </w:rPr>
            </w:pPr>
          </w:p>
        </w:tc>
      </w:tr>
      <w:tr>
        <w:trPr>
          <w:trHeight w:val="230"/>
        </w:trPr>
        <w:tc>
          <w:tcPr>
            <w:tcW w:w="5080" w:type="dxa"/>
            <w:vAlign w:val="bottom"/>
          </w:tcPr>
          <w:p>
            <w:pPr>
              <w:ind w:left="120"/>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080" w:type="dxa"/>
            <w:vAlign w:val="bottom"/>
            <w:tcBorders>
              <w:top w:val="single" w:sz="8" w:color="CCECFF"/>
              <w:bottom w:val="single" w:sz="8" w:color="CCECFF"/>
            </w:tcBorders>
            <w:shd w:val="clear" w:color="auto" w:fill="CCECFF"/>
          </w:tcPr>
          <w:p>
            <w:pPr>
              <w:ind w:left="120"/>
              <w:spacing w:after="0"/>
              <w:rPr>
                <w:sz w:val="20"/>
                <w:szCs w:val="20"/>
                <w:color w:val="auto"/>
              </w:rPr>
            </w:pPr>
            <w:r>
              <w:rPr>
                <w:rFonts w:ascii="Arial" w:cs="Arial" w:eastAsia="Arial" w:hAnsi="Arial"/>
                <w:sz w:val="18"/>
                <w:szCs w:val="18"/>
                <w:color w:val="auto"/>
              </w:rPr>
              <w:t>Net increase in cash and cash equivalents</w:t>
            </w:r>
          </w:p>
        </w:tc>
        <w:tc>
          <w:tcPr>
            <w:tcW w:w="240" w:type="dxa"/>
            <w:vAlign w:val="bottom"/>
            <w:tcBorders>
              <w:top w:val="single" w:sz="8" w:color="auto"/>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67,551</w:t>
            </w:r>
          </w:p>
        </w:tc>
        <w:tc>
          <w:tcPr>
            <w:tcW w:w="140" w:type="dxa"/>
            <w:vAlign w:val="bottom"/>
            <w:tcBorders>
              <w:top w:val="single" w:sz="8" w:color="CCECFF"/>
              <w:bottom w:val="single" w:sz="8" w:color="CCECFF"/>
            </w:tcBorders>
            <w:shd w:val="clear" w:color="auto" w:fill="CCECFF"/>
          </w:tcPr>
          <w:p>
            <w:pPr>
              <w:spacing w:after="0"/>
              <w:rPr>
                <w:sz w:val="19"/>
                <w:szCs w:val="19"/>
                <w:color w:val="auto"/>
              </w:rPr>
            </w:pPr>
          </w:p>
        </w:tc>
        <w:tc>
          <w:tcPr>
            <w:tcW w:w="100" w:type="dxa"/>
            <w:vAlign w:val="bottom"/>
            <w:tcBorders>
              <w:top w:val="single" w:sz="8" w:color="CCECFF"/>
              <w:bottom w:val="single" w:sz="8" w:color="CCECFF"/>
            </w:tcBorders>
            <w:shd w:val="clear" w:color="auto" w:fill="CCECFF"/>
          </w:tcPr>
          <w:p>
            <w:pPr>
              <w:spacing w:after="0"/>
              <w:rPr>
                <w:sz w:val="19"/>
                <w:szCs w:val="19"/>
                <w:color w:val="auto"/>
              </w:rPr>
            </w:pPr>
          </w:p>
        </w:tc>
        <w:tc>
          <w:tcPr>
            <w:tcW w:w="240" w:type="dxa"/>
            <w:vAlign w:val="bottom"/>
            <w:tcBorders>
              <w:top w:val="single" w:sz="8" w:color="auto"/>
              <w:bottom w:val="single" w:sz="8" w:color="auto"/>
            </w:tcBorders>
            <w:shd w:val="clear" w:color="auto" w:fill="CCEC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69,245</w:t>
            </w:r>
          </w:p>
        </w:tc>
        <w:tc>
          <w:tcPr>
            <w:tcW w:w="160" w:type="dxa"/>
            <w:vAlign w:val="bottom"/>
            <w:tcBorders>
              <w:top w:val="single" w:sz="8" w:color="CCECFF"/>
              <w:bottom w:val="single" w:sz="8" w:color="CCECFF"/>
            </w:tcBorders>
            <w:shd w:val="clear" w:color="auto" w:fill="CCECFF"/>
          </w:tcPr>
          <w:p>
            <w:pPr>
              <w:spacing w:after="0"/>
              <w:rPr>
                <w:sz w:val="19"/>
                <w:szCs w:val="19"/>
                <w:color w:val="auto"/>
              </w:rPr>
            </w:pPr>
          </w:p>
        </w:tc>
        <w:tc>
          <w:tcPr>
            <w:tcW w:w="80" w:type="dxa"/>
            <w:vAlign w:val="bottom"/>
            <w:tcBorders>
              <w:top w:val="single" w:sz="8" w:color="CCECFF"/>
              <w:bottom w:val="single" w:sz="8" w:color="CCECFF"/>
            </w:tcBorders>
            <w:shd w:val="clear" w:color="auto" w:fill="CCECFF"/>
          </w:tcPr>
          <w:p>
            <w:pPr>
              <w:spacing w:after="0"/>
              <w:rPr>
                <w:sz w:val="19"/>
                <w:szCs w:val="19"/>
                <w:color w:val="auto"/>
              </w:rPr>
            </w:pPr>
          </w:p>
        </w:tc>
        <w:tc>
          <w:tcPr>
            <w:tcW w:w="300" w:type="dxa"/>
            <w:vAlign w:val="bottom"/>
            <w:tcBorders>
              <w:top w:val="single" w:sz="8" w:color="auto"/>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16,897</w:t>
            </w:r>
          </w:p>
        </w:tc>
        <w:tc>
          <w:tcPr>
            <w:tcW w:w="80" w:type="dxa"/>
            <w:vAlign w:val="bottom"/>
            <w:tcBorders>
              <w:top w:val="single" w:sz="8" w:color="CCECFF"/>
              <w:bottom w:val="single" w:sz="8" w:color="CCECFF"/>
            </w:tcBorders>
            <w:shd w:val="clear" w:color="auto" w:fill="CCECFF"/>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90"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Our primary use of cash is to fund operating expenses, which consist primarily of research and development expenditures. Due to our significant research and development expenditures, we have generated significant operating losses since our inception. Cash used to fund operating expenses is affected by the timing of when we pay these expenses, as reflected in the change in our outstanding accounts payable and accrued expenses.</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81" w:right="319" w:bottom="1440" w:gutter="0" w:footer="0" w:header="0"/>
        </w:sectPr>
      </w:pPr>
    </w:p>
    <w:bookmarkStart w:id="65" w:name="page66"/>
    <w:bookmarkEnd w:id="65"/>
    <w:p>
      <w:pPr>
        <w:ind w:firstLine="518"/>
        <w:spacing w:after="0" w:line="288" w:lineRule="auto"/>
        <w:rPr>
          <w:sz w:val="20"/>
          <w:szCs w:val="20"/>
          <w:color w:val="auto"/>
        </w:rPr>
      </w:pPr>
      <w:r>
        <w:rPr>
          <w:rFonts w:ascii="Arial" w:cs="Arial" w:eastAsia="Arial" w:hAnsi="Arial"/>
          <w:sz w:val="16"/>
          <w:szCs w:val="16"/>
          <w:color w:val="auto"/>
        </w:rPr>
        <w:t>Cash used in operating activities for the year ended December 31, 2016 was $161.0 million and reflected a net loss of $245.9 million, offset by non-cash charges of $48.3 million for stock-based compensation, $4.8 million for the amortization of premium paid on purchased investments, $3.4 million for depreciation and amortization, $1.3 million for a foreign currency remeasurement loss due to an increase in foreign entity transactions and fluctuations in the foreign exchange rate during the period, and $0.7 million for the estimated fair value of a license fee in conjunction with the Takeda collaboration agreement. Cash used in operating activities also reflected a $7.1 million increase in prepaid expenses and other current assets primarily due to an increase in prepaid manufacturing and an increase in receivables related to a tenant improvement allowance, and a $1.2 million increase in non-current assets as result of an increase in upfront payments to contract research organizations and in clinical study costs. These increases were offset by a $32.2 million increase in accrued expenses and other liabilities as a result of an accrual for a liability under a collaboration agreement, increase in clinical study, manufacturing, and related costs as we continued to increase our research and development activities and employee compensation in bonuses and vacation due to higher headcount, and a $2.5 million increase in accounts payable primarily due to increased spend and the timing of payments.</w:t>
      </w:r>
    </w:p>
    <w:p>
      <w:pPr>
        <w:spacing w:after="0" w:line="34" w:lineRule="exact"/>
        <w:rPr>
          <w:sz w:val="20"/>
          <w:szCs w:val="20"/>
          <w:color w:val="auto"/>
        </w:rPr>
      </w:pPr>
    </w:p>
    <w:p>
      <w:pPr>
        <w:ind w:right="180" w:firstLine="518"/>
        <w:spacing w:after="0" w:line="291" w:lineRule="auto"/>
        <w:rPr>
          <w:sz w:val="20"/>
          <w:szCs w:val="20"/>
          <w:color w:val="auto"/>
        </w:rPr>
      </w:pPr>
      <w:r>
        <w:rPr>
          <w:rFonts w:ascii="Arial" w:cs="Arial" w:eastAsia="Arial" w:hAnsi="Arial"/>
          <w:sz w:val="16"/>
          <w:szCs w:val="16"/>
          <w:color w:val="auto"/>
        </w:rPr>
        <w:t>Cash used in operating activities for the year ended December 31, 2015 was $106.0 million and reflected a net loss of $145.6 million, offset by non-cash charges of $1.4 million for depreciation and amortization, $5.6 million for the amortization of premium paid on purchased investments, and $24.9 million for stock-based compensation. Cash used in operating activities also reflected a $7.1 million increase in prepaid expenses and other current assets primarily due to an increase in CRO prepaid clinical costs, an increase in KHK receivable and an increase in interest receivable, and a $2.0 million decrease in accounts payable primarily due to the timing of payments. These increases were offset by a $0.2 million decrease in non-current assets as result of a decrease in manufacturing prepaid expenses and a $16.7 million increase in accrued expenses and other liabilities as a result of an increase in clinical study, manufacturing, related costs as we continued to increase our research and development activities and employee bonuses.</w:t>
      </w:r>
    </w:p>
    <w:p>
      <w:pPr>
        <w:spacing w:after="0" w:line="19"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Cash used in operating activities for the year ended December 31, 2014 was $44.6 million and reflected a net loss of $59.8 million, offset by non-cash charges of $0.7 million for depreciation and amortization, $3.6 million for the amortization of premium paid on purchased short-term investments, $5.4 million for stock-based compensation and $3.3 million for the revaluation of convertible preferred stock warrant liability. Cash used in operating activities also reflected a $4.1 million increase in prepaid expenses and other current assets primarily due to an increase in CRO prepaid expenses and an increase in interest income receivable as our invested funds increased with the closing of our IPO in February 2014 and our underwritten public offering in July 2014. Cash used in operations also reflected a $0.4 million increase in long-term other assets primarily from the increase in CRO prepaid expenses and value added tax receivables. These increases were offset by a $6.7 million increase in accounts payable and accrued liabilities primarily due to an increase in clinical study, manufacturing and related costs as we continued to increase our research and development activities.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90" w:lineRule="exact"/>
        <w:rPr>
          <w:sz w:val="20"/>
          <w:szCs w:val="20"/>
          <w:color w:val="auto"/>
        </w:rPr>
      </w:pPr>
    </w:p>
    <w:p>
      <w:pPr>
        <w:jc w:val="both"/>
        <w:ind w:right="440" w:firstLine="518"/>
        <w:spacing w:after="0" w:line="286" w:lineRule="auto"/>
        <w:rPr>
          <w:sz w:val="20"/>
          <w:szCs w:val="20"/>
          <w:color w:val="auto"/>
        </w:rPr>
      </w:pPr>
      <w:r>
        <w:rPr>
          <w:rFonts w:ascii="Arial" w:cs="Arial" w:eastAsia="Arial" w:hAnsi="Arial"/>
          <w:sz w:val="17"/>
          <w:szCs w:val="17"/>
          <w:color w:val="auto"/>
        </w:rPr>
        <w:t>Cash provided by investing activities for the year ended December 31, 2016 was $89.9 million and related to purchases of investments of $442.5 million, purchases of property and equipment of $10.2 million and an increase of $1.2 million in restricted cash for the expansion of the space under our current lease, offset by proceeds from maturities of investments of $403.2 million and the sale of investments of $140.6 million.</w:t>
      </w:r>
    </w:p>
    <w:p>
      <w:pPr>
        <w:spacing w:after="0" w:line="17" w:lineRule="exact"/>
        <w:rPr>
          <w:sz w:val="20"/>
          <w:szCs w:val="20"/>
          <w:color w:val="auto"/>
        </w:rPr>
      </w:pPr>
    </w:p>
    <w:p>
      <w:pPr>
        <w:jc w:val="both"/>
        <w:ind w:right="120" w:firstLine="518"/>
        <w:spacing w:after="0" w:line="286" w:lineRule="auto"/>
        <w:rPr>
          <w:sz w:val="20"/>
          <w:szCs w:val="20"/>
          <w:color w:val="auto"/>
        </w:rPr>
      </w:pPr>
      <w:r>
        <w:rPr>
          <w:rFonts w:ascii="Arial" w:cs="Arial" w:eastAsia="Arial" w:hAnsi="Arial"/>
          <w:sz w:val="17"/>
          <w:szCs w:val="17"/>
          <w:color w:val="auto"/>
        </w:rPr>
        <w:t>Cash used in investing activities for the year ended December 31, 2015 was $292.4 million and related to purchases of investments of $624.2 million, purchases of property and equipment of $5.0 million and an increase of $1.5 million in restricted cash for the expansion of the space under our current lease, offset by proceeds from maturities of investments of $249.0 million and the sale of investments of $89.3 million.</w:t>
      </w:r>
    </w:p>
    <w:p>
      <w:pPr>
        <w:spacing w:after="0" w:line="17" w:lineRule="exact"/>
        <w:rPr>
          <w:sz w:val="20"/>
          <w:szCs w:val="20"/>
          <w:color w:val="auto"/>
        </w:rPr>
      </w:pPr>
    </w:p>
    <w:p>
      <w:pPr>
        <w:jc w:val="both"/>
        <w:ind w:right="120" w:firstLine="518"/>
        <w:spacing w:after="0" w:line="286" w:lineRule="auto"/>
        <w:rPr>
          <w:sz w:val="20"/>
          <w:szCs w:val="20"/>
          <w:color w:val="auto"/>
        </w:rPr>
      </w:pPr>
      <w:r>
        <w:rPr>
          <w:rFonts w:ascii="Arial" w:cs="Arial" w:eastAsia="Arial" w:hAnsi="Arial"/>
          <w:sz w:val="17"/>
          <w:szCs w:val="17"/>
          <w:color w:val="auto"/>
        </w:rPr>
        <w:t>Cash used in investing activities for the year ended December 31, 2014 was $123.4 million and was related to purchases of short-term investments of $209.0 million and property and equipment of $2.1 million and an increase in restricted cash of $0.3 million for the expansion of the space under our current lease, offset by proceeds from maturities of short-term investments of $83.0 million, sales of investments of $5.0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Financing Activities</w:t>
      </w:r>
    </w:p>
    <w:p>
      <w:pPr>
        <w:spacing w:after="0" w:line="77"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Cash provided by financing activities for the year ended December 31, 2016 was $138.7 million and was comprised of $79.5 million from the sale of common stock from our ATM offering, $51.4 million from the sale of common stock to Takeda, and $7.8 million in net proceeds from the issuance of common stock upon the exercise of stock options and the vesting of restricted stock units.</w:t>
      </w:r>
    </w:p>
    <w:p>
      <w:pPr>
        <w:spacing w:after="0" w:line="33"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Cash provided by financing activities for the year ended December 31, 2015 was $467.6 million and was comprised of $461.1 million from our underwritten public offerings and $6.5 million in net proceeds from the issuance of common stock upon the exercise of stock options and warrants and the vesting of restricted stock units.</w:t>
      </w:r>
    </w:p>
    <w:p>
      <w:pPr>
        <w:spacing w:after="0" w:line="46"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Cash provided by financing activities for the year ended December 31, 2014 was $185.0 million and was comprised of $188.6 million in net proceeds from the issuance of common stock in our IPO and the underwritten public offering and $0.7 million in net proceeds from the issuance of common stock upon the exercise of stock options and warrants, offset by the payment of a $4.3 million dividend to our preferred stockholders in connection with the closing of our IPO.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Funding Requirements</w:t>
      </w:r>
    </w:p>
    <w:p>
      <w:pPr>
        <w:spacing w:after="0" w:line="94" w:lineRule="exact"/>
        <w:rPr>
          <w:sz w:val="20"/>
          <w:szCs w:val="20"/>
          <w:color w:val="auto"/>
        </w:rPr>
      </w:pPr>
    </w:p>
    <w:p>
      <w:pPr>
        <w:ind w:right="140" w:firstLine="518"/>
        <w:spacing w:after="0" w:line="291" w:lineRule="auto"/>
        <w:rPr>
          <w:sz w:val="20"/>
          <w:szCs w:val="20"/>
          <w:color w:val="auto"/>
        </w:rPr>
      </w:pPr>
      <w:r>
        <w:rPr>
          <w:rFonts w:ascii="Arial" w:cs="Arial" w:eastAsia="Arial" w:hAnsi="Arial"/>
          <w:sz w:val="16"/>
          <w:szCs w:val="16"/>
          <w:color w:val="auto"/>
        </w:rPr>
        <w:t>We anticipate that we will continue to generate losses for the foreseeable future, and we expect the losses to increase as we continue the development of, and seek regulatory approvals for, our product candidates, and begin to commercialize any approved products. We anticipate that we will require additional capital to fund our operations, complete our ongoing and planned clinical studies and commercialize our products, and funding may not be available to us on acceptable terms or at all. We expect to satisfy future cash needs through existing capital balances or, if necessary, through equity or debt financings, or strategic collaborations. If we are unable to raise additional capital in sufficient amounts or on terms acceptable to us, we may be required to delay, limit, reduce the scope of, or terminate one or more of our clinical studies, research and development programs, future commercialization efforts, or grant rights to develop and market product candidates that we would otherwise prefer to develop and market ourselves.</w:t>
      </w:r>
    </w:p>
    <w:p>
      <w:pPr>
        <w:spacing w:after="0" w:line="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funding requirements will depend on many factors, including the following:</w:t>
      </w:r>
    </w:p>
    <w:p>
      <w:pPr>
        <w:spacing w:after="0" w:line="77" w:lineRule="exact"/>
        <w:rPr>
          <w:sz w:val="20"/>
          <w:szCs w:val="20"/>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clinical studies, nonclinical testing, and other related activities;</w:t>
      </w:r>
    </w:p>
    <w:p>
      <w:pPr>
        <w:spacing w:after="0" w:line="76" w:lineRule="exact"/>
        <w:rPr>
          <w:rFonts w:ascii="Arial" w:cs="Arial" w:eastAsia="Arial" w:hAnsi="Arial"/>
          <w:sz w:val="18"/>
          <w:szCs w:val="18"/>
          <w:color w:val="auto"/>
        </w:rPr>
      </w:pPr>
    </w:p>
    <w:p>
      <w:pPr>
        <w:ind w:left="900" w:right="560" w:hanging="379"/>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product candidates and any products that we may develop;</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 and timing of establishing our commercial infrastructure, and distribution capabilities; and</w:t>
      </w:r>
    </w:p>
    <w:p>
      <w:pPr>
        <w:spacing w:after="0" w:line="76" w:lineRule="exact"/>
        <w:rPr>
          <w:rFonts w:ascii="Arial" w:cs="Arial" w:eastAsia="Arial" w:hAnsi="Arial"/>
          <w:sz w:val="18"/>
          <w:szCs w:val="18"/>
          <w:color w:val="auto"/>
        </w:rPr>
      </w:pPr>
    </w:p>
    <w:p>
      <w:pPr>
        <w:ind w:left="900" w:right="80" w:hanging="379"/>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including any required upfront milestone and royalty payments thereunder.</w:t>
      </w:r>
    </w:p>
    <w:p>
      <w:pPr>
        <w:spacing w:after="0" w:line="22"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We may seek to raise any necessary additional capital through some combination of public or private equity offerings, debt financings, collaborations, strategic alliances, licensing arrangements, and other marketing and distribution arrangements. To the extent that we raise additional capital through marketing and distribution arrangements or other collaborations and strategic alliances or licensing arrangements with third parties, we may have to relinquish valuable rights to our product candidates, future revenue streams, research programs, or product candidates or grant licenses on terms that may not be favorable to us. If we do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8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We have contractual obligations from our operating leases, manufacturing and service contracts, licenses, royalties, development and collaboration arrangements, and other research and development activities. The following table summarizes our significant binding contractual obligations at December 31, 2016 (in thousands):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Payments due by period</w:t>
            </w:r>
          </w:p>
        </w:tc>
        <w:tc>
          <w:tcPr>
            <w:tcW w:w="8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4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30"/>
              <w:spacing w:after="0" w:line="205" w:lineRule="exact"/>
              <w:rPr>
                <w:sz w:val="20"/>
                <w:szCs w:val="20"/>
                <w:color w:val="auto"/>
              </w:rPr>
            </w:pPr>
            <w:r>
              <w:rPr>
                <w:rFonts w:ascii="Arial" w:cs="Arial" w:eastAsia="Arial" w:hAnsi="Arial"/>
                <w:sz w:val="18"/>
                <w:szCs w:val="18"/>
                <w:b w:val="1"/>
                <w:bCs w:val="1"/>
                <w:color w:val="auto"/>
                <w:w w:val="84"/>
              </w:rPr>
              <w:t>Less than 1</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spacing w:after="0" w:line="205" w:lineRule="exact"/>
              <w:rPr>
                <w:sz w:val="20"/>
                <w:szCs w:val="20"/>
                <w:color w:val="auto"/>
              </w:rPr>
            </w:pPr>
            <w:r>
              <w:rPr>
                <w:rFonts w:ascii="Arial" w:cs="Arial" w:eastAsia="Arial" w:hAnsi="Arial"/>
                <w:sz w:val="18"/>
                <w:szCs w:val="18"/>
                <w:b w:val="1"/>
                <w:bCs w:val="1"/>
                <w:color w:val="auto"/>
                <w:w w:val="98"/>
              </w:rPr>
              <w:t>More than 5</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year</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w w:val="86"/>
              </w:rPr>
              <w:t>1 to 3 years</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w w:val="86"/>
              </w:rPr>
              <w:t>3 to 5 years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years</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23"/>
        </w:trPr>
        <w:tc>
          <w:tcPr>
            <w:tcW w:w="486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Operating leases</w:t>
            </w:r>
          </w:p>
        </w:tc>
        <w:tc>
          <w:tcPr>
            <w:tcW w:w="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3,956</w:t>
            </w:r>
          </w:p>
        </w:tc>
        <w:tc>
          <w:tcPr>
            <w:tcW w:w="260" w:type="dxa"/>
            <w:vAlign w:val="bottom"/>
            <w:tcBorders>
              <w:top w:val="single" w:sz="8" w:color="CCECFF"/>
            </w:tcBorders>
            <w:shd w:val="clear" w:color="auto" w:fill="CCECFF"/>
          </w:tcPr>
          <w:p>
            <w:pPr>
              <w:spacing w:after="0"/>
              <w:rPr>
                <w:sz w:val="19"/>
                <w:szCs w:val="19"/>
                <w:color w:val="auto"/>
              </w:rPr>
            </w:pPr>
          </w:p>
        </w:tc>
        <w:tc>
          <w:tcPr>
            <w:tcW w:w="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8,087</w:t>
            </w:r>
          </w:p>
        </w:tc>
        <w:tc>
          <w:tcPr>
            <w:tcW w:w="260" w:type="dxa"/>
            <w:vAlign w:val="bottom"/>
            <w:tcBorders>
              <w:top w:val="single" w:sz="8" w:color="CCECFF"/>
            </w:tcBorders>
            <w:shd w:val="clear" w:color="auto" w:fill="CCECFF"/>
          </w:tcPr>
          <w:p>
            <w:pPr>
              <w:spacing w:after="0"/>
              <w:rPr>
                <w:sz w:val="19"/>
                <w:szCs w:val="19"/>
                <w:color w:val="auto"/>
              </w:rPr>
            </w:pPr>
          </w:p>
        </w:tc>
        <w:tc>
          <w:tcPr>
            <w:tcW w:w="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5,213</w:t>
            </w:r>
          </w:p>
        </w:tc>
        <w:tc>
          <w:tcPr>
            <w:tcW w:w="240" w:type="dxa"/>
            <w:vAlign w:val="bottom"/>
            <w:tcBorders>
              <w:top w:val="single" w:sz="8" w:color="CCECFF"/>
            </w:tcBorders>
            <w:shd w:val="clear" w:color="auto" w:fill="CCECFF"/>
          </w:tcPr>
          <w:p>
            <w:pPr>
              <w:spacing w:after="0"/>
              <w:rPr>
                <w:sz w:val="19"/>
                <w:szCs w:val="19"/>
                <w:color w:val="auto"/>
              </w:rPr>
            </w:pPr>
          </w:p>
        </w:tc>
        <w:tc>
          <w:tcPr>
            <w:tcW w:w="240" w:type="dxa"/>
            <w:vAlign w:val="bottom"/>
            <w:tcBorders>
              <w:top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11,446</w:t>
            </w:r>
          </w:p>
        </w:tc>
        <w:tc>
          <w:tcPr>
            <w:tcW w:w="260" w:type="dxa"/>
            <w:vAlign w:val="bottom"/>
            <w:tcBorders>
              <w:top w:val="single" w:sz="8" w:color="CCECFF"/>
            </w:tcBorders>
            <w:shd w:val="clear" w:color="auto" w:fill="CCECFF"/>
          </w:tcPr>
          <w:p>
            <w:pPr>
              <w:spacing w:after="0"/>
              <w:rPr>
                <w:sz w:val="19"/>
                <w:szCs w:val="19"/>
                <w:color w:val="auto"/>
              </w:rPr>
            </w:pPr>
          </w:p>
        </w:tc>
        <w:tc>
          <w:tcPr>
            <w:tcW w:w="220" w:type="dxa"/>
            <w:vAlign w:val="bottom"/>
            <w:tcBorders>
              <w:top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28,702</w:t>
            </w:r>
          </w:p>
        </w:tc>
        <w:tc>
          <w:tcPr>
            <w:tcW w:w="100" w:type="dxa"/>
            <w:vAlign w:val="bottom"/>
            <w:tcBorders>
              <w:top w:val="single" w:sz="8" w:color="CCECFF"/>
            </w:tcBorders>
            <w:shd w:val="clear" w:color="auto" w:fill="CCECFF"/>
          </w:tcPr>
          <w:p>
            <w:pPr>
              <w:spacing w:after="0"/>
              <w:rPr>
                <w:sz w:val="19"/>
                <w:szCs w:val="19"/>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Manufacturing and service contracts</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1,956</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3,093</w:t>
            </w:r>
          </w:p>
        </w:tc>
        <w:tc>
          <w:tcPr>
            <w:tcW w:w="100" w:type="dxa"/>
            <w:vAlign w:val="bottom"/>
          </w:tcPr>
          <w:p>
            <w:pPr>
              <w:spacing w:after="0"/>
              <w:rPr>
                <w:sz w:val="19"/>
                <w:szCs w:val="19"/>
                <w:color w:val="auto"/>
              </w:rPr>
            </w:pPr>
          </w:p>
        </w:tc>
      </w:tr>
      <w:tr>
        <w:trPr>
          <w:trHeight w:val="223"/>
        </w:trPr>
        <w:tc>
          <w:tcPr>
            <w:tcW w:w="4860" w:type="dxa"/>
            <w:vAlign w:val="bottom"/>
            <w:tcBorders>
              <w:top w:val="single" w:sz="8" w:color="CCECFF"/>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5,912</w:t>
            </w:r>
          </w:p>
        </w:tc>
        <w:tc>
          <w:tcPr>
            <w:tcW w:w="260" w:type="dxa"/>
            <w:vAlign w:val="bottom"/>
            <w:tcBorders>
              <w:top w:val="single" w:sz="8" w:color="CCECFF"/>
              <w:bottom w:val="single" w:sz="8" w:color="CCECFF"/>
            </w:tcBorders>
            <w:shd w:val="clear" w:color="auto" w:fill="CCECFF"/>
          </w:tcPr>
          <w:p>
            <w:pPr>
              <w:spacing w:after="0"/>
              <w:rPr>
                <w:sz w:val="19"/>
                <w:szCs w:val="19"/>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9,162</w:t>
            </w:r>
          </w:p>
        </w:tc>
        <w:tc>
          <w:tcPr>
            <w:tcW w:w="260" w:type="dxa"/>
            <w:vAlign w:val="bottom"/>
            <w:tcBorders>
              <w:top w:val="single" w:sz="8" w:color="CCECFF"/>
              <w:bottom w:val="single" w:sz="8" w:color="CCECFF"/>
            </w:tcBorders>
            <w:shd w:val="clear" w:color="auto" w:fill="CCECFF"/>
          </w:tcPr>
          <w:p>
            <w:pPr>
              <w:spacing w:after="0"/>
              <w:rPr>
                <w:sz w:val="19"/>
                <w:szCs w:val="19"/>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5,275</w:t>
            </w:r>
          </w:p>
        </w:tc>
        <w:tc>
          <w:tcPr>
            <w:tcW w:w="240" w:type="dxa"/>
            <w:vAlign w:val="bottom"/>
            <w:tcBorders>
              <w:top w:val="single" w:sz="8" w:color="CCECFF"/>
              <w:bottom w:val="single" w:sz="8" w:color="CCECFF"/>
            </w:tcBorders>
            <w:shd w:val="clear" w:color="auto" w:fill="CCECFF"/>
          </w:tcPr>
          <w:p>
            <w:pPr>
              <w:spacing w:after="0"/>
              <w:rPr>
                <w:sz w:val="19"/>
                <w:szCs w:val="19"/>
                <w:color w:val="auto"/>
              </w:rPr>
            </w:pPr>
          </w:p>
        </w:tc>
        <w:tc>
          <w:tcPr>
            <w:tcW w:w="240" w:type="dxa"/>
            <w:vAlign w:val="bottom"/>
            <w:tcBorders>
              <w:top w:val="single" w:sz="8" w:color="auto"/>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11,446</w:t>
            </w:r>
          </w:p>
        </w:tc>
        <w:tc>
          <w:tcPr>
            <w:tcW w:w="260" w:type="dxa"/>
            <w:vAlign w:val="bottom"/>
            <w:tcBorders>
              <w:top w:val="single" w:sz="8" w:color="CCECFF"/>
              <w:bottom w:val="single" w:sz="8" w:color="CCECFF"/>
            </w:tcBorders>
            <w:shd w:val="clear" w:color="auto" w:fill="CCECFF"/>
          </w:tcPr>
          <w:p>
            <w:pPr>
              <w:spacing w:after="0"/>
              <w:rPr>
                <w:sz w:val="19"/>
                <w:szCs w:val="19"/>
                <w:color w:val="auto"/>
              </w:rPr>
            </w:pPr>
          </w:p>
        </w:tc>
        <w:tc>
          <w:tcPr>
            <w:tcW w:w="220" w:type="dxa"/>
            <w:vAlign w:val="bottom"/>
            <w:tcBorders>
              <w:top w:val="single" w:sz="8" w:color="auto"/>
              <w:bottom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31,795</w:t>
            </w:r>
          </w:p>
        </w:tc>
        <w:tc>
          <w:tcPr>
            <w:tcW w:w="100" w:type="dxa"/>
            <w:vAlign w:val="bottom"/>
            <w:tcBorders>
              <w:top w:val="single" w:sz="8" w:color="CCECFF"/>
              <w:bottom w:val="single" w:sz="8" w:color="CCECFF"/>
            </w:tcBorders>
            <w:shd w:val="clear" w:color="auto" w:fill="CCECFF"/>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53" w:lineRule="exact"/>
        <w:rPr>
          <w:sz w:val="20"/>
          <w:szCs w:val="20"/>
          <w:color w:val="auto"/>
        </w:rPr>
      </w:pPr>
    </w:p>
    <w:p>
      <w:pPr>
        <w:ind w:right="120" w:firstLine="518"/>
        <w:spacing w:after="0" w:line="286" w:lineRule="auto"/>
        <w:rPr>
          <w:sz w:val="20"/>
          <w:szCs w:val="20"/>
          <w:color w:val="auto"/>
        </w:rPr>
      </w:pPr>
      <w:r>
        <w:rPr>
          <w:rFonts w:ascii="Arial" w:cs="Arial" w:eastAsia="Arial" w:hAnsi="Arial"/>
          <w:sz w:val="17"/>
          <w:szCs w:val="17"/>
          <w:color w:val="auto"/>
        </w:rPr>
        <w:t>The terms of certain of our license and collaboration agreements require us to pay potential future milestone payments based on product development success. The above table excludes milestone or contractual payment obligations as the amount and timing of such obligations are unknown or uncertain, which potential obligations are further described in Note 5 to the accompanying Consolidated Financial Statements.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1"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 (Topic 606)</w:t>
      </w:r>
      <w:r>
        <w:rPr>
          <w:rFonts w:ascii="Arial" w:cs="Arial" w:eastAsia="Arial" w:hAnsi="Arial"/>
          <w:sz w:val="16"/>
          <w:szCs w:val="16"/>
          <w:color w:val="auto"/>
        </w:rPr>
        <w:t>, to supersede nearly all existing revenue recognition guidance under GAAP. The core principle of ASU 2014-09 is to recognize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revenues when promised goods or services are transferred to customers in an amount that reflects the consideration that is expected to be received for those goods or services. ASU 2014-09 defines a five-step process to achieve this core principle and, in doing so, it is possible more judgment and estimates may be required within the revenue recognition process than are required under existing GAAP, including identifying performance obligations in a contract, estimating the amount of variable consideration to include in the transaction price and allocating the transaction price to each separate performance obligation. In March, April, May and December 2016, the FASB issued ASU 2016-08, </w:t>
      </w:r>
      <w:r>
        <w:rPr>
          <w:rFonts w:ascii="Arial" w:cs="Arial" w:eastAsia="Arial" w:hAnsi="Arial"/>
          <w:sz w:val="16"/>
          <w:szCs w:val="16"/>
          <w:i w:val="1"/>
          <w:iCs w:val="1"/>
          <w:color w:val="auto"/>
        </w:rPr>
        <w:t>Revenue from Contracts with Customers: Principal versus Agent</w:t>
      </w:r>
      <w:r>
        <w:rPr>
          <w:rFonts w:ascii="Arial" w:cs="Arial" w:eastAsia="Arial" w:hAnsi="Arial"/>
          <w:sz w:val="16"/>
          <w:szCs w:val="16"/>
          <w:color w:val="auto"/>
        </w:rPr>
        <w:t xml:space="preserve"> </w:t>
      </w:r>
      <w:r>
        <w:rPr>
          <w:rFonts w:ascii="Arial" w:cs="Arial" w:eastAsia="Arial" w:hAnsi="Arial"/>
          <w:sz w:val="16"/>
          <w:szCs w:val="16"/>
          <w:i w:val="1"/>
          <w:iCs w:val="1"/>
          <w:color w:val="auto"/>
        </w:rPr>
        <w:t>Considerations</w:t>
      </w:r>
      <w:r>
        <w:rPr>
          <w:rFonts w:ascii="Arial" w:cs="Arial" w:eastAsia="Arial" w:hAnsi="Arial"/>
          <w:sz w:val="16"/>
          <w:szCs w:val="16"/>
          <w:color w:val="auto"/>
        </w:rPr>
        <w:t>, ASU 2016-10,</w:t>
      </w:r>
      <w:r>
        <w:rPr>
          <w:rFonts w:ascii="Arial" w:cs="Arial" w:eastAsia="Arial" w:hAnsi="Arial"/>
          <w:sz w:val="16"/>
          <w:szCs w:val="16"/>
          <w:i w:val="1"/>
          <w:iCs w:val="1"/>
          <w:color w:val="auto"/>
        </w:rPr>
        <w:t xml:space="preserve"> Revenue from Contracts with Customers: Identifying Performance Obligations and Licensing</w:t>
      </w:r>
      <w:r>
        <w:rPr>
          <w:rFonts w:ascii="Arial" w:cs="Arial" w:eastAsia="Arial" w:hAnsi="Arial"/>
          <w:sz w:val="16"/>
          <w:szCs w:val="16"/>
          <w:color w:val="auto"/>
        </w:rPr>
        <w:t>, and ASU 2016-12,</w:t>
      </w:r>
      <w:r>
        <w:rPr>
          <w:rFonts w:ascii="Arial" w:cs="Arial" w:eastAsia="Arial" w:hAnsi="Arial"/>
          <w:sz w:val="16"/>
          <w:szCs w:val="16"/>
          <w:i w:val="1"/>
          <w:iCs w:val="1"/>
          <w:color w:val="auto"/>
        </w:rPr>
        <w:t xml:space="preserve"> Revenue from Contracts with Customers: Narrow-Scope Improvements and Practical Expedients to provide supplemental adoption guidance and clarification to ASU 2014-09 </w:t>
      </w:r>
      <w:r>
        <w:rPr>
          <w:rFonts w:ascii="Arial" w:cs="Arial" w:eastAsia="Arial" w:hAnsi="Arial"/>
          <w:sz w:val="16"/>
          <w:szCs w:val="16"/>
          <w:color w:val="auto"/>
        </w:rPr>
        <w:t>and ASU 2014-20,</w:t>
      </w:r>
      <w:r>
        <w:rPr>
          <w:rFonts w:ascii="Arial" w:cs="Arial" w:eastAsia="Arial" w:hAnsi="Arial"/>
          <w:sz w:val="16"/>
          <w:szCs w:val="16"/>
          <w:i w:val="1"/>
          <w:iCs w:val="1"/>
          <w:color w:val="auto"/>
        </w:rPr>
        <w:t xml:space="preserve"> Technical Corrections and Improvements to Topic 606, Revenue from Contracts with Customers</w:t>
      </w:r>
      <w:r>
        <w:rPr>
          <w:rFonts w:ascii="Arial" w:cs="Arial" w:eastAsia="Arial" w:hAnsi="Arial"/>
          <w:sz w:val="16"/>
          <w:szCs w:val="16"/>
          <w:color w:val="auto"/>
        </w:rPr>
        <w:t>. The effective date for these new</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standards is the same as the effective date and transition requirements for ASU 2014-09. We will early adopt the new revenue standard as of January 1, 2017 using a full retrospective application to each prior reporting period presented. We have substantially completed an assessment of the effect of the adoption of the new revenue standard. We do not expect the adoption to have a material effect on our consolidated financial statements as of the adoption date.</w:t>
      </w:r>
    </w:p>
    <w:p>
      <w:pPr>
        <w:spacing w:after="0" w:line="40"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requires an entity that is a lessee to record a right of use asset and a corresponding lease liability on the balance sheet for all leases with terms longer than 12 months. This guidance also requires disclosures about the amount, timing, and uncertainty of cash flows arising from leases. This guidance is effective for annual reporting periods beginning after December 15, 2018, and interim periods within those annual periods, using a modified retrospective approach, and early adoption is permitted. We are evaluating the effect that this guidance will have on our consolidated financial statements and related disclosures</w:t>
      </w:r>
      <w:r>
        <w:rPr>
          <w:rFonts w:ascii="Arial" w:cs="Arial" w:eastAsia="Arial" w:hAnsi="Arial"/>
          <w:sz w:val="17"/>
          <w:szCs w:val="17"/>
          <w:color w:val="1A1A1A"/>
        </w:rPr>
        <w:t>.</w:t>
      </w:r>
    </w:p>
    <w:p>
      <w:pPr>
        <w:spacing w:after="0" w:line="24"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 — 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which simplifies several aspects of the accounting for employee share-based payments, including income tax consequences, application of award</w:t>
      </w:r>
      <w:r>
        <w:rPr>
          <w:rFonts w:ascii="Arial" w:cs="Arial" w:eastAsia="Arial" w:hAnsi="Arial"/>
          <w:sz w:val="18"/>
          <w:szCs w:val="18"/>
          <w:i w:val="1"/>
          <w:iCs w:val="1"/>
          <w:color w:val="auto"/>
        </w:rPr>
        <w:t xml:space="preserve"> </w:t>
      </w:r>
      <w:r>
        <w:rPr>
          <w:rFonts w:ascii="Arial" w:cs="Arial" w:eastAsia="Arial" w:hAnsi="Arial"/>
          <w:sz w:val="18"/>
          <w:szCs w:val="18"/>
          <w:color w:val="auto"/>
        </w:rPr>
        <w:t>forfeitures to expense, classification on the statement of cash flows, and classification of awards as either equity or liabilities. This guidance is effective for annual reporting periods beginning after December 15, 2016, and interim periods within those annual periods. We are evaluating the effect that this guidance will have on our consolidated financial statements and related disclosures.</w:t>
      </w:r>
    </w:p>
    <w:p>
      <w:pPr>
        <w:spacing w:after="0" w:line="40"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 xml:space="preserve">In October 2016, the FASB issued ASU 2016-16, </w:t>
      </w:r>
      <w:r>
        <w:rPr>
          <w:rFonts w:ascii="Arial" w:cs="Arial" w:eastAsia="Arial" w:hAnsi="Arial"/>
          <w:sz w:val="18"/>
          <w:szCs w:val="18"/>
          <w:i w:val="1"/>
          <w:iCs w:val="1"/>
          <w:color w:val="auto"/>
        </w:rPr>
        <w:t>Income Taxes - Intra-Entity Transfers of Assets Other Than Inventory</w:t>
      </w:r>
      <w:r>
        <w:rPr>
          <w:rFonts w:ascii="Arial" w:cs="Arial" w:eastAsia="Arial" w:hAnsi="Arial"/>
          <w:sz w:val="18"/>
          <w:szCs w:val="18"/>
          <w:color w:val="auto"/>
        </w:rPr>
        <w:t>, which requires entities to recognize the income tax consequences of an intra-entity transfer of an asset other than inventory when the transfer occurs. The standard is effective for fiscal years beginning after December 15, 2017, including interim periods within those fiscal years. Early adoption is permitted as of the beginning of a fiscal year. The new standard must be adopted using a modified retrospective transition method which is a cumulative-effective adjustment to retained earnings as of the beginning of the first effective reporting period. We are evaluating the effect that this guidance will have on our consolidated financial statements and related disclosures.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Since our inception in April 2010, we have not engaged in any off-balance sheet arrangements, as defined in the rules and regulations of the SEC.</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34" w:right="29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94"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Our exposure to market risk for changes in interest rates relates primarily to interest earned on our cash equivalents and investments. The primary objective of our investment activities is to preserve our capital to fund operations. A secondary objective is to maximize income from our investments without assuming significant risk. Our investment policy provides for investments in low-risk, investment-grade debt instruments. As of December 31, 2016, we had cash, cash equivalents, and investments totaling $498.1 million which includes bank deposits, money market funds, asset-backed securities, and investment-grade corporate bonds which are subject to default, changes in credit rating, and changes in market value. The securities in our investment portfolio are classified as available for sale and are subject to interest rate risk and will decrease in value if market interest rates increase. A hypothetical 100 basis point change in interest rates during any of the periods presented would not have had a material impact on our consolidated financial statements. To date, we have not experienced a loss of principal on any of our investments.</w:t>
      </w:r>
    </w:p>
    <w:p>
      <w:pPr>
        <w:spacing w:after="0" w:line="3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face foreign exchange risk as a result of entering into transactions denominated in currencies other than U.S. dollars. Due to the uncertain timing of expected payments in foreign currencies, we do not utilize any forward exchange contracts. All foreign transactions settle on the applicable spot exchange basis at the time such payments are made. An adverse movement in foreign exchange rates could have a material effect on payments made to foreign suppliers and for license agreements. A hypothetical 10% change in foreign exchange rates during any of the periods presented would not have had a material impact on our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financial statements are annexed to this Annual Report beginning on page F-1 and are incorporated by reference into this Item 8.</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81"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Chief Executive Officer and our Chief Financial Officer, of the effectiveness of our “disclosure controls and procedures” as of the end of the period covered by this Annual Report, pursuant to Rules 13a-15(b) and 15d-15(b) under the Exchange Act. In connection with that evaluation, our Chief Executive Officer and our Chief Financial Officer concluded that our disclosure controls and procedures were effective and designed to provide reasonable assurance that the information required to be disclosed is recorded, processed, summarized and reported within the time periods specified in the SEC rules and forms as of December 31, 2016. For the purpose of this review, disclosure controls and procedures means controls and procedures designed to ensure that information required to be disclosed by us in the reports that we file or submit is recorded, processed, summarized and reported within the time periods specified in the SEC’s rules and forms. These disclosure controls and procedures include, without limitation, controls and procedures designed to ensure that information required to be disclosed by us in the reports that we file or submit is accumulated and communicated to management, including our principal executive officer and principal financial officer, as appropriate to allow timely decisions regarding required disclosure. In designing and evaluating the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81"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Rules 13a-15(f) and 15d-15(f) of the Exchange Act. Our management used the Committee of Sponsoring Organizations of the Treadway Commission Internal Control - Integrated Framework (2013), or the COSO framework, to evaluate the effectiveness of internal control over financial reporting. Management believes that the COSO framework is a suitable framework for its evaluation of financial reporting because it is free from bias, permits reasonably consistent qualitative and quantitative measurements of our internal control over financial reporting, is sufficiently complete so that those relevant factors that would alter a conclusion about the effectiveness of our internal control over financial reporting are not omitted and is relevant to an evaluation of internal control over financial reporting.</w:t>
      </w:r>
    </w:p>
    <w:p>
      <w:pPr>
        <w:spacing w:after="0" w:line="41"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Management has assessed the effectiveness of our internal control over financial reporting as of December 31, 2016 and has concluded that such internal control over financial reporting is effective.</w:t>
      </w:r>
    </w:p>
    <w:p>
      <w:pPr>
        <w:spacing w:after="0" w:line="35" w:lineRule="exact"/>
        <w:rPr>
          <w:sz w:val="20"/>
          <w:szCs w:val="20"/>
          <w:color w:val="auto"/>
        </w:rPr>
      </w:pPr>
    </w:p>
    <w:p>
      <w:pPr>
        <w:ind w:right="220" w:firstLine="518"/>
        <w:spacing w:after="0" w:line="308" w:lineRule="auto"/>
        <w:rPr>
          <w:sz w:val="20"/>
          <w:szCs w:val="20"/>
          <w:color w:val="auto"/>
        </w:rPr>
      </w:pPr>
      <w:r>
        <w:rPr>
          <w:rFonts w:ascii="Arial" w:cs="Arial" w:eastAsia="Arial" w:hAnsi="Arial"/>
          <w:sz w:val="17"/>
          <w:szCs w:val="17"/>
          <w:color w:val="auto"/>
        </w:rPr>
        <w:t>Our independent registered public accounting firm, Ernst &amp; Young LLP, has audited the financial statements included in this Annual Report and has issued a report on the effectiveness of our internal control over financial reporting. The report of Ernst &amp; Young LLP is included below.</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our fourth quarter ended December 31, 2016, that has materially affected, or is reasonably likely to materially affect our internal control over financial reporting.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Board of Directors and Stockholders of</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Ultragenyx Pharmaceutical Inc.</w:t>
      </w:r>
    </w:p>
    <w:p>
      <w:pPr>
        <w:spacing w:after="0" w:line="90" w:lineRule="exact"/>
        <w:rPr>
          <w:sz w:val="20"/>
          <w:szCs w:val="20"/>
          <w:color w:val="auto"/>
        </w:rPr>
      </w:pPr>
    </w:p>
    <w:p>
      <w:pPr>
        <w:ind w:right="180" w:firstLine="518"/>
        <w:spacing w:after="0" w:line="297" w:lineRule="auto"/>
        <w:rPr>
          <w:sz w:val="20"/>
          <w:szCs w:val="20"/>
          <w:color w:val="auto"/>
        </w:rPr>
      </w:pPr>
      <w:r>
        <w:rPr>
          <w:rFonts w:ascii="Arial" w:cs="Arial" w:eastAsia="Arial" w:hAnsi="Arial"/>
          <w:sz w:val="16"/>
          <w:szCs w:val="16"/>
          <w:color w:val="auto"/>
        </w:rPr>
        <w:t>We have audited Ultragenyx Pharmaceutical Inc.’s internal control over financial reporting as of December 31, 2016, based on criteria established in Internal Control–Integrated Framework issued by the Committee of Sponsoring Organizations of the Treadway Commission (2013 framework) (the COSO criteria). Ultragenyx Pharmaceutical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0"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4"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2"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3"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In our opinion, Ultragenyx Pharmaceutical Inc. maintained, in all material respects, effective internal control over financial reporting as of December 31, 2016, based on the COSO criteria.</w:t>
      </w:r>
    </w:p>
    <w:p>
      <w:pPr>
        <w:spacing w:after="0" w:line="22" w:lineRule="exact"/>
        <w:rPr>
          <w:sz w:val="20"/>
          <w:szCs w:val="20"/>
          <w:color w:val="auto"/>
        </w:rPr>
      </w:pPr>
    </w:p>
    <w:p>
      <w:pPr>
        <w:ind w:right="280" w:firstLine="518"/>
        <w:spacing w:after="0" w:line="34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2016 consolidated financial statements of Ultragenyx Pharmaceutical Inc. and our report dated February 16, 2017 expressed an unqualified opinion thereon.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2017</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94" w:right="25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81"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 xml:space="preserve">The information required by this Item is incorporated herein by reference to information in the proxy statement for our 2017 Annual Meeting of Stockholders, which we will file with the SEC within 120 days of the end of the fiscal year to which this Annual Report relates (the “2017 Proxy Statement”), including under the headings “Proposal No. 1—Election of Class I Directors,” “Executive Officers,” “Section 16(a) Beneficial Ownership Reporting Compliance,” “Corporate Governance—Code of Business Conduct and Ethics,” “Proposal No. 1—Election of Class I Directors—Nomination of Directors” and “Board of Directors and Committees.” We have adopted a code of ethics that applies to all of our directors, officers and employees, including our principal executive, principal financial and principal accounting officers, or persons performing similar functions, or Code of Ethics. Our Code of Ethics is posted on our corporate governance website located at </w:t>
      </w:r>
      <w:r>
        <w:rPr>
          <w:rFonts w:ascii="Arial" w:cs="Arial" w:eastAsia="Arial" w:hAnsi="Arial"/>
          <w:sz w:val="18"/>
          <w:szCs w:val="18"/>
          <w:i w:val="1"/>
          <w:iCs w:val="1"/>
          <w:color w:val="auto"/>
        </w:rPr>
        <w:t>www.ultragenyx.com</w:t>
      </w:r>
      <w:r>
        <w:rPr>
          <w:rFonts w:ascii="Arial" w:cs="Arial" w:eastAsia="Arial" w:hAnsi="Arial"/>
          <w:sz w:val="18"/>
          <w:szCs w:val="18"/>
          <w:color w:val="auto"/>
        </w:rPr>
        <w:t>. We intend to disclose future amendments to certain provisions of the Code of Ethics, and waivers of the Code of Ethics granted to executive officers and directors, on the website within four business days following the date of the amendment or waiver.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8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information in the 2017 Proxy Statement, including under the headings “Executive Compensation,” “Director Compensation,” “Board of Directors and Committees—Compensation Committee Interlocks and Insider Participation,” “Compensation Committee Report” and “Risk Management and Mitigation.”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94"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information in the 2017 Proxy Statement, including under the headings “Security Ownership of Certain Beneficial Owners and Management” and “Equity Compensation Plan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81"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information in the 2017 Proxy Statement, including under the headings “Certain Relationships and Related-Person Transactions,” “Corporate Governance,” and “Board of Directors and Committees.”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81"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information in the 2017 Proxy Statement, including under the heading “Proposal No. 2—Ratification of Selection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1" w:name="page72"/>
    <w:bookmarkEnd w:id="71"/>
    <w:p>
      <w:pPr>
        <w:jc w:val="center"/>
        <w:ind w:right="-199"/>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81" w:lineRule="exact"/>
        <w:rPr>
          <w:sz w:val="20"/>
          <w:szCs w:val="20"/>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w:t>
      </w:r>
    </w:p>
    <w:p>
      <w:pPr>
        <w:spacing w:after="0" w:line="76" w:lineRule="exact"/>
        <w:rPr>
          <w:rFonts w:ascii="Arial" w:cs="Arial" w:eastAsia="Arial" w:hAnsi="Arial"/>
          <w:sz w:val="18"/>
          <w:szCs w:val="18"/>
          <w:color w:val="auto"/>
        </w:rPr>
      </w:pPr>
    </w:p>
    <w:p>
      <w:pPr>
        <w:ind w:left="1420" w:hanging="386"/>
        <w:spacing w:after="0"/>
        <w:tabs>
          <w:tab w:leader="none" w:pos="1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76"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Consolidated Financial Statements—See Index to Consolidated Financial Statements at page F-1 of this Annual Report.</w:t>
      </w:r>
    </w:p>
    <w:p>
      <w:pPr>
        <w:spacing w:after="0" w:line="76" w:lineRule="exact"/>
        <w:rPr>
          <w:rFonts w:ascii="Arial" w:cs="Arial" w:eastAsia="Arial" w:hAnsi="Arial"/>
          <w:sz w:val="18"/>
          <w:szCs w:val="18"/>
          <w:color w:val="auto"/>
        </w:rPr>
      </w:pPr>
    </w:p>
    <w:p>
      <w:pPr>
        <w:ind w:left="1420" w:hanging="386"/>
        <w:spacing w:after="0"/>
        <w:tabs>
          <w:tab w:leader="none" w:pos="1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Consolidated Financial Statement Schedules</w:t>
      </w:r>
    </w:p>
    <w:p>
      <w:pPr>
        <w:spacing w:after="0" w:line="76" w:lineRule="exact"/>
        <w:rPr>
          <w:rFonts w:ascii="Arial" w:cs="Arial" w:eastAsia="Arial" w:hAnsi="Arial"/>
          <w:sz w:val="18"/>
          <w:szCs w:val="18"/>
          <w:color w:val="auto"/>
        </w:rPr>
      </w:pPr>
    </w:p>
    <w:p>
      <w:pPr>
        <w:ind w:left="1420"/>
        <w:spacing w:after="0" w:line="325" w:lineRule="auto"/>
        <w:rPr>
          <w:rFonts w:ascii="Arial" w:cs="Arial" w:eastAsia="Arial" w:hAnsi="Arial"/>
          <w:sz w:val="18"/>
          <w:szCs w:val="18"/>
          <w:color w:val="auto"/>
        </w:rPr>
      </w:pPr>
      <w:r>
        <w:rPr>
          <w:rFonts w:ascii="Arial" w:cs="Arial" w:eastAsia="Arial" w:hAnsi="Arial"/>
          <w:sz w:val="16"/>
          <w:szCs w:val="16"/>
          <w:color w:val="auto"/>
        </w:rPr>
        <w:t>Consolidated Financial statement schedules have been omitted in this Annual Report because they are not applicable, not required under the instructions, or the information requested is set forth in the consolidated financial statements or related notes thereto.</w:t>
      </w:r>
    </w:p>
    <w:p>
      <w:pPr>
        <w:spacing w:after="0" w:line="1"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Exhibits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in the accompanying Exhibit Index are incorporated by reference or filed as part of this Annual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364" w:right="41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SIGNATURES</w:t>
      </w:r>
    </w:p>
    <w:p>
      <w:pPr>
        <w:spacing w:after="0" w:line="8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w:t>
      </w:r>
      <w:r>
        <w:rPr>
          <w:rFonts w:ascii="Arial" w:cs="Arial" w:eastAsia="Arial" w:hAnsi="Arial"/>
          <w:sz w:val="13"/>
          <w:szCs w:val="13"/>
          <w:color w:val="auto"/>
        </w:rPr>
        <w:t>LTRAGENYX</w:t>
      </w:r>
      <w:r>
        <w:rPr>
          <w:rFonts w:ascii="Arial" w:cs="Arial" w:eastAsia="Arial" w:hAnsi="Arial"/>
          <w:sz w:val="18"/>
          <w:szCs w:val="18"/>
          <w:color w:val="auto"/>
        </w:rPr>
        <w:t xml:space="preserve"> P</w:t>
      </w:r>
      <w:r>
        <w:rPr>
          <w:rFonts w:ascii="Arial" w:cs="Arial" w:eastAsia="Arial" w:hAnsi="Arial"/>
          <w:sz w:val="13"/>
          <w:szCs w:val="13"/>
          <w:color w:val="auto"/>
        </w:rPr>
        <w:t>HARMACEUTICAL</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p>
      <w:pPr>
        <w:spacing w:after="0" w:line="90" w:lineRule="exact"/>
        <w:rPr>
          <w:sz w:val="20"/>
          <w:szCs w:val="20"/>
          <w:color w:val="auto"/>
        </w:rPr>
      </w:pPr>
    </w:p>
    <w:tbl>
      <w:tblPr>
        <w:tblLayout w:type="fixed"/>
        <w:tblInd w:w="6860" w:type="dxa"/>
        <w:tblCellMar>
          <w:top w:w="0" w:type="dxa"/>
          <w:left w:w="0" w:type="dxa"/>
          <w:bottom w:w="0" w:type="dxa"/>
          <w:right w:w="0" w:type="dxa"/>
        </w:tblCellMar>
      </w:tblPr>
      <w:tr>
        <w:trPr>
          <w:trHeight w:val="244"/>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/s/ Emil D. Kakkis</w:t>
            </w:r>
          </w:p>
        </w:tc>
      </w:tr>
      <w:tr>
        <w:trPr>
          <w:trHeight w:val="195"/>
        </w:trPr>
        <w:tc>
          <w:tcPr>
            <w:tcW w:w="560" w:type="dxa"/>
            <w:vAlign w:val="bottom"/>
          </w:tcPr>
          <w:p>
            <w:pPr>
              <w:spacing w:after="0"/>
              <w:rPr>
                <w:sz w:val="16"/>
                <w:szCs w:val="16"/>
                <w:color w:val="auto"/>
              </w:rPr>
            </w:pPr>
          </w:p>
        </w:tc>
        <w:tc>
          <w:tcPr>
            <w:tcW w:w="4000" w:type="dxa"/>
            <w:vAlign w:val="bottom"/>
          </w:tcPr>
          <w:p>
            <w:pPr>
              <w:jc w:val="center"/>
              <w:spacing w:after="0" w:line="195" w:lineRule="exact"/>
              <w:rPr>
                <w:sz w:val="20"/>
                <w:szCs w:val="20"/>
                <w:color w:val="auto"/>
              </w:rPr>
            </w:pPr>
            <w:r>
              <w:rPr>
                <w:rFonts w:ascii="Arial" w:cs="Arial" w:eastAsia="Arial" w:hAnsi="Arial"/>
                <w:sz w:val="18"/>
                <w:szCs w:val="18"/>
                <w:color w:val="auto"/>
                <w:w w:val="94"/>
              </w:rPr>
              <w:t>Emil D. Kakkis, M.D., Ph.D.</w:t>
            </w:r>
          </w:p>
        </w:tc>
      </w:tr>
      <w:tr>
        <w:trPr>
          <w:trHeight w:val="230"/>
        </w:trPr>
        <w:tc>
          <w:tcPr>
            <w:tcW w:w="560" w:type="dxa"/>
            <w:vAlign w:val="bottom"/>
          </w:tcPr>
          <w:p>
            <w:pPr>
              <w:spacing w:after="0"/>
              <w:rPr>
                <w:sz w:val="20"/>
                <w:szCs w:val="20"/>
                <w:color w:val="auto"/>
              </w:rPr>
            </w:pPr>
          </w:p>
        </w:tc>
        <w:tc>
          <w:tcPr>
            <w:tcW w:w="4000" w:type="dxa"/>
            <w:vAlign w:val="bottom"/>
          </w:tcPr>
          <w:p>
            <w:pPr>
              <w:jc w:val="center"/>
              <w:spacing w:after="0"/>
              <w:rPr>
                <w:sz w:val="20"/>
                <w:szCs w:val="20"/>
                <w:color w:val="auto"/>
              </w:rPr>
            </w:pPr>
            <w:r>
              <w:rPr>
                <w:rFonts w:ascii="Arial" w:cs="Arial" w:eastAsia="Arial" w:hAnsi="Arial"/>
                <w:sz w:val="18"/>
                <w:szCs w:val="18"/>
                <w:i w:val="1"/>
                <w:iCs w:val="1"/>
                <w:color w:val="auto"/>
                <w:w w:val="90"/>
              </w:rPr>
              <w:t>President and Chief Executive Officer</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2017</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81"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Emil D. Kakkis, M.D., Ph.D. and Shalini Sharp, and each of them, as his or her true and lawful attorneys-in-fact and agents, with full power of substitution for him or her, and in his or her name in any and all capacities, to sign any and all amendments to this Annual Report,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therewith, as fully to all intents and purposes as he or she might or could do in person, hereby ratifying and confirming all that said attorneys-in-fact and agents, and any of them, his or her substitute or substitutes, may lawfully do or cause to be done by virtue hereof.</w:t>
      </w:r>
    </w:p>
    <w:p>
      <w:pPr>
        <w:spacing w:after="0" w:line="43"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has been signed below by the following persons on behalf of the registrant and in the capacities and on the dates indicated.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20" w:type="dxa"/>
            <w:vAlign w:val="bottom"/>
          </w:tcPr>
          <w:p>
            <w:pPr>
              <w:spacing w:after="0"/>
              <w:rPr>
                <w:sz w:val="16"/>
                <w:szCs w:val="16"/>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9"/>
              </w:rPr>
              <w:t>Signature</w:t>
            </w:r>
          </w:p>
        </w:tc>
        <w:tc>
          <w:tcPr>
            <w:tcW w:w="13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Title</w:t>
            </w:r>
          </w:p>
        </w:tc>
        <w:tc>
          <w:tcPr>
            <w:tcW w:w="2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3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Emil D. Kakkis</w:t>
            </w:r>
          </w:p>
        </w:tc>
        <w:tc>
          <w:tcPr>
            <w:tcW w:w="5340" w:type="dxa"/>
            <w:vAlign w:val="bottom"/>
            <w:gridSpan w:val="3"/>
          </w:tcPr>
          <w:p>
            <w:pPr>
              <w:jc w:val="center"/>
              <w:spacing w:after="0"/>
              <w:rPr>
                <w:sz w:val="20"/>
                <w:szCs w:val="20"/>
                <w:color w:val="auto"/>
              </w:rPr>
            </w:pPr>
            <w:r>
              <w:rPr>
                <w:rFonts w:ascii="Arial" w:cs="Arial" w:eastAsia="Arial" w:hAnsi="Arial"/>
                <w:sz w:val="18"/>
                <w:szCs w:val="18"/>
                <w:color w:val="auto"/>
                <w:w w:val="91"/>
              </w:rPr>
              <w:t>President and Chief Executive Officer and Director</w:t>
            </w:r>
          </w:p>
        </w:tc>
        <w:tc>
          <w:tcPr>
            <w:tcW w:w="2080" w:type="dxa"/>
            <w:vAlign w:val="bottom"/>
            <w:gridSpan w:val="3"/>
            <w:vMerge w:val="restart"/>
          </w:tcPr>
          <w:p>
            <w:pPr>
              <w:jc w:val="center"/>
              <w:ind w:left="650"/>
              <w:spacing w:after="0"/>
              <w:rPr>
                <w:sz w:val="20"/>
                <w:szCs w:val="20"/>
                <w:color w:val="auto"/>
              </w:rPr>
            </w:pPr>
            <w:r>
              <w:rPr>
                <w:rFonts w:ascii="Arial" w:cs="Arial" w:eastAsia="Arial" w:hAnsi="Arial"/>
                <w:sz w:val="18"/>
                <w:szCs w:val="18"/>
                <w:color w:val="auto"/>
                <w:w w:val="91"/>
              </w:rPr>
              <w:t>February 16, 2017</w:t>
            </w:r>
          </w:p>
        </w:tc>
        <w:tc>
          <w:tcPr>
            <w:tcW w:w="0" w:type="dxa"/>
            <w:vAlign w:val="bottom"/>
          </w:tcPr>
          <w:p>
            <w:pPr>
              <w:spacing w:after="0"/>
              <w:rPr>
                <w:sz w:val="1"/>
                <w:szCs w:val="1"/>
                <w:color w:val="auto"/>
              </w:rPr>
            </w:pPr>
          </w:p>
        </w:tc>
      </w:tr>
      <w:tr>
        <w:trPr>
          <w:trHeight w:val="115"/>
        </w:trPr>
        <w:tc>
          <w:tcPr>
            <w:tcW w:w="3240" w:type="dxa"/>
            <w:vAlign w:val="bottom"/>
            <w:gridSpan w:val="3"/>
            <w:vMerge w:val="restart"/>
          </w:tcPr>
          <w:p>
            <w:pPr>
              <w:jc w:val="center"/>
              <w:spacing w:after="0"/>
              <w:rPr>
                <w:sz w:val="20"/>
                <w:szCs w:val="20"/>
                <w:color w:val="auto"/>
              </w:rPr>
            </w:pPr>
            <w:r>
              <w:rPr>
                <w:rFonts w:ascii="Arial" w:cs="Arial" w:eastAsia="Arial" w:hAnsi="Arial"/>
                <w:sz w:val="18"/>
                <w:szCs w:val="18"/>
                <w:color w:val="auto"/>
                <w:w w:val="95"/>
              </w:rPr>
              <w:t>Emil D. Kakkis, M.D., Ph.D.</w:t>
            </w:r>
          </w:p>
        </w:tc>
        <w:tc>
          <w:tcPr>
            <w:tcW w:w="5340" w:type="dxa"/>
            <w:vAlign w:val="bottom"/>
            <w:gridSpan w:val="3"/>
            <w:vMerge w:val="restart"/>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20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40" w:type="dxa"/>
            <w:vAlign w:val="bottom"/>
            <w:gridSpan w:val="3"/>
            <w:vMerge w:val="continue"/>
          </w:tcPr>
          <w:p>
            <w:pPr>
              <w:spacing w:after="0"/>
              <w:rPr>
                <w:sz w:val="11"/>
                <w:szCs w:val="11"/>
                <w:color w:val="auto"/>
              </w:rPr>
            </w:pPr>
          </w:p>
        </w:tc>
        <w:tc>
          <w:tcPr>
            <w:tcW w:w="5340" w:type="dxa"/>
            <w:vAlign w:val="bottom"/>
            <w:gridSpan w:val="3"/>
            <w:vMerge w:val="continue"/>
          </w:tcPr>
          <w:p>
            <w:pPr>
              <w:spacing w:after="0"/>
              <w:rPr>
                <w:sz w:val="11"/>
                <w:szCs w:val="11"/>
                <w:color w:val="auto"/>
              </w:rPr>
            </w:pPr>
          </w:p>
        </w:tc>
        <w:tc>
          <w:tcPr>
            <w:tcW w:w="1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1"/>
        </w:trPr>
        <w:tc>
          <w:tcPr>
            <w:tcW w:w="3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Shalini Sharp</w:t>
            </w:r>
          </w:p>
        </w:tc>
        <w:tc>
          <w:tcPr>
            <w:tcW w:w="534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Executive Vice President and Chief Financial Officer</w:t>
            </w:r>
          </w:p>
        </w:tc>
        <w:tc>
          <w:tcPr>
            <w:tcW w:w="2080" w:type="dxa"/>
            <w:vAlign w:val="bottom"/>
            <w:gridSpan w:val="3"/>
            <w:vMerge w:val="restart"/>
          </w:tcPr>
          <w:p>
            <w:pPr>
              <w:jc w:val="center"/>
              <w:ind w:left="650"/>
              <w:spacing w:after="0"/>
              <w:rPr>
                <w:sz w:val="20"/>
                <w:szCs w:val="20"/>
                <w:color w:val="auto"/>
              </w:rPr>
            </w:pPr>
            <w:r>
              <w:rPr>
                <w:rFonts w:ascii="Arial" w:cs="Arial" w:eastAsia="Arial" w:hAnsi="Arial"/>
                <w:sz w:val="18"/>
                <w:szCs w:val="18"/>
                <w:color w:val="auto"/>
                <w:w w:val="91"/>
              </w:rPr>
              <w:t>February 16, 2017</w:t>
            </w:r>
          </w:p>
        </w:tc>
        <w:tc>
          <w:tcPr>
            <w:tcW w:w="0" w:type="dxa"/>
            <w:vAlign w:val="bottom"/>
          </w:tcPr>
          <w:p>
            <w:pPr>
              <w:spacing w:after="0"/>
              <w:rPr>
                <w:sz w:val="1"/>
                <w:szCs w:val="1"/>
                <w:color w:val="auto"/>
              </w:rPr>
            </w:pPr>
          </w:p>
        </w:tc>
      </w:tr>
      <w:tr>
        <w:trPr>
          <w:trHeight w:val="102"/>
        </w:trPr>
        <w:tc>
          <w:tcPr>
            <w:tcW w:w="3240" w:type="dxa"/>
            <w:vAlign w:val="bottom"/>
            <w:gridSpan w:val="3"/>
            <w:vMerge w:val="restart"/>
          </w:tcPr>
          <w:p>
            <w:pPr>
              <w:jc w:val="center"/>
              <w:spacing w:after="0"/>
              <w:rPr>
                <w:sz w:val="20"/>
                <w:szCs w:val="20"/>
                <w:color w:val="auto"/>
              </w:rPr>
            </w:pPr>
            <w:r>
              <w:rPr>
                <w:rFonts w:ascii="Arial" w:cs="Arial" w:eastAsia="Arial" w:hAnsi="Arial"/>
                <w:sz w:val="18"/>
                <w:szCs w:val="18"/>
                <w:color w:val="auto"/>
                <w:w w:val="91"/>
              </w:rPr>
              <w:t>Shalini Sharp</w:t>
            </w:r>
          </w:p>
        </w:tc>
        <w:tc>
          <w:tcPr>
            <w:tcW w:w="5340" w:type="dxa"/>
            <w:vAlign w:val="bottom"/>
            <w:gridSpan w:val="3"/>
            <w:vMerge w:val="restart"/>
          </w:tcPr>
          <w:p>
            <w:pPr>
              <w:jc w:val="center"/>
              <w:ind w:right="20"/>
              <w:spacing w:after="0"/>
              <w:rPr>
                <w:sz w:val="20"/>
                <w:szCs w:val="20"/>
                <w:color w:val="auto"/>
              </w:rPr>
            </w:pPr>
            <w:r>
              <w:rPr>
                <w:rFonts w:ascii="Arial" w:cs="Arial" w:eastAsia="Arial" w:hAnsi="Arial"/>
                <w:sz w:val="18"/>
                <w:szCs w:val="18"/>
                <w:color w:val="auto"/>
                <w:w w:val="94"/>
              </w:rPr>
              <w:t>(Principal Financial Officer)</w:t>
            </w: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240" w:type="dxa"/>
            <w:vAlign w:val="bottom"/>
            <w:gridSpan w:val="3"/>
            <w:vMerge w:val="continue"/>
          </w:tcPr>
          <w:p>
            <w:pPr>
              <w:spacing w:after="0"/>
              <w:rPr>
                <w:sz w:val="12"/>
                <w:szCs w:val="12"/>
                <w:color w:val="auto"/>
              </w:rPr>
            </w:pPr>
          </w:p>
        </w:tc>
        <w:tc>
          <w:tcPr>
            <w:tcW w:w="5340" w:type="dxa"/>
            <w:vAlign w:val="bottom"/>
            <w:gridSpan w:val="3"/>
            <w:vMerge w:val="continue"/>
          </w:tcPr>
          <w:p>
            <w:pPr>
              <w:spacing w:after="0"/>
              <w:rPr>
                <w:sz w:val="12"/>
                <w:szCs w:val="12"/>
                <w:color w:val="auto"/>
              </w:rPr>
            </w:pPr>
          </w:p>
        </w:tc>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3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Theodore A. Huizenga</w:t>
            </w:r>
          </w:p>
        </w:tc>
        <w:tc>
          <w:tcPr>
            <w:tcW w:w="534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Executive Director, Corporate Controller</w:t>
            </w:r>
          </w:p>
        </w:tc>
        <w:tc>
          <w:tcPr>
            <w:tcW w:w="2080" w:type="dxa"/>
            <w:vAlign w:val="bottom"/>
            <w:gridSpan w:val="3"/>
            <w:vMerge w:val="restart"/>
          </w:tcPr>
          <w:p>
            <w:pPr>
              <w:jc w:val="center"/>
              <w:ind w:left="650"/>
              <w:spacing w:after="0"/>
              <w:rPr>
                <w:sz w:val="20"/>
                <w:szCs w:val="20"/>
                <w:color w:val="auto"/>
              </w:rPr>
            </w:pPr>
            <w:r>
              <w:rPr>
                <w:rFonts w:ascii="Arial" w:cs="Arial" w:eastAsia="Arial" w:hAnsi="Arial"/>
                <w:sz w:val="18"/>
                <w:szCs w:val="18"/>
                <w:color w:val="auto"/>
                <w:w w:val="91"/>
              </w:rPr>
              <w:t>February 16, 2017</w:t>
            </w:r>
          </w:p>
        </w:tc>
        <w:tc>
          <w:tcPr>
            <w:tcW w:w="0" w:type="dxa"/>
            <w:vAlign w:val="bottom"/>
          </w:tcPr>
          <w:p>
            <w:pPr>
              <w:spacing w:after="0"/>
              <w:rPr>
                <w:sz w:val="1"/>
                <w:szCs w:val="1"/>
                <w:color w:val="auto"/>
              </w:rPr>
            </w:pPr>
          </w:p>
        </w:tc>
      </w:tr>
      <w:tr>
        <w:trPr>
          <w:trHeight w:val="102"/>
        </w:trPr>
        <w:tc>
          <w:tcPr>
            <w:tcW w:w="3240" w:type="dxa"/>
            <w:vAlign w:val="bottom"/>
            <w:gridSpan w:val="3"/>
            <w:vMerge w:val="restart"/>
          </w:tcPr>
          <w:p>
            <w:pPr>
              <w:jc w:val="center"/>
              <w:spacing w:after="0"/>
              <w:rPr>
                <w:sz w:val="20"/>
                <w:szCs w:val="20"/>
                <w:color w:val="auto"/>
              </w:rPr>
            </w:pPr>
            <w:r>
              <w:rPr>
                <w:rFonts w:ascii="Arial" w:cs="Arial" w:eastAsia="Arial" w:hAnsi="Arial"/>
                <w:sz w:val="18"/>
                <w:szCs w:val="18"/>
                <w:color w:val="auto"/>
                <w:w w:val="92"/>
              </w:rPr>
              <w:t>Theodore A. Huizenga</w:t>
            </w:r>
          </w:p>
        </w:tc>
        <w:tc>
          <w:tcPr>
            <w:tcW w:w="5340" w:type="dxa"/>
            <w:vAlign w:val="bottom"/>
            <w:gridSpan w:val="3"/>
            <w:vMerge w:val="restart"/>
          </w:tcPr>
          <w:p>
            <w:pPr>
              <w:jc w:val="center"/>
              <w:spacing w:after="0"/>
              <w:rPr>
                <w:sz w:val="20"/>
                <w:szCs w:val="20"/>
                <w:color w:val="auto"/>
              </w:rPr>
            </w:pPr>
            <w:r>
              <w:rPr>
                <w:rFonts w:ascii="Arial" w:cs="Arial" w:eastAsia="Arial" w:hAnsi="Arial"/>
                <w:sz w:val="18"/>
                <w:szCs w:val="18"/>
                <w:color w:val="auto"/>
                <w:w w:val="95"/>
              </w:rPr>
              <w:t>(Principal Accounting Officer)</w:t>
            </w: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240" w:type="dxa"/>
            <w:vAlign w:val="bottom"/>
            <w:gridSpan w:val="3"/>
            <w:vMerge w:val="continue"/>
          </w:tcPr>
          <w:p>
            <w:pPr>
              <w:spacing w:after="0"/>
              <w:rPr>
                <w:sz w:val="12"/>
                <w:szCs w:val="12"/>
                <w:color w:val="auto"/>
              </w:rPr>
            </w:pPr>
          </w:p>
        </w:tc>
        <w:tc>
          <w:tcPr>
            <w:tcW w:w="5340" w:type="dxa"/>
            <w:vAlign w:val="bottom"/>
            <w:gridSpan w:val="3"/>
            <w:vMerge w:val="continue"/>
          </w:tcPr>
          <w:p>
            <w:pPr>
              <w:spacing w:after="0"/>
              <w:rPr>
                <w:sz w:val="12"/>
                <w:szCs w:val="12"/>
                <w:color w:val="auto"/>
              </w:rPr>
            </w:pPr>
          </w:p>
        </w:tc>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3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Daniel G. Welch</w:t>
            </w:r>
          </w:p>
        </w:tc>
        <w:tc>
          <w:tcPr>
            <w:tcW w:w="5340" w:type="dxa"/>
            <w:vAlign w:val="bottom"/>
            <w:gridSpan w:val="3"/>
            <w:vMerge w:val="restart"/>
          </w:tcPr>
          <w:p>
            <w:pPr>
              <w:jc w:val="center"/>
              <w:spacing w:after="0"/>
              <w:rPr>
                <w:sz w:val="20"/>
                <w:szCs w:val="20"/>
                <w:color w:val="auto"/>
              </w:rPr>
            </w:pPr>
            <w:r>
              <w:rPr>
                <w:rFonts w:ascii="Arial" w:cs="Arial" w:eastAsia="Arial" w:hAnsi="Arial"/>
                <w:sz w:val="18"/>
                <w:szCs w:val="18"/>
                <w:color w:val="auto"/>
                <w:w w:val="91"/>
              </w:rPr>
              <w:t>Chairman of the Board</w:t>
            </w:r>
          </w:p>
        </w:tc>
        <w:tc>
          <w:tcPr>
            <w:tcW w:w="2080" w:type="dxa"/>
            <w:vAlign w:val="bottom"/>
            <w:gridSpan w:val="3"/>
            <w:vMerge w:val="restart"/>
          </w:tcPr>
          <w:p>
            <w:pPr>
              <w:jc w:val="center"/>
              <w:ind w:left="650"/>
              <w:spacing w:after="0"/>
              <w:rPr>
                <w:sz w:val="20"/>
                <w:szCs w:val="20"/>
                <w:color w:val="auto"/>
              </w:rPr>
            </w:pPr>
            <w:r>
              <w:rPr>
                <w:rFonts w:ascii="Arial" w:cs="Arial" w:eastAsia="Arial" w:hAnsi="Arial"/>
                <w:sz w:val="18"/>
                <w:szCs w:val="18"/>
                <w:color w:val="auto"/>
                <w:w w:val="91"/>
              </w:rPr>
              <w:t>February 16, 2017</w:t>
            </w:r>
          </w:p>
        </w:tc>
        <w:tc>
          <w:tcPr>
            <w:tcW w:w="0" w:type="dxa"/>
            <w:vAlign w:val="bottom"/>
          </w:tcPr>
          <w:p>
            <w:pPr>
              <w:spacing w:after="0"/>
              <w:rPr>
                <w:sz w:val="1"/>
                <w:szCs w:val="1"/>
                <w:color w:val="auto"/>
              </w:rPr>
            </w:pPr>
          </w:p>
        </w:tc>
      </w:tr>
      <w:tr>
        <w:trPr>
          <w:trHeight w:val="108"/>
        </w:trPr>
        <w:tc>
          <w:tcPr>
            <w:tcW w:w="3240" w:type="dxa"/>
            <w:vAlign w:val="bottom"/>
            <w:gridSpan w:val="3"/>
            <w:vMerge w:val="restart"/>
          </w:tcPr>
          <w:p>
            <w:pPr>
              <w:jc w:val="center"/>
              <w:spacing w:after="0"/>
              <w:rPr>
                <w:sz w:val="20"/>
                <w:szCs w:val="20"/>
                <w:color w:val="auto"/>
              </w:rPr>
            </w:pPr>
            <w:r>
              <w:rPr>
                <w:rFonts w:ascii="Arial" w:cs="Arial" w:eastAsia="Arial" w:hAnsi="Arial"/>
                <w:sz w:val="18"/>
                <w:szCs w:val="18"/>
                <w:color w:val="auto"/>
                <w:w w:val="93"/>
              </w:rPr>
              <w:t>Daniel G. Welch.</w:t>
            </w:r>
          </w:p>
        </w:tc>
        <w:tc>
          <w:tcPr>
            <w:tcW w:w="5340" w:type="dxa"/>
            <w:vAlign w:val="bottom"/>
            <w:gridSpan w:val="3"/>
            <w:vMerge w:val="continue"/>
          </w:tcPr>
          <w:p>
            <w:pPr>
              <w:spacing w:after="0"/>
              <w:rPr>
                <w:sz w:val="9"/>
                <w:szCs w:val="9"/>
                <w:color w:val="auto"/>
              </w:rPr>
            </w:pPr>
          </w:p>
        </w:tc>
        <w:tc>
          <w:tcPr>
            <w:tcW w:w="20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40" w:type="dxa"/>
            <w:vAlign w:val="bottom"/>
            <w:gridSpan w:val="3"/>
            <w:vMerge w:val="continue"/>
          </w:tcPr>
          <w:p>
            <w:pPr>
              <w:spacing w:after="0"/>
              <w:rPr>
                <w:sz w:val="12"/>
                <w:szCs w:val="12"/>
                <w:color w:val="auto"/>
              </w:rPr>
            </w:pPr>
          </w:p>
        </w:tc>
        <w:tc>
          <w:tcPr>
            <w:tcW w:w="2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3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/s/ William Aliski</w:t>
            </w:r>
          </w:p>
        </w:tc>
        <w:tc>
          <w:tcPr>
            <w:tcW w:w="5340" w:type="dxa"/>
            <w:vAlign w:val="bottom"/>
            <w:gridSpan w:val="3"/>
            <w:vMerge w:val="restart"/>
          </w:tcPr>
          <w:p>
            <w:pPr>
              <w:jc w:val="center"/>
              <w:ind w:right="20"/>
              <w:spacing w:after="0"/>
              <w:rPr>
                <w:sz w:val="20"/>
                <w:szCs w:val="20"/>
                <w:color w:val="auto"/>
              </w:rPr>
            </w:pPr>
            <w:r>
              <w:rPr>
                <w:rFonts w:ascii="Arial" w:cs="Arial" w:eastAsia="Arial" w:hAnsi="Arial"/>
                <w:sz w:val="18"/>
                <w:szCs w:val="18"/>
                <w:color w:val="auto"/>
                <w:w w:val="95"/>
              </w:rPr>
              <w:t>Director</w:t>
            </w:r>
          </w:p>
        </w:tc>
        <w:tc>
          <w:tcPr>
            <w:tcW w:w="2080" w:type="dxa"/>
            <w:vAlign w:val="bottom"/>
            <w:gridSpan w:val="3"/>
            <w:vMerge w:val="restart"/>
          </w:tcPr>
          <w:p>
            <w:pPr>
              <w:jc w:val="center"/>
              <w:ind w:left="650"/>
              <w:spacing w:after="0"/>
              <w:rPr>
                <w:sz w:val="20"/>
                <w:szCs w:val="20"/>
                <w:color w:val="auto"/>
              </w:rPr>
            </w:pPr>
            <w:r>
              <w:rPr>
                <w:rFonts w:ascii="Arial" w:cs="Arial" w:eastAsia="Arial" w:hAnsi="Arial"/>
                <w:sz w:val="18"/>
                <w:szCs w:val="18"/>
                <w:color w:val="auto"/>
                <w:w w:val="91"/>
              </w:rPr>
              <w:t>February 16, 2017</w:t>
            </w:r>
          </w:p>
        </w:tc>
        <w:tc>
          <w:tcPr>
            <w:tcW w:w="0" w:type="dxa"/>
            <w:vAlign w:val="bottom"/>
          </w:tcPr>
          <w:p>
            <w:pPr>
              <w:spacing w:after="0"/>
              <w:rPr>
                <w:sz w:val="1"/>
                <w:szCs w:val="1"/>
                <w:color w:val="auto"/>
              </w:rPr>
            </w:pPr>
          </w:p>
        </w:tc>
      </w:tr>
      <w:tr>
        <w:trPr>
          <w:trHeight w:val="108"/>
        </w:trPr>
        <w:tc>
          <w:tcPr>
            <w:tcW w:w="3240" w:type="dxa"/>
            <w:vAlign w:val="bottom"/>
            <w:gridSpan w:val="3"/>
            <w:vMerge w:val="restart"/>
          </w:tcPr>
          <w:p>
            <w:pPr>
              <w:jc w:val="center"/>
              <w:spacing w:after="0"/>
              <w:rPr>
                <w:sz w:val="20"/>
                <w:szCs w:val="20"/>
                <w:color w:val="auto"/>
              </w:rPr>
            </w:pPr>
            <w:r>
              <w:rPr>
                <w:rFonts w:ascii="Arial" w:cs="Arial" w:eastAsia="Arial" w:hAnsi="Arial"/>
                <w:sz w:val="18"/>
                <w:szCs w:val="18"/>
                <w:color w:val="auto"/>
              </w:rPr>
              <w:t>William Aliski</w:t>
            </w:r>
          </w:p>
        </w:tc>
        <w:tc>
          <w:tcPr>
            <w:tcW w:w="5340" w:type="dxa"/>
            <w:vAlign w:val="bottom"/>
            <w:gridSpan w:val="3"/>
            <w:vMerge w:val="continue"/>
          </w:tcPr>
          <w:p>
            <w:pPr>
              <w:spacing w:after="0"/>
              <w:rPr>
                <w:sz w:val="9"/>
                <w:szCs w:val="9"/>
                <w:color w:val="auto"/>
              </w:rPr>
            </w:pPr>
          </w:p>
        </w:tc>
        <w:tc>
          <w:tcPr>
            <w:tcW w:w="20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40" w:type="dxa"/>
            <w:vAlign w:val="bottom"/>
            <w:gridSpan w:val="3"/>
            <w:vMerge w:val="continue"/>
          </w:tcPr>
          <w:p>
            <w:pPr>
              <w:spacing w:after="0"/>
              <w:rPr>
                <w:sz w:val="12"/>
                <w:szCs w:val="12"/>
                <w:color w:val="auto"/>
              </w:rPr>
            </w:pPr>
          </w:p>
        </w:tc>
        <w:tc>
          <w:tcPr>
            <w:tcW w:w="2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3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Lars Ekman</w:t>
            </w:r>
          </w:p>
        </w:tc>
        <w:tc>
          <w:tcPr>
            <w:tcW w:w="5340" w:type="dxa"/>
            <w:vAlign w:val="bottom"/>
            <w:gridSpan w:val="3"/>
            <w:vMerge w:val="restart"/>
          </w:tcPr>
          <w:p>
            <w:pPr>
              <w:jc w:val="center"/>
              <w:ind w:right="20"/>
              <w:spacing w:after="0"/>
              <w:rPr>
                <w:sz w:val="20"/>
                <w:szCs w:val="20"/>
                <w:color w:val="auto"/>
              </w:rPr>
            </w:pPr>
            <w:r>
              <w:rPr>
                <w:rFonts w:ascii="Arial" w:cs="Arial" w:eastAsia="Arial" w:hAnsi="Arial"/>
                <w:sz w:val="18"/>
                <w:szCs w:val="18"/>
                <w:color w:val="auto"/>
                <w:w w:val="95"/>
              </w:rPr>
              <w:t>Director</w:t>
            </w:r>
          </w:p>
        </w:tc>
        <w:tc>
          <w:tcPr>
            <w:tcW w:w="2080" w:type="dxa"/>
            <w:vAlign w:val="bottom"/>
            <w:gridSpan w:val="3"/>
            <w:vMerge w:val="restart"/>
          </w:tcPr>
          <w:p>
            <w:pPr>
              <w:jc w:val="center"/>
              <w:ind w:left="650"/>
              <w:spacing w:after="0"/>
              <w:rPr>
                <w:sz w:val="20"/>
                <w:szCs w:val="20"/>
                <w:color w:val="auto"/>
              </w:rPr>
            </w:pPr>
            <w:r>
              <w:rPr>
                <w:rFonts w:ascii="Arial" w:cs="Arial" w:eastAsia="Arial" w:hAnsi="Arial"/>
                <w:sz w:val="18"/>
                <w:szCs w:val="18"/>
                <w:color w:val="auto"/>
                <w:w w:val="91"/>
              </w:rPr>
              <w:t>February 16, 2017</w:t>
            </w:r>
          </w:p>
        </w:tc>
        <w:tc>
          <w:tcPr>
            <w:tcW w:w="0" w:type="dxa"/>
            <w:vAlign w:val="bottom"/>
          </w:tcPr>
          <w:p>
            <w:pPr>
              <w:spacing w:after="0"/>
              <w:rPr>
                <w:sz w:val="1"/>
                <w:szCs w:val="1"/>
                <w:color w:val="auto"/>
              </w:rPr>
            </w:pPr>
          </w:p>
        </w:tc>
      </w:tr>
      <w:tr>
        <w:trPr>
          <w:trHeight w:val="108"/>
        </w:trPr>
        <w:tc>
          <w:tcPr>
            <w:tcW w:w="3240" w:type="dxa"/>
            <w:vAlign w:val="bottom"/>
            <w:gridSpan w:val="3"/>
            <w:vMerge w:val="restart"/>
          </w:tcPr>
          <w:p>
            <w:pPr>
              <w:jc w:val="center"/>
              <w:spacing w:after="0"/>
              <w:rPr>
                <w:sz w:val="20"/>
                <w:szCs w:val="20"/>
                <w:color w:val="auto"/>
              </w:rPr>
            </w:pPr>
            <w:r>
              <w:rPr>
                <w:rFonts w:ascii="Arial" w:cs="Arial" w:eastAsia="Arial" w:hAnsi="Arial"/>
                <w:sz w:val="18"/>
                <w:szCs w:val="18"/>
                <w:color w:val="auto"/>
                <w:w w:val="93"/>
              </w:rPr>
              <w:t>Lars Ekman, M.D., Ph.D.</w:t>
            </w:r>
          </w:p>
        </w:tc>
        <w:tc>
          <w:tcPr>
            <w:tcW w:w="5340" w:type="dxa"/>
            <w:vAlign w:val="bottom"/>
            <w:gridSpan w:val="3"/>
            <w:vMerge w:val="continue"/>
          </w:tcPr>
          <w:p>
            <w:pPr>
              <w:spacing w:after="0"/>
              <w:rPr>
                <w:sz w:val="9"/>
                <w:szCs w:val="9"/>
                <w:color w:val="auto"/>
              </w:rPr>
            </w:pPr>
          </w:p>
        </w:tc>
        <w:tc>
          <w:tcPr>
            <w:tcW w:w="20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40" w:type="dxa"/>
            <w:vAlign w:val="bottom"/>
            <w:gridSpan w:val="3"/>
            <w:vMerge w:val="continue"/>
          </w:tcPr>
          <w:p>
            <w:pPr>
              <w:spacing w:after="0"/>
              <w:rPr>
                <w:sz w:val="12"/>
                <w:szCs w:val="12"/>
                <w:color w:val="auto"/>
              </w:rPr>
            </w:pPr>
          </w:p>
        </w:tc>
        <w:tc>
          <w:tcPr>
            <w:tcW w:w="2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3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Matthew K. Fust</w:t>
            </w:r>
          </w:p>
        </w:tc>
        <w:tc>
          <w:tcPr>
            <w:tcW w:w="5340" w:type="dxa"/>
            <w:vAlign w:val="bottom"/>
            <w:gridSpan w:val="3"/>
            <w:vMerge w:val="restart"/>
          </w:tcPr>
          <w:p>
            <w:pPr>
              <w:jc w:val="center"/>
              <w:ind w:right="20"/>
              <w:spacing w:after="0"/>
              <w:rPr>
                <w:sz w:val="20"/>
                <w:szCs w:val="20"/>
                <w:color w:val="auto"/>
              </w:rPr>
            </w:pPr>
            <w:r>
              <w:rPr>
                <w:rFonts w:ascii="Arial" w:cs="Arial" w:eastAsia="Arial" w:hAnsi="Arial"/>
                <w:sz w:val="18"/>
                <w:szCs w:val="18"/>
                <w:color w:val="auto"/>
                <w:w w:val="95"/>
              </w:rPr>
              <w:t>Director</w:t>
            </w:r>
          </w:p>
        </w:tc>
        <w:tc>
          <w:tcPr>
            <w:tcW w:w="2080" w:type="dxa"/>
            <w:vAlign w:val="bottom"/>
            <w:gridSpan w:val="3"/>
            <w:vMerge w:val="restart"/>
          </w:tcPr>
          <w:p>
            <w:pPr>
              <w:jc w:val="center"/>
              <w:ind w:left="650"/>
              <w:spacing w:after="0"/>
              <w:rPr>
                <w:sz w:val="20"/>
                <w:szCs w:val="20"/>
                <w:color w:val="auto"/>
              </w:rPr>
            </w:pPr>
            <w:r>
              <w:rPr>
                <w:rFonts w:ascii="Arial" w:cs="Arial" w:eastAsia="Arial" w:hAnsi="Arial"/>
                <w:sz w:val="18"/>
                <w:szCs w:val="18"/>
                <w:color w:val="auto"/>
                <w:w w:val="91"/>
              </w:rPr>
              <w:t>February 16, 2017</w:t>
            </w:r>
          </w:p>
        </w:tc>
        <w:tc>
          <w:tcPr>
            <w:tcW w:w="0" w:type="dxa"/>
            <w:vAlign w:val="bottom"/>
          </w:tcPr>
          <w:p>
            <w:pPr>
              <w:spacing w:after="0"/>
              <w:rPr>
                <w:sz w:val="1"/>
                <w:szCs w:val="1"/>
                <w:color w:val="auto"/>
              </w:rPr>
            </w:pPr>
          </w:p>
        </w:tc>
      </w:tr>
      <w:tr>
        <w:trPr>
          <w:trHeight w:val="108"/>
        </w:trPr>
        <w:tc>
          <w:tcPr>
            <w:tcW w:w="3240" w:type="dxa"/>
            <w:vAlign w:val="bottom"/>
            <w:gridSpan w:val="3"/>
            <w:vMerge w:val="restart"/>
          </w:tcPr>
          <w:p>
            <w:pPr>
              <w:jc w:val="center"/>
              <w:spacing w:after="0"/>
              <w:rPr>
                <w:sz w:val="20"/>
                <w:szCs w:val="20"/>
                <w:color w:val="auto"/>
              </w:rPr>
            </w:pPr>
            <w:r>
              <w:rPr>
                <w:rFonts w:ascii="Arial" w:cs="Arial" w:eastAsia="Arial" w:hAnsi="Arial"/>
                <w:sz w:val="18"/>
                <w:szCs w:val="18"/>
                <w:color w:val="auto"/>
                <w:w w:val="93"/>
              </w:rPr>
              <w:t>Matthew K. Fust</w:t>
            </w:r>
          </w:p>
        </w:tc>
        <w:tc>
          <w:tcPr>
            <w:tcW w:w="5340" w:type="dxa"/>
            <w:vAlign w:val="bottom"/>
            <w:gridSpan w:val="3"/>
            <w:vMerge w:val="continue"/>
          </w:tcPr>
          <w:p>
            <w:pPr>
              <w:spacing w:after="0"/>
              <w:rPr>
                <w:sz w:val="9"/>
                <w:szCs w:val="9"/>
                <w:color w:val="auto"/>
              </w:rPr>
            </w:pPr>
          </w:p>
        </w:tc>
        <w:tc>
          <w:tcPr>
            <w:tcW w:w="20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40" w:type="dxa"/>
            <w:vAlign w:val="bottom"/>
            <w:gridSpan w:val="3"/>
            <w:vMerge w:val="continue"/>
          </w:tcPr>
          <w:p>
            <w:pPr>
              <w:spacing w:after="0"/>
              <w:rPr>
                <w:sz w:val="12"/>
                <w:szCs w:val="12"/>
                <w:color w:val="auto"/>
              </w:rPr>
            </w:pPr>
          </w:p>
        </w:tc>
        <w:tc>
          <w:tcPr>
            <w:tcW w:w="2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3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Michael Narachi</w:t>
            </w:r>
          </w:p>
        </w:tc>
        <w:tc>
          <w:tcPr>
            <w:tcW w:w="5340" w:type="dxa"/>
            <w:vAlign w:val="bottom"/>
            <w:gridSpan w:val="3"/>
            <w:vMerge w:val="restart"/>
          </w:tcPr>
          <w:p>
            <w:pPr>
              <w:jc w:val="center"/>
              <w:ind w:right="20"/>
              <w:spacing w:after="0"/>
              <w:rPr>
                <w:sz w:val="20"/>
                <w:szCs w:val="20"/>
                <w:color w:val="auto"/>
              </w:rPr>
            </w:pPr>
            <w:r>
              <w:rPr>
                <w:rFonts w:ascii="Arial" w:cs="Arial" w:eastAsia="Arial" w:hAnsi="Arial"/>
                <w:sz w:val="18"/>
                <w:szCs w:val="18"/>
                <w:color w:val="auto"/>
                <w:w w:val="95"/>
              </w:rPr>
              <w:t>Director</w:t>
            </w:r>
          </w:p>
        </w:tc>
        <w:tc>
          <w:tcPr>
            <w:tcW w:w="2080" w:type="dxa"/>
            <w:vAlign w:val="bottom"/>
            <w:gridSpan w:val="3"/>
            <w:vMerge w:val="restart"/>
          </w:tcPr>
          <w:p>
            <w:pPr>
              <w:jc w:val="center"/>
              <w:ind w:left="650"/>
              <w:spacing w:after="0"/>
              <w:rPr>
                <w:sz w:val="20"/>
                <w:szCs w:val="20"/>
                <w:color w:val="auto"/>
              </w:rPr>
            </w:pPr>
            <w:r>
              <w:rPr>
                <w:rFonts w:ascii="Arial" w:cs="Arial" w:eastAsia="Arial" w:hAnsi="Arial"/>
                <w:sz w:val="18"/>
                <w:szCs w:val="18"/>
                <w:color w:val="auto"/>
                <w:w w:val="91"/>
              </w:rPr>
              <w:t>February 16, 2017</w:t>
            </w:r>
          </w:p>
        </w:tc>
        <w:tc>
          <w:tcPr>
            <w:tcW w:w="0" w:type="dxa"/>
            <w:vAlign w:val="bottom"/>
          </w:tcPr>
          <w:p>
            <w:pPr>
              <w:spacing w:after="0"/>
              <w:rPr>
                <w:sz w:val="1"/>
                <w:szCs w:val="1"/>
                <w:color w:val="auto"/>
              </w:rPr>
            </w:pPr>
          </w:p>
        </w:tc>
      </w:tr>
      <w:tr>
        <w:trPr>
          <w:trHeight w:val="108"/>
        </w:trPr>
        <w:tc>
          <w:tcPr>
            <w:tcW w:w="3240" w:type="dxa"/>
            <w:vAlign w:val="bottom"/>
            <w:gridSpan w:val="3"/>
            <w:vMerge w:val="restart"/>
          </w:tcPr>
          <w:p>
            <w:pPr>
              <w:jc w:val="center"/>
              <w:spacing w:after="0"/>
              <w:rPr>
                <w:sz w:val="20"/>
                <w:szCs w:val="20"/>
                <w:color w:val="auto"/>
              </w:rPr>
            </w:pPr>
            <w:r>
              <w:rPr>
                <w:rFonts w:ascii="Arial" w:cs="Arial" w:eastAsia="Arial" w:hAnsi="Arial"/>
                <w:sz w:val="18"/>
                <w:szCs w:val="18"/>
                <w:color w:val="auto"/>
                <w:w w:val="94"/>
              </w:rPr>
              <w:t>Michael Narachi</w:t>
            </w:r>
          </w:p>
        </w:tc>
        <w:tc>
          <w:tcPr>
            <w:tcW w:w="5340" w:type="dxa"/>
            <w:vAlign w:val="bottom"/>
            <w:gridSpan w:val="3"/>
            <w:vMerge w:val="continue"/>
          </w:tcPr>
          <w:p>
            <w:pPr>
              <w:spacing w:after="0"/>
              <w:rPr>
                <w:sz w:val="9"/>
                <w:szCs w:val="9"/>
                <w:color w:val="auto"/>
              </w:rPr>
            </w:pPr>
          </w:p>
        </w:tc>
        <w:tc>
          <w:tcPr>
            <w:tcW w:w="20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40" w:type="dxa"/>
            <w:vAlign w:val="bottom"/>
            <w:gridSpan w:val="3"/>
            <w:vMerge w:val="continue"/>
          </w:tcPr>
          <w:p>
            <w:pPr>
              <w:spacing w:after="0"/>
              <w:rPr>
                <w:sz w:val="12"/>
                <w:szCs w:val="12"/>
                <w:color w:val="auto"/>
              </w:rPr>
            </w:pPr>
          </w:p>
        </w:tc>
        <w:tc>
          <w:tcPr>
            <w:tcW w:w="2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3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Clay B. Siegall</w:t>
            </w:r>
          </w:p>
        </w:tc>
        <w:tc>
          <w:tcPr>
            <w:tcW w:w="5340" w:type="dxa"/>
            <w:vAlign w:val="bottom"/>
            <w:gridSpan w:val="3"/>
            <w:vMerge w:val="restart"/>
          </w:tcPr>
          <w:p>
            <w:pPr>
              <w:jc w:val="center"/>
              <w:ind w:right="20"/>
              <w:spacing w:after="0"/>
              <w:rPr>
                <w:sz w:val="20"/>
                <w:szCs w:val="20"/>
                <w:color w:val="auto"/>
              </w:rPr>
            </w:pPr>
            <w:r>
              <w:rPr>
                <w:rFonts w:ascii="Arial" w:cs="Arial" w:eastAsia="Arial" w:hAnsi="Arial"/>
                <w:sz w:val="18"/>
                <w:szCs w:val="18"/>
                <w:color w:val="auto"/>
                <w:w w:val="95"/>
              </w:rPr>
              <w:t>Director</w:t>
            </w:r>
          </w:p>
        </w:tc>
        <w:tc>
          <w:tcPr>
            <w:tcW w:w="2080" w:type="dxa"/>
            <w:vAlign w:val="bottom"/>
            <w:gridSpan w:val="3"/>
            <w:vMerge w:val="restart"/>
          </w:tcPr>
          <w:p>
            <w:pPr>
              <w:jc w:val="center"/>
              <w:ind w:left="650"/>
              <w:spacing w:after="0"/>
              <w:rPr>
                <w:sz w:val="20"/>
                <w:szCs w:val="20"/>
                <w:color w:val="auto"/>
              </w:rPr>
            </w:pPr>
            <w:r>
              <w:rPr>
                <w:rFonts w:ascii="Arial" w:cs="Arial" w:eastAsia="Arial" w:hAnsi="Arial"/>
                <w:sz w:val="18"/>
                <w:szCs w:val="18"/>
                <w:color w:val="auto"/>
                <w:w w:val="91"/>
              </w:rPr>
              <w:t>February 16, 2017</w:t>
            </w:r>
          </w:p>
        </w:tc>
        <w:tc>
          <w:tcPr>
            <w:tcW w:w="0" w:type="dxa"/>
            <w:vAlign w:val="bottom"/>
          </w:tcPr>
          <w:p>
            <w:pPr>
              <w:spacing w:after="0"/>
              <w:rPr>
                <w:sz w:val="1"/>
                <w:szCs w:val="1"/>
                <w:color w:val="auto"/>
              </w:rPr>
            </w:pPr>
          </w:p>
        </w:tc>
      </w:tr>
      <w:tr>
        <w:trPr>
          <w:trHeight w:val="108"/>
        </w:trPr>
        <w:tc>
          <w:tcPr>
            <w:tcW w:w="3240" w:type="dxa"/>
            <w:vAlign w:val="bottom"/>
            <w:gridSpan w:val="3"/>
            <w:vMerge w:val="restart"/>
          </w:tcPr>
          <w:p>
            <w:pPr>
              <w:jc w:val="center"/>
              <w:spacing w:after="0"/>
              <w:rPr>
                <w:sz w:val="20"/>
                <w:szCs w:val="20"/>
                <w:color w:val="auto"/>
              </w:rPr>
            </w:pPr>
            <w:r>
              <w:rPr>
                <w:rFonts w:ascii="Arial" w:cs="Arial" w:eastAsia="Arial" w:hAnsi="Arial"/>
                <w:sz w:val="18"/>
                <w:szCs w:val="18"/>
                <w:color w:val="auto"/>
                <w:w w:val="91"/>
              </w:rPr>
              <w:t>Clay B. Siegall, Ph.D.</w:t>
            </w:r>
          </w:p>
        </w:tc>
        <w:tc>
          <w:tcPr>
            <w:tcW w:w="5340" w:type="dxa"/>
            <w:vAlign w:val="bottom"/>
            <w:gridSpan w:val="3"/>
            <w:vMerge w:val="continue"/>
          </w:tcPr>
          <w:p>
            <w:pPr>
              <w:spacing w:after="0"/>
              <w:rPr>
                <w:sz w:val="9"/>
                <w:szCs w:val="9"/>
                <w:color w:val="auto"/>
              </w:rPr>
            </w:pPr>
          </w:p>
        </w:tc>
        <w:tc>
          <w:tcPr>
            <w:tcW w:w="20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40" w:type="dxa"/>
            <w:vAlign w:val="bottom"/>
            <w:gridSpan w:val="3"/>
            <w:vMerge w:val="continue"/>
          </w:tcPr>
          <w:p>
            <w:pPr>
              <w:spacing w:after="0"/>
              <w:rPr>
                <w:sz w:val="12"/>
                <w:szCs w:val="12"/>
                <w:color w:val="auto"/>
              </w:rPr>
            </w:pPr>
          </w:p>
        </w:tc>
        <w:tc>
          <w:tcPr>
            <w:tcW w:w="2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Ultragenyx Pharmaceutical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60" w:type="dxa"/>
            <w:vAlign w:val="bottom"/>
            <w:gridSpan w:val="9"/>
            <w:vMerge w:val="restart"/>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Report of Independent Registered Public Accounting Firm</w:t>
              </w:r>
            </w:hyperlink>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0860" w:type="dxa"/>
            <w:vAlign w:val="bottom"/>
            <w:gridSpan w:val="9"/>
            <w:vMerge w:val="continue"/>
          </w:tcPr>
          <w:p>
            <w:pPr>
              <w:spacing w:after="0"/>
              <w:rPr>
                <w:sz w:val="14"/>
                <w:szCs w:val="14"/>
                <w:color w:val="auto"/>
              </w:rPr>
            </w:pPr>
          </w:p>
        </w:tc>
        <w:tc>
          <w:tcPr>
            <w:tcW w:w="560" w:type="dxa"/>
            <w:vAlign w:val="bottom"/>
          </w:tcPr>
          <w:p>
            <w:pPr>
              <w:jc w:val="center"/>
              <w:spacing w:after="0" w:line="170"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22"/>
        </w:trPr>
        <w:tc>
          <w:tcPr>
            <w:tcW w:w="422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Consolidated Financial Statements:</w:t>
            </w:r>
          </w:p>
        </w:tc>
        <w:tc>
          <w:tcPr>
            <w:tcW w:w="6640" w:type="dxa"/>
            <w:vAlign w:val="bottom"/>
            <w:gridSpan w:val="2"/>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10720" w:type="dxa"/>
            <w:vAlign w:val="bottom"/>
            <w:gridSpan w:val="8"/>
          </w:tcPr>
          <w:p>
            <w:pPr>
              <w:spacing w:after="0" w:line="190" w:lineRule="exact"/>
              <w:rPr>
                <w:rFonts w:ascii="Arial" w:cs="Arial" w:eastAsia="Arial" w:hAnsi="Arial"/>
                <w:sz w:val="18"/>
                <w:szCs w:val="18"/>
                <w:color w:val="0000EE"/>
              </w:rPr>
            </w:pPr>
            <w:hyperlink w:anchor="page76">
              <w:r>
                <w:rPr>
                  <w:rFonts w:ascii="Arial" w:cs="Arial" w:eastAsia="Arial" w:hAnsi="Arial"/>
                  <w:sz w:val="18"/>
                  <w:szCs w:val="18"/>
                  <w:color w:val="0000EE"/>
                </w:rPr>
                <w:t>Consolidated Balance Sheets</w:t>
              </w:r>
            </w:hyperlink>
          </w:p>
        </w:tc>
        <w:tc>
          <w:tcPr>
            <w:tcW w:w="560" w:type="dxa"/>
            <w:vAlign w:val="bottom"/>
          </w:tcPr>
          <w:p>
            <w:pPr>
              <w:jc w:val="center"/>
              <w:spacing w:after="0" w:line="190"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8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Consolidated Statements of Operations</w:t>
              </w:r>
            </w:hyperlink>
          </w:p>
        </w:tc>
        <w:tc>
          <w:tcPr>
            <w:tcW w:w="7900" w:type="dxa"/>
            <w:vAlign w:val="bottom"/>
            <w:gridSpan w:val="6"/>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35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Consolidated Statements of Comprehensive Loss</w:t>
              </w:r>
            </w:hyperlink>
          </w:p>
        </w:tc>
        <w:tc>
          <w:tcPr>
            <w:tcW w:w="7180" w:type="dxa"/>
            <w:vAlign w:val="bottom"/>
            <w:gridSpan w:val="3"/>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0720" w:type="dxa"/>
            <w:vAlign w:val="bottom"/>
            <w:gridSpan w:val="8"/>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Consolidated Statements of Convertible Preferred Stock and Stockholders’ Equity (Deficit)</w:t>
              </w:r>
            </w:hyperlink>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65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Consolidated Statements of Cash Flows</w:t>
              </w:r>
            </w:hyperlink>
          </w:p>
        </w:tc>
        <w:tc>
          <w:tcPr>
            <w:tcW w:w="414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5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0720" w:type="dxa"/>
            <w:vAlign w:val="bottom"/>
            <w:gridSpan w:val="8"/>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Notes to Consolidated Financial Statements</w:t>
              </w:r>
            </w:hyperlink>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4" w:name="page75"/>
    <w:bookmarkEnd w:id="74"/>
    <w:p>
      <w:pPr>
        <w:ind w:right="3380" w:firstLine="3453"/>
        <w:spacing w:after="0" w:line="33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Shareholders of Ultragenyx Pharmaceutical Inc.</w:t>
      </w:r>
    </w:p>
    <w:p>
      <w:pPr>
        <w:spacing w:after="0" w:line="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have audited the accompanying consolidated balance sheets of Ultragenyx Pharmaceutical Inc. as of December 31, 2016 and 2015, and the related consolidated statements of operations, comprehensive loss, convertible preferred stock and stockholders’ equity (deficit), and cash flows for each of the three years in the period ended December 31, 2016. These financial statements are the responsibility of the Company’s management. Our responsibility is to express an opinion on these financial statements based on our audits.</w:t>
      </w:r>
    </w:p>
    <w:p>
      <w:pPr>
        <w:spacing w:after="0" w:line="38"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40"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the Ultragenyx Pharmaceutical Inc. at December 31, 2016 and 2015, and the consolidated results of its operations and its cash flows for each of the three years in the period ended December 31, 2016, in conformity with U.S. generally accepted accounting principles.</w:t>
      </w:r>
    </w:p>
    <w:p>
      <w:pPr>
        <w:spacing w:after="0" w:line="46"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the Ultragenyx Pharmaceutical Inc.’s internal control over financial reporting as of December 31, 2016, based on criteria established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issued by the Committee of Sponsoring Organizations of the Treadway Commission (2013 framework), and our report dated February 16, 2017</w:t>
      </w:r>
      <w:r>
        <w:rPr>
          <w:rFonts w:ascii="Arial" w:cs="Arial" w:eastAsia="Arial" w:hAnsi="Arial"/>
          <w:sz w:val="18"/>
          <w:szCs w:val="18"/>
          <w:i w:val="1"/>
          <w:iCs w:val="1"/>
          <w:color w:val="auto"/>
        </w:rPr>
        <w:t xml:space="preserve"> </w:t>
      </w:r>
      <w:r>
        <w:rPr>
          <w:rFonts w:ascii="Arial" w:cs="Arial" w:eastAsia="Arial" w:hAnsi="Arial"/>
          <w:sz w:val="18"/>
          <w:szCs w:val="18"/>
          <w:color w:val="auto"/>
        </w:rPr>
        <w:t>expressed an unqualified opinion thereon.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64" w:right="31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00" w:type="dxa"/>
            <w:vAlign w:val="bottom"/>
          </w:tcPr>
          <w:p>
            <w:pPr>
              <w:jc w:val="center"/>
              <w:ind w:left="3290"/>
              <w:spacing w:after="0"/>
              <w:rPr>
                <w:sz w:val="20"/>
                <w:szCs w:val="20"/>
                <w:color w:val="auto"/>
              </w:rPr>
            </w:pPr>
            <w:r>
              <w:rPr>
                <w:rFonts w:ascii="Arial" w:cs="Arial" w:eastAsia="Arial" w:hAnsi="Arial"/>
                <w:sz w:val="18"/>
                <w:szCs w:val="18"/>
                <w:b w:val="1"/>
                <w:bCs w:val="1"/>
                <w:color w:val="auto"/>
              </w:rPr>
              <w:t>ULTRAGENYX PHARMACEUTICAL INC.</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00" w:type="dxa"/>
            <w:vAlign w:val="bottom"/>
          </w:tcPr>
          <w:p>
            <w:pPr>
              <w:jc w:val="center"/>
              <w:ind w:left="3310"/>
              <w:spacing w:after="0"/>
              <w:rPr>
                <w:sz w:val="20"/>
                <w:szCs w:val="20"/>
                <w:color w:val="auto"/>
              </w:rPr>
            </w:pPr>
            <w:r>
              <w:rPr>
                <w:rFonts w:ascii="Arial" w:cs="Arial" w:eastAsia="Arial" w:hAnsi="Arial"/>
                <w:sz w:val="18"/>
                <w:szCs w:val="18"/>
                <w:b w:val="1"/>
                <w:bCs w:val="1"/>
                <w:color w:val="auto"/>
                <w:w w:val="99"/>
              </w:rPr>
              <w:t>CONSOLIDATED BALANCE SHEETS</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0" w:type="dxa"/>
            <w:vAlign w:val="bottom"/>
          </w:tcPr>
          <w:p>
            <w:pPr>
              <w:jc w:val="center"/>
              <w:ind w:left="331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Borders>
              <w:bottom w:val="single" w:sz="8" w:color="CCECFF"/>
            </w:tcBorders>
          </w:tcPr>
          <w:p>
            <w:pPr>
              <w:spacing w:after="0"/>
              <w:rPr>
                <w:sz w:val="19"/>
                <w:szCs w:val="19"/>
                <w:color w:val="auto"/>
              </w:rPr>
            </w:pPr>
          </w:p>
        </w:tc>
        <w:tc>
          <w:tcPr>
            <w:tcW w:w="340" w:type="dxa"/>
            <w:vAlign w:val="bottom"/>
            <w:tcBorders>
              <w:bottom w:val="single" w:sz="8" w:color="CCEC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CCECFF"/>
            </w:tcBorders>
          </w:tcPr>
          <w:p>
            <w:pPr>
              <w:spacing w:after="0"/>
              <w:rPr>
                <w:sz w:val="19"/>
                <w:szCs w:val="19"/>
                <w:color w:val="auto"/>
              </w:rPr>
            </w:pPr>
          </w:p>
        </w:tc>
        <w:tc>
          <w:tcPr>
            <w:tcW w:w="120" w:type="dxa"/>
            <w:vAlign w:val="bottom"/>
            <w:tcBorders>
              <w:bottom w:val="single" w:sz="8" w:color="CCEC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2015</w:t>
            </w:r>
          </w:p>
        </w:tc>
        <w:tc>
          <w:tcPr>
            <w:tcW w:w="100" w:type="dxa"/>
            <w:vAlign w:val="bottom"/>
            <w:tcBorders>
              <w:bottom w:val="single" w:sz="8" w:color="CCEC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shd w:val="clear" w:color="auto" w:fill="CCEC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10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420" w:type="dxa"/>
            <w:vAlign w:val="bottom"/>
            <w:shd w:val="clear" w:color="auto" w:fill="CCECFF"/>
          </w:tcPr>
          <w:p>
            <w:pPr>
              <w:spacing w:after="0"/>
              <w:rPr>
                <w:sz w:val="19"/>
                <w:szCs w:val="19"/>
                <w:color w:val="auto"/>
              </w:rPr>
            </w:pPr>
          </w:p>
        </w:tc>
        <w:tc>
          <w:tcPr>
            <w:tcW w:w="92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shd w:val="clear" w:color="auto" w:fill="CCECFF"/>
          </w:tcPr>
          <w:p>
            <w:pPr>
              <w:ind w:left="240"/>
              <w:spacing w:after="0"/>
              <w:rPr>
                <w:sz w:val="20"/>
                <w:szCs w:val="20"/>
                <w:color w:val="auto"/>
              </w:rPr>
            </w:pPr>
            <w:r>
              <w:rPr>
                <w:rFonts w:ascii="Arial" w:cs="Arial" w:eastAsia="Arial" w:hAnsi="Arial"/>
                <w:sz w:val="18"/>
                <w:szCs w:val="18"/>
                <w:color w:val="auto"/>
              </w:rPr>
              <w:t>Cash and cash equivalents</w:t>
            </w:r>
          </w:p>
        </w:tc>
        <w:tc>
          <w:tcPr>
            <w:tcW w:w="620" w:type="dxa"/>
            <w:vAlign w:val="bottom"/>
            <w:gridSpan w:val="2"/>
            <w:shd w:val="clear" w:color="auto" w:fill="CCECFF"/>
          </w:tcPr>
          <w:p>
            <w:pPr>
              <w:jc w:val="right"/>
              <w:ind w:right="12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161,120</w:t>
            </w:r>
          </w:p>
        </w:tc>
        <w:tc>
          <w:tcPr>
            <w:tcW w:w="180" w:type="dxa"/>
            <w:vAlign w:val="bottom"/>
            <w:shd w:val="clear" w:color="auto" w:fill="CCECFF"/>
          </w:tcPr>
          <w:p>
            <w:pPr>
              <w:spacing w:after="0"/>
              <w:rPr>
                <w:sz w:val="19"/>
                <w:szCs w:val="19"/>
                <w:color w:val="auto"/>
              </w:rPr>
            </w:pPr>
          </w:p>
        </w:tc>
        <w:tc>
          <w:tcPr>
            <w:tcW w:w="540" w:type="dxa"/>
            <w:vAlign w:val="bottom"/>
            <w:gridSpan w:val="2"/>
            <w:shd w:val="clear" w:color="auto" w:fill="CCECFF"/>
          </w:tcPr>
          <w:p>
            <w:pPr>
              <w:jc w:val="right"/>
              <w:ind w:right="26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93,569</w:t>
            </w: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219,028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343,428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shd w:val="clear" w:color="auto" w:fill="CCECFF"/>
          </w:tcPr>
          <w:p>
            <w:pPr>
              <w:ind w:left="240"/>
              <w:spacing w:after="0"/>
              <w:rPr>
                <w:sz w:val="20"/>
                <w:szCs w:val="20"/>
                <w:color w:val="auto"/>
              </w:rPr>
            </w:pPr>
            <w:r>
              <w:rPr>
                <w:rFonts w:ascii="Arial" w:cs="Arial" w:eastAsia="Arial" w:hAnsi="Arial"/>
                <w:sz w:val="18"/>
                <w:szCs w:val="18"/>
                <w:color w:val="auto"/>
              </w:rPr>
              <w:t>Restricted cash</w:t>
            </w:r>
          </w:p>
        </w:tc>
        <w:tc>
          <w:tcPr>
            <w:tcW w:w="34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1,411</w:t>
            </w:r>
          </w:p>
        </w:tc>
        <w:tc>
          <w:tcPr>
            <w:tcW w:w="18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420" w:type="dxa"/>
            <w:vAlign w:val="bottom"/>
            <w:shd w:val="clear" w:color="auto" w:fill="CCECFF"/>
          </w:tcPr>
          <w:p>
            <w:pPr>
              <w:spacing w:after="0"/>
              <w:rPr>
                <w:sz w:val="19"/>
                <w:szCs w:val="19"/>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tcBorders>
              <w:bottom w:val="single" w:sz="8" w:color="CCECFF"/>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CCEC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20,136</w:t>
            </w:r>
          </w:p>
        </w:tc>
        <w:tc>
          <w:tcPr>
            <w:tcW w:w="180" w:type="dxa"/>
            <w:vAlign w:val="bottom"/>
            <w:tcBorders>
              <w:bottom w:val="single" w:sz="8" w:color="CCECFF"/>
            </w:tcBorders>
          </w:tcPr>
          <w:p>
            <w:pPr>
              <w:spacing w:after="0"/>
              <w:rPr>
                <w:sz w:val="19"/>
                <w:szCs w:val="19"/>
                <w:color w:val="auto"/>
              </w:rPr>
            </w:pPr>
          </w:p>
        </w:tc>
        <w:tc>
          <w:tcPr>
            <w:tcW w:w="120" w:type="dxa"/>
            <w:vAlign w:val="bottom"/>
            <w:tcBorders>
              <w:bottom w:val="single" w:sz="8" w:color="CCEC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13,060</w:t>
            </w:r>
          </w:p>
        </w:tc>
        <w:tc>
          <w:tcPr>
            <w:tcW w:w="100" w:type="dxa"/>
            <w:vAlign w:val="bottom"/>
            <w:tcBorders>
              <w:bottom w:val="single" w:sz="8" w:color="CCEC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shd w:val="clear" w:color="auto" w:fill="CCECFF"/>
          </w:tcPr>
          <w:p>
            <w:pPr>
              <w:ind w:left="48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401,695</w:t>
            </w:r>
          </w:p>
        </w:tc>
        <w:tc>
          <w:tcPr>
            <w:tcW w:w="18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420" w:type="dxa"/>
            <w:vAlign w:val="bottom"/>
            <w:shd w:val="clear" w:color="auto" w:fill="CCECFF"/>
          </w:tcPr>
          <w:p>
            <w:pPr>
              <w:spacing w:after="0"/>
              <w:rPr>
                <w:sz w:val="19"/>
                <w:szCs w:val="19"/>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450,207</w:t>
            </w: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shd w:val="clear" w:color="auto" w:fill="CCECFF"/>
          </w:tcPr>
          <w:p>
            <w:pPr>
              <w:spacing w:after="0"/>
              <w:rPr>
                <w:sz w:val="20"/>
                <w:szCs w:val="20"/>
                <w:color w:val="auto"/>
              </w:rPr>
            </w:pPr>
            <w:r>
              <w:rPr>
                <w:rFonts w:ascii="Arial" w:cs="Arial" w:eastAsia="Arial" w:hAnsi="Arial"/>
                <w:sz w:val="18"/>
                <w:szCs w:val="18"/>
                <w:color w:val="auto"/>
              </w:rPr>
              <w:t>Restricted cash</w:t>
            </w:r>
          </w:p>
        </w:tc>
        <w:tc>
          <w:tcPr>
            <w:tcW w:w="34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2,076</w:t>
            </w:r>
          </w:p>
        </w:tc>
        <w:tc>
          <w:tcPr>
            <w:tcW w:w="18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420" w:type="dxa"/>
            <w:vAlign w:val="bottom"/>
            <w:shd w:val="clear" w:color="auto" w:fill="CCECFF"/>
          </w:tcPr>
          <w:p>
            <w:pPr>
              <w:spacing w:after="0"/>
              <w:rPr>
                <w:sz w:val="19"/>
                <w:szCs w:val="19"/>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2,135</w:t>
            </w: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Long-term investments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117,963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99,259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shd w:val="clear" w:color="auto" w:fill="CCECFF"/>
          </w:tcPr>
          <w:p>
            <w:pPr>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CFF"/>
          </w:tcPr>
          <w:p>
            <w:pPr>
              <w:spacing w:after="0"/>
              <w:rPr>
                <w:sz w:val="19"/>
                <w:szCs w:val="19"/>
                <w:color w:val="auto"/>
              </w:rPr>
            </w:pPr>
          </w:p>
        </w:tc>
        <w:tc>
          <w:tcPr>
            <w:tcW w:w="280" w:type="dxa"/>
            <w:vAlign w:val="bottom"/>
            <w:tcBorders>
              <w:bottom w:val="single" w:sz="8" w:color="auto"/>
            </w:tcBorders>
            <w:shd w:val="clear" w:color="auto" w:fill="CCECFF"/>
          </w:tcPr>
          <w:p>
            <w:pPr>
              <w:spacing w:after="0"/>
              <w:rPr>
                <w:sz w:val="19"/>
                <w:szCs w:val="19"/>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1,837</w:t>
            </w:r>
          </w:p>
        </w:tc>
        <w:tc>
          <w:tcPr>
            <w:tcW w:w="18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420" w:type="dxa"/>
            <w:vAlign w:val="bottom"/>
            <w:tcBorders>
              <w:bottom w:val="single" w:sz="8" w:color="auto"/>
            </w:tcBorders>
            <w:shd w:val="clear" w:color="auto" w:fill="CCECFF"/>
          </w:tcPr>
          <w:p>
            <w:pPr>
              <w:spacing w:after="0"/>
              <w:rPr>
                <w:sz w:val="19"/>
                <w:szCs w:val="19"/>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4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540,626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000" w:type="dxa"/>
            <w:vAlign w:val="bottom"/>
            <w:shd w:val="clear" w:color="auto" w:fill="CCEC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10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420" w:type="dxa"/>
            <w:vAlign w:val="bottom"/>
            <w:shd w:val="clear" w:color="auto" w:fill="CCECFF"/>
          </w:tcPr>
          <w:p>
            <w:pPr>
              <w:spacing w:after="0"/>
              <w:rPr>
                <w:sz w:val="19"/>
                <w:szCs w:val="19"/>
                <w:color w:val="auto"/>
              </w:rPr>
            </w:pPr>
          </w:p>
        </w:tc>
        <w:tc>
          <w:tcPr>
            <w:tcW w:w="92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shd w:val="clear" w:color="auto" w:fill="CCECFF"/>
          </w:tcPr>
          <w:p>
            <w:pPr>
              <w:ind w:left="240"/>
              <w:spacing w:after="0"/>
              <w:rPr>
                <w:sz w:val="20"/>
                <w:szCs w:val="20"/>
                <w:color w:val="auto"/>
              </w:rPr>
            </w:pPr>
            <w:r>
              <w:rPr>
                <w:rFonts w:ascii="Arial" w:cs="Arial" w:eastAsia="Arial" w:hAnsi="Arial"/>
                <w:sz w:val="18"/>
                <w:szCs w:val="18"/>
                <w:color w:val="auto"/>
              </w:rPr>
              <w:t>Accounts payable</w:t>
            </w:r>
          </w:p>
        </w:tc>
        <w:tc>
          <w:tcPr>
            <w:tcW w:w="620" w:type="dxa"/>
            <w:vAlign w:val="bottom"/>
            <w:gridSpan w:val="2"/>
            <w:shd w:val="clear" w:color="auto" w:fill="CCECFF"/>
          </w:tcPr>
          <w:p>
            <w:pPr>
              <w:jc w:val="right"/>
              <w:ind w:right="12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5,364</w:t>
            </w:r>
          </w:p>
        </w:tc>
        <w:tc>
          <w:tcPr>
            <w:tcW w:w="180" w:type="dxa"/>
            <w:vAlign w:val="bottom"/>
            <w:shd w:val="clear" w:color="auto" w:fill="CCECFF"/>
          </w:tcPr>
          <w:p>
            <w:pPr>
              <w:spacing w:after="0"/>
              <w:rPr>
                <w:sz w:val="19"/>
                <w:szCs w:val="19"/>
                <w:color w:val="auto"/>
              </w:rPr>
            </w:pPr>
          </w:p>
        </w:tc>
        <w:tc>
          <w:tcPr>
            <w:tcW w:w="540" w:type="dxa"/>
            <w:vAlign w:val="bottom"/>
            <w:gridSpan w:val="2"/>
            <w:shd w:val="clear" w:color="auto" w:fill="CCECFF"/>
          </w:tcPr>
          <w:p>
            <w:pPr>
              <w:jc w:val="right"/>
              <w:ind w:right="26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2,942</w:t>
            </w: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tcPr>
          <w:p>
            <w:pPr>
              <w:ind w:left="240"/>
              <w:spacing w:after="0"/>
              <w:rPr>
                <w:sz w:val="20"/>
                <w:szCs w:val="20"/>
                <w:color w:val="auto"/>
              </w:rPr>
            </w:pPr>
            <w:r>
              <w:rPr>
                <w:rFonts w:ascii="Arial" w:cs="Arial" w:eastAsia="Arial" w:hAnsi="Arial"/>
                <w:sz w:val="18"/>
                <w:szCs w:val="18"/>
                <w:color w:val="auto"/>
              </w:rPr>
              <w:t>Accrued liabilities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54,554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shd w:val="clear" w:color="auto" w:fill="CCECFF"/>
          </w:tcPr>
          <w:p>
            <w:pPr>
              <w:ind w:left="240"/>
              <w:spacing w:after="0"/>
              <w:rPr>
                <w:sz w:val="20"/>
                <w:szCs w:val="20"/>
                <w:color w:val="auto"/>
              </w:rPr>
            </w:pPr>
            <w:r>
              <w:rPr>
                <w:rFonts w:ascii="Arial" w:cs="Arial" w:eastAsia="Arial" w:hAnsi="Arial"/>
                <w:sz w:val="18"/>
                <w:szCs w:val="18"/>
                <w:color w:val="auto"/>
              </w:rPr>
              <w:t>Deferred rent—current portion</w:t>
            </w:r>
          </w:p>
        </w:tc>
        <w:tc>
          <w:tcPr>
            <w:tcW w:w="340" w:type="dxa"/>
            <w:vAlign w:val="bottom"/>
            <w:shd w:val="clear" w:color="auto" w:fill="CCECFF"/>
          </w:tcPr>
          <w:p>
            <w:pPr>
              <w:spacing w:after="0"/>
              <w:rPr>
                <w:sz w:val="19"/>
                <w:szCs w:val="19"/>
                <w:color w:val="auto"/>
              </w:rPr>
            </w:pPr>
          </w:p>
        </w:tc>
        <w:tc>
          <w:tcPr>
            <w:tcW w:w="280" w:type="dxa"/>
            <w:vAlign w:val="bottom"/>
            <w:tcBorders>
              <w:bottom w:val="single" w:sz="8" w:color="auto"/>
            </w:tcBorders>
            <w:shd w:val="clear" w:color="auto" w:fill="CCECFF"/>
          </w:tcPr>
          <w:p>
            <w:pPr>
              <w:spacing w:after="0"/>
              <w:rPr>
                <w:sz w:val="19"/>
                <w:szCs w:val="19"/>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341</w:t>
            </w:r>
          </w:p>
        </w:tc>
        <w:tc>
          <w:tcPr>
            <w:tcW w:w="18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420" w:type="dxa"/>
            <w:vAlign w:val="bottom"/>
            <w:tcBorders>
              <w:bottom w:val="single" w:sz="8" w:color="auto"/>
            </w:tcBorders>
            <w:shd w:val="clear" w:color="auto" w:fill="CCECFF"/>
          </w:tcPr>
          <w:p>
            <w:pPr>
              <w:spacing w:after="0"/>
              <w:rPr>
                <w:sz w:val="19"/>
                <w:szCs w:val="19"/>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60,259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27,918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shd w:val="clear" w:color="auto" w:fill="CCECFF"/>
          </w:tcPr>
          <w:p>
            <w:pPr>
              <w:spacing w:after="0"/>
              <w:rPr>
                <w:sz w:val="20"/>
                <w:szCs w:val="20"/>
                <w:color w:val="auto"/>
              </w:rPr>
            </w:pPr>
            <w:r>
              <w:rPr>
                <w:rFonts w:ascii="Arial" w:cs="Arial" w:eastAsia="Arial" w:hAnsi="Arial"/>
                <w:sz w:val="18"/>
                <w:szCs w:val="18"/>
                <w:color w:val="auto"/>
              </w:rPr>
              <w:t>Other liabilities</w:t>
            </w:r>
          </w:p>
        </w:tc>
        <w:tc>
          <w:tcPr>
            <w:tcW w:w="340" w:type="dxa"/>
            <w:vAlign w:val="bottom"/>
            <w:shd w:val="clear" w:color="auto" w:fill="CCECFF"/>
          </w:tcPr>
          <w:p>
            <w:pPr>
              <w:spacing w:after="0"/>
              <w:rPr>
                <w:sz w:val="19"/>
                <w:szCs w:val="19"/>
                <w:color w:val="auto"/>
              </w:rPr>
            </w:pPr>
          </w:p>
        </w:tc>
        <w:tc>
          <w:tcPr>
            <w:tcW w:w="280" w:type="dxa"/>
            <w:vAlign w:val="bottom"/>
            <w:tcBorders>
              <w:bottom w:val="single" w:sz="8" w:color="auto"/>
            </w:tcBorders>
            <w:shd w:val="clear" w:color="auto" w:fill="CCECFF"/>
          </w:tcPr>
          <w:p>
            <w:pPr>
              <w:spacing w:after="0"/>
              <w:rPr>
                <w:sz w:val="19"/>
                <w:szCs w:val="19"/>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6,393</w:t>
            </w:r>
          </w:p>
        </w:tc>
        <w:tc>
          <w:tcPr>
            <w:tcW w:w="18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420" w:type="dxa"/>
            <w:vAlign w:val="bottom"/>
            <w:tcBorders>
              <w:bottom w:val="single" w:sz="8" w:color="auto"/>
            </w:tcBorders>
            <w:shd w:val="clear" w:color="auto" w:fill="CCECFF"/>
          </w:tcPr>
          <w:p>
            <w:pPr>
              <w:spacing w:after="0"/>
              <w:rPr>
                <w:sz w:val="19"/>
                <w:szCs w:val="19"/>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66,652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000" w:type="dxa"/>
            <w:vAlign w:val="bottom"/>
            <w:shd w:val="clear" w:color="auto" w:fill="CCECFF"/>
          </w:tcPr>
          <w:p>
            <w:pPr>
              <w:spacing w:after="0"/>
              <w:rPr>
                <w:sz w:val="20"/>
                <w:szCs w:val="20"/>
                <w:color w:val="auto"/>
              </w:rPr>
            </w:pPr>
            <w:r>
              <w:rPr>
                <w:rFonts w:ascii="Arial" w:cs="Arial" w:eastAsia="Arial" w:hAnsi="Arial"/>
                <w:sz w:val="18"/>
                <w:szCs w:val="18"/>
                <w:color w:val="auto"/>
              </w:rPr>
              <w:t>Commitments and contingencies (Note 10)</w:t>
            </w:r>
          </w:p>
        </w:tc>
        <w:tc>
          <w:tcPr>
            <w:tcW w:w="34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10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420" w:type="dxa"/>
            <w:vAlign w:val="bottom"/>
            <w:shd w:val="clear" w:color="auto" w:fill="CCECFF"/>
          </w:tcPr>
          <w:p>
            <w:pPr>
              <w:spacing w:after="0"/>
              <w:rPr>
                <w:sz w:val="19"/>
                <w:szCs w:val="19"/>
                <w:color w:val="auto"/>
              </w:rPr>
            </w:pPr>
          </w:p>
        </w:tc>
        <w:tc>
          <w:tcPr>
            <w:tcW w:w="92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80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shd w:val="clear" w:color="auto" w:fill="CCECFF"/>
          </w:tcPr>
          <w:p>
            <w:pPr>
              <w:ind w:left="480"/>
              <w:spacing w:after="0"/>
              <w:rPr>
                <w:sz w:val="20"/>
                <w:szCs w:val="20"/>
                <w:color w:val="auto"/>
              </w:rPr>
            </w:pPr>
            <w:r>
              <w:rPr>
                <w:rFonts w:ascii="Arial" w:cs="Arial" w:eastAsia="Arial" w:hAnsi="Arial"/>
                <w:sz w:val="18"/>
                <w:szCs w:val="18"/>
                <w:color w:val="auto"/>
              </w:rPr>
              <w:t>Preferred stock, par value of $0.001 per share—25,000,000 shares authorized; nil</w:t>
            </w:r>
          </w:p>
        </w:tc>
        <w:tc>
          <w:tcPr>
            <w:tcW w:w="34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04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42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shd w:val="clear" w:color="auto" w:fill="CCECFF"/>
          </w:tcPr>
          <w:p>
            <w:pPr>
              <w:ind w:left="620"/>
              <w:spacing w:after="0"/>
              <w:rPr>
                <w:sz w:val="20"/>
                <w:szCs w:val="20"/>
                <w:color w:val="auto"/>
              </w:rPr>
            </w:pPr>
            <w:r>
              <w:rPr>
                <w:rFonts w:ascii="Arial" w:cs="Arial" w:eastAsia="Arial" w:hAnsi="Arial"/>
                <w:sz w:val="18"/>
                <w:szCs w:val="18"/>
                <w:color w:val="auto"/>
              </w:rPr>
              <w:t>outstanding as of December 31, 2016 and 2015</w:t>
            </w:r>
          </w:p>
        </w:tc>
        <w:tc>
          <w:tcPr>
            <w:tcW w:w="34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122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CFF"/>
          </w:tcPr>
          <w:p>
            <w:pPr>
              <w:spacing w:after="0"/>
              <w:rPr>
                <w:sz w:val="20"/>
                <w:szCs w:val="20"/>
                <w:color w:val="auto"/>
              </w:rPr>
            </w:pPr>
          </w:p>
        </w:tc>
        <w:tc>
          <w:tcPr>
            <w:tcW w:w="420" w:type="dxa"/>
            <w:vAlign w:val="bottom"/>
            <w:shd w:val="clear" w:color="auto" w:fill="CCECFF"/>
          </w:tcPr>
          <w:p>
            <w:pPr>
              <w:spacing w:after="0"/>
              <w:rPr>
                <w:sz w:val="20"/>
                <w:szCs w:val="20"/>
                <w:color w:val="auto"/>
              </w:rPr>
            </w:pPr>
          </w:p>
        </w:tc>
        <w:tc>
          <w:tcPr>
            <w:tcW w:w="102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rPr>
              <w:t>Common stock, par value of $0.001 per share—250,000,000 shares authorized;</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620"/>
              <w:spacing w:after="0"/>
              <w:rPr>
                <w:sz w:val="20"/>
                <w:szCs w:val="20"/>
                <w:color w:val="auto"/>
              </w:rPr>
            </w:pPr>
            <w:r>
              <w:rPr>
                <w:rFonts w:ascii="Arial" w:cs="Arial" w:eastAsia="Arial" w:hAnsi="Arial"/>
                <w:sz w:val="18"/>
                <w:szCs w:val="18"/>
                <w:color w:val="auto"/>
              </w:rPr>
              <w:t>41,240,230 and 38,882,394 shares issued and outstanding as of December 31, 2016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tcPr>
          <w:p>
            <w:pPr>
              <w:ind w:left="620"/>
              <w:spacing w:after="0"/>
              <w:rPr>
                <w:sz w:val="20"/>
                <w:szCs w:val="20"/>
                <w:color w:val="auto"/>
              </w:rPr>
            </w:pPr>
            <w:r>
              <w:rPr>
                <w:rFonts w:ascii="Arial" w:cs="Arial" w:eastAsia="Arial" w:hAnsi="Arial"/>
                <w:sz w:val="18"/>
                <w:szCs w:val="18"/>
                <w:color w:val="auto"/>
              </w:rPr>
              <w:t>and 2015</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shd w:val="clear" w:color="auto" w:fill="CCECFF"/>
          </w:tcPr>
          <w:p>
            <w:pPr>
              <w:ind w:left="48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1,003,561</w:t>
            </w:r>
          </w:p>
        </w:tc>
        <w:tc>
          <w:tcPr>
            <w:tcW w:w="18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420" w:type="dxa"/>
            <w:vAlign w:val="bottom"/>
            <w:shd w:val="clear" w:color="auto" w:fill="CCECFF"/>
          </w:tcPr>
          <w:p>
            <w:pPr>
              <w:spacing w:after="0"/>
              <w:rPr>
                <w:sz w:val="19"/>
                <w:szCs w:val="19"/>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816,578</w:t>
            </w: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rPr>
              <w:t>Accumulated other comprehensive income (loss)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shd w:val="clear" w:color="auto" w:fill="CCECFF"/>
          </w:tcPr>
          <w:p>
            <w:pPr>
              <w:ind w:left="480"/>
              <w:spacing w:after="0"/>
              <w:rPr>
                <w:sz w:val="20"/>
                <w:szCs w:val="20"/>
                <w:color w:val="auto"/>
              </w:rPr>
            </w:pPr>
            <w:r>
              <w:rPr>
                <w:rFonts w:ascii="Arial" w:cs="Arial" w:eastAsia="Arial" w:hAnsi="Arial"/>
                <w:sz w:val="18"/>
                <w:szCs w:val="18"/>
                <w:color w:val="auto"/>
              </w:rPr>
              <w:t>Accumulated deficit</w:t>
            </w:r>
          </w:p>
        </w:tc>
        <w:tc>
          <w:tcPr>
            <w:tcW w:w="34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122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(530,533)</w:t>
            </w:r>
          </w:p>
        </w:tc>
        <w:tc>
          <w:tcPr>
            <w:tcW w:w="120" w:type="dxa"/>
            <w:vAlign w:val="bottom"/>
            <w:shd w:val="clear" w:color="auto" w:fill="CCECFF"/>
          </w:tcPr>
          <w:p>
            <w:pPr>
              <w:spacing w:after="0"/>
              <w:rPr>
                <w:sz w:val="19"/>
                <w:szCs w:val="19"/>
                <w:color w:val="auto"/>
              </w:rPr>
            </w:pPr>
          </w:p>
        </w:tc>
        <w:tc>
          <w:tcPr>
            <w:tcW w:w="420" w:type="dxa"/>
            <w:vAlign w:val="bottom"/>
            <w:shd w:val="clear" w:color="auto" w:fill="CCECFF"/>
          </w:tcPr>
          <w:p>
            <w:pPr>
              <w:spacing w:after="0"/>
              <w:rPr>
                <w:sz w:val="19"/>
                <w:szCs w:val="19"/>
                <w:color w:val="auto"/>
              </w:rPr>
            </w:pPr>
          </w:p>
        </w:tc>
        <w:tc>
          <w:tcPr>
            <w:tcW w:w="102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(284,659)</w:t>
            </w:r>
          </w:p>
        </w:tc>
        <w:tc>
          <w:tcPr>
            <w:tcW w:w="0" w:type="dxa"/>
            <w:vAlign w:val="bottom"/>
          </w:tcPr>
          <w:p>
            <w:pPr>
              <w:spacing w:after="0"/>
              <w:rPr>
                <w:sz w:val="1"/>
                <w:szCs w:val="1"/>
                <w:color w:val="auto"/>
              </w:rPr>
            </w:pPr>
          </w:p>
        </w:tc>
      </w:tr>
      <w:tr>
        <w:trPr>
          <w:trHeight w:val="223"/>
        </w:trPr>
        <w:tc>
          <w:tcPr>
            <w:tcW w:w="802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473,974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Borders>
              <w:top w:val="single" w:sz="8" w:color="CCECFF"/>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top w:val="single" w:sz="8" w:color="CCECFF"/>
              <w:bottom w:val="single" w:sz="8" w:color="CCECFF"/>
            </w:tcBorders>
            <w:shd w:val="clear" w:color="auto" w:fill="CCECFF"/>
          </w:tcPr>
          <w:p>
            <w:pPr>
              <w:spacing w:after="0"/>
              <w:rPr>
                <w:sz w:val="19"/>
                <w:szCs w:val="19"/>
                <w:color w:val="auto"/>
              </w:rPr>
            </w:pPr>
          </w:p>
        </w:tc>
        <w:tc>
          <w:tcPr>
            <w:tcW w:w="280" w:type="dxa"/>
            <w:vAlign w:val="bottom"/>
            <w:tcBorders>
              <w:top w:val="single" w:sz="8" w:color="auto"/>
              <w:bottom w:val="single" w:sz="8" w:color="auto"/>
            </w:tcBorders>
            <w:shd w:val="clear" w:color="auto" w:fill="CCECFF"/>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540,626</w:t>
            </w:r>
          </w:p>
        </w:tc>
        <w:tc>
          <w:tcPr>
            <w:tcW w:w="180" w:type="dxa"/>
            <w:vAlign w:val="bottom"/>
            <w:tcBorders>
              <w:top w:val="single" w:sz="8" w:color="CCECFF"/>
              <w:bottom w:val="single" w:sz="8" w:color="CCECFF"/>
            </w:tcBorders>
            <w:shd w:val="clear" w:color="auto" w:fill="CCECFF"/>
          </w:tcPr>
          <w:p>
            <w:pPr>
              <w:spacing w:after="0"/>
              <w:rPr>
                <w:sz w:val="19"/>
                <w:szCs w:val="19"/>
                <w:color w:val="auto"/>
              </w:rPr>
            </w:pPr>
          </w:p>
        </w:tc>
        <w:tc>
          <w:tcPr>
            <w:tcW w:w="120" w:type="dxa"/>
            <w:vAlign w:val="bottom"/>
            <w:tcBorders>
              <w:top w:val="single" w:sz="8" w:color="CCECFF"/>
              <w:bottom w:val="single" w:sz="8" w:color="CCECFF"/>
            </w:tcBorders>
            <w:shd w:val="clear" w:color="auto" w:fill="CCECFF"/>
          </w:tcPr>
          <w:p>
            <w:pPr>
              <w:spacing w:after="0"/>
              <w:rPr>
                <w:sz w:val="19"/>
                <w:szCs w:val="19"/>
                <w:color w:val="auto"/>
              </w:rPr>
            </w:pPr>
          </w:p>
        </w:tc>
        <w:tc>
          <w:tcPr>
            <w:tcW w:w="420" w:type="dxa"/>
            <w:vAlign w:val="bottom"/>
            <w:tcBorders>
              <w:top w:val="single" w:sz="8" w:color="auto"/>
              <w:bottom w:val="single" w:sz="8" w:color="auto"/>
            </w:tcBorders>
            <w:shd w:val="clear" w:color="auto" w:fill="CCECFF"/>
          </w:tcPr>
          <w:p>
            <w:pPr>
              <w:jc w:val="right"/>
              <w:ind w:right="2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559,569</w:t>
            </w:r>
          </w:p>
        </w:tc>
        <w:tc>
          <w:tcPr>
            <w:tcW w:w="100" w:type="dxa"/>
            <w:vAlign w:val="bottom"/>
            <w:tcBorders>
              <w:top w:val="single" w:sz="8" w:color="CCECFF"/>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4100" w:type="dxa"/>
            <w:vAlign w:val="bottom"/>
            <w:gridSpan w:val="2"/>
          </w:tcPr>
          <w:p>
            <w:pPr>
              <w:jc w:val="center"/>
              <w:ind w:left="350"/>
              <w:spacing w:after="0"/>
              <w:rPr>
                <w:sz w:val="20"/>
                <w:szCs w:val="20"/>
                <w:color w:val="auto"/>
              </w:rPr>
            </w:pPr>
            <w:r>
              <w:rPr>
                <w:rFonts w:ascii="Arial" w:cs="Arial" w:eastAsia="Arial" w:hAnsi="Arial"/>
                <w:sz w:val="18"/>
                <w:szCs w:val="18"/>
                <w:b w:val="1"/>
                <w:bCs w:val="1"/>
                <w:color w:val="auto"/>
              </w:rPr>
              <w:t>ULTRAGENYX PHARMACEUTICAL INC.</w:t>
            </w: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3440" w:type="dxa"/>
            <w:vAlign w:val="bottom"/>
          </w:tcPr>
          <w:p>
            <w:pPr>
              <w:spacing w:after="0"/>
              <w:rPr>
                <w:sz w:val="23"/>
                <w:szCs w:val="23"/>
                <w:color w:val="auto"/>
              </w:rPr>
            </w:pPr>
          </w:p>
        </w:tc>
        <w:tc>
          <w:tcPr>
            <w:tcW w:w="5280" w:type="dxa"/>
            <w:vAlign w:val="bottom"/>
            <w:gridSpan w:val="4"/>
          </w:tcPr>
          <w:p>
            <w:pPr>
              <w:jc w:val="center"/>
              <w:ind w:right="74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5280" w:type="dxa"/>
            <w:vAlign w:val="bottom"/>
            <w:gridSpan w:val="4"/>
          </w:tcPr>
          <w:p>
            <w:pPr>
              <w:jc w:val="center"/>
              <w:ind w:right="72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34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jc w:val="right"/>
              <w:ind w:right="25"/>
              <w:spacing w:after="0"/>
              <w:rPr>
                <w:sz w:val="20"/>
                <w:szCs w:val="20"/>
                <w:color w:val="auto"/>
              </w:rPr>
            </w:pPr>
            <w:r>
              <w:rPr>
                <w:rFonts w:ascii="Arial" w:cs="Arial" w:eastAsia="Arial" w:hAnsi="Arial"/>
                <w:sz w:val="18"/>
                <w:szCs w:val="18"/>
                <w:b w:val="1"/>
                <w:bCs w:val="1"/>
                <w:color w:val="auto"/>
              </w:rPr>
              <w:t>Year Ended 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40" w:type="dxa"/>
            <w:vAlign w:val="bottom"/>
            <w:tcBorders>
              <w:bottom w:val="single" w:sz="8" w:color="CCECFF"/>
            </w:tcBorders>
          </w:tcPr>
          <w:p>
            <w:pPr>
              <w:spacing w:after="0"/>
              <w:rPr>
                <w:sz w:val="19"/>
                <w:szCs w:val="19"/>
                <w:color w:val="auto"/>
              </w:rPr>
            </w:pPr>
          </w:p>
        </w:tc>
        <w:tc>
          <w:tcPr>
            <w:tcW w:w="3860" w:type="dxa"/>
            <w:vAlign w:val="bottom"/>
            <w:tcBorders>
              <w:bottom w:val="single" w:sz="8" w:color="CCEC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CCEC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CCECFF"/>
            </w:tcBorders>
          </w:tcPr>
          <w:p>
            <w:pPr>
              <w:spacing w:after="0"/>
              <w:rPr>
                <w:sz w:val="19"/>
                <w:szCs w:val="19"/>
                <w:color w:val="auto"/>
              </w:rPr>
            </w:pPr>
          </w:p>
        </w:tc>
        <w:tc>
          <w:tcPr>
            <w:tcW w:w="120" w:type="dxa"/>
            <w:vAlign w:val="bottom"/>
            <w:tcBorders>
              <w:bottom w:val="single" w:sz="8" w:color="CCEC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C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shd w:val="clear" w:color="auto" w:fill="CCECFF"/>
          </w:tcPr>
          <w:p>
            <w:pPr>
              <w:spacing w:after="0"/>
              <w:rPr>
                <w:sz w:val="20"/>
                <w:szCs w:val="20"/>
                <w:color w:val="auto"/>
              </w:rPr>
            </w:pPr>
            <w:r>
              <w:rPr>
                <w:rFonts w:ascii="Arial" w:cs="Arial" w:eastAsia="Arial" w:hAnsi="Arial"/>
                <w:sz w:val="18"/>
                <w:szCs w:val="18"/>
                <w:color w:val="auto"/>
              </w:rPr>
              <w:t>Revenue</w:t>
            </w:r>
          </w:p>
        </w:tc>
        <w:tc>
          <w:tcPr>
            <w:tcW w:w="3860" w:type="dxa"/>
            <w:vAlign w:val="bottom"/>
            <w:shd w:val="clear" w:color="auto" w:fill="CCECFF"/>
          </w:tcPr>
          <w:p>
            <w:pPr>
              <w:spacing w:after="0"/>
              <w:rPr>
                <w:sz w:val="19"/>
                <w:szCs w:val="19"/>
                <w:color w:val="auto"/>
              </w:rPr>
            </w:pP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133</w:t>
            </w:r>
          </w:p>
        </w:tc>
        <w:tc>
          <w:tcPr>
            <w:tcW w:w="280" w:type="dxa"/>
            <w:vAlign w:val="bottom"/>
            <w:shd w:val="clear" w:color="auto" w:fill="CCECFF"/>
          </w:tcPr>
          <w:p>
            <w:pPr>
              <w:spacing w:after="0"/>
              <w:rPr>
                <w:sz w:val="19"/>
                <w:szCs w:val="19"/>
                <w:color w:val="auto"/>
              </w:rPr>
            </w:pPr>
          </w:p>
        </w:tc>
        <w:tc>
          <w:tcPr>
            <w:tcW w:w="220" w:type="dxa"/>
            <w:vAlign w:val="bottom"/>
            <w:shd w:val="clear" w:color="auto" w:fill="CCEC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240" w:type="dxa"/>
            <w:vAlign w:val="bottom"/>
            <w:shd w:val="clear" w:color="auto" w:fill="CCEC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Operating expenses:</w:t>
            </w:r>
          </w:p>
        </w:tc>
        <w:tc>
          <w:tcPr>
            <w:tcW w:w="3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CFF"/>
          </w:tcPr>
          <w:p>
            <w:pPr>
              <w:ind w:left="260"/>
              <w:spacing w:after="0"/>
              <w:rPr>
                <w:sz w:val="20"/>
                <w:szCs w:val="20"/>
                <w:color w:val="auto"/>
              </w:rPr>
            </w:pPr>
            <w:r>
              <w:rPr>
                <w:rFonts w:ascii="Arial" w:cs="Arial" w:eastAsia="Arial" w:hAnsi="Arial"/>
                <w:sz w:val="18"/>
                <w:szCs w:val="18"/>
                <w:color w:val="auto"/>
              </w:rPr>
              <w:t>Research and development</w:t>
            </w:r>
          </w:p>
        </w:tc>
        <w:tc>
          <w:tcPr>
            <w:tcW w:w="386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183,204</w:t>
            </w:r>
          </w:p>
        </w:tc>
        <w:tc>
          <w:tcPr>
            <w:tcW w:w="28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114,737</w:t>
            </w:r>
          </w:p>
        </w:tc>
        <w:tc>
          <w:tcPr>
            <w:tcW w:w="16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45,967</w:t>
            </w: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Borders>
              <w:bottom w:val="single" w:sz="8" w:color="CCECFF"/>
            </w:tcBorders>
          </w:tcPr>
          <w:p>
            <w:pPr>
              <w:ind w:left="260"/>
              <w:spacing w:after="0"/>
              <w:rPr>
                <w:sz w:val="20"/>
                <w:szCs w:val="20"/>
                <w:color w:val="auto"/>
              </w:rPr>
            </w:pPr>
            <w:r>
              <w:rPr>
                <w:rFonts w:ascii="Arial" w:cs="Arial" w:eastAsia="Arial" w:hAnsi="Arial"/>
                <w:sz w:val="18"/>
                <w:szCs w:val="18"/>
                <w:color w:val="auto"/>
              </w:rPr>
              <w:t>General and administrative</w:t>
            </w:r>
          </w:p>
        </w:tc>
        <w:tc>
          <w:tcPr>
            <w:tcW w:w="3860" w:type="dxa"/>
            <w:vAlign w:val="bottom"/>
            <w:tcBorders>
              <w:bottom w:val="single" w:sz="8" w:color="CCEC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64,936</w:t>
            </w:r>
          </w:p>
        </w:tc>
        <w:tc>
          <w:tcPr>
            <w:tcW w:w="280" w:type="dxa"/>
            <w:vAlign w:val="bottom"/>
            <w:tcBorders>
              <w:bottom w:val="single" w:sz="8" w:color="CCEC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33,001</w:t>
            </w:r>
          </w:p>
        </w:tc>
        <w:tc>
          <w:tcPr>
            <w:tcW w:w="160" w:type="dxa"/>
            <w:vAlign w:val="bottom"/>
            <w:tcBorders>
              <w:bottom w:val="single" w:sz="8" w:color="CCECFF"/>
            </w:tcBorders>
          </w:tcPr>
          <w:p>
            <w:pPr>
              <w:spacing w:after="0"/>
              <w:rPr>
                <w:sz w:val="19"/>
                <w:szCs w:val="19"/>
                <w:color w:val="auto"/>
              </w:rPr>
            </w:pPr>
          </w:p>
        </w:tc>
        <w:tc>
          <w:tcPr>
            <w:tcW w:w="120" w:type="dxa"/>
            <w:vAlign w:val="bottom"/>
            <w:tcBorders>
              <w:bottom w:val="single" w:sz="8" w:color="CCEC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10,811</w:t>
            </w:r>
          </w:p>
        </w:tc>
        <w:tc>
          <w:tcPr>
            <w:tcW w:w="100" w:type="dxa"/>
            <w:vAlign w:val="bottom"/>
            <w:tcBorders>
              <w:bottom w:val="single" w:sz="8" w:color="CCEC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shd w:val="clear" w:color="auto" w:fill="CCECFF"/>
          </w:tcPr>
          <w:p>
            <w:pPr>
              <w:ind w:left="500"/>
              <w:spacing w:after="0"/>
              <w:rPr>
                <w:sz w:val="20"/>
                <w:szCs w:val="20"/>
                <w:color w:val="auto"/>
              </w:rPr>
            </w:pPr>
            <w:r>
              <w:rPr>
                <w:rFonts w:ascii="Arial" w:cs="Arial" w:eastAsia="Arial" w:hAnsi="Arial"/>
                <w:sz w:val="18"/>
                <w:szCs w:val="18"/>
                <w:color w:val="auto"/>
              </w:rPr>
              <w:t>Total operating expenses</w:t>
            </w:r>
          </w:p>
        </w:tc>
        <w:tc>
          <w:tcPr>
            <w:tcW w:w="3860" w:type="dxa"/>
            <w:vAlign w:val="bottom"/>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spacing w:after="0"/>
              <w:rPr>
                <w:sz w:val="19"/>
                <w:szCs w:val="19"/>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248,140</w:t>
            </w:r>
          </w:p>
        </w:tc>
        <w:tc>
          <w:tcPr>
            <w:tcW w:w="280" w:type="dxa"/>
            <w:vAlign w:val="bottom"/>
            <w:shd w:val="clear" w:color="auto" w:fill="CCECFF"/>
          </w:tcPr>
          <w:p>
            <w:pPr>
              <w:spacing w:after="0"/>
              <w:rPr>
                <w:sz w:val="19"/>
                <w:szCs w:val="19"/>
                <w:color w:val="auto"/>
              </w:rPr>
            </w:pPr>
          </w:p>
        </w:tc>
        <w:tc>
          <w:tcPr>
            <w:tcW w:w="220" w:type="dxa"/>
            <w:vAlign w:val="bottom"/>
            <w:tcBorders>
              <w:bottom w:val="single" w:sz="8" w:color="auto"/>
            </w:tcBorders>
            <w:shd w:val="clear" w:color="auto" w:fill="CCECFF"/>
          </w:tcPr>
          <w:p>
            <w:pPr>
              <w:spacing w:after="0"/>
              <w:rPr>
                <w:sz w:val="19"/>
                <w:szCs w:val="19"/>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147,738</w:t>
            </w:r>
          </w:p>
        </w:tc>
        <w:tc>
          <w:tcPr>
            <w:tcW w:w="16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spacing w:after="0"/>
              <w:rPr>
                <w:sz w:val="19"/>
                <w:szCs w:val="19"/>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56,778</w:t>
            </w: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Loss from operations</w:t>
            </w:r>
          </w:p>
        </w:tc>
        <w:tc>
          <w:tcPr>
            <w:tcW w:w="3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(248,007)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(147,738)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(56,778)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CFF"/>
          </w:tcPr>
          <w:p>
            <w:pPr>
              <w:spacing w:after="0"/>
              <w:rPr>
                <w:sz w:val="20"/>
                <w:szCs w:val="20"/>
                <w:color w:val="auto"/>
              </w:rPr>
            </w:pPr>
            <w:r>
              <w:rPr>
                <w:rFonts w:ascii="Arial" w:cs="Arial" w:eastAsia="Arial" w:hAnsi="Arial"/>
                <w:sz w:val="18"/>
                <w:szCs w:val="18"/>
                <w:color w:val="auto"/>
              </w:rPr>
              <w:t>Other income (expense), net:</w:t>
            </w:r>
          </w:p>
        </w:tc>
        <w:tc>
          <w:tcPr>
            <w:tcW w:w="386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90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94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92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3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3,789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CFF"/>
          </w:tcPr>
          <w:p>
            <w:pPr>
              <w:ind w:left="260"/>
              <w:spacing w:after="0"/>
              <w:rPr>
                <w:sz w:val="20"/>
                <w:szCs w:val="20"/>
                <w:color w:val="auto"/>
              </w:rPr>
            </w:pPr>
            <w:r>
              <w:rPr>
                <w:rFonts w:ascii="Arial" w:cs="Arial" w:eastAsia="Arial" w:hAnsi="Arial"/>
                <w:sz w:val="18"/>
                <w:szCs w:val="18"/>
                <w:color w:val="auto"/>
              </w:rPr>
              <w:t>Other expense, net</w:t>
            </w:r>
          </w:p>
        </w:tc>
        <w:tc>
          <w:tcPr>
            <w:tcW w:w="386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118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(1,621)</w:t>
            </w:r>
          </w:p>
        </w:tc>
        <w:tc>
          <w:tcPr>
            <w:tcW w:w="220" w:type="dxa"/>
            <w:vAlign w:val="bottom"/>
            <w:shd w:val="clear" w:color="auto" w:fill="CCECFF"/>
          </w:tcPr>
          <w:p>
            <w:pPr>
              <w:spacing w:after="0"/>
              <w:rPr>
                <w:sz w:val="19"/>
                <w:szCs w:val="19"/>
                <w:color w:val="auto"/>
              </w:rPr>
            </w:pPr>
          </w:p>
        </w:tc>
        <w:tc>
          <w:tcPr>
            <w:tcW w:w="110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102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(3,632)</w:t>
            </w:r>
          </w:p>
        </w:tc>
        <w:tc>
          <w:tcPr>
            <w:tcW w:w="0" w:type="dxa"/>
            <w:vAlign w:val="bottom"/>
          </w:tcPr>
          <w:p>
            <w:pPr>
              <w:spacing w:after="0"/>
              <w:rPr>
                <w:sz w:val="1"/>
                <w:szCs w:val="1"/>
                <w:color w:val="auto"/>
              </w:rPr>
            </w:pPr>
          </w:p>
        </w:tc>
      </w:tr>
      <w:tr>
        <w:trPr>
          <w:trHeight w:val="223"/>
        </w:trPr>
        <w:tc>
          <w:tcPr>
            <w:tcW w:w="3440" w:type="dxa"/>
            <w:vAlign w:val="bottom"/>
            <w:tcBorders>
              <w:bottom w:val="single" w:sz="8" w:color="CCECFF"/>
            </w:tcBorders>
          </w:tcPr>
          <w:p>
            <w:pPr>
              <w:ind w:left="500"/>
              <w:spacing w:after="0"/>
              <w:rPr>
                <w:sz w:val="20"/>
                <w:szCs w:val="20"/>
                <w:color w:val="auto"/>
              </w:rPr>
            </w:pPr>
            <w:r>
              <w:rPr>
                <w:rFonts w:ascii="Arial" w:cs="Arial" w:eastAsia="Arial" w:hAnsi="Arial"/>
                <w:sz w:val="18"/>
                <w:szCs w:val="18"/>
                <w:color w:val="auto"/>
              </w:rPr>
              <w:t>Total other income (expense), net</w:t>
            </w:r>
          </w:p>
        </w:tc>
        <w:tc>
          <w:tcPr>
            <w:tcW w:w="3860" w:type="dxa"/>
            <w:vAlign w:val="bottom"/>
            <w:tcBorders>
              <w:bottom w:val="single" w:sz="8" w:color="CCEC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2,168</w:t>
            </w:r>
          </w:p>
        </w:tc>
        <w:tc>
          <w:tcPr>
            <w:tcW w:w="280" w:type="dxa"/>
            <w:vAlign w:val="bottom"/>
            <w:tcBorders>
              <w:bottom w:val="single" w:sz="8" w:color="CCEC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2,120</w:t>
            </w:r>
          </w:p>
        </w:tc>
        <w:tc>
          <w:tcPr>
            <w:tcW w:w="160" w:type="dxa"/>
            <w:vAlign w:val="bottom"/>
            <w:tcBorders>
              <w:bottom w:val="single" w:sz="8" w:color="CCECFF"/>
            </w:tcBorders>
          </w:tcPr>
          <w:p>
            <w:pPr>
              <w:spacing w:after="0"/>
              <w:rPr>
                <w:sz w:val="19"/>
                <w:szCs w:val="19"/>
                <w:color w:val="auto"/>
              </w:rPr>
            </w:pPr>
          </w:p>
        </w:tc>
        <w:tc>
          <w:tcPr>
            <w:tcW w:w="120" w:type="dxa"/>
            <w:vAlign w:val="bottom"/>
            <w:tcBorders>
              <w:bottom w:val="single" w:sz="8" w:color="CCEC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(3,024)</w:t>
            </w:r>
          </w:p>
        </w:tc>
        <w:tc>
          <w:tcPr>
            <w:tcW w:w="100" w:type="dxa"/>
            <w:vAlign w:val="bottom"/>
            <w:tcBorders>
              <w:bottom w:val="single" w:sz="8" w:color="CCEC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shd w:val="clear" w:color="auto" w:fill="CCECFF"/>
          </w:tcPr>
          <w:p>
            <w:pPr>
              <w:spacing w:after="0"/>
              <w:rPr>
                <w:sz w:val="20"/>
                <w:szCs w:val="20"/>
                <w:color w:val="auto"/>
              </w:rPr>
            </w:pPr>
            <w:r>
              <w:rPr>
                <w:rFonts w:ascii="Arial" w:cs="Arial" w:eastAsia="Arial" w:hAnsi="Arial"/>
                <w:sz w:val="18"/>
                <w:szCs w:val="18"/>
                <w:color w:val="auto"/>
              </w:rPr>
              <w:t>Loss before income taxes</w:t>
            </w:r>
          </w:p>
        </w:tc>
        <w:tc>
          <w:tcPr>
            <w:tcW w:w="386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(245,839)</w:t>
            </w:r>
          </w:p>
        </w:tc>
        <w:tc>
          <w:tcPr>
            <w:tcW w:w="28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(145,618)</w:t>
            </w:r>
          </w:p>
        </w:tc>
        <w:tc>
          <w:tcPr>
            <w:tcW w:w="16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(59,802)</w:t>
            </w: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Income tax provision</w:t>
            </w:r>
          </w:p>
        </w:tc>
        <w:tc>
          <w:tcPr>
            <w:tcW w:w="3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40" w:type="dxa"/>
            <w:vAlign w:val="bottom"/>
            <w:tcBorders>
              <w:top w:val="single" w:sz="8" w:color="CCECFF"/>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Net loss</w:t>
            </w:r>
          </w:p>
        </w:tc>
        <w:tc>
          <w:tcPr>
            <w:tcW w:w="3860" w:type="dxa"/>
            <w:vAlign w:val="bottom"/>
            <w:tcBorders>
              <w:top w:val="single" w:sz="8" w:color="CCECFF"/>
              <w:bottom w:val="single" w:sz="8" w:color="CCECFF"/>
            </w:tcBorders>
            <w:shd w:val="clear" w:color="auto" w:fill="CCECFF"/>
          </w:tcPr>
          <w:p>
            <w:pPr>
              <w:spacing w:after="0"/>
              <w:rPr>
                <w:sz w:val="19"/>
                <w:szCs w:val="19"/>
                <w:color w:val="auto"/>
              </w:rPr>
            </w:pPr>
          </w:p>
        </w:tc>
        <w:tc>
          <w:tcPr>
            <w:tcW w:w="240" w:type="dxa"/>
            <w:vAlign w:val="bottom"/>
            <w:tcBorders>
              <w:top w:val="single" w:sz="8" w:color="auto"/>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(245,874)</w:t>
            </w:r>
          </w:p>
        </w:tc>
        <w:tc>
          <w:tcPr>
            <w:tcW w:w="280" w:type="dxa"/>
            <w:vAlign w:val="bottom"/>
            <w:tcBorders>
              <w:top w:val="single" w:sz="8" w:color="CCECFF"/>
              <w:bottom w:val="single" w:sz="8" w:color="CCECFF"/>
            </w:tcBorders>
            <w:shd w:val="clear" w:color="auto" w:fill="CCECFF"/>
          </w:tcPr>
          <w:p>
            <w:pPr>
              <w:spacing w:after="0"/>
              <w:rPr>
                <w:sz w:val="19"/>
                <w:szCs w:val="19"/>
                <w:color w:val="auto"/>
              </w:rPr>
            </w:pPr>
          </w:p>
        </w:tc>
        <w:tc>
          <w:tcPr>
            <w:tcW w:w="220" w:type="dxa"/>
            <w:vAlign w:val="bottom"/>
            <w:tcBorders>
              <w:top w:val="single" w:sz="8" w:color="auto"/>
              <w:bottom w:val="single" w:sz="8" w:color="auto"/>
            </w:tcBorders>
            <w:shd w:val="clear" w:color="auto" w:fill="CCEC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(145,618)</w:t>
            </w:r>
          </w:p>
        </w:tc>
        <w:tc>
          <w:tcPr>
            <w:tcW w:w="160" w:type="dxa"/>
            <w:vAlign w:val="bottom"/>
            <w:tcBorders>
              <w:top w:val="single" w:sz="8" w:color="CCECFF"/>
              <w:bottom w:val="single" w:sz="8" w:color="CCECFF"/>
            </w:tcBorders>
            <w:shd w:val="clear" w:color="auto" w:fill="CCECFF"/>
          </w:tcPr>
          <w:p>
            <w:pPr>
              <w:spacing w:after="0"/>
              <w:rPr>
                <w:sz w:val="19"/>
                <w:szCs w:val="19"/>
                <w:color w:val="auto"/>
              </w:rPr>
            </w:pPr>
          </w:p>
        </w:tc>
        <w:tc>
          <w:tcPr>
            <w:tcW w:w="120" w:type="dxa"/>
            <w:vAlign w:val="bottom"/>
            <w:tcBorders>
              <w:top w:val="single" w:sz="8" w:color="CCECFF"/>
              <w:bottom w:val="single" w:sz="8" w:color="CCECFF"/>
            </w:tcBorders>
            <w:shd w:val="clear" w:color="auto" w:fill="CCECFF"/>
          </w:tcPr>
          <w:p>
            <w:pPr>
              <w:spacing w:after="0"/>
              <w:rPr>
                <w:sz w:val="19"/>
                <w:szCs w:val="19"/>
                <w:color w:val="auto"/>
              </w:rPr>
            </w:pPr>
          </w:p>
        </w:tc>
        <w:tc>
          <w:tcPr>
            <w:tcW w:w="240" w:type="dxa"/>
            <w:vAlign w:val="bottom"/>
            <w:tcBorders>
              <w:top w:val="single" w:sz="8" w:color="auto"/>
              <w:bottom w:val="single" w:sz="8" w:color="auto"/>
            </w:tcBorders>
            <w:shd w:val="clear" w:color="auto" w:fill="CCEC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(59,802)</w:t>
            </w:r>
          </w:p>
        </w:tc>
        <w:tc>
          <w:tcPr>
            <w:tcW w:w="100" w:type="dxa"/>
            <w:vAlign w:val="bottom"/>
            <w:tcBorders>
              <w:top w:val="single" w:sz="8" w:color="CCECFF"/>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8"/>
                <w:szCs w:val="18"/>
                <w:color w:val="auto"/>
                <w:w w:val="95"/>
              </w:rPr>
              <w:t>Net loss attributable to common stockholders</w:t>
            </w:r>
          </w:p>
        </w:tc>
        <w:tc>
          <w:tcPr>
            <w:tcW w:w="41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CFF"/>
            </w:tcBorders>
            <w:vMerge w:val="continue"/>
          </w:tcPr>
          <w:p>
            <w:pPr>
              <w:spacing w:after="0"/>
              <w:rPr>
                <w:sz w:val="21"/>
                <w:szCs w:val="21"/>
                <w:color w:val="auto"/>
              </w:rPr>
            </w:pPr>
          </w:p>
        </w:tc>
        <w:tc>
          <w:tcPr>
            <w:tcW w:w="3860" w:type="dxa"/>
            <w:vAlign w:val="bottom"/>
            <w:tcBorders>
              <w:bottom w:val="single" w:sz="8" w:color="CCEC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(245,874)</w:t>
            </w:r>
          </w:p>
        </w:tc>
        <w:tc>
          <w:tcPr>
            <w:tcW w:w="280" w:type="dxa"/>
            <w:vAlign w:val="bottom"/>
            <w:tcBorders>
              <w:bottom w:val="single" w:sz="8" w:color="CCEC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(145,618)</w:t>
            </w:r>
          </w:p>
        </w:tc>
        <w:tc>
          <w:tcPr>
            <w:tcW w:w="160" w:type="dxa"/>
            <w:vAlign w:val="bottom"/>
            <w:tcBorders>
              <w:bottom w:val="single" w:sz="8" w:color="CCECFF"/>
            </w:tcBorders>
          </w:tcPr>
          <w:p>
            <w:pPr>
              <w:spacing w:after="0"/>
              <w:rPr>
                <w:sz w:val="21"/>
                <w:szCs w:val="21"/>
                <w:color w:val="auto"/>
              </w:rPr>
            </w:pPr>
          </w:p>
        </w:tc>
        <w:tc>
          <w:tcPr>
            <w:tcW w:w="120" w:type="dxa"/>
            <w:vAlign w:val="bottom"/>
            <w:tcBorders>
              <w:bottom w:val="single" w:sz="8" w:color="CCEC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(64,610)</w:t>
            </w:r>
          </w:p>
        </w:tc>
        <w:tc>
          <w:tcPr>
            <w:tcW w:w="100" w:type="dxa"/>
            <w:vAlign w:val="bottom"/>
            <w:tcBorders>
              <w:bottom w:val="single" w:sz="8" w:color="CCEC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300" w:type="dxa"/>
            <w:vAlign w:val="bottom"/>
            <w:gridSpan w:val="2"/>
            <w:shd w:val="clear" w:color="auto" w:fill="CCECFF"/>
          </w:tcPr>
          <w:p>
            <w:pPr>
              <w:spacing w:after="0" w:line="195" w:lineRule="exact"/>
              <w:rPr>
                <w:sz w:val="20"/>
                <w:szCs w:val="20"/>
                <w:color w:val="auto"/>
              </w:rPr>
            </w:pPr>
            <w:r>
              <w:rPr>
                <w:rFonts w:ascii="Arial" w:cs="Arial" w:eastAsia="Arial" w:hAnsi="Arial"/>
                <w:sz w:val="18"/>
                <w:szCs w:val="18"/>
                <w:color w:val="auto"/>
              </w:rPr>
              <w:t>Net loss per share attributable to common stockholders,</w:t>
            </w:r>
          </w:p>
        </w:tc>
        <w:tc>
          <w:tcPr>
            <w:tcW w:w="240" w:type="dxa"/>
            <w:vAlign w:val="bottom"/>
            <w:shd w:val="clear" w:color="auto" w:fill="CCECFF"/>
          </w:tcPr>
          <w:p>
            <w:pPr>
              <w:spacing w:after="0"/>
              <w:rPr>
                <w:sz w:val="17"/>
                <w:szCs w:val="17"/>
                <w:color w:val="auto"/>
              </w:rPr>
            </w:pPr>
          </w:p>
        </w:tc>
        <w:tc>
          <w:tcPr>
            <w:tcW w:w="90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94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92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CFF"/>
          </w:tcPr>
          <w:p>
            <w:pPr>
              <w:ind w:left="140"/>
              <w:spacing w:after="0"/>
              <w:rPr>
                <w:sz w:val="20"/>
                <w:szCs w:val="20"/>
                <w:color w:val="auto"/>
              </w:rPr>
            </w:pPr>
            <w:r>
              <w:rPr>
                <w:rFonts w:ascii="Arial" w:cs="Arial" w:eastAsia="Arial" w:hAnsi="Arial"/>
                <w:sz w:val="18"/>
                <w:szCs w:val="18"/>
                <w:color w:val="auto"/>
              </w:rPr>
              <w:t>basic and diluted</w:t>
            </w:r>
          </w:p>
        </w:tc>
        <w:tc>
          <w:tcPr>
            <w:tcW w:w="3860" w:type="dxa"/>
            <w:vAlign w:val="bottom"/>
            <w:shd w:val="clear" w:color="auto" w:fill="CCECFF"/>
          </w:tcPr>
          <w:p>
            <w:pPr>
              <w:spacing w:after="0"/>
              <w:rPr>
                <w:sz w:val="20"/>
                <w:szCs w:val="20"/>
                <w:color w:val="auto"/>
              </w:rPr>
            </w:pP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(6.21)</w:t>
            </w:r>
          </w:p>
        </w:tc>
        <w:tc>
          <w:tcPr>
            <w:tcW w:w="220" w:type="dxa"/>
            <w:vAlign w:val="bottom"/>
            <w:shd w:val="clear" w:color="auto" w:fill="CCECFF"/>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(3.96)</w:t>
            </w:r>
          </w:p>
        </w:tc>
        <w:tc>
          <w:tcPr>
            <w:tcW w:w="360" w:type="dxa"/>
            <w:vAlign w:val="bottom"/>
            <w:gridSpan w:val="2"/>
            <w:shd w:val="clear" w:color="auto" w:fill="CCECFF"/>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
        </w:trPr>
        <w:tc>
          <w:tcPr>
            <w:tcW w:w="7300" w:type="dxa"/>
            <w:vAlign w:val="bottom"/>
            <w:tcBorders>
              <w:top w:val="single" w:sz="8" w:color="CCECFF"/>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00" w:type="dxa"/>
            <w:vAlign w:val="bottom"/>
            <w:gridSpan w:val="2"/>
          </w:tcPr>
          <w:p>
            <w:pPr>
              <w:spacing w:after="0" w:line="196" w:lineRule="exact"/>
              <w:rPr>
                <w:sz w:val="20"/>
                <w:szCs w:val="20"/>
                <w:color w:val="auto"/>
              </w:rPr>
            </w:pPr>
            <w:r>
              <w:rPr>
                <w:rFonts w:ascii="Arial" w:cs="Arial" w:eastAsia="Arial" w:hAnsi="Arial"/>
                <w:sz w:val="18"/>
                <w:szCs w:val="18"/>
                <w:color w:val="auto"/>
              </w:rPr>
              <w:t>Shares used in computing net loss per share attributable to</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140"/>
              <w:spacing w:after="0"/>
              <w:rPr>
                <w:sz w:val="20"/>
                <w:szCs w:val="20"/>
                <w:color w:val="auto"/>
              </w:rPr>
            </w:pPr>
            <w:r>
              <w:rPr>
                <w:rFonts w:ascii="Arial" w:cs="Arial" w:eastAsia="Arial" w:hAnsi="Arial"/>
                <w:sz w:val="18"/>
                <w:szCs w:val="18"/>
                <w:color w:val="auto"/>
              </w:rPr>
              <w:t>common stockholders, basic and diluted</w:t>
            </w:r>
          </w:p>
        </w:tc>
        <w:tc>
          <w:tcPr>
            <w:tcW w:w="3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39,586,908</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36,782,603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28,755,758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4480" w:type="dxa"/>
            <w:vAlign w:val="bottom"/>
            <w:gridSpan w:val="2"/>
          </w:tcPr>
          <w:p>
            <w:pPr>
              <w:jc w:val="center"/>
              <w:ind w:left="610"/>
              <w:spacing w:after="0"/>
              <w:rPr>
                <w:sz w:val="20"/>
                <w:szCs w:val="20"/>
                <w:color w:val="auto"/>
              </w:rPr>
            </w:pPr>
            <w:r>
              <w:rPr>
                <w:rFonts w:ascii="Arial" w:cs="Arial" w:eastAsia="Arial" w:hAnsi="Arial"/>
                <w:sz w:val="18"/>
                <w:szCs w:val="18"/>
                <w:b w:val="1"/>
                <w:bCs w:val="1"/>
                <w:color w:val="auto"/>
              </w:rPr>
              <w:t>ULTRAGENYX PHARMACEUTICAL INC.</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5"/>
        </w:trPr>
        <w:tc>
          <w:tcPr>
            <w:tcW w:w="3120" w:type="dxa"/>
            <w:vAlign w:val="bottom"/>
          </w:tcPr>
          <w:p>
            <w:pPr>
              <w:spacing w:after="0"/>
              <w:rPr>
                <w:sz w:val="23"/>
                <w:szCs w:val="23"/>
                <w:color w:val="auto"/>
              </w:rPr>
            </w:pPr>
          </w:p>
        </w:tc>
        <w:tc>
          <w:tcPr>
            <w:tcW w:w="564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99"/>
              </w:rPr>
              <w:t>CONSOLIDATED STATEMENTS OF COMPREHENSIVE LOSS</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4"/>
        </w:trPr>
        <w:tc>
          <w:tcPr>
            <w:tcW w:w="3120" w:type="dxa"/>
            <w:vAlign w:val="bottom"/>
          </w:tcPr>
          <w:p>
            <w:pPr>
              <w:spacing w:after="0"/>
              <w:rPr>
                <w:sz w:val="20"/>
                <w:szCs w:val="20"/>
                <w:color w:val="auto"/>
              </w:rPr>
            </w:pPr>
          </w:p>
        </w:tc>
        <w:tc>
          <w:tcPr>
            <w:tcW w:w="4480" w:type="dxa"/>
            <w:vAlign w:val="bottom"/>
            <w:gridSpan w:val="2"/>
          </w:tcPr>
          <w:p>
            <w:pPr>
              <w:jc w:val="center"/>
              <w:ind w:left="630"/>
              <w:spacing w:after="0"/>
              <w:rPr>
                <w:sz w:val="20"/>
                <w:szCs w:val="20"/>
                <w:color w:val="auto"/>
              </w:rPr>
            </w:pPr>
            <w:r>
              <w:rPr>
                <w:rFonts w:ascii="Arial" w:cs="Arial" w:eastAsia="Arial" w:hAnsi="Arial"/>
                <w:sz w:val="18"/>
                <w:szCs w:val="18"/>
                <w:b w:val="1"/>
                <w:bCs w:val="1"/>
                <w:color w:val="auto"/>
                <w:w w:val="90"/>
              </w:rPr>
              <w:t>(In thousands)</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1"/>
        </w:trPr>
        <w:tc>
          <w:tcPr>
            <w:tcW w:w="31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120" w:type="dxa"/>
            <w:vAlign w:val="bottom"/>
            <w:tcBorders>
              <w:bottom w:val="single" w:sz="8" w:color="CCECFF"/>
            </w:tcBorders>
          </w:tcPr>
          <w:p>
            <w:pPr>
              <w:spacing w:after="0"/>
              <w:rPr>
                <w:sz w:val="19"/>
                <w:szCs w:val="19"/>
                <w:color w:val="auto"/>
              </w:rPr>
            </w:pPr>
          </w:p>
        </w:tc>
        <w:tc>
          <w:tcPr>
            <w:tcW w:w="4240" w:type="dxa"/>
            <w:vAlign w:val="bottom"/>
            <w:tcBorders>
              <w:bottom w:val="single" w:sz="8" w:color="CCEC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CCEC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bottom w:val="single" w:sz="8" w:color="CCEC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CFF"/>
            </w:tcBorders>
          </w:tcPr>
          <w:p>
            <w:pPr>
              <w:spacing w:after="0"/>
              <w:rPr>
                <w:sz w:val="19"/>
                <w:szCs w:val="19"/>
                <w:color w:val="auto"/>
              </w:rPr>
            </w:pPr>
          </w:p>
        </w:tc>
      </w:tr>
      <w:tr>
        <w:trPr>
          <w:trHeight w:val="223"/>
        </w:trPr>
        <w:tc>
          <w:tcPr>
            <w:tcW w:w="3120" w:type="dxa"/>
            <w:vAlign w:val="bottom"/>
            <w:shd w:val="clear" w:color="auto" w:fill="CCECFF"/>
          </w:tcPr>
          <w:p>
            <w:pPr>
              <w:spacing w:after="0"/>
              <w:rPr>
                <w:sz w:val="20"/>
                <w:szCs w:val="20"/>
                <w:color w:val="auto"/>
              </w:rPr>
            </w:pPr>
            <w:r>
              <w:rPr>
                <w:rFonts w:ascii="Arial" w:cs="Arial" w:eastAsia="Arial" w:hAnsi="Arial"/>
                <w:sz w:val="18"/>
                <w:szCs w:val="18"/>
                <w:color w:val="auto"/>
              </w:rPr>
              <w:t>Net loss</w:t>
            </w:r>
          </w:p>
        </w:tc>
        <w:tc>
          <w:tcPr>
            <w:tcW w:w="4240" w:type="dxa"/>
            <w:vAlign w:val="bottom"/>
            <w:shd w:val="clear" w:color="auto" w:fill="CCECFF"/>
          </w:tcPr>
          <w:p>
            <w:pPr>
              <w:spacing w:after="0"/>
              <w:rPr>
                <w:sz w:val="19"/>
                <w:szCs w:val="19"/>
                <w:color w:val="auto"/>
              </w:rPr>
            </w:pPr>
          </w:p>
        </w:tc>
        <w:tc>
          <w:tcPr>
            <w:tcW w:w="240" w:type="dxa"/>
            <w:vAlign w:val="bottom"/>
            <w:shd w:val="clear" w:color="auto" w:fill="CCEC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(245,874)</w:t>
            </w:r>
          </w:p>
        </w:tc>
        <w:tc>
          <w:tcPr>
            <w:tcW w:w="280" w:type="dxa"/>
            <w:vAlign w:val="bottom"/>
            <w:shd w:val="clear" w:color="auto" w:fill="CCECFF"/>
          </w:tcPr>
          <w:p>
            <w:pPr>
              <w:spacing w:after="0"/>
              <w:rPr>
                <w:sz w:val="19"/>
                <w:szCs w:val="19"/>
                <w:color w:val="auto"/>
              </w:rPr>
            </w:pPr>
          </w:p>
        </w:tc>
        <w:tc>
          <w:tcPr>
            <w:tcW w:w="240" w:type="dxa"/>
            <w:vAlign w:val="bottom"/>
            <w:shd w:val="clear" w:color="auto" w:fill="CCEC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(145,618)</w:t>
            </w:r>
          </w:p>
        </w:tc>
        <w:tc>
          <w:tcPr>
            <w:tcW w:w="260" w:type="dxa"/>
            <w:vAlign w:val="bottom"/>
            <w:shd w:val="clear" w:color="auto" w:fill="CCECFF"/>
          </w:tcPr>
          <w:p>
            <w:pPr>
              <w:spacing w:after="0"/>
              <w:rPr>
                <w:sz w:val="19"/>
                <w:szCs w:val="19"/>
                <w:color w:val="auto"/>
              </w:rPr>
            </w:pPr>
          </w:p>
        </w:tc>
        <w:tc>
          <w:tcPr>
            <w:tcW w:w="280" w:type="dxa"/>
            <w:vAlign w:val="bottom"/>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(59,802)</w:t>
            </w:r>
          </w:p>
        </w:tc>
        <w:tc>
          <w:tcPr>
            <w:tcW w:w="100" w:type="dxa"/>
            <w:vAlign w:val="bottom"/>
            <w:shd w:val="clear" w:color="auto" w:fill="CCECFF"/>
          </w:tcPr>
          <w:p>
            <w:pPr>
              <w:spacing w:after="0"/>
              <w:rPr>
                <w:sz w:val="19"/>
                <w:szCs w:val="19"/>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4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600" w:type="dxa"/>
            <w:vAlign w:val="bottom"/>
            <w:gridSpan w:val="3"/>
            <w:shd w:val="clear" w:color="auto" w:fill="CCECFF"/>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1,322</w:t>
            </w:r>
          </w:p>
        </w:tc>
        <w:tc>
          <w:tcPr>
            <w:tcW w:w="28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116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CFF"/>
          </w:tcPr>
          <w:p>
            <w:pPr>
              <w:spacing w:after="0"/>
              <w:rPr>
                <w:sz w:val="19"/>
                <w:szCs w:val="19"/>
                <w:color w:val="auto"/>
              </w:rPr>
            </w:pPr>
          </w:p>
        </w:tc>
        <w:tc>
          <w:tcPr>
            <w:tcW w:w="98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600" w:type="dxa"/>
            <w:vAlign w:val="bottom"/>
            <w:gridSpan w:val="3"/>
          </w:tcPr>
          <w:p>
            <w:pPr>
              <w:ind w:left="260"/>
              <w:spacing w:after="0"/>
              <w:rPr>
                <w:sz w:val="20"/>
                <w:szCs w:val="20"/>
                <w:color w:val="auto"/>
              </w:rPr>
            </w:pPr>
            <w:r>
              <w:rPr>
                <w:rFonts w:ascii="Arial" w:cs="Arial" w:eastAsia="Arial" w:hAnsi="Arial"/>
                <w:sz w:val="18"/>
                <w:szCs w:val="18"/>
                <w:color w:val="auto"/>
              </w:rPr>
              <w:t>Unrealized gain (loss) on available-for-sale securities</w:t>
            </w:r>
          </w:p>
        </w:tc>
        <w:tc>
          <w:tcPr>
            <w:tcW w:w="880" w:type="dxa"/>
            <w:vAlign w:val="bottom"/>
          </w:tcPr>
          <w:p>
            <w:pPr>
              <w:jc w:val="right"/>
              <w:spacing w:after="0"/>
              <w:rPr>
                <w:sz w:val="20"/>
                <w:szCs w:val="20"/>
                <w:color w:val="auto"/>
              </w:rPr>
            </w:pPr>
            <w:r>
              <w:rPr>
                <w:rFonts w:ascii="Arial" w:cs="Arial" w:eastAsia="Arial" w:hAnsi="Arial"/>
                <w:sz w:val="18"/>
                <w:szCs w:val="18"/>
                <w:color w:val="auto"/>
              </w:rPr>
              <w:t>451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(694)</w:t>
            </w:r>
          </w:p>
        </w:tc>
        <w:tc>
          <w:tcPr>
            <w:tcW w:w="2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r>
      <w:tr>
        <w:trPr>
          <w:trHeight w:val="223"/>
        </w:trPr>
        <w:tc>
          <w:tcPr>
            <w:tcW w:w="3120" w:type="dxa"/>
            <w:vAlign w:val="bottom"/>
            <w:tcBorders>
              <w:top w:val="single" w:sz="8" w:color="CCECFF"/>
            </w:tcBorders>
            <w:shd w:val="clear" w:color="auto" w:fill="CCECFF"/>
          </w:tcPr>
          <w:p>
            <w:pPr>
              <w:ind w:left="500"/>
              <w:spacing w:after="0"/>
              <w:rPr>
                <w:sz w:val="20"/>
                <w:szCs w:val="20"/>
                <w:color w:val="auto"/>
              </w:rPr>
            </w:pPr>
            <w:r>
              <w:rPr>
                <w:rFonts w:ascii="Arial" w:cs="Arial" w:eastAsia="Arial" w:hAnsi="Arial"/>
                <w:sz w:val="18"/>
                <w:szCs w:val="18"/>
                <w:color w:val="auto"/>
                <w:w w:val="89"/>
              </w:rPr>
              <w:t>Other comprehensive income (loss):</w:t>
            </w:r>
          </w:p>
        </w:tc>
        <w:tc>
          <w:tcPr>
            <w:tcW w:w="4240" w:type="dxa"/>
            <w:vAlign w:val="bottom"/>
            <w:tcBorders>
              <w:top w:val="single" w:sz="8" w:color="CCECFF"/>
            </w:tcBorders>
            <w:shd w:val="clear" w:color="auto" w:fill="CCECFF"/>
          </w:tcPr>
          <w:p>
            <w:pPr>
              <w:spacing w:after="0"/>
              <w:rPr>
                <w:sz w:val="19"/>
                <w:szCs w:val="19"/>
                <w:color w:val="auto"/>
              </w:rPr>
            </w:pPr>
          </w:p>
        </w:tc>
        <w:tc>
          <w:tcPr>
            <w:tcW w:w="240" w:type="dxa"/>
            <w:vAlign w:val="bottom"/>
            <w:tcBorders>
              <w:top w:val="single" w:sz="8" w:color="auto"/>
              <w:bottom w:val="single" w:sz="8" w:color="auto"/>
            </w:tcBorders>
            <w:shd w:val="clear" w:color="auto" w:fill="CCECFF"/>
          </w:tcPr>
          <w:p>
            <w:pPr>
              <w:spacing w:after="0"/>
              <w:rPr>
                <w:sz w:val="19"/>
                <w:szCs w:val="19"/>
                <w:color w:val="auto"/>
              </w:rPr>
            </w:pPr>
          </w:p>
        </w:tc>
        <w:tc>
          <w:tcPr>
            <w:tcW w:w="8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1,773</w:t>
            </w:r>
          </w:p>
        </w:tc>
        <w:tc>
          <w:tcPr>
            <w:tcW w:w="280" w:type="dxa"/>
            <w:vAlign w:val="bottom"/>
            <w:tcBorders>
              <w:top w:val="single" w:sz="8" w:color="CCECFF"/>
            </w:tcBorders>
            <w:shd w:val="clear" w:color="auto" w:fill="CCECFF"/>
          </w:tcPr>
          <w:p>
            <w:pPr>
              <w:spacing w:after="0"/>
              <w:rPr>
                <w:sz w:val="19"/>
                <w:szCs w:val="19"/>
                <w:color w:val="auto"/>
              </w:rPr>
            </w:pPr>
          </w:p>
        </w:tc>
        <w:tc>
          <w:tcPr>
            <w:tcW w:w="240" w:type="dxa"/>
            <w:vAlign w:val="bottom"/>
            <w:tcBorders>
              <w:top w:val="single" w:sz="8" w:color="auto"/>
              <w:bottom w:val="single" w:sz="8" w:color="auto"/>
            </w:tcBorders>
            <w:shd w:val="clear" w:color="auto" w:fill="CCECFF"/>
          </w:tcPr>
          <w:p>
            <w:pPr>
              <w:spacing w:after="0"/>
              <w:rPr>
                <w:sz w:val="19"/>
                <w:szCs w:val="19"/>
                <w:color w:val="auto"/>
              </w:rPr>
            </w:pPr>
          </w:p>
        </w:tc>
        <w:tc>
          <w:tcPr>
            <w:tcW w:w="9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(694)</w:t>
            </w:r>
          </w:p>
        </w:tc>
        <w:tc>
          <w:tcPr>
            <w:tcW w:w="260" w:type="dxa"/>
            <w:vAlign w:val="bottom"/>
            <w:tcBorders>
              <w:top w:val="single" w:sz="8" w:color="CCECFF"/>
            </w:tcBorders>
            <w:shd w:val="clear" w:color="auto" w:fill="CCECFF"/>
          </w:tcPr>
          <w:p>
            <w:pPr>
              <w:spacing w:after="0"/>
              <w:rPr>
                <w:sz w:val="19"/>
                <w:szCs w:val="19"/>
                <w:color w:val="auto"/>
              </w:rPr>
            </w:pPr>
          </w:p>
        </w:tc>
        <w:tc>
          <w:tcPr>
            <w:tcW w:w="280" w:type="dxa"/>
            <w:vAlign w:val="bottom"/>
            <w:tcBorders>
              <w:top w:val="single" w:sz="8" w:color="auto"/>
              <w:bottom w:val="single" w:sz="8" w:color="auto"/>
            </w:tcBorders>
            <w:shd w:val="clear" w:color="auto" w:fill="CCECFF"/>
          </w:tcPr>
          <w:p>
            <w:pPr>
              <w:spacing w:after="0"/>
              <w:rPr>
                <w:sz w:val="19"/>
                <w:szCs w:val="19"/>
                <w:color w:val="auto"/>
              </w:rPr>
            </w:pPr>
          </w:p>
        </w:tc>
        <w:tc>
          <w:tcPr>
            <w:tcW w:w="8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top w:val="single" w:sz="8" w:color="CCECFF"/>
            </w:tcBorders>
            <w:shd w:val="clear" w:color="auto" w:fill="CCECFF"/>
          </w:tcPr>
          <w:p>
            <w:pPr>
              <w:spacing w:after="0"/>
              <w:rPr>
                <w:sz w:val="19"/>
                <w:szCs w:val="19"/>
                <w:color w:val="auto"/>
              </w:rPr>
            </w:pPr>
          </w:p>
        </w:tc>
      </w:tr>
      <w:tr>
        <w:trPr>
          <w:trHeight w:val="223"/>
        </w:trPr>
        <w:tc>
          <w:tcPr>
            <w:tcW w:w="3120" w:type="dxa"/>
            <w:vAlign w:val="bottom"/>
          </w:tcPr>
          <w:p>
            <w:pPr>
              <w:ind w:left="740"/>
              <w:spacing w:after="0"/>
              <w:rPr>
                <w:sz w:val="20"/>
                <w:szCs w:val="20"/>
                <w:color w:val="auto"/>
              </w:rPr>
            </w:pPr>
            <w:r>
              <w:rPr>
                <w:rFonts w:ascii="Arial" w:cs="Arial" w:eastAsia="Arial" w:hAnsi="Arial"/>
                <w:sz w:val="18"/>
                <w:szCs w:val="18"/>
                <w:color w:val="auto"/>
              </w:rPr>
              <w:t>Total comprehensive loss</w:t>
            </w:r>
          </w:p>
        </w:tc>
        <w:tc>
          <w:tcPr>
            <w:tcW w:w="424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(244,101)</w:t>
            </w:r>
          </w:p>
        </w:tc>
        <w:tc>
          <w:tcPr>
            <w:tcW w:w="28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(146,312)</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(59,987)</w:t>
            </w:r>
          </w:p>
        </w:tc>
        <w:tc>
          <w:tcPr>
            <w:tcW w:w="100" w:type="dxa"/>
            <w:vAlign w:val="bottom"/>
          </w:tcPr>
          <w:p>
            <w:pPr>
              <w:spacing w:after="0"/>
              <w:rPr>
                <w:sz w:val="19"/>
                <w:szCs w:val="19"/>
                <w:color w:val="auto"/>
              </w:rPr>
            </w:pPr>
          </w:p>
        </w:tc>
      </w:tr>
      <w:tr>
        <w:trPr>
          <w:trHeight w:val="20"/>
        </w:trPr>
        <w:tc>
          <w:tcPr>
            <w:tcW w:w="3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8" w:name="page79"/>
    <w:bookmarkEnd w:id="78"/>
    <w:p>
      <w:pPr>
        <w:ind w:left="3960"/>
        <w:spacing w:after="0"/>
        <w:rPr>
          <w:sz w:val="20"/>
          <w:szCs w:val="20"/>
          <w:color w:val="auto"/>
        </w:rPr>
      </w:pPr>
      <w:r>
        <w:rPr>
          <w:rFonts w:ascii="Arial" w:cs="Arial" w:eastAsia="Arial" w:hAnsi="Arial"/>
          <w:sz w:val="18"/>
          <w:szCs w:val="18"/>
          <w:b w:val="1"/>
          <w:bCs w:val="1"/>
          <w:color w:val="auto"/>
        </w:rPr>
        <w:t>ULTRAGENYX PHARMACEUTICAL INC.</w:t>
      </w:r>
    </w:p>
    <w:p>
      <w:pPr>
        <w:spacing w:after="0" w:line="7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CONSOLIDATED STATEMENTS OF CONVERTIBLE PREFERRED STOCK AND STOCKHOLDERS’ EQUITY (DEFICIT)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4982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49828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50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3"/>
                <w:szCs w:val="13"/>
                <w:b w:val="1"/>
                <w:bCs w:val="1"/>
                <w:color w:val="auto"/>
                <w:w w:val="89"/>
              </w:rPr>
              <w:t>Convertible Preferred Stock</w:t>
            </w: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500" w:type="dxa"/>
            <w:vAlign w:val="bottom"/>
          </w:tcPr>
          <w:p>
            <w:pPr>
              <w:spacing w:after="0"/>
              <w:rPr>
                <w:sz w:val="10"/>
                <w:szCs w:val="10"/>
                <w:color w:val="auto"/>
              </w:rPr>
            </w:pPr>
          </w:p>
        </w:tc>
        <w:tc>
          <w:tcPr>
            <w:tcW w:w="1700" w:type="dxa"/>
            <w:vAlign w:val="bottom"/>
            <w:gridSpan w:val="6"/>
          </w:tcPr>
          <w:p>
            <w:pPr>
              <w:jc w:val="center"/>
              <w:ind w:right="220"/>
              <w:spacing w:after="0" w:line="124" w:lineRule="exact"/>
              <w:rPr>
                <w:sz w:val="20"/>
                <w:szCs w:val="20"/>
                <w:color w:val="auto"/>
              </w:rPr>
            </w:pPr>
            <w:r>
              <w:rPr>
                <w:rFonts w:ascii="Arial" w:cs="Arial" w:eastAsia="Arial" w:hAnsi="Arial"/>
                <w:sz w:val="13"/>
                <w:szCs w:val="13"/>
                <w:b w:val="1"/>
                <w:bCs w:val="1"/>
                <w:color w:val="auto"/>
                <w:w w:val="84"/>
              </w:rPr>
              <w:t>Series A Redeemable</w:t>
            </w: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700" w:type="dxa"/>
            <w:vAlign w:val="bottom"/>
            <w:gridSpan w:val="6"/>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Convertible Preferred</w:t>
            </w:r>
          </w:p>
        </w:tc>
        <w:tc>
          <w:tcPr>
            <w:tcW w:w="1580" w:type="dxa"/>
            <w:vAlign w:val="bottom"/>
            <w:gridSpan w:val="6"/>
          </w:tcPr>
          <w:p>
            <w:pPr>
              <w:jc w:val="right"/>
              <w:ind w:right="260"/>
              <w:spacing w:after="0" w:line="135" w:lineRule="exact"/>
              <w:rPr>
                <w:sz w:val="20"/>
                <w:szCs w:val="20"/>
                <w:color w:val="auto"/>
              </w:rPr>
            </w:pPr>
            <w:r>
              <w:rPr>
                <w:rFonts w:ascii="Arial" w:cs="Arial" w:eastAsia="Arial" w:hAnsi="Arial"/>
                <w:sz w:val="13"/>
                <w:szCs w:val="13"/>
                <w:b w:val="1"/>
                <w:bCs w:val="1"/>
                <w:color w:val="auto"/>
              </w:rPr>
              <w:t>Series B Convertible</w:t>
            </w:r>
          </w:p>
        </w:tc>
        <w:tc>
          <w:tcPr>
            <w:tcW w:w="0" w:type="dxa"/>
            <w:vAlign w:val="bottom"/>
          </w:tcPr>
          <w:p>
            <w:pPr>
              <w:spacing w:after="0"/>
              <w:rPr>
                <w:sz w:val="1"/>
                <w:szCs w:val="1"/>
                <w:color w:val="auto"/>
              </w:rPr>
            </w:pPr>
          </w:p>
        </w:tc>
      </w:tr>
      <w:tr>
        <w:trPr>
          <w:trHeight w:val="153"/>
        </w:trPr>
        <w:tc>
          <w:tcPr>
            <w:tcW w:w="2500" w:type="dxa"/>
            <w:vAlign w:val="bottom"/>
          </w:tcPr>
          <w:p>
            <w:pPr>
              <w:spacing w:after="0"/>
              <w:rPr>
                <w:sz w:val="13"/>
                <w:szCs w:val="13"/>
                <w:color w:val="auto"/>
              </w:rPr>
            </w:pPr>
          </w:p>
        </w:tc>
        <w:tc>
          <w:tcPr>
            <w:tcW w:w="980" w:type="dxa"/>
            <w:vAlign w:val="bottom"/>
            <w:tcBorders>
              <w:bottom w:val="single" w:sz="8" w:color="auto"/>
            </w:tcBorders>
            <w:gridSpan w:val="4"/>
          </w:tcPr>
          <w:p>
            <w:pPr>
              <w:jc w:val="center"/>
              <w:ind w:left="457"/>
              <w:spacing w:after="0"/>
              <w:rPr>
                <w:sz w:val="20"/>
                <w:szCs w:val="20"/>
                <w:color w:val="auto"/>
              </w:rPr>
            </w:pPr>
            <w:r>
              <w:rPr>
                <w:rFonts w:ascii="Arial" w:cs="Arial" w:eastAsia="Arial" w:hAnsi="Arial"/>
                <w:sz w:val="13"/>
                <w:szCs w:val="13"/>
                <w:b w:val="1"/>
                <w:bCs w:val="1"/>
                <w:color w:val="auto"/>
                <w:w w:val="84"/>
              </w:rPr>
              <w:t>Stock</w:t>
            </w:r>
          </w:p>
        </w:tc>
        <w:tc>
          <w:tcPr>
            <w:tcW w:w="5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tcBorders>
              <w:bottom w:val="single" w:sz="8" w:color="auto"/>
            </w:tcBorders>
            <w:gridSpan w:val="5"/>
          </w:tcPr>
          <w:p>
            <w:pPr>
              <w:jc w:val="right"/>
              <w:ind w:right="277"/>
              <w:spacing w:after="0"/>
              <w:rPr>
                <w:sz w:val="20"/>
                <w:szCs w:val="20"/>
                <w:color w:val="auto"/>
              </w:rPr>
            </w:pPr>
            <w:r>
              <w:rPr>
                <w:rFonts w:ascii="Arial" w:cs="Arial" w:eastAsia="Arial" w:hAnsi="Arial"/>
                <w:sz w:val="13"/>
                <w:szCs w:val="13"/>
                <w:b w:val="1"/>
                <w:bCs w:val="1"/>
                <w:color w:val="auto"/>
              </w:rPr>
              <w:t>Preferred Stock</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500" w:type="dxa"/>
            <w:vAlign w:val="bottom"/>
          </w:tcPr>
          <w:p>
            <w:pPr>
              <w:spacing w:after="0"/>
              <w:rPr>
                <w:sz w:val="16"/>
                <w:szCs w:val="16"/>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85"/>
              </w:rPr>
              <w:t>Amount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89"/>
              </w:rPr>
              <w:t>Amount</w:t>
            </w:r>
          </w:p>
        </w:tc>
        <w:tc>
          <w:tcPr>
            <w:tcW w:w="0" w:type="dxa"/>
            <w:vAlign w:val="bottom"/>
          </w:tcPr>
          <w:p>
            <w:pPr>
              <w:spacing w:after="0"/>
              <w:rPr>
                <w:sz w:val="1"/>
                <w:szCs w:val="1"/>
                <w:color w:val="auto"/>
              </w:rPr>
            </w:pPr>
          </w:p>
        </w:tc>
      </w:tr>
      <w:tr>
        <w:trPr>
          <w:trHeight w:val="30"/>
        </w:trPr>
        <w:tc>
          <w:tcPr>
            <w:tcW w:w="2500" w:type="dxa"/>
            <w:vAlign w:val="bottom"/>
            <w:vMerge w:val="restart"/>
          </w:tcPr>
          <w:p>
            <w:pPr>
              <w:spacing w:after="0"/>
              <w:rPr>
                <w:sz w:val="20"/>
                <w:szCs w:val="20"/>
                <w:color w:val="auto"/>
              </w:rPr>
            </w:pPr>
            <w:r>
              <w:rPr>
                <w:rFonts w:ascii="Arial" w:cs="Arial" w:eastAsia="Arial" w:hAnsi="Arial"/>
                <w:sz w:val="13"/>
                <w:szCs w:val="13"/>
                <w:color w:val="auto"/>
              </w:rPr>
              <w:t>Balance as of December 31, 2013</w:t>
            </w: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2500" w:type="dxa"/>
            <w:vAlign w:val="bottom"/>
            <w:vMerge w:val="continue"/>
          </w:tcPr>
          <w:p>
            <w:pPr>
              <w:spacing w:after="0"/>
              <w:rPr>
                <w:sz w:val="12"/>
                <w:szCs w:val="12"/>
                <w:color w:val="auto"/>
              </w:rPr>
            </w:pPr>
          </w:p>
        </w:tc>
        <w:tc>
          <w:tcPr>
            <w:tcW w:w="7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34,349,894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51,001</w:t>
            </w:r>
          </w:p>
        </w:tc>
        <w:tc>
          <w:tcPr>
            <w:tcW w:w="200" w:type="dxa"/>
            <w:vAlign w:val="bottom"/>
          </w:tcPr>
          <w:p>
            <w:pPr>
              <w:spacing w:after="0"/>
              <w:rPr>
                <w:sz w:val="12"/>
                <w:szCs w:val="12"/>
                <w:color w:val="auto"/>
              </w:rPr>
            </w:pPr>
          </w:p>
        </w:tc>
        <w:tc>
          <w:tcPr>
            <w:tcW w:w="7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27,081,680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73,929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260"/>
              <w:spacing w:after="0"/>
              <w:rPr>
                <w:sz w:val="20"/>
                <w:szCs w:val="20"/>
                <w:color w:val="auto"/>
              </w:rPr>
            </w:pPr>
            <w:r>
              <w:rPr>
                <w:rFonts w:ascii="Arial" w:cs="Arial" w:eastAsia="Arial" w:hAnsi="Arial"/>
                <w:sz w:val="13"/>
                <w:szCs w:val="13"/>
                <w:color w:val="auto"/>
                <w:w w:val="96"/>
              </w:rPr>
              <w:t>Accretion on convertible preferred stock</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4,430</w:t>
            </w:r>
          </w:p>
        </w:tc>
        <w:tc>
          <w:tcPr>
            <w:tcW w:w="20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500" w:type="dxa"/>
            <w:vAlign w:val="bottom"/>
          </w:tcPr>
          <w:p>
            <w:pPr>
              <w:ind w:left="260"/>
              <w:spacing w:after="0" w:line="135" w:lineRule="exact"/>
              <w:rPr>
                <w:sz w:val="20"/>
                <w:szCs w:val="20"/>
                <w:color w:val="auto"/>
              </w:rPr>
            </w:pPr>
            <w:r>
              <w:rPr>
                <w:rFonts w:ascii="Arial" w:cs="Arial" w:eastAsia="Arial" w:hAnsi="Arial"/>
                <w:sz w:val="13"/>
                <w:szCs w:val="13"/>
                <w:color w:val="auto"/>
                <w:w w:val="93"/>
              </w:rPr>
              <w:t>Conversion of convertible preferred stock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260"/>
              <w:spacing w:after="0"/>
              <w:rPr>
                <w:sz w:val="20"/>
                <w:szCs w:val="20"/>
                <w:color w:val="auto"/>
              </w:rPr>
            </w:pPr>
            <w:r>
              <w:rPr>
                <w:rFonts w:ascii="Arial" w:cs="Arial" w:eastAsia="Arial" w:hAnsi="Arial"/>
                <w:sz w:val="13"/>
                <w:szCs w:val="13"/>
                <w:color w:val="auto"/>
              </w:rPr>
              <w:t>to common stock</w:t>
            </w: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(34,349,894)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(55,431)</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(27,081,680)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(73,929)</w:t>
            </w:r>
          </w:p>
        </w:tc>
        <w:tc>
          <w:tcPr>
            <w:tcW w:w="0" w:type="dxa"/>
            <w:vAlign w:val="bottom"/>
          </w:tcPr>
          <w:p>
            <w:pPr>
              <w:spacing w:after="0"/>
              <w:rPr>
                <w:sz w:val="1"/>
                <w:szCs w:val="1"/>
                <w:color w:val="auto"/>
              </w:rPr>
            </w:pPr>
          </w:p>
        </w:tc>
      </w:tr>
      <w:tr>
        <w:trPr>
          <w:trHeight w:val="135"/>
        </w:trPr>
        <w:tc>
          <w:tcPr>
            <w:tcW w:w="2500" w:type="dxa"/>
            <w:vAlign w:val="bottom"/>
          </w:tcPr>
          <w:p>
            <w:pPr>
              <w:ind w:left="260"/>
              <w:spacing w:after="0" w:line="135" w:lineRule="exact"/>
              <w:rPr>
                <w:sz w:val="20"/>
                <w:szCs w:val="20"/>
                <w:color w:val="auto"/>
              </w:rPr>
            </w:pPr>
            <w:r>
              <w:rPr>
                <w:rFonts w:ascii="Arial" w:cs="Arial" w:eastAsia="Arial" w:hAnsi="Arial"/>
                <w:sz w:val="13"/>
                <w:szCs w:val="13"/>
                <w:color w:val="auto"/>
              </w:rPr>
              <w:t>Reclassification of preferred stock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260"/>
              <w:spacing w:after="0"/>
              <w:rPr>
                <w:sz w:val="20"/>
                <w:szCs w:val="20"/>
                <w:color w:val="auto"/>
              </w:rPr>
            </w:pPr>
            <w:r>
              <w:rPr>
                <w:rFonts w:ascii="Arial" w:cs="Arial" w:eastAsia="Arial" w:hAnsi="Arial"/>
                <w:sz w:val="13"/>
                <w:szCs w:val="13"/>
                <w:color w:val="auto"/>
              </w:rPr>
              <w:t>warrant liability</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500" w:type="dxa"/>
            <w:vAlign w:val="bottom"/>
          </w:tcPr>
          <w:p>
            <w:pPr>
              <w:ind w:left="260"/>
              <w:spacing w:after="0" w:line="135" w:lineRule="exact"/>
              <w:rPr>
                <w:sz w:val="20"/>
                <w:szCs w:val="20"/>
                <w:color w:val="auto"/>
              </w:rPr>
            </w:pPr>
            <w:r>
              <w:rPr>
                <w:rFonts w:ascii="Arial" w:cs="Arial" w:eastAsia="Arial" w:hAnsi="Arial"/>
                <w:sz w:val="13"/>
                <w:szCs w:val="13"/>
                <w:color w:val="auto"/>
                <w:w w:val="94"/>
              </w:rPr>
              <w:t>Issuance of common stock in connection</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00" w:type="dxa"/>
            <w:vAlign w:val="bottom"/>
          </w:tcPr>
          <w:p>
            <w:pPr>
              <w:ind w:left="260"/>
              <w:spacing w:after="0" w:line="135" w:lineRule="exact"/>
              <w:rPr>
                <w:sz w:val="20"/>
                <w:szCs w:val="20"/>
                <w:color w:val="auto"/>
              </w:rPr>
            </w:pPr>
            <w:r>
              <w:rPr>
                <w:rFonts w:ascii="Arial" w:cs="Arial" w:eastAsia="Arial" w:hAnsi="Arial"/>
                <w:sz w:val="13"/>
                <w:szCs w:val="13"/>
                <w:color w:val="auto"/>
              </w:rPr>
              <w:t>with initial public</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00" w:type="dxa"/>
            <w:vAlign w:val="bottom"/>
          </w:tcPr>
          <w:p>
            <w:pPr>
              <w:ind w:left="340"/>
              <w:spacing w:after="0" w:line="135" w:lineRule="exact"/>
              <w:rPr>
                <w:sz w:val="20"/>
                <w:szCs w:val="20"/>
                <w:color w:val="auto"/>
              </w:rPr>
            </w:pPr>
            <w:r>
              <w:rPr>
                <w:rFonts w:ascii="Arial" w:cs="Arial" w:eastAsia="Arial" w:hAnsi="Arial"/>
                <w:sz w:val="13"/>
                <w:szCs w:val="13"/>
                <w:color w:val="auto"/>
              </w:rPr>
              <w:t>offering, net of issuance costs and</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260"/>
              <w:spacing w:after="0"/>
              <w:rPr>
                <w:sz w:val="20"/>
                <w:szCs w:val="20"/>
                <w:color w:val="auto"/>
              </w:rPr>
            </w:pPr>
            <w:r>
              <w:rPr>
                <w:rFonts w:ascii="Arial" w:cs="Arial" w:eastAsia="Arial" w:hAnsi="Arial"/>
                <w:sz w:val="13"/>
                <w:szCs w:val="13"/>
                <w:color w:val="auto"/>
              </w:rPr>
              <w:t>preferred stock dividend</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500" w:type="dxa"/>
            <w:vAlign w:val="bottom"/>
          </w:tcPr>
          <w:p>
            <w:pPr>
              <w:ind w:left="260"/>
              <w:spacing w:after="0" w:line="135" w:lineRule="exact"/>
              <w:rPr>
                <w:sz w:val="20"/>
                <w:szCs w:val="20"/>
                <w:color w:val="auto"/>
              </w:rPr>
            </w:pPr>
            <w:r>
              <w:rPr>
                <w:rFonts w:ascii="Arial" w:cs="Arial" w:eastAsia="Arial" w:hAnsi="Arial"/>
                <w:sz w:val="13"/>
                <w:szCs w:val="13"/>
                <w:color w:val="auto"/>
                <w:w w:val="94"/>
              </w:rPr>
              <w:t>Issuance of common stock in connection</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00" w:type="dxa"/>
            <w:vAlign w:val="bottom"/>
          </w:tcPr>
          <w:p>
            <w:pPr>
              <w:ind w:left="260"/>
              <w:spacing w:after="0" w:line="135" w:lineRule="exact"/>
              <w:rPr>
                <w:sz w:val="20"/>
                <w:szCs w:val="20"/>
                <w:color w:val="auto"/>
              </w:rPr>
            </w:pPr>
            <w:r>
              <w:rPr>
                <w:rFonts w:ascii="Arial" w:cs="Arial" w:eastAsia="Arial" w:hAnsi="Arial"/>
                <w:sz w:val="13"/>
                <w:szCs w:val="13"/>
                <w:color w:val="auto"/>
              </w:rPr>
              <w:t>with underwritten</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340"/>
              <w:spacing w:after="0"/>
              <w:rPr>
                <w:sz w:val="20"/>
                <w:szCs w:val="20"/>
                <w:color w:val="auto"/>
              </w:rPr>
            </w:pPr>
            <w:r>
              <w:rPr>
                <w:rFonts w:ascii="Arial" w:cs="Arial" w:eastAsia="Arial" w:hAnsi="Arial"/>
                <w:sz w:val="13"/>
                <w:szCs w:val="13"/>
                <w:color w:val="auto"/>
              </w:rPr>
              <w:t>public offering, net of issuance costs</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500" w:type="dxa"/>
            <w:vAlign w:val="bottom"/>
          </w:tcPr>
          <w:p>
            <w:pPr>
              <w:ind w:left="260"/>
              <w:spacing w:after="0"/>
              <w:rPr>
                <w:sz w:val="20"/>
                <w:szCs w:val="20"/>
                <w:color w:val="auto"/>
              </w:rPr>
            </w:pPr>
            <w:r>
              <w:rPr>
                <w:rFonts w:ascii="Arial" w:cs="Arial" w:eastAsia="Arial" w:hAnsi="Arial"/>
                <w:sz w:val="13"/>
                <w:szCs w:val="13"/>
                <w:color w:val="auto"/>
              </w:rPr>
              <w:t>Employee stock-based compensation</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500" w:type="dxa"/>
            <w:vAlign w:val="bottom"/>
          </w:tcPr>
          <w:p>
            <w:pPr>
              <w:ind w:left="260"/>
              <w:spacing w:after="0" w:line="135" w:lineRule="exact"/>
              <w:rPr>
                <w:sz w:val="20"/>
                <w:szCs w:val="20"/>
                <w:color w:val="auto"/>
              </w:rPr>
            </w:pPr>
            <w:r>
              <w:rPr>
                <w:rFonts w:ascii="Arial" w:cs="Arial" w:eastAsia="Arial" w:hAnsi="Arial"/>
                <w:sz w:val="13"/>
                <w:szCs w:val="13"/>
                <w:color w:val="auto"/>
                <w:w w:val="93"/>
              </w:rPr>
              <w:t>Issuance of common stock upon exercise</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00" w:type="dxa"/>
            <w:vAlign w:val="bottom"/>
          </w:tcPr>
          <w:p>
            <w:pPr>
              <w:ind w:left="260"/>
              <w:spacing w:after="0" w:line="135" w:lineRule="exact"/>
              <w:rPr>
                <w:sz w:val="20"/>
                <w:szCs w:val="20"/>
                <w:color w:val="auto"/>
              </w:rPr>
            </w:pPr>
            <w:r>
              <w:rPr>
                <w:rFonts w:ascii="Arial" w:cs="Arial" w:eastAsia="Arial" w:hAnsi="Arial"/>
                <w:sz w:val="13"/>
                <w:szCs w:val="13"/>
                <w:color w:val="auto"/>
              </w:rPr>
              <w:t>of stock options</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340"/>
              <w:spacing w:after="0"/>
              <w:rPr>
                <w:sz w:val="20"/>
                <w:szCs w:val="20"/>
                <w:color w:val="auto"/>
              </w:rPr>
            </w:pPr>
            <w:r>
              <w:rPr>
                <w:rFonts w:ascii="Arial" w:cs="Arial" w:eastAsia="Arial" w:hAnsi="Arial"/>
                <w:sz w:val="13"/>
                <w:szCs w:val="13"/>
                <w:color w:val="auto"/>
              </w:rPr>
              <w:t>and warrants</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500" w:type="dxa"/>
            <w:vAlign w:val="bottom"/>
          </w:tcPr>
          <w:p>
            <w:pPr>
              <w:ind w:left="260"/>
              <w:spacing w:after="0"/>
              <w:rPr>
                <w:sz w:val="20"/>
                <w:szCs w:val="20"/>
                <w:color w:val="auto"/>
              </w:rPr>
            </w:pPr>
            <w:r>
              <w:rPr>
                <w:rFonts w:ascii="Arial" w:cs="Arial" w:eastAsia="Arial" w:hAnsi="Arial"/>
                <w:sz w:val="13"/>
                <w:szCs w:val="13"/>
                <w:color w:val="auto"/>
              </w:rPr>
              <w:t>Other comprehensive loss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260"/>
              <w:spacing w:after="0"/>
              <w:rPr>
                <w:sz w:val="20"/>
                <w:szCs w:val="20"/>
                <w:color w:val="auto"/>
              </w:rPr>
            </w:pPr>
            <w:r>
              <w:rPr>
                <w:rFonts w:ascii="Arial" w:cs="Arial" w:eastAsia="Arial" w:hAnsi="Arial"/>
                <w:sz w:val="13"/>
                <w:szCs w:val="13"/>
                <w:color w:val="auto"/>
              </w:rPr>
              <w:t>Net loss</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2500" w:type="dxa"/>
            <w:vAlign w:val="bottom"/>
          </w:tcPr>
          <w:p>
            <w:pPr>
              <w:spacing w:after="0" w:line="141" w:lineRule="exact"/>
              <w:rPr>
                <w:sz w:val="20"/>
                <w:szCs w:val="20"/>
                <w:color w:val="auto"/>
              </w:rPr>
            </w:pPr>
            <w:r>
              <w:rPr>
                <w:rFonts w:ascii="Arial" w:cs="Arial" w:eastAsia="Arial" w:hAnsi="Arial"/>
                <w:sz w:val="13"/>
                <w:szCs w:val="13"/>
                <w:color w:val="auto"/>
              </w:rPr>
              <w:t>Balance as of December 31, 2014</w:t>
            </w:r>
          </w:p>
        </w:tc>
        <w:tc>
          <w:tcPr>
            <w:tcW w:w="7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00" w:type="dxa"/>
            <w:vAlign w:val="bottom"/>
          </w:tcPr>
          <w:p>
            <w:pPr>
              <w:ind w:left="260"/>
              <w:spacing w:after="0" w:line="135" w:lineRule="exact"/>
              <w:rPr>
                <w:sz w:val="20"/>
                <w:szCs w:val="20"/>
                <w:color w:val="auto"/>
              </w:rPr>
            </w:pPr>
            <w:r>
              <w:rPr>
                <w:rFonts w:ascii="Arial" w:cs="Arial" w:eastAsia="Arial" w:hAnsi="Arial"/>
                <w:sz w:val="13"/>
                <w:szCs w:val="13"/>
                <w:color w:val="auto"/>
                <w:w w:val="94"/>
              </w:rPr>
              <w:t>Issuance of common stock in connection</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00" w:type="dxa"/>
            <w:vAlign w:val="bottom"/>
          </w:tcPr>
          <w:p>
            <w:pPr>
              <w:ind w:left="260"/>
              <w:spacing w:after="0" w:line="135" w:lineRule="exact"/>
              <w:rPr>
                <w:sz w:val="20"/>
                <w:szCs w:val="20"/>
                <w:color w:val="auto"/>
              </w:rPr>
            </w:pPr>
            <w:r>
              <w:rPr>
                <w:rFonts w:ascii="Arial" w:cs="Arial" w:eastAsia="Arial" w:hAnsi="Arial"/>
                <w:sz w:val="13"/>
                <w:szCs w:val="13"/>
                <w:color w:val="auto"/>
              </w:rPr>
              <w:t>with underwritten</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340"/>
              <w:spacing w:after="0"/>
              <w:rPr>
                <w:sz w:val="20"/>
                <w:szCs w:val="20"/>
                <w:color w:val="auto"/>
              </w:rPr>
            </w:pPr>
            <w:r>
              <w:rPr>
                <w:rFonts w:ascii="Arial" w:cs="Arial" w:eastAsia="Arial" w:hAnsi="Arial"/>
                <w:sz w:val="13"/>
                <w:szCs w:val="13"/>
                <w:color w:val="auto"/>
              </w:rPr>
              <w:t>public offering, net of issuance costs</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500" w:type="dxa"/>
            <w:vAlign w:val="bottom"/>
          </w:tcPr>
          <w:p>
            <w:pPr>
              <w:ind w:left="260"/>
              <w:spacing w:after="0"/>
              <w:rPr>
                <w:sz w:val="20"/>
                <w:szCs w:val="20"/>
                <w:color w:val="auto"/>
              </w:rPr>
            </w:pPr>
            <w:r>
              <w:rPr>
                <w:rFonts w:ascii="Arial" w:cs="Arial" w:eastAsia="Arial" w:hAnsi="Arial"/>
                <w:sz w:val="13"/>
                <w:szCs w:val="13"/>
                <w:color w:val="auto"/>
              </w:rPr>
              <w:t>Employee stock-based compensation</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500" w:type="dxa"/>
            <w:vAlign w:val="bottom"/>
          </w:tcPr>
          <w:p>
            <w:pPr>
              <w:ind w:left="260"/>
              <w:spacing w:after="0" w:line="135" w:lineRule="exact"/>
              <w:rPr>
                <w:sz w:val="20"/>
                <w:szCs w:val="20"/>
                <w:color w:val="auto"/>
              </w:rPr>
            </w:pPr>
            <w:r>
              <w:rPr>
                <w:rFonts w:ascii="Arial" w:cs="Arial" w:eastAsia="Arial" w:hAnsi="Arial"/>
                <w:sz w:val="13"/>
                <w:szCs w:val="13"/>
                <w:color w:val="auto"/>
                <w:w w:val="93"/>
              </w:rPr>
              <w:t>Issuance of common stock upon exercise</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00" w:type="dxa"/>
            <w:vAlign w:val="bottom"/>
          </w:tcPr>
          <w:p>
            <w:pPr>
              <w:ind w:left="260"/>
              <w:spacing w:after="0" w:line="135" w:lineRule="exact"/>
              <w:rPr>
                <w:sz w:val="20"/>
                <w:szCs w:val="20"/>
                <w:color w:val="auto"/>
              </w:rPr>
            </w:pPr>
            <w:r>
              <w:rPr>
                <w:rFonts w:ascii="Arial" w:cs="Arial" w:eastAsia="Arial" w:hAnsi="Arial"/>
                <w:sz w:val="13"/>
                <w:szCs w:val="13"/>
                <w:color w:val="auto"/>
              </w:rPr>
              <w:t>of stock options</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340"/>
              <w:spacing w:after="0"/>
              <w:rPr>
                <w:sz w:val="20"/>
                <w:szCs w:val="20"/>
                <w:color w:val="auto"/>
              </w:rPr>
            </w:pPr>
            <w:r>
              <w:rPr>
                <w:rFonts w:ascii="Arial" w:cs="Arial" w:eastAsia="Arial" w:hAnsi="Arial"/>
                <w:sz w:val="13"/>
                <w:szCs w:val="13"/>
                <w:color w:val="auto"/>
              </w:rPr>
              <w:t>and warrants</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500" w:type="dxa"/>
            <w:vAlign w:val="bottom"/>
          </w:tcPr>
          <w:p>
            <w:pPr>
              <w:ind w:left="260"/>
              <w:spacing w:after="0" w:line="135" w:lineRule="exact"/>
              <w:rPr>
                <w:sz w:val="20"/>
                <w:szCs w:val="20"/>
                <w:color w:val="auto"/>
              </w:rPr>
            </w:pPr>
            <w:r>
              <w:rPr>
                <w:rFonts w:ascii="Arial" w:cs="Arial" w:eastAsia="Arial" w:hAnsi="Arial"/>
                <w:sz w:val="13"/>
                <w:szCs w:val="13"/>
                <w:color w:val="auto"/>
                <w:w w:val="97"/>
              </w:rPr>
              <w:t>Restricted stock units vested during the</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260"/>
              <w:spacing w:after="0"/>
              <w:rPr>
                <w:sz w:val="20"/>
                <w:szCs w:val="20"/>
                <w:color w:val="auto"/>
              </w:rPr>
            </w:pPr>
            <w:r>
              <w:rPr>
                <w:rFonts w:ascii="Arial" w:cs="Arial" w:eastAsia="Arial" w:hAnsi="Arial"/>
                <w:sz w:val="13"/>
                <w:szCs w:val="13"/>
                <w:color w:val="auto"/>
              </w:rPr>
              <w:t>period, net</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260"/>
              <w:spacing w:after="0"/>
              <w:rPr>
                <w:sz w:val="20"/>
                <w:szCs w:val="20"/>
                <w:color w:val="auto"/>
              </w:rPr>
            </w:pPr>
            <w:r>
              <w:rPr>
                <w:rFonts w:ascii="Arial" w:cs="Arial" w:eastAsia="Arial" w:hAnsi="Arial"/>
                <w:sz w:val="13"/>
                <w:szCs w:val="13"/>
                <w:color w:val="auto"/>
              </w:rPr>
              <w:t>Other comprehensive loss</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500" w:type="dxa"/>
            <w:vAlign w:val="bottom"/>
          </w:tcPr>
          <w:p>
            <w:pPr>
              <w:ind w:left="260"/>
              <w:spacing w:after="0"/>
              <w:rPr>
                <w:sz w:val="20"/>
                <w:szCs w:val="20"/>
                <w:color w:val="auto"/>
              </w:rPr>
            </w:pPr>
            <w:r>
              <w:rPr>
                <w:rFonts w:ascii="Arial" w:cs="Arial" w:eastAsia="Arial" w:hAnsi="Arial"/>
                <w:sz w:val="13"/>
                <w:szCs w:val="13"/>
                <w:color w:val="auto"/>
              </w:rPr>
              <w:t>Net loss</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2500" w:type="dxa"/>
            <w:vAlign w:val="bottom"/>
          </w:tcPr>
          <w:p>
            <w:pPr>
              <w:spacing w:after="0" w:line="141" w:lineRule="exact"/>
              <w:rPr>
                <w:sz w:val="20"/>
                <w:szCs w:val="20"/>
                <w:color w:val="auto"/>
              </w:rPr>
            </w:pPr>
            <w:r>
              <w:rPr>
                <w:rFonts w:ascii="Arial" w:cs="Arial" w:eastAsia="Arial" w:hAnsi="Arial"/>
                <w:sz w:val="13"/>
                <w:szCs w:val="13"/>
                <w:color w:val="auto"/>
              </w:rPr>
              <w:t>Balance as of December 31, 2015</w:t>
            </w:r>
          </w:p>
        </w:tc>
        <w:tc>
          <w:tcPr>
            <w:tcW w:w="7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00" w:type="dxa"/>
            <w:vAlign w:val="bottom"/>
          </w:tcPr>
          <w:p>
            <w:pPr>
              <w:ind w:left="260"/>
              <w:spacing w:after="0" w:line="135" w:lineRule="exact"/>
              <w:rPr>
                <w:sz w:val="20"/>
                <w:szCs w:val="20"/>
                <w:color w:val="auto"/>
              </w:rPr>
            </w:pPr>
            <w:r>
              <w:rPr>
                <w:rFonts w:ascii="Arial" w:cs="Arial" w:eastAsia="Arial" w:hAnsi="Arial"/>
                <w:sz w:val="13"/>
                <w:szCs w:val="13"/>
                <w:color w:val="auto"/>
                <w:w w:val="94"/>
              </w:rPr>
              <w:t>Issuance of common stock in connection</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00" w:type="dxa"/>
            <w:vAlign w:val="bottom"/>
          </w:tcPr>
          <w:p>
            <w:pPr>
              <w:ind w:left="260"/>
              <w:spacing w:after="0" w:line="135" w:lineRule="exact"/>
              <w:rPr>
                <w:sz w:val="20"/>
                <w:szCs w:val="20"/>
                <w:color w:val="auto"/>
              </w:rPr>
            </w:pPr>
            <w:r>
              <w:rPr>
                <w:rFonts w:ascii="Arial" w:cs="Arial" w:eastAsia="Arial" w:hAnsi="Arial"/>
                <w:sz w:val="13"/>
                <w:szCs w:val="13"/>
                <w:color w:val="auto"/>
              </w:rPr>
              <w:t>with at-the-market</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380"/>
              <w:spacing w:after="0"/>
              <w:rPr>
                <w:sz w:val="20"/>
                <w:szCs w:val="20"/>
                <w:color w:val="auto"/>
              </w:rPr>
            </w:pPr>
            <w:r>
              <w:rPr>
                <w:rFonts w:ascii="Arial" w:cs="Arial" w:eastAsia="Arial" w:hAnsi="Arial"/>
                <w:sz w:val="13"/>
                <w:szCs w:val="13"/>
                <w:color w:val="auto"/>
              </w:rPr>
              <w:t>offering, net of issuance costs</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500" w:type="dxa"/>
            <w:vAlign w:val="bottom"/>
          </w:tcPr>
          <w:p>
            <w:pPr>
              <w:ind w:left="260"/>
              <w:spacing w:after="0" w:line="135" w:lineRule="exact"/>
              <w:rPr>
                <w:sz w:val="20"/>
                <w:szCs w:val="20"/>
                <w:color w:val="auto"/>
              </w:rPr>
            </w:pPr>
            <w:r>
              <w:rPr>
                <w:rFonts w:ascii="Arial" w:cs="Arial" w:eastAsia="Arial" w:hAnsi="Arial"/>
                <w:sz w:val="13"/>
                <w:szCs w:val="13"/>
                <w:color w:val="auto"/>
                <w:w w:val="94"/>
              </w:rPr>
              <w:t>Issuance of common stock in connection</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00" w:type="dxa"/>
            <w:vAlign w:val="bottom"/>
          </w:tcPr>
          <w:p>
            <w:pPr>
              <w:ind w:left="260"/>
              <w:spacing w:after="0" w:line="135" w:lineRule="exact"/>
              <w:rPr>
                <w:sz w:val="20"/>
                <w:szCs w:val="20"/>
                <w:color w:val="auto"/>
              </w:rPr>
            </w:pPr>
            <w:r>
              <w:rPr>
                <w:rFonts w:ascii="Arial" w:cs="Arial" w:eastAsia="Arial" w:hAnsi="Arial"/>
                <w:sz w:val="13"/>
                <w:szCs w:val="13"/>
                <w:color w:val="auto"/>
              </w:rPr>
              <w:t>with collaboration</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340"/>
              <w:spacing w:after="0"/>
              <w:rPr>
                <w:sz w:val="20"/>
                <w:szCs w:val="20"/>
                <w:color w:val="auto"/>
              </w:rPr>
            </w:pPr>
            <w:r>
              <w:rPr>
                <w:rFonts w:ascii="Arial" w:cs="Arial" w:eastAsia="Arial" w:hAnsi="Arial"/>
                <w:sz w:val="13"/>
                <w:szCs w:val="13"/>
                <w:color w:val="auto"/>
              </w:rPr>
              <w:t>agreement, net of issuance costs</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500" w:type="dxa"/>
            <w:vAlign w:val="bottom"/>
          </w:tcPr>
          <w:p>
            <w:pPr>
              <w:ind w:left="260"/>
              <w:spacing w:after="0" w:line="135" w:lineRule="exact"/>
              <w:rPr>
                <w:sz w:val="20"/>
                <w:szCs w:val="20"/>
                <w:color w:val="auto"/>
              </w:rPr>
            </w:pPr>
            <w:r>
              <w:rPr>
                <w:rFonts w:ascii="Arial" w:cs="Arial" w:eastAsia="Arial" w:hAnsi="Arial"/>
                <w:sz w:val="13"/>
                <w:szCs w:val="13"/>
                <w:color w:val="auto"/>
              </w:rPr>
              <w:t>Put option grant in connection with</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260"/>
              <w:spacing w:after="0"/>
              <w:rPr>
                <w:sz w:val="20"/>
                <w:szCs w:val="20"/>
                <w:color w:val="auto"/>
              </w:rPr>
            </w:pPr>
            <w:r>
              <w:rPr>
                <w:rFonts w:ascii="Arial" w:cs="Arial" w:eastAsia="Arial" w:hAnsi="Arial"/>
                <w:sz w:val="13"/>
                <w:szCs w:val="13"/>
                <w:color w:val="auto"/>
              </w:rPr>
              <w:t>collaboration agreement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500" w:type="dxa"/>
            <w:vAlign w:val="bottom"/>
          </w:tcPr>
          <w:p>
            <w:pPr>
              <w:ind w:left="260"/>
              <w:spacing w:after="0"/>
              <w:rPr>
                <w:sz w:val="20"/>
                <w:szCs w:val="20"/>
                <w:color w:val="auto"/>
              </w:rPr>
            </w:pPr>
            <w:r>
              <w:rPr>
                <w:rFonts w:ascii="Arial" w:cs="Arial" w:eastAsia="Arial" w:hAnsi="Arial"/>
                <w:sz w:val="13"/>
                <w:szCs w:val="13"/>
                <w:color w:val="auto"/>
              </w:rPr>
              <w:t>Employee stock-based compensation</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500" w:type="dxa"/>
            <w:vAlign w:val="bottom"/>
          </w:tcPr>
          <w:p>
            <w:pPr>
              <w:ind w:left="260"/>
              <w:spacing w:after="0" w:line="135" w:lineRule="exact"/>
              <w:rPr>
                <w:sz w:val="20"/>
                <w:szCs w:val="20"/>
                <w:color w:val="auto"/>
              </w:rPr>
            </w:pPr>
            <w:r>
              <w:rPr>
                <w:rFonts w:ascii="Arial" w:cs="Arial" w:eastAsia="Arial" w:hAnsi="Arial"/>
                <w:sz w:val="13"/>
                <w:szCs w:val="13"/>
                <w:color w:val="auto"/>
                <w:w w:val="93"/>
              </w:rPr>
              <w:t>Issuance of common stock upon exercise</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260"/>
              <w:spacing w:after="0"/>
              <w:rPr>
                <w:sz w:val="20"/>
                <w:szCs w:val="20"/>
                <w:color w:val="auto"/>
              </w:rPr>
            </w:pPr>
            <w:r>
              <w:rPr>
                <w:rFonts w:ascii="Arial" w:cs="Arial" w:eastAsia="Arial" w:hAnsi="Arial"/>
                <w:sz w:val="13"/>
                <w:szCs w:val="13"/>
                <w:color w:val="auto"/>
              </w:rPr>
              <w:t>of stock options</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500" w:type="dxa"/>
            <w:vAlign w:val="bottom"/>
          </w:tcPr>
          <w:p>
            <w:pPr>
              <w:ind w:left="260"/>
              <w:spacing w:after="0" w:line="135" w:lineRule="exact"/>
              <w:rPr>
                <w:sz w:val="20"/>
                <w:szCs w:val="20"/>
                <w:color w:val="auto"/>
              </w:rPr>
            </w:pPr>
            <w:r>
              <w:rPr>
                <w:rFonts w:ascii="Arial" w:cs="Arial" w:eastAsia="Arial" w:hAnsi="Arial"/>
                <w:sz w:val="13"/>
                <w:szCs w:val="13"/>
                <w:color w:val="auto"/>
                <w:w w:val="97"/>
              </w:rPr>
              <w:t>Restricted stock units vested during the</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260"/>
              <w:spacing w:after="0"/>
              <w:rPr>
                <w:sz w:val="20"/>
                <w:szCs w:val="20"/>
                <w:color w:val="auto"/>
              </w:rPr>
            </w:pPr>
            <w:r>
              <w:rPr>
                <w:rFonts w:ascii="Arial" w:cs="Arial" w:eastAsia="Arial" w:hAnsi="Arial"/>
                <w:sz w:val="13"/>
                <w:szCs w:val="13"/>
                <w:color w:val="auto"/>
              </w:rPr>
              <w:t>period, net</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260"/>
              <w:spacing w:after="0"/>
              <w:rPr>
                <w:sz w:val="20"/>
                <w:szCs w:val="20"/>
                <w:color w:val="auto"/>
              </w:rPr>
            </w:pPr>
            <w:r>
              <w:rPr>
                <w:rFonts w:ascii="Arial" w:cs="Arial" w:eastAsia="Arial" w:hAnsi="Arial"/>
                <w:sz w:val="13"/>
                <w:szCs w:val="13"/>
                <w:color w:val="auto"/>
              </w:rPr>
              <w:t>Other comprehensive income</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500" w:type="dxa"/>
            <w:vAlign w:val="bottom"/>
          </w:tcPr>
          <w:p>
            <w:pPr>
              <w:ind w:left="260"/>
              <w:spacing w:after="0"/>
              <w:rPr>
                <w:sz w:val="20"/>
                <w:szCs w:val="20"/>
                <w:color w:val="auto"/>
              </w:rPr>
            </w:pPr>
            <w:r>
              <w:rPr>
                <w:rFonts w:ascii="Arial" w:cs="Arial" w:eastAsia="Arial" w:hAnsi="Arial"/>
                <w:sz w:val="13"/>
                <w:szCs w:val="13"/>
                <w:color w:val="auto"/>
              </w:rPr>
              <w:t>Net loss</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500" w:type="dxa"/>
            <w:vAlign w:val="bottom"/>
          </w:tcPr>
          <w:p>
            <w:pPr>
              <w:spacing w:after="0" w:line="143" w:lineRule="exact"/>
              <w:rPr>
                <w:sz w:val="20"/>
                <w:szCs w:val="20"/>
                <w:color w:val="auto"/>
              </w:rPr>
            </w:pPr>
            <w:r>
              <w:rPr>
                <w:rFonts w:ascii="Arial" w:cs="Arial" w:eastAsia="Arial" w:hAnsi="Arial"/>
                <w:sz w:val="13"/>
                <w:szCs w:val="13"/>
                <w:color w:val="auto"/>
              </w:rPr>
              <w:t>Balance as of December 31, 2016</w:t>
            </w: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1860"/>
        <w:spacing w:after="0"/>
        <w:rPr>
          <w:sz w:val="20"/>
          <w:szCs w:val="20"/>
          <w:color w:val="auto"/>
        </w:rPr>
      </w:pPr>
      <w:r>
        <w:rPr>
          <w:rFonts w:ascii="Arial" w:cs="Arial" w:eastAsia="Arial" w:hAnsi="Arial"/>
          <w:sz w:val="13"/>
          <w:szCs w:val="13"/>
          <w:b w:val="1"/>
          <w:bCs w:val="1"/>
          <w:color w:val="auto"/>
        </w:rPr>
        <w:t>Stockholders' Equity (Deficit)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6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200"/>
              <w:spacing w:after="0" w:line="124" w:lineRule="exact"/>
              <w:rPr>
                <w:sz w:val="20"/>
                <w:szCs w:val="20"/>
                <w:color w:val="auto"/>
              </w:rPr>
            </w:pPr>
            <w:r>
              <w:rPr>
                <w:rFonts w:ascii="Arial" w:cs="Arial" w:eastAsia="Arial" w:hAnsi="Arial"/>
                <w:sz w:val="13"/>
                <w:szCs w:val="13"/>
                <w:b w:val="1"/>
                <w:bCs w:val="1"/>
                <w:color w:val="auto"/>
                <w:w w:val="88"/>
              </w:rPr>
              <w:t>Accumulated</w:t>
            </w: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35"/>
        </w:trPr>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3"/>
          </w:tcPr>
          <w:p>
            <w:pPr>
              <w:jc w:val="right"/>
              <w:ind w:right="240"/>
              <w:spacing w:after="0" w:line="135" w:lineRule="exact"/>
              <w:rPr>
                <w:sz w:val="20"/>
                <w:szCs w:val="20"/>
                <w:color w:val="auto"/>
              </w:rPr>
            </w:pPr>
            <w:r>
              <w:rPr>
                <w:rFonts w:ascii="Arial" w:cs="Arial" w:eastAsia="Arial" w:hAnsi="Arial"/>
                <w:sz w:val="13"/>
                <w:szCs w:val="13"/>
                <w:b w:val="1"/>
                <w:bCs w:val="1"/>
                <w:color w:val="auto"/>
                <w:w w:val="91"/>
              </w:rPr>
              <w:t>Additional</w:t>
            </w:r>
          </w:p>
        </w:tc>
        <w:tc>
          <w:tcPr>
            <w:tcW w:w="6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ind w:right="340"/>
              <w:spacing w:after="0" w:line="135" w:lineRule="exact"/>
              <w:rPr>
                <w:sz w:val="20"/>
                <w:szCs w:val="20"/>
                <w:color w:val="auto"/>
              </w:rPr>
            </w:pPr>
            <w:r>
              <w:rPr>
                <w:rFonts w:ascii="Arial" w:cs="Arial" w:eastAsia="Arial" w:hAnsi="Arial"/>
                <w:sz w:val="13"/>
                <w:szCs w:val="13"/>
                <w:b w:val="1"/>
                <w:bCs w:val="1"/>
                <w:color w:val="auto"/>
              </w:rPr>
              <w:t>Total</w:t>
            </w:r>
          </w:p>
        </w:tc>
      </w:tr>
      <w:tr>
        <w:trPr>
          <w:trHeight w:val="153"/>
        </w:trPr>
        <w:tc>
          <w:tcPr>
            <w:tcW w:w="1440" w:type="dxa"/>
            <w:vAlign w:val="bottom"/>
            <w:tcBorders>
              <w:bottom w:val="single" w:sz="8" w:color="auto"/>
            </w:tcBorders>
            <w:gridSpan w:val="4"/>
          </w:tcPr>
          <w:p>
            <w:pPr>
              <w:jc w:val="right"/>
              <w:ind w:right="237"/>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6"/>
              </w:rPr>
              <w:t>Paid-In</w:t>
            </w:r>
          </w:p>
        </w:tc>
        <w:tc>
          <w:tcPr>
            <w:tcW w:w="9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6"/>
              </w:rPr>
              <w:t>Comprehensive</w:t>
            </w:r>
          </w:p>
        </w:tc>
        <w:tc>
          <w:tcPr>
            <w:tcW w:w="1020" w:type="dxa"/>
            <w:vAlign w:val="bottom"/>
            <w:gridSpan w:val="4"/>
          </w:tcPr>
          <w:p>
            <w:pPr>
              <w:ind w:left="80"/>
              <w:spacing w:after="0"/>
              <w:rPr>
                <w:sz w:val="20"/>
                <w:szCs w:val="20"/>
                <w:color w:val="auto"/>
              </w:rPr>
            </w:pPr>
            <w:r>
              <w:rPr>
                <w:rFonts w:ascii="Arial" w:cs="Arial" w:eastAsia="Arial" w:hAnsi="Arial"/>
                <w:sz w:val="13"/>
                <w:szCs w:val="13"/>
                <w:b w:val="1"/>
                <w:bCs w:val="1"/>
                <w:color w:val="auto"/>
              </w:rPr>
              <w:t>Accumulated</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w w:val="88"/>
              </w:rPr>
              <w:t>Stockholders'</w:t>
            </w:r>
          </w:p>
        </w:tc>
      </w:tr>
      <w:tr>
        <w:trPr>
          <w:trHeight w:val="194"/>
        </w:trPr>
        <w:tc>
          <w:tcPr>
            <w:tcW w:w="680" w:type="dxa"/>
            <w:vAlign w:val="bottom"/>
          </w:tcPr>
          <w:p>
            <w:pPr>
              <w:jc w:val="right"/>
              <w:ind w:right="97"/>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w w:val="85"/>
              </w:rPr>
              <w:t>Amount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2"/>
              </w:rPr>
              <w:t>Capital</w:t>
            </w:r>
          </w:p>
        </w:tc>
        <w:tc>
          <w:tcPr>
            <w:tcW w:w="9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6"/>
              </w:rPr>
              <w:t>Income (Loss)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358"/>
              <w:spacing w:after="0"/>
              <w:rPr>
                <w:sz w:val="20"/>
                <w:szCs w:val="20"/>
                <w:color w:val="auto"/>
              </w:rPr>
            </w:pPr>
            <w:r>
              <w:rPr>
                <w:rFonts w:ascii="Arial" w:cs="Arial" w:eastAsia="Arial" w:hAnsi="Arial"/>
                <w:sz w:val="13"/>
                <w:szCs w:val="13"/>
                <w:b w:val="1"/>
                <w:bCs w:val="1"/>
                <w:color w:val="auto"/>
              </w:rPr>
              <w:t>Deficit</w:t>
            </w: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w w:val="93"/>
              </w:rPr>
              <w:t>Equity (Deficit)</w:t>
            </w:r>
          </w:p>
        </w:tc>
      </w:tr>
      <w:tr>
        <w:trPr>
          <w:trHeight w:val="30"/>
        </w:trPr>
        <w:tc>
          <w:tcPr>
            <w:tcW w:w="6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r>
      <w:tr>
        <w:trPr>
          <w:trHeight w:val="141"/>
        </w:trPr>
        <w:tc>
          <w:tcPr>
            <w:tcW w:w="6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3,766,289</w:t>
            </w:r>
          </w:p>
        </w:tc>
        <w:tc>
          <w:tcPr>
            <w:tcW w:w="180" w:type="dxa"/>
            <w:vAlign w:val="bottom"/>
          </w:tcPr>
          <w:p>
            <w:pPr>
              <w:spacing w:after="0"/>
              <w:rPr>
                <w:sz w:val="12"/>
                <w:szCs w:val="12"/>
                <w:color w:val="auto"/>
              </w:rPr>
            </w:pPr>
          </w:p>
        </w:tc>
        <w:tc>
          <w:tcPr>
            <w:tcW w:w="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4</w:t>
            </w:r>
          </w:p>
        </w:tc>
        <w:tc>
          <w:tcPr>
            <w:tcW w:w="2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11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line="141"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(74,836)</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line="141"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(74,821)</w:t>
            </w:r>
          </w:p>
        </w:tc>
        <w:tc>
          <w:tcPr>
            <w:tcW w:w="40" w:type="dxa"/>
            <w:vAlign w:val="bottom"/>
          </w:tcPr>
          <w:p>
            <w:pPr>
              <w:spacing w:after="0"/>
              <w:rPr>
                <w:sz w:val="12"/>
                <w:szCs w:val="12"/>
                <w:color w:val="auto"/>
              </w:rPr>
            </w:pPr>
          </w:p>
        </w:tc>
      </w:tr>
      <w:tr>
        <w:trPr>
          <w:trHeight w:val="160"/>
        </w:trPr>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(27)</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38"/>
              <w:spacing w:after="0"/>
              <w:rPr>
                <w:sz w:val="20"/>
                <w:szCs w:val="20"/>
                <w:color w:val="auto"/>
              </w:rPr>
            </w:pPr>
            <w:r>
              <w:rPr>
                <w:rFonts w:ascii="Arial" w:cs="Arial" w:eastAsia="Arial" w:hAnsi="Arial"/>
                <w:sz w:val="13"/>
                <w:szCs w:val="13"/>
                <w:color w:val="auto"/>
              </w:rPr>
              <w:t>(4,403)</w:t>
            </w:r>
          </w:p>
        </w:tc>
        <w:tc>
          <w:tcPr>
            <w:tcW w:w="1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(4,430)</w:t>
            </w:r>
          </w:p>
        </w:tc>
      </w:tr>
      <w:tr>
        <w:trPr>
          <w:trHeight w:val="284"/>
        </w:trPr>
        <w:tc>
          <w:tcPr>
            <w:tcW w:w="680" w:type="dxa"/>
            <w:vAlign w:val="bottom"/>
          </w:tcPr>
          <w:p>
            <w:pPr>
              <w:jc w:val="right"/>
              <w:spacing w:after="0"/>
              <w:rPr>
                <w:sz w:val="20"/>
                <w:szCs w:val="20"/>
                <w:color w:val="auto"/>
              </w:rPr>
            </w:pPr>
            <w:r>
              <w:rPr>
                <w:rFonts w:ascii="Arial" w:cs="Arial" w:eastAsia="Arial" w:hAnsi="Arial"/>
                <w:sz w:val="13"/>
                <w:szCs w:val="13"/>
                <w:color w:val="auto"/>
                <w:w w:val="98"/>
              </w:rPr>
              <w:t>19,598,486</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19</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129,341</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129,360</w:t>
            </w:r>
          </w:p>
        </w:tc>
        <w:tc>
          <w:tcPr>
            <w:tcW w:w="40" w:type="dxa"/>
            <w:vAlign w:val="bottom"/>
          </w:tcPr>
          <w:p>
            <w:pPr>
              <w:spacing w:after="0"/>
              <w:rPr>
                <w:sz w:val="24"/>
                <w:szCs w:val="24"/>
                <w:color w:val="auto"/>
              </w:rPr>
            </w:pPr>
          </w:p>
        </w:tc>
      </w:tr>
      <w:tr>
        <w:trPr>
          <w:trHeight w:val="284"/>
        </w:trPr>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6,743</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6,743</w:t>
            </w:r>
          </w:p>
        </w:tc>
        <w:tc>
          <w:tcPr>
            <w:tcW w:w="40" w:type="dxa"/>
            <w:vAlign w:val="bottom"/>
          </w:tcPr>
          <w:p>
            <w:pPr>
              <w:spacing w:after="0"/>
              <w:rPr>
                <w:sz w:val="24"/>
                <w:szCs w:val="24"/>
                <w:color w:val="auto"/>
              </w:rPr>
            </w:pPr>
          </w:p>
        </w:tc>
      </w:tr>
      <w:tr>
        <w:trPr>
          <w:trHeight w:val="554"/>
        </w:trPr>
        <w:tc>
          <w:tcPr>
            <w:tcW w:w="680" w:type="dxa"/>
            <w:vAlign w:val="bottom"/>
          </w:tcPr>
          <w:p>
            <w:pPr>
              <w:jc w:val="right"/>
              <w:spacing w:after="0"/>
              <w:rPr>
                <w:sz w:val="20"/>
                <w:szCs w:val="20"/>
                <w:color w:val="auto"/>
              </w:rPr>
            </w:pPr>
            <w:r>
              <w:rPr>
                <w:rFonts w:ascii="Arial" w:cs="Arial" w:eastAsia="Arial" w:hAnsi="Arial"/>
                <w:sz w:val="13"/>
                <w:szCs w:val="13"/>
                <w:color w:val="auto"/>
              </w:rPr>
              <w:t>6,624,423</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121,704</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121,711</w:t>
            </w:r>
          </w:p>
        </w:tc>
        <w:tc>
          <w:tcPr>
            <w:tcW w:w="40" w:type="dxa"/>
            <w:vAlign w:val="bottom"/>
          </w:tcPr>
          <w:p>
            <w:pPr>
              <w:spacing w:after="0"/>
              <w:rPr>
                <w:sz w:val="24"/>
                <w:szCs w:val="24"/>
                <w:color w:val="auto"/>
              </w:rPr>
            </w:pPr>
          </w:p>
        </w:tc>
      </w:tr>
      <w:tr>
        <w:trPr>
          <w:trHeight w:val="407"/>
        </w:trPr>
        <w:tc>
          <w:tcPr>
            <w:tcW w:w="680" w:type="dxa"/>
            <w:vAlign w:val="bottom"/>
          </w:tcPr>
          <w:p>
            <w:pPr>
              <w:jc w:val="right"/>
              <w:spacing w:after="0"/>
              <w:rPr>
                <w:sz w:val="20"/>
                <w:szCs w:val="20"/>
                <w:color w:val="auto"/>
              </w:rPr>
            </w:pPr>
            <w:r>
              <w:rPr>
                <w:rFonts w:ascii="Arial" w:cs="Arial" w:eastAsia="Arial" w:hAnsi="Arial"/>
                <w:sz w:val="13"/>
                <w:szCs w:val="13"/>
                <w:color w:val="auto"/>
              </w:rPr>
              <w:t>1,613,879</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60,237</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60,239</w:t>
            </w:r>
          </w:p>
        </w:tc>
        <w:tc>
          <w:tcPr>
            <w:tcW w:w="40" w:type="dxa"/>
            <w:vAlign w:val="bottom"/>
          </w:tcPr>
          <w:p>
            <w:pPr>
              <w:spacing w:after="0"/>
              <w:rPr>
                <w:sz w:val="24"/>
                <w:szCs w:val="24"/>
                <w:color w:val="auto"/>
              </w:rPr>
            </w:pPr>
          </w:p>
        </w:tc>
      </w:tr>
      <w:tr>
        <w:trPr>
          <w:trHeight w:val="160"/>
        </w:trPr>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5,394</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5,394</w:t>
            </w:r>
          </w:p>
        </w:tc>
        <w:tc>
          <w:tcPr>
            <w:tcW w:w="40" w:type="dxa"/>
            <w:vAlign w:val="bottom"/>
          </w:tcPr>
          <w:p>
            <w:pPr>
              <w:spacing w:after="0"/>
              <w:rPr>
                <w:sz w:val="13"/>
                <w:szCs w:val="13"/>
                <w:color w:val="auto"/>
              </w:rPr>
            </w:pPr>
          </w:p>
        </w:tc>
      </w:tr>
      <w:tr>
        <w:trPr>
          <w:trHeight w:val="407"/>
        </w:trPr>
        <w:tc>
          <w:tcPr>
            <w:tcW w:w="680" w:type="dxa"/>
            <w:vAlign w:val="bottom"/>
          </w:tcPr>
          <w:p>
            <w:pPr>
              <w:jc w:val="right"/>
              <w:spacing w:after="0"/>
              <w:rPr>
                <w:sz w:val="20"/>
                <w:szCs w:val="20"/>
                <w:color w:val="auto"/>
              </w:rPr>
            </w:pPr>
            <w:r>
              <w:rPr>
                <w:rFonts w:ascii="Arial" w:cs="Arial" w:eastAsia="Arial" w:hAnsi="Arial"/>
                <w:sz w:val="13"/>
                <w:szCs w:val="13"/>
                <w:color w:val="auto"/>
              </w:rPr>
              <w:t>331,605</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736</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736</w:t>
            </w:r>
          </w:p>
        </w:tc>
        <w:tc>
          <w:tcPr>
            <w:tcW w:w="40" w:type="dxa"/>
            <w:vAlign w:val="bottom"/>
          </w:tcPr>
          <w:p>
            <w:pPr>
              <w:spacing w:after="0"/>
              <w:rPr>
                <w:sz w:val="24"/>
                <w:szCs w:val="24"/>
                <w:color w:val="auto"/>
              </w:rPr>
            </w:pPr>
          </w:p>
        </w:tc>
      </w:tr>
      <w:tr>
        <w:trPr>
          <w:trHeight w:val="149"/>
        </w:trPr>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(185)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(185)</w:t>
            </w:r>
          </w:p>
        </w:tc>
      </w:tr>
      <w:tr>
        <w:trPr>
          <w:trHeight w:val="149"/>
        </w:trPr>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38"/>
              <w:spacing w:after="0"/>
              <w:rPr>
                <w:sz w:val="20"/>
                <w:szCs w:val="20"/>
                <w:color w:val="auto"/>
              </w:rPr>
            </w:pPr>
            <w:r>
              <w:rPr>
                <w:rFonts w:ascii="Arial" w:cs="Arial" w:eastAsia="Arial" w:hAnsi="Arial"/>
                <w:sz w:val="13"/>
                <w:szCs w:val="13"/>
                <w:color w:val="auto"/>
              </w:rPr>
              <w:t>(59,802)</w:t>
            </w:r>
          </w:p>
        </w:tc>
        <w:tc>
          <w:tcPr>
            <w:tcW w:w="16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(59,802)</w:t>
            </w:r>
          </w:p>
        </w:tc>
      </w:tr>
      <w:tr>
        <w:trPr>
          <w:trHeight w:val="154"/>
        </w:trPr>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8"/>
              </w:rPr>
              <w:t>31,934,682</w:t>
            </w: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32</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324,128</w:t>
            </w:r>
          </w:p>
        </w:tc>
        <w:tc>
          <w:tcPr>
            <w:tcW w:w="2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(139,041)</w:t>
            </w: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184,945</w:t>
            </w:r>
          </w:p>
        </w:tc>
        <w:tc>
          <w:tcPr>
            <w:tcW w:w="40" w:type="dxa"/>
            <w:vAlign w:val="bottom"/>
          </w:tcPr>
          <w:p>
            <w:pPr>
              <w:spacing w:after="0"/>
              <w:rPr>
                <w:sz w:val="13"/>
                <w:szCs w:val="13"/>
                <w:color w:val="auto"/>
              </w:rPr>
            </w:pPr>
          </w:p>
        </w:tc>
      </w:tr>
      <w:tr>
        <w:trPr>
          <w:trHeight w:val="406"/>
        </w:trPr>
        <w:tc>
          <w:tcPr>
            <w:tcW w:w="680" w:type="dxa"/>
            <w:vAlign w:val="bottom"/>
          </w:tcPr>
          <w:p>
            <w:pPr>
              <w:jc w:val="right"/>
              <w:spacing w:after="0"/>
              <w:rPr>
                <w:sz w:val="20"/>
                <w:szCs w:val="20"/>
                <w:color w:val="auto"/>
              </w:rPr>
            </w:pPr>
            <w:r>
              <w:rPr>
                <w:rFonts w:ascii="Arial" w:cs="Arial" w:eastAsia="Arial" w:hAnsi="Arial"/>
                <w:sz w:val="13"/>
                <w:szCs w:val="13"/>
                <w:color w:val="auto"/>
              </w:rPr>
              <w:t>5,980,000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461,130</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461,136</w:t>
            </w:r>
          </w:p>
        </w:tc>
        <w:tc>
          <w:tcPr>
            <w:tcW w:w="40" w:type="dxa"/>
            <w:vAlign w:val="bottom"/>
          </w:tcPr>
          <w:p>
            <w:pPr>
              <w:spacing w:after="0"/>
              <w:rPr>
                <w:sz w:val="24"/>
                <w:szCs w:val="24"/>
                <w:color w:val="auto"/>
              </w:rPr>
            </w:pPr>
          </w:p>
        </w:tc>
      </w:tr>
      <w:tr>
        <w:trPr>
          <w:trHeight w:val="160"/>
        </w:trPr>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24,884</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24,884</w:t>
            </w:r>
          </w:p>
        </w:tc>
        <w:tc>
          <w:tcPr>
            <w:tcW w:w="40" w:type="dxa"/>
            <w:vAlign w:val="bottom"/>
          </w:tcPr>
          <w:p>
            <w:pPr>
              <w:spacing w:after="0"/>
              <w:rPr>
                <w:sz w:val="13"/>
                <w:szCs w:val="13"/>
                <w:color w:val="auto"/>
              </w:rPr>
            </w:pPr>
          </w:p>
        </w:tc>
      </w:tr>
      <w:tr>
        <w:trPr>
          <w:trHeight w:val="419"/>
        </w:trPr>
        <w:tc>
          <w:tcPr>
            <w:tcW w:w="680" w:type="dxa"/>
            <w:vAlign w:val="bottom"/>
          </w:tcPr>
          <w:p>
            <w:pPr>
              <w:jc w:val="right"/>
              <w:spacing w:after="0"/>
              <w:rPr>
                <w:sz w:val="20"/>
                <w:szCs w:val="20"/>
                <w:color w:val="auto"/>
              </w:rPr>
            </w:pPr>
            <w:r>
              <w:rPr>
                <w:rFonts w:ascii="Arial" w:cs="Arial" w:eastAsia="Arial" w:hAnsi="Arial"/>
                <w:sz w:val="13"/>
                <w:szCs w:val="13"/>
                <w:color w:val="auto"/>
              </w:rPr>
              <w:t>957,587</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7,354</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7,355</w:t>
            </w:r>
          </w:p>
        </w:tc>
        <w:tc>
          <w:tcPr>
            <w:tcW w:w="40" w:type="dxa"/>
            <w:vAlign w:val="bottom"/>
          </w:tcPr>
          <w:p>
            <w:pPr>
              <w:spacing w:after="0"/>
              <w:rPr>
                <w:sz w:val="24"/>
                <w:szCs w:val="24"/>
                <w:color w:val="auto"/>
              </w:rPr>
            </w:pPr>
          </w:p>
        </w:tc>
      </w:tr>
      <w:tr>
        <w:trPr>
          <w:trHeight w:val="272"/>
        </w:trPr>
        <w:tc>
          <w:tcPr>
            <w:tcW w:w="680" w:type="dxa"/>
            <w:vAlign w:val="bottom"/>
          </w:tcPr>
          <w:p>
            <w:pPr>
              <w:jc w:val="right"/>
              <w:spacing w:after="0"/>
              <w:rPr>
                <w:sz w:val="20"/>
                <w:szCs w:val="20"/>
                <w:color w:val="auto"/>
              </w:rPr>
            </w:pPr>
            <w:r>
              <w:rPr>
                <w:rFonts w:ascii="Arial" w:cs="Arial" w:eastAsia="Arial" w:hAnsi="Arial"/>
                <w:sz w:val="13"/>
                <w:szCs w:val="13"/>
                <w:color w:val="auto"/>
              </w:rPr>
              <w:t>10,125</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(918)</w:t>
            </w: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(918)</w:t>
            </w:r>
          </w:p>
        </w:tc>
      </w:tr>
      <w:tr>
        <w:trPr>
          <w:trHeight w:val="149"/>
        </w:trPr>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(694)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(694)</w:t>
            </w:r>
          </w:p>
        </w:tc>
      </w:tr>
      <w:tr>
        <w:trPr>
          <w:trHeight w:val="149"/>
        </w:trPr>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38"/>
              <w:spacing w:after="0"/>
              <w:rPr>
                <w:sz w:val="20"/>
                <w:szCs w:val="20"/>
                <w:color w:val="auto"/>
              </w:rPr>
            </w:pPr>
            <w:r>
              <w:rPr>
                <w:rFonts w:ascii="Arial" w:cs="Arial" w:eastAsia="Arial" w:hAnsi="Arial"/>
                <w:sz w:val="13"/>
                <w:szCs w:val="13"/>
                <w:color w:val="auto"/>
              </w:rPr>
              <w:t>(145,618)</w:t>
            </w:r>
          </w:p>
        </w:tc>
        <w:tc>
          <w:tcPr>
            <w:tcW w:w="16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(145,618)</w:t>
            </w:r>
          </w:p>
        </w:tc>
      </w:tr>
      <w:tr>
        <w:trPr>
          <w:trHeight w:val="154"/>
        </w:trPr>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8"/>
              </w:rPr>
              <w:t>38,882,394</w:t>
            </w: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39</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816,578</w:t>
            </w:r>
          </w:p>
        </w:tc>
        <w:tc>
          <w:tcPr>
            <w:tcW w:w="2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(868)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(284,659)</w:t>
            </w: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531,090</w:t>
            </w:r>
          </w:p>
        </w:tc>
        <w:tc>
          <w:tcPr>
            <w:tcW w:w="40" w:type="dxa"/>
            <w:vAlign w:val="bottom"/>
          </w:tcPr>
          <w:p>
            <w:pPr>
              <w:spacing w:after="0"/>
              <w:rPr>
                <w:sz w:val="13"/>
                <w:szCs w:val="13"/>
                <w:color w:val="auto"/>
              </w:rPr>
            </w:pPr>
          </w:p>
        </w:tc>
      </w:tr>
      <w:tr>
        <w:trPr>
          <w:trHeight w:val="418"/>
        </w:trPr>
        <w:tc>
          <w:tcPr>
            <w:tcW w:w="680" w:type="dxa"/>
            <w:vAlign w:val="bottom"/>
          </w:tcPr>
          <w:p>
            <w:pPr>
              <w:jc w:val="right"/>
              <w:spacing w:after="0"/>
              <w:rPr>
                <w:sz w:val="20"/>
                <w:szCs w:val="20"/>
                <w:color w:val="auto"/>
              </w:rPr>
            </w:pPr>
            <w:r>
              <w:rPr>
                <w:rFonts w:ascii="Arial" w:cs="Arial" w:eastAsia="Arial" w:hAnsi="Arial"/>
                <w:sz w:val="13"/>
                <w:szCs w:val="13"/>
                <w:color w:val="auto"/>
              </w:rPr>
              <w:t>1,159,415</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79,485</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79,486</w:t>
            </w:r>
          </w:p>
        </w:tc>
        <w:tc>
          <w:tcPr>
            <w:tcW w:w="40" w:type="dxa"/>
            <w:vAlign w:val="bottom"/>
          </w:tcPr>
          <w:p>
            <w:pPr>
              <w:spacing w:after="0"/>
              <w:rPr>
                <w:sz w:val="24"/>
                <w:szCs w:val="24"/>
                <w:color w:val="auto"/>
              </w:rPr>
            </w:pPr>
          </w:p>
        </w:tc>
      </w:tr>
      <w:tr>
        <w:trPr>
          <w:trHeight w:val="419"/>
        </w:trPr>
        <w:tc>
          <w:tcPr>
            <w:tcW w:w="680" w:type="dxa"/>
            <w:vAlign w:val="bottom"/>
          </w:tcPr>
          <w:p>
            <w:pPr>
              <w:jc w:val="right"/>
              <w:spacing w:after="0"/>
              <w:rPr>
                <w:sz w:val="20"/>
                <w:szCs w:val="20"/>
                <w:color w:val="auto"/>
              </w:rPr>
            </w:pPr>
            <w:r>
              <w:rPr>
                <w:rFonts w:ascii="Arial" w:cs="Arial" w:eastAsia="Arial" w:hAnsi="Arial"/>
                <w:sz w:val="13"/>
                <w:szCs w:val="13"/>
                <w:color w:val="auto"/>
              </w:rPr>
              <w:t>727,120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52,271</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52,272</w:t>
            </w:r>
          </w:p>
        </w:tc>
        <w:tc>
          <w:tcPr>
            <w:tcW w:w="40" w:type="dxa"/>
            <w:vAlign w:val="bottom"/>
          </w:tcPr>
          <w:p>
            <w:pPr>
              <w:spacing w:after="0"/>
              <w:rPr>
                <w:sz w:val="24"/>
                <w:szCs w:val="24"/>
                <w:color w:val="auto"/>
              </w:rPr>
            </w:pPr>
          </w:p>
        </w:tc>
      </w:tr>
      <w:tr>
        <w:trPr>
          <w:trHeight w:val="272"/>
        </w:trPr>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(916)</w:t>
            </w:r>
          </w:p>
        </w:tc>
        <w:tc>
          <w:tcPr>
            <w:tcW w:w="6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(916)</w:t>
            </w:r>
          </w:p>
        </w:tc>
      </w:tr>
      <w:tr>
        <w:trPr>
          <w:trHeight w:val="160"/>
        </w:trPr>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48,309</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48,309</w:t>
            </w:r>
          </w:p>
        </w:tc>
        <w:tc>
          <w:tcPr>
            <w:tcW w:w="40" w:type="dxa"/>
            <w:vAlign w:val="bottom"/>
          </w:tcPr>
          <w:p>
            <w:pPr>
              <w:spacing w:after="0"/>
              <w:rPr>
                <w:sz w:val="13"/>
                <w:szCs w:val="13"/>
                <w:color w:val="auto"/>
              </w:rPr>
            </w:pPr>
          </w:p>
        </w:tc>
      </w:tr>
      <w:tr>
        <w:trPr>
          <w:trHeight w:val="284"/>
        </w:trPr>
        <w:tc>
          <w:tcPr>
            <w:tcW w:w="680" w:type="dxa"/>
            <w:vAlign w:val="bottom"/>
          </w:tcPr>
          <w:p>
            <w:pPr>
              <w:jc w:val="right"/>
              <w:spacing w:after="0"/>
              <w:rPr>
                <w:sz w:val="20"/>
                <w:szCs w:val="20"/>
                <w:color w:val="auto"/>
              </w:rPr>
            </w:pPr>
            <w:r>
              <w:rPr>
                <w:rFonts w:ascii="Arial" w:cs="Arial" w:eastAsia="Arial" w:hAnsi="Arial"/>
                <w:sz w:val="13"/>
                <w:szCs w:val="13"/>
                <w:color w:val="auto"/>
              </w:rPr>
              <w:t>438,811</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9,096</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9,096</w:t>
            </w:r>
          </w:p>
        </w:tc>
        <w:tc>
          <w:tcPr>
            <w:tcW w:w="40" w:type="dxa"/>
            <w:vAlign w:val="bottom"/>
          </w:tcPr>
          <w:p>
            <w:pPr>
              <w:spacing w:after="0"/>
              <w:rPr>
                <w:sz w:val="24"/>
                <w:szCs w:val="24"/>
                <w:color w:val="auto"/>
              </w:rPr>
            </w:pPr>
          </w:p>
        </w:tc>
      </w:tr>
      <w:tr>
        <w:trPr>
          <w:trHeight w:val="272"/>
        </w:trPr>
        <w:tc>
          <w:tcPr>
            <w:tcW w:w="680" w:type="dxa"/>
            <w:vAlign w:val="bottom"/>
          </w:tcPr>
          <w:p>
            <w:pPr>
              <w:jc w:val="right"/>
              <w:spacing w:after="0"/>
              <w:rPr>
                <w:sz w:val="20"/>
                <w:szCs w:val="20"/>
                <w:color w:val="auto"/>
              </w:rPr>
            </w:pPr>
            <w:r>
              <w:rPr>
                <w:rFonts w:ascii="Arial" w:cs="Arial" w:eastAsia="Arial" w:hAnsi="Arial"/>
                <w:sz w:val="13"/>
                <w:szCs w:val="13"/>
                <w:color w:val="auto"/>
              </w:rPr>
              <w:t>32,490</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(1,262)</w:t>
            </w:r>
          </w:p>
        </w:tc>
        <w:tc>
          <w:tcPr>
            <w:tcW w:w="6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(1,262)</w:t>
            </w:r>
          </w:p>
        </w:tc>
      </w:tr>
      <w:tr>
        <w:trPr>
          <w:trHeight w:val="149"/>
        </w:trPr>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1,773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1,773</w:t>
            </w:r>
          </w:p>
        </w:tc>
        <w:tc>
          <w:tcPr>
            <w:tcW w:w="40" w:type="dxa"/>
            <w:vAlign w:val="bottom"/>
          </w:tcPr>
          <w:p>
            <w:pPr>
              <w:spacing w:after="0"/>
              <w:rPr>
                <w:sz w:val="12"/>
                <w:szCs w:val="12"/>
                <w:color w:val="auto"/>
              </w:rPr>
            </w:pPr>
          </w:p>
        </w:tc>
      </w:tr>
      <w:tr>
        <w:trPr>
          <w:trHeight w:val="149"/>
        </w:trPr>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38"/>
              <w:spacing w:after="0"/>
              <w:rPr>
                <w:sz w:val="20"/>
                <w:szCs w:val="20"/>
                <w:color w:val="auto"/>
              </w:rPr>
            </w:pPr>
            <w:r>
              <w:rPr>
                <w:rFonts w:ascii="Arial" w:cs="Arial" w:eastAsia="Arial" w:hAnsi="Arial"/>
                <w:sz w:val="13"/>
                <w:szCs w:val="13"/>
                <w:color w:val="auto"/>
              </w:rPr>
              <w:t>(245,874)</w:t>
            </w:r>
          </w:p>
        </w:tc>
        <w:tc>
          <w:tcPr>
            <w:tcW w:w="16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(245,874)</w:t>
            </w:r>
          </w:p>
        </w:tc>
      </w:tr>
      <w:tr>
        <w:trPr>
          <w:trHeight w:val="142"/>
        </w:trPr>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8"/>
              </w:rPr>
              <w:t>41,240,230</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41</w:t>
            </w: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9"/>
              </w:rPr>
              <w:t>1,003,561</w:t>
            </w:r>
          </w:p>
        </w:tc>
        <w:tc>
          <w:tcPr>
            <w:tcW w:w="20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905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(530,533</w:t>
            </w:r>
          </w:p>
        </w:tc>
        <w:tc>
          <w:tcPr>
            <w:tcW w:w="220" w:type="dxa"/>
            <w:vAlign w:val="bottom"/>
          </w:tcPr>
          <w:p>
            <w:pPr>
              <w:jc w:val="right"/>
              <w:ind w:right="138"/>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473,974</w:t>
            </w:r>
          </w:p>
        </w:tc>
        <w:tc>
          <w:tcPr>
            <w:tcW w:w="40" w:type="dxa"/>
            <w:vAlign w:val="bottom"/>
          </w:tcPr>
          <w:p>
            <w:pPr>
              <w:spacing w:after="0"/>
              <w:rPr>
                <w:sz w:val="12"/>
                <w:szCs w:val="12"/>
                <w:color w:val="auto"/>
              </w:rPr>
            </w:pP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7" w:lineRule="exact"/>
        <w:rPr>
          <w:sz w:val="20"/>
          <w:szCs w:val="20"/>
          <w:color w:val="auto"/>
        </w:rPr>
      </w:pPr>
    </w:p>
    <w:p>
      <w:pPr>
        <w:sectPr>
          <w:pgSz w:w="11900" w:h="16838" w:orient="portrait"/>
          <w:cols w:equalWidth="0" w:num="2">
            <w:col w:w="5780" w:space="260"/>
            <w:col w:w="5360"/>
          </w:cols>
          <w:pgMar w:left="240" w:top="364" w:right="25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234"/>
        </w:trPr>
        <w:tc>
          <w:tcPr>
            <w:tcW w:w="7540" w:type="dxa"/>
            <w:vAlign w:val="bottom"/>
          </w:tcPr>
          <w:p>
            <w:pPr>
              <w:jc w:val="center"/>
              <w:ind w:left="3790"/>
              <w:spacing w:after="0"/>
              <w:rPr>
                <w:sz w:val="20"/>
                <w:szCs w:val="20"/>
                <w:color w:val="auto"/>
              </w:rPr>
            </w:pPr>
            <w:r>
              <w:rPr>
                <w:rFonts w:ascii="Arial" w:cs="Arial" w:eastAsia="Arial" w:hAnsi="Arial"/>
                <w:sz w:val="18"/>
                <w:szCs w:val="18"/>
                <w:b w:val="1"/>
                <w:bCs w:val="1"/>
                <w:color w:val="auto"/>
              </w:rPr>
              <w:t>ULTRAGENYX PHARMACEUTICAL INC.</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7900" w:type="dxa"/>
            <w:vAlign w:val="bottom"/>
            <w:gridSpan w:val="3"/>
          </w:tcPr>
          <w:p>
            <w:pPr>
              <w:jc w:val="center"/>
              <w:ind w:left="343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7540" w:type="dxa"/>
            <w:vAlign w:val="bottom"/>
          </w:tcPr>
          <w:p>
            <w:pPr>
              <w:jc w:val="center"/>
              <w:ind w:left="3810"/>
              <w:spacing w:after="0"/>
              <w:rPr>
                <w:sz w:val="20"/>
                <w:szCs w:val="20"/>
                <w:color w:val="auto"/>
              </w:rPr>
            </w:pPr>
            <w:r>
              <w:rPr>
                <w:rFonts w:ascii="Arial" w:cs="Arial" w:eastAsia="Arial" w:hAnsi="Arial"/>
                <w:sz w:val="18"/>
                <w:szCs w:val="18"/>
                <w:b w:val="1"/>
                <w:bCs w:val="1"/>
                <w:color w:val="auto"/>
                <w:w w:val="90"/>
              </w:rPr>
              <w:t>(In thousands)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7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540" w:type="dxa"/>
            <w:vAlign w:val="bottom"/>
            <w:tcBorders>
              <w:bottom w:val="single" w:sz="8" w:color="CCECFF"/>
            </w:tcBorders>
          </w:tcPr>
          <w:p>
            <w:pPr>
              <w:spacing w:after="0"/>
              <w:rPr>
                <w:sz w:val="19"/>
                <w:szCs w:val="19"/>
                <w:color w:val="auto"/>
              </w:rPr>
            </w:pPr>
          </w:p>
        </w:tc>
        <w:tc>
          <w:tcPr>
            <w:tcW w:w="100" w:type="dxa"/>
            <w:vAlign w:val="bottom"/>
            <w:tcBorders>
              <w:bottom w:val="single" w:sz="8" w:color="CCEC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CCEC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CCECFF"/>
            </w:tcBorders>
          </w:tcPr>
          <w:p>
            <w:pPr>
              <w:spacing w:after="0"/>
              <w:rPr>
                <w:sz w:val="19"/>
                <w:szCs w:val="19"/>
                <w:color w:val="auto"/>
              </w:rPr>
            </w:pPr>
          </w:p>
        </w:tc>
        <w:tc>
          <w:tcPr>
            <w:tcW w:w="100" w:type="dxa"/>
            <w:vAlign w:val="bottom"/>
            <w:tcBorders>
              <w:bottom w:val="single" w:sz="8" w:color="CCEC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2014</w:t>
            </w:r>
          </w:p>
        </w:tc>
        <w:tc>
          <w:tcPr>
            <w:tcW w:w="120" w:type="dxa"/>
            <w:vAlign w:val="bottom"/>
            <w:tcBorders>
              <w:bottom w:val="single" w:sz="8" w:color="CCEC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shd w:val="clear" w:color="auto" w:fill="CCECFF"/>
          </w:tcPr>
          <w:p>
            <w:pPr>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78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8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78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(245,874)</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(145,618)</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(59,802)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C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78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8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78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48,309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24,884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5,394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CFF"/>
          </w:tcPr>
          <w:p>
            <w:pPr>
              <w:ind w:left="260"/>
              <w:spacing w:after="0"/>
              <w:rPr>
                <w:sz w:val="20"/>
                <w:szCs w:val="20"/>
                <w:color w:val="auto"/>
              </w:rPr>
            </w:pPr>
            <w:r>
              <w:rPr>
                <w:rFonts w:ascii="Arial" w:cs="Arial" w:eastAsia="Arial" w:hAnsi="Arial"/>
                <w:sz w:val="18"/>
                <w:szCs w:val="18"/>
                <w:color w:val="auto"/>
              </w:rPr>
              <w:t>Amortization of premium on investment securities, net</w:t>
            </w:r>
          </w:p>
        </w:tc>
        <w:tc>
          <w:tcPr>
            <w:tcW w:w="10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4,842</w:t>
            </w:r>
          </w:p>
        </w:tc>
        <w:tc>
          <w:tcPr>
            <w:tcW w:w="2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5,637</w:t>
            </w:r>
          </w:p>
        </w:tc>
        <w:tc>
          <w:tcPr>
            <w:tcW w:w="16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3,600</w:t>
            </w:r>
          </w:p>
        </w:tc>
        <w:tc>
          <w:tcPr>
            <w:tcW w:w="120" w:type="dxa"/>
            <w:vAlign w:val="bottom"/>
            <w:shd w:val="clear" w:color="auto" w:fill="CCEC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3,424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540" w:type="dxa"/>
            <w:vAlign w:val="bottom"/>
            <w:shd w:val="clear" w:color="auto" w:fill="CCECFF"/>
          </w:tcPr>
          <w:p>
            <w:pPr>
              <w:ind w:left="260"/>
              <w:spacing w:after="0"/>
              <w:rPr>
                <w:sz w:val="20"/>
                <w:szCs w:val="20"/>
                <w:color w:val="auto"/>
              </w:rPr>
            </w:pPr>
            <w:r>
              <w:rPr>
                <w:rFonts w:ascii="Arial" w:cs="Arial" w:eastAsia="Arial" w:hAnsi="Arial"/>
                <w:sz w:val="18"/>
                <w:szCs w:val="18"/>
                <w:color w:val="auto"/>
              </w:rPr>
              <w:t>Revaluation of convertible preferred stock warrant liability</w:t>
            </w:r>
          </w:p>
        </w:tc>
        <w:tc>
          <w:tcPr>
            <w:tcW w:w="1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04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CFF"/>
          </w:tcPr>
          <w:p>
            <w:pPr>
              <w:spacing w:after="0"/>
              <w:rPr>
                <w:sz w:val="21"/>
                <w:szCs w:val="21"/>
                <w:color w:val="auto"/>
              </w:rPr>
            </w:pPr>
          </w:p>
        </w:tc>
        <w:tc>
          <w:tcPr>
            <w:tcW w:w="98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3,324</w:t>
            </w:r>
          </w:p>
        </w:tc>
        <w:tc>
          <w:tcPr>
            <w:tcW w:w="120" w:type="dxa"/>
            <w:vAlign w:val="bottom"/>
            <w:shd w:val="clear" w:color="auto" w:fill="CCEC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260"/>
              <w:spacing w:after="0"/>
              <w:rPr>
                <w:sz w:val="20"/>
                <w:szCs w:val="20"/>
                <w:color w:val="auto"/>
              </w:rPr>
            </w:pPr>
            <w:r>
              <w:rPr>
                <w:rFonts w:ascii="Arial" w:cs="Arial" w:eastAsia="Arial" w:hAnsi="Arial"/>
                <w:sz w:val="18"/>
                <w:szCs w:val="18"/>
                <w:color w:val="auto"/>
              </w:rPr>
              <w:t>Foreign currency remeasurement loss</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1,322</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CFF"/>
          </w:tcPr>
          <w:p>
            <w:pPr>
              <w:ind w:left="260"/>
              <w:spacing w:after="0"/>
              <w:rPr>
                <w:sz w:val="20"/>
                <w:szCs w:val="20"/>
                <w:color w:val="auto"/>
              </w:rPr>
            </w:pPr>
            <w:r>
              <w:rPr>
                <w:rFonts w:ascii="Arial" w:cs="Arial" w:eastAsia="Arial" w:hAnsi="Arial"/>
                <w:sz w:val="18"/>
                <w:szCs w:val="18"/>
                <w:color w:val="auto"/>
              </w:rPr>
              <w:t>Non-cash license fee from collaboration arrangement</w:t>
            </w:r>
          </w:p>
        </w:tc>
        <w:tc>
          <w:tcPr>
            <w:tcW w:w="10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700</w:t>
            </w:r>
          </w:p>
        </w:tc>
        <w:tc>
          <w:tcPr>
            <w:tcW w:w="2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98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C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104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(7,147)</w:t>
            </w:r>
          </w:p>
        </w:tc>
        <w:tc>
          <w:tcPr>
            <w:tcW w:w="220" w:type="dxa"/>
            <w:vAlign w:val="bottom"/>
            <w:shd w:val="clear" w:color="auto" w:fill="CCECFF"/>
          </w:tcPr>
          <w:p>
            <w:pPr>
              <w:spacing w:after="0"/>
              <w:rPr>
                <w:sz w:val="19"/>
                <w:szCs w:val="19"/>
                <w:color w:val="auto"/>
              </w:rPr>
            </w:pPr>
          </w:p>
        </w:tc>
        <w:tc>
          <w:tcPr>
            <w:tcW w:w="98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(7,131)</w:t>
            </w:r>
          </w:p>
        </w:tc>
        <w:tc>
          <w:tcPr>
            <w:tcW w:w="10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90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(4,081)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(1,242)</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CFF"/>
          </w:tcPr>
          <w:p>
            <w:pPr>
              <w:ind w:left="5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2,502</w:t>
            </w:r>
          </w:p>
        </w:tc>
        <w:tc>
          <w:tcPr>
            <w:tcW w:w="2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98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(1,982)</w:t>
            </w:r>
          </w:p>
        </w:tc>
        <w:tc>
          <w:tcPr>
            <w:tcW w:w="10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3,177</w:t>
            </w:r>
          </w:p>
        </w:tc>
        <w:tc>
          <w:tcPr>
            <w:tcW w:w="120" w:type="dxa"/>
            <w:vAlign w:val="bottom"/>
            <w:shd w:val="clear" w:color="auto" w:fill="CCEC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Borders>
              <w:bottom w:val="single" w:sz="8" w:color="CCECFF"/>
            </w:tcBorders>
          </w:tcPr>
          <w:p>
            <w:pPr>
              <w:ind w:left="500"/>
              <w:spacing w:after="0"/>
              <w:rPr>
                <w:sz w:val="20"/>
                <w:szCs w:val="20"/>
                <w:color w:val="auto"/>
              </w:rPr>
            </w:pPr>
            <w:r>
              <w:rPr>
                <w:rFonts w:ascii="Arial" w:cs="Arial" w:eastAsia="Arial" w:hAnsi="Arial"/>
                <w:sz w:val="18"/>
                <w:szCs w:val="18"/>
                <w:color w:val="auto"/>
              </w:rPr>
              <w:t>Accrued liabilities and other liabilities</w:t>
            </w:r>
          </w:p>
        </w:tc>
        <w:tc>
          <w:tcPr>
            <w:tcW w:w="100" w:type="dxa"/>
            <w:vAlign w:val="bottom"/>
            <w:tcBorders>
              <w:bottom w:val="single" w:sz="8" w:color="CCEC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32,189</w:t>
            </w:r>
          </w:p>
        </w:tc>
        <w:tc>
          <w:tcPr>
            <w:tcW w:w="260" w:type="dxa"/>
            <w:vAlign w:val="bottom"/>
            <w:tcBorders>
              <w:bottom w:val="single" w:sz="8" w:color="CCEC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16,670</w:t>
            </w:r>
          </w:p>
        </w:tc>
        <w:tc>
          <w:tcPr>
            <w:tcW w:w="160" w:type="dxa"/>
            <w:vAlign w:val="bottom"/>
            <w:tcBorders>
              <w:bottom w:val="single" w:sz="8" w:color="CCECFF"/>
            </w:tcBorders>
          </w:tcPr>
          <w:p>
            <w:pPr>
              <w:spacing w:after="0"/>
              <w:rPr>
                <w:sz w:val="19"/>
                <w:szCs w:val="19"/>
                <w:color w:val="auto"/>
              </w:rPr>
            </w:pPr>
          </w:p>
        </w:tc>
        <w:tc>
          <w:tcPr>
            <w:tcW w:w="100" w:type="dxa"/>
            <w:vAlign w:val="bottom"/>
            <w:tcBorders>
              <w:bottom w:val="single" w:sz="8" w:color="CCEC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3,481</w:t>
            </w:r>
          </w:p>
        </w:tc>
        <w:tc>
          <w:tcPr>
            <w:tcW w:w="120" w:type="dxa"/>
            <w:vAlign w:val="bottom"/>
            <w:tcBorders>
              <w:bottom w:val="single" w:sz="8" w:color="CCEC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shd w:val="clear" w:color="auto" w:fill="CCECFF"/>
          </w:tcPr>
          <w:p>
            <w:pPr>
              <w:ind w:left="74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CFF"/>
          </w:tcPr>
          <w:p>
            <w:pPr>
              <w:spacing w:after="0"/>
              <w:rPr>
                <w:sz w:val="19"/>
                <w:szCs w:val="19"/>
                <w:color w:val="auto"/>
              </w:rPr>
            </w:pPr>
          </w:p>
        </w:tc>
        <w:tc>
          <w:tcPr>
            <w:tcW w:w="260" w:type="dxa"/>
            <w:vAlign w:val="bottom"/>
            <w:tcBorders>
              <w:bottom w:val="single" w:sz="8" w:color="auto"/>
            </w:tcBorders>
            <w:shd w:val="clear" w:color="auto" w:fill="CCECFF"/>
          </w:tcPr>
          <w:p>
            <w:pPr>
              <w:spacing w:after="0"/>
              <w:rPr>
                <w:sz w:val="19"/>
                <w:szCs w:val="19"/>
                <w:color w:val="auto"/>
              </w:rPr>
            </w:pPr>
          </w:p>
        </w:tc>
        <w:tc>
          <w:tcPr>
            <w:tcW w:w="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8"/>
              </w:rPr>
              <w:t>(160,975)</w:t>
            </w:r>
          </w:p>
        </w:tc>
        <w:tc>
          <w:tcPr>
            <w:tcW w:w="260" w:type="dxa"/>
            <w:vAlign w:val="bottom"/>
            <w:shd w:val="clear" w:color="auto" w:fill="CCECFF"/>
          </w:tcPr>
          <w:p>
            <w:pPr>
              <w:spacing w:after="0"/>
              <w:rPr>
                <w:sz w:val="19"/>
                <w:szCs w:val="19"/>
                <w:color w:val="auto"/>
              </w:rPr>
            </w:pPr>
          </w:p>
        </w:tc>
        <w:tc>
          <w:tcPr>
            <w:tcW w:w="220" w:type="dxa"/>
            <w:vAlign w:val="bottom"/>
            <w:tcBorders>
              <w:bottom w:val="single" w:sz="8" w:color="auto"/>
            </w:tcBorders>
            <w:shd w:val="clear" w:color="auto" w:fill="CCECFF"/>
          </w:tcPr>
          <w:p>
            <w:pPr>
              <w:spacing w:after="0"/>
              <w:rPr>
                <w:sz w:val="19"/>
                <w:szCs w:val="19"/>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(105,977)</w:t>
            </w:r>
          </w:p>
        </w:tc>
        <w:tc>
          <w:tcPr>
            <w:tcW w:w="16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280" w:type="dxa"/>
            <w:vAlign w:val="bottom"/>
            <w:tcBorders>
              <w:bottom w:val="single" w:sz="8" w:color="auto"/>
            </w:tcBorders>
            <w:shd w:val="clear" w:color="auto" w:fill="CCECFF"/>
          </w:tcPr>
          <w:p>
            <w:pPr>
              <w:spacing w:after="0"/>
              <w:rPr>
                <w:sz w:val="19"/>
                <w:szCs w:val="19"/>
                <w:color w:val="auto"/>
              </w:rPr>
            </w:pPr>
          </w:p>
        </w:tc>
        <w:tc>
          <w:tcPr>
            <w:tcW w:w="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(44,634)</w:t>
            </w:r>
          </w:p>
        </w:tc>
        <w:tc>
          <w:tcPr>
            <w:tcW w:w="120" w:type="dxa"/>
            <w:vAlign w:val="bottom"/>
            <w:shd w:val="clear" w:color="auto" w:fill="CCEC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CFF"/>
          </w:tcPr>
          <w:p>
            <w:pPr>
              <w:ind w:left="260"/>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104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(10,188)</w:t>
            </w:r>
          </w:p>
        </w:tc>
        <w:tc>
          <w:tcPr>
            <w:tcW w:w="220" w:type="dxa"/>
            <w:vAlign w:val="bottom"/>
            <w:shd w:val="clear" w:color="auto" w:fill="CCECFF"/>
          </w:tcPr>
          <w:p>
            <w:pPr>
              <w:spacing w:after="0"/>
              <w:rPr>
                <w:sz w:val="19"/>
                <w:szCs w:val="19"/>
                <w:color w:val="auto"/>
              </w:rPr>
            </w:pPr>
          </w:p>
        </w:tc>
        <w:tc>
          <w:tcPr>
            <w:tcW w:w="98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(4,955)</w:t>
            </w:r>
          </w:p>
        </w:tc>
        <w:tc>
          <w:tcPr>
            <w:tcW w:w="10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90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(2,149)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60"/>
              <w:spacing w:after="0"/>
              <w:rPr>
                <w:sz w:val="20"/>
                <w:szCs w:val="20"/>
                <w:color w:val="auto"/>
              </w:rPr>
            </w:pPr>
            <w:r>
              <w:rPr>
                <w:rFonts w:ascii="Arial" w:cs="Arial" w:eastAsia="Arial" w:hAnsi="Arial"/>
                <w:sz w:val="18"/>
                <w:szCs w:val="18"/>
                <w:color w:val="auto"/>
              </w:rPr>
              <w:t>Purchase of investments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(442,490)</w:t>
            </w:r>
          </w:p>
        </w:tc>
        <w:tc>
          <w:tcPr>
            <w:tcW w:w="2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(624,226)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(208,972)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CFF"/>
          </w:tcPr>
          <w:p>
            <w:pPr>
              <w:ind w:left="260"/>
              <w:spacing w:after="0"/>
              <w:rPr>
                <w:sz w:val="20"/>
                <w:szCs w:val="20"/>
                <w:color w:val="auto"/>
              </w:rPr>
            </w:pPr>
            <w:r>
              <w:rPr>
                <w:rFonts w:ascii="Arial" w:cs="Arial" w:eastAsia="Arial" w:hAnsi="Arial"/>
                <w:sz w:val="18"/>
                <w:szCs w:val="18"/>
                <w:color w:val="auto"/>
              </w:rPr>
              <w:t>Proceeds from sale of investments</w:t>
            </w:r>
          </w:p>
        </w:tc>
        <w:tc>
          <w:tcPr>
            <w:tcW w:w="10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140,556</w:t>
            </w:r>
          </w:p>
        </w:tc>
        <w:tc>
          <w:tcPr>
            <w:tcW w:w="2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89,321</w:t>
            </w:r>
          </w:p>
        </w:tc>
        <w:tc>
          <w:tcPr>
            <w:tcW w:w="16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5,002</w:t>
            </w:r>
          </w:p>
        </w:tc>
        <w:tc>
          <w:tcPr>
            <w:tcW w:w="120" w:type="dxa"/>
            <w:vAlign w:val="bottom"/>
            <w:shd w:val="clear" w:color="auto" w:fill="CCEC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60"/>
              <w:spacing w:after="0"/>
              <w:rPr>
                <w:sz w:val="20"/>
                <w:szCs w:val="20"/>
                <w:color w:val="auto"/>
              </w:rPr>
            </w:pPr>
            <w:r>
              <w:rPr>
                <w:rFonts w:ascii="Arial" w:cs="Arial" w:eastAsia="Arial" w:hAnsi="Arial"/>
                <w:sz w:val="18"/>
                <w:szCs w:val="18"/>
                <w:color w:val="auto"/>
              </w:rPr>
              <w:t>Proceeds from maturities of investments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403,239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249,050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82,972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CFF"/>
          </w:tcPr>
          <w:p>
            <w:pPr>
              <w:ind w:left="260"/>
              <w:spacing w:after="0"/>
              <w:rPr>
                <w:sz w:val="20"/>
                <w:szCs w:val="20"/>
                <w:color w:val="auto"/>
              </w:rPr>
            </w:pPr>
            <w:r>
              <w:rPr>
                <w:rFonts w:ascii="Arial" w:cs="Arial" w:eastAsia="Arial" w:hAnsi="Arial"/>
                <w:sz w:val="18"/>
                <w:szCs w:val="18"/>
                <w:color w:val="auto"/>
              </w:rPr>
              <w:t>Increase in restricted cash</w:t>
            </w:r>
          </w:p>
        </w:tc>
        <w:tc>
          <w:tcPr>
            <w:tcW w:w="10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104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(1,202)</w:t>
            </w:r>
          </w:p>
        </w:tc>
        <w:tc>
          <w:tcPr>
            <w:tcW w:w="220" w:type="dxa"/>
            <w:vAlign w:val="bottom"/>
            <w:shd w:val="clear" w:color="auto" w:fill="CCECFF"/>
          </w:tcPr>
          <w:p>
            <w:pPr>
              <w:spacing w:after="0"/>
              <w:rPr>
                <w:sz w:val="19"/>
                <w:szCs w:val="19"/>
                <w:color w:val="auto"/>
              </w:rPr>
            </w:pPr>
          </w:p>
        </w:tc>
        <w:tc>
          <w:tcPr>
            <w:tcW w:w="98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(1,541)</w:t>
            </w:r>
          </w:p>
        </w:tc>
        <w:tc>
          <w:tcPr>
            <w:tcW w:w="10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90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(293)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Borders>
              <w:bottom w:val="single" w:sz="8" w:color="CCECFF"/>
            </w:tcBorders>
          </w:tcPr>
          <w:p>
            <w:pPr>
              <w:ind w:left="74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tcBorders>
              <w:bottom w:val="single" w:sz="8" w:color="CCEC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89,915</w:t>
            </w:r>
          </w:p>
        </w:tc>
        <w:tc>
          <w:tcPr>
            <w:tcW w:w="260" w:type="dxa"/>
            <w:vAlign w:val="bottom"/>
            <w:tcBorders>
              <w:bottom w:val="single" w:sz="8" w:color="CCEC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(292,351)</w:t>
            </w:r>
          </w:p>
        </w:tc>
        <w:tc>
          <w:tcPr>
            <w:tcW w:w="160" w:type="dxa"/>
            <w:vAlign w:val="bottom"/>
            <w:tcBorders>
              <w:bottom w:val="single" w:sz="8" w:color="CCECFF"/>
            </w:tcBorders>
          </w:tcPr>
          <w:p>
            <w:pPr>
              <w:spacing w:after="0"/>
              <w:rPr>
                <w:sz w:val="19"/>
                <w:szCs w:val="19"/>
                <w:color w:val="auto"/>
              </w:rPr>
            </w:pPr>
          </w:p>
        </w:tc>
        <w:tc>
          <w:tcPr>
            <w:tcW w:w="100" w:type="dxa"/>
            <w:vAlign w:val="bottom"/>
            <w:tcBorders>
              <w:bottom w:val="single" w:sz="8" w:color="CCEC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(123,440)</w:t>
            </w:r>
          </w:p>
        </w:tc>
        <w:tc>
          <w:tcPr>
            <w:tcW w:w="120" w:type="dxa"/>
            <w:vAlign w:val="bottom"/>
            <w:tcBorders>
              <w:bottom w:val="single" w:sz="8" w:color="CCEC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shd w:val="clear" w:color="auto" w:fill="CCECFF"/>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78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8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78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40" w:type="dxa"/>
            <w:vAlign w:val="bottom"/>
          </w:tcPr>
          <w:p>
            <w:pPr>
              <w:ind w:left="260"/>
              <w:spacing w:after="0"/>
              <w:rPr>
                <w:sz w:val="20"/>
                <w:szCs w:val="20"/>
                <w:color w:val="auto"/>
              </w:rPr>
            </w:pPr>
            <w:r>
              <w:rPr>
                <w:rFonts w:ascii="Arial" w:cs="Arial" w:eastAsia="Arial" w:hAnsi="Arial"/>
                <w:sz w:val="18"/>
                <w:szCs w:val="18"/>
                <w:color w:val="auto"/>
              </w:rPr>
              <w:t>Proceeds from the issuance of common stock in connection with underwritten</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440"/>
              <w:spacing w:after="0"/>
              <w:rPr>
                <w:sz w:val="20"/>
                <w:szCs w:val="20"/>
                <w:color w:val="auto"/>
              </w:rPr>
            </w:pPr>
            <w:r>
              <w:rPr>
                <w:rFonts w:ascii="Arial" w:cs="Arial" w:eastAsia="Arial" w:hAnsi="Arial"/>
                <w:sz w:val="18"/>
                <w:szCs w:val="18"/>
                <w:color w:val="auto"/>
              </w:rPr>
              <w:t>public offerings, net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461,136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188,581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540" w:type="dxa"/>
            <w:vAlign w:val="bottom"/>
            <w:shd w:val="clear" w:color="auto" w:fill="CCECFF"/>
          </w:tcPr>
          <w:p>
            <w:pPr>
              <w:ind w:left="260"/>
              <w:spacing w:after="0"/>
              <w:rPr>
                <w:sz w:val="20"/>
                <w:szCs w:val="20"/>
                <w:color w:val="auto"/>
              </w:rPr>
            </w:pPr>
            <w:r>
              <w:rPr>
                <w:rFonts w:ascii="Arial" w:cs="Arial" w:eastAsia="Arial" w:hAnsi="Arial"/>
                <w:sz w:val="18"/>
                <w:szCs w:val="18"/>
                <w:color w:val="auto"/>
              </w:rPr>
              <w:t>Proceeds from the issuance of common stock in connection with at-the-market</w:t>
            </w:r>
          </w:p>
        </w:tc>
        <w:tc>
          <w:tcPr>
            <w:tcW w:w="1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78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8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7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CFF"/>
          </w:tcPr>
          <w:p>
            <w:pPr>
              <w:ind w:left="380"/>
              <w:spacing w:after="0"/>
              <w:rPr>
                <w:sz w:val="20"/>
                <w:szCs w:val="20"/>
                <w:color w:val="auto"/>
              </w:rPr>
            </w:pPr>
            <w:r>
              <w:rPr>
                <w:rFonts w:ascii="Arial" w:cs="Arial" w:eastAsia="Arial" w:hAnsi="Arial"/>
                <w:sz w:val="18"/>
                <w:szCs w:val="18"/>
                <w:color w:val="auto"/>
              </w:rPr>
              <w:t>offering, net</w:t>
            </w:r>
          </w:p>
        </w:tc>
        <w:tc>
          <w:tcPr>
            <w:tcW w:w="10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79,486</w:t>
            </w:r>
          </w:p>
        </w:tc>
        <w:tc>
          <w:tcPr>
            <w:tcW w:w="26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98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540" w:type="dxa"/>
            <w:vAlign w:val="bottom"/>
          </w:tcPr>
          <w:p>
            <w:pPr>
              <w:ind w:left="260"/>
              <w:spacing w:after="0"/>
              <w:rPr>
                <w:sz w:val="20"/>
                <w:szCs w:val="20"/>
                <w:color w:val="auto"/>
              </w:rPr>
            </w:pPr>
            <w:r>
              <w:rPr>
                <w:rFonts w:ascii="Arial" w:cs="Arial" w:eastAsia="Arial" w:hAnsi="Arial"/>
                <w:sz w:val="18"/>
                <w:szCs w:val="18"/>
                <w:color w:val="auto"/>
              </w:rPr>
              <w:t>Proceeds from the issuance of common stock in connection with collaboration</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380"/>
              <w:spacing w:after="0"/>
              <w:rPr>
                <w:sz w:val="20"/>
                <w:szCs w:val="20"/>
                <w:color w:val="auto"/>
              </w:rPr>
            </w:pPr>
            <w:r>
              <w:rPr>
                <w:rFonts w:ascii="Arial" w:cs="Arial" w:eastAsia="Arial" w:hAnsi="Arial"/>
                <w:sz w:val="18"/>
                <w:szCs w:val="18"/>
                <w:color w:val="auto"/>
              </w:rPr>
              <w:t>agreement, net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51,356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CFF"/>
          </w:tcPr>
          <w:p>
            <w:pPr>
              <w:ind w:left="260"/>
              <w:spacing w:after="0"/>
              <w:rPr>
                <w:sz w:val="20"/>
                <w:szCs w:val="20"/>
                <w:color w:val="auto"/>
              </w:rPr>
            </w:pPr>
            <w:r>
              <w:rPr>
                <w:rFonts w:ascii="Arial" w:cs="Arial" w:eastAsia="Arial" w:hAnsi="Arial"/>
                <w:sz w:val="18"/>
                <w:szCs w:val="18"/>
                <w:color w:val="auto"/>
              </w:rPr>
              <w:t>Proceeds from the issuance of common stock from equity awards, net</w:t>
            </w:r>
          </w:p>
        </w:tc>
        <w:tc>
          <w:tcPr>
            <w:tcW w:w="10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7,834</w:t>
            </w:r>
          </w:p>
        </w:tc>
        <w:tc>
          <w:tcPr>
            <w:tcW w:w="2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6,437</w:t>
            </w:r>
          </w:p>
        </w:tc>
        <w:tc>
          <w:tcPr>
            <w:tcW w:w="16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736</w:t>
            </w:r>
          </w:p>
        </w:tc>
        <w:tc>
          <w:tcPr>
            <w:tcW w:w="120" w:type="dxa"/>
            <w:vAlign w:val="bottom"/>
            <w:shd w:val="clear" w:color="auto" w:fill="CCEC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60"/>
              <w:spacing w:after="0"/>
              <w:rPr>
                <w:sz w:val="20"/>
                <w:szCs w:val="20"/>
                <w:color w:val="auto"/>
              </w:rPr>
            </w:pPr>
            <w:r>
              <w:rPr>
                <w:rFonts w:ascii="Arial" w:cs="Arial" w:eastAsia="Arial" w:hAnsi="Arial"/>
                <w:sz w:val="18"/>
                <w:szCs w:val="18"/>
                <w:color w:val="auto"/>
              </w:rPr>
              <w:t>Payment of preferred stock dividend</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(4,346)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Borders>
              <w:top w:val="single" w:sz="8" w:color="CCECFF"/>
            </w:tcBorders>
            <w:shd w:val="clear" w:color="auto" w:fill="CCECFF"/>
          </w:tcPr>
          <w:p>
            <w:pPr>
              <w:ind w:left="74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CCECFF"/>
            </w:tcBorders>
            <w:shd w:val="clear" w:color="auto" w:fill="CCECFF"/>
          </w:tcPr>
          <w:p>
            <w:pPr>
              <w:spacing w:after="0"/>
              <w:rPr>
                <w:sz w:val="19"/>
                <w:szCs w:val="19"/>
                <w:color w:val="auto"/>
              </w:rPr>
            </w:pPr>
          </w:p>
        </w:tc>
        <w:tc>
          <w:tcPr>
            <w:tcW w:w="260" w:type="dxa"/>
            <w:vAlign w:val="bottom"/>
            <w:tcBorders>
              <w:top w:val="single" w:sz="8" w:color="auto"/>
              <w:bottom w:val="single" w:sz="8" w:color="auto"/>
            </w:tcBorders>
            <w:shd w:val="clear" w:color="auto" w:fill="CCECFF"/>
          </w:tcPr>
          <w:p>
            <w:pPr>
              <w:spacing w:after="0"/>
              <w:rPr>
                <w:sz w:val="19"/>
                <w:szCs w:val="19"/>
                <w:color w:val="auto"/>
              </w:rPr>
            </w:pPr>
          </w:p>
        </w:tc>
        <w:tc>
          <w:tcPr>
            <w:tcW w:w="7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138,676</w:t>
            </w:r>
          </w:p>
        </w:tc>
        <w:tc>
          <w:tcPr>
            <w:tcW w:w="260" w:type="dxa"/>
            <w:vAlign w:val="bottom"/>
            <w:tcBorders>
              <w:top w:val="single" w:sz="8" w:color="CCECFF"/>
            </w:tcBorders>
            <w:shd w:val="clear" w:color="auto" w:fill="CCECFF"/>
          </w:tcPr>
          <w:p>
            <w:pPr>
              <w:spacing w:after="0"/>
              <w:rPr>
                <w:sz w:val="19"/>
                <w:szCs w:val="19"/>
                <w:color w:val="auto"/>
              </w:rPr>
            </w:pPr>
          </w:p>
        </w:tc>
        <w:tc>
          <w:tcPr>
            <w:tcW w:w="220" w:type="dxa"/>
            <w:vAlign w:val="bottom"/>
            <w:tcBorders>
              <w:top w:val="single" w:sz="8" w:color="auto"/>
              <w:bottom w:val="single" w:sz="8" w:color="auto"/>
            </w:tcBorders>
            <w:shd w:val="clear" w:color="auto" w:fill="CCECFF"/>
          </w:tcPr>
          <w:p>
            <w:pPr>
              <w:spacing w:after="0"/>
              <w:rPr>
                <w:sz w:val="19"/>
                <w:szCs w:val="19"/>
                <w:color w:val="auto"/>
              </w:rPr>
            </w:pPr>
          </w:p>
        </w:tc>
        <w:tc>
          <w:tcPr>
            <w:tcW w:w="8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467,573</w:t>
            </w:r>
          </w:p>
        </w:tc>
        <w:tc>
          <w:tcPr>
            <w:tcW w:w="160" w:type="dxa"/>
            <w:vAlign w:val="bottom"/>
            <w:tcBorders>
              <w:top w:val="single" w:sz="8" w:color="CCECFF"/>
            </w:tcBorders>
            <w:shd w:val="clear" w:color="auto" w:fill="CCECFF"/>
          </w:tcPr>
          <w:p>
            <w:pPr>
              <w:spacing w:after="0"/>
              <w:rPr>
                <w:sz w:val="19"/>
                <w:szCs w:val="19"/>
                <w:color w:val="auto"/>
              </w:rPr>
            </w:pPr>
          </w:p>
        </w:tc>
        <w:tc>
          <w:tcPr>
            <w:tcW w:w="100" w:type="dxa"/>
            <w:vAlign w:val="bottom"/>
            <w:tcBorders>
              <w:top w:val="single" w:sz="8" w:color="CCECFF"/>
            </w:tcBorders>
            <w:shd w:val="clear" w:color="auto" w:fill="CCECFF"/>
          </w:tcPr>
          <w:p>
            <w:pPr>
              <w:spacing w:after="0"/>
              <w:rPr>
                <w:sz w:val="19"/>
                <w:szCs w:val="19"/>
                <w:color w:val="auto"/>
              </w:rPr>
            </w:pPr>
          </w:p>
        </w:tc>
        <w:tc>
          <w:tcPr>
            <w:tcW w:w="280" w:type="dxa"/>
            <w:vAlign w:val="bottom"/>
            <w:tcBorders>
              <w:top w:val="single" w:sz="8" w:color="auto"/>
              <w:bottom w:val="single" w:sz="8" w:color="auto"/>
            </w:tcBorders>
            <w:shd w:val="clear" w:color="auto" w:fill="CCECFF"/>
          </w:tcPr>
          <w:p>
            <w:pPr>
              <w:spacing w:after="0"/>
              <w:rPr>
                <w:sz w:val="19"/>
                <w:szCs w:val="19"/>
                <w:color w:val="auto"/>
              </w:rPr>
            </w:pPr>
          </w:p>
        </w:tc>
        <w:tc>
          <w:tcPr>
            <w:tcW w:w="7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184,971</w:t>
            </w:r>
          </w:p>
        </w:tc>
        <w:tc>
          <w:tcPr>
            <w:tcW w:w="120" w:type="dxa"/>
            <w:vAlign w:val="bottom"/>
            <w:tcBorders>
              <w:top w:val="single" w:sz="8" w:color="CCECFF"/>
            </w:tcBorders>
            <w:shd w:val="clear" w:color="auto" w:fill="CCEC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Borders>
              <w:bottom w:val="single" w:sz="8" w:color="CCECFF"/>
            </w:tcBorders>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tcBorders>
              <w:bottom w:val="single" w:sz="8" w:color="CCEC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60" w:type="dxa"/>
            <w:vAlign w:val="bottom"/>
            <w:tcBorders>
              <w:bottom w:val="single" w:sz="8" w:color="CCEC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CFF"/>
            </w:tcBorders>
          </w:tcPr>
          <w:p>
            <w:pPr>
              <w:spacing w:after="0"/>
              <w:rPr>
                <w:sz w:val="19"/>
                <w:szCs w:val="19"/>
                <w:color w:val="auto"/>
              </w:rPr>
            </w:pPr>
          </w:p>
        </w:tc>
        <w:tc>
          <w:tcPr>
            <w:tcW w:w="100" w:type="dxa"/>
            <w:vAlign w:val="bottom"/>
            <w:tcBorders>
              <w:bottom w:val="single" w:sz="8" w:color="CCEC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C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shd w:val="clear" w:color="auto" w:fill="CCECFF"/>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67,551</w:t>
            </w:r>
          </w:p>
        </w:tc>
        <w:tc>
          <w:tcPr>
            <w:tcW w:w="2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69,245</w:t>
            </w:r>
          </w:p>
        </w:tc>
        <w:tc>
          <w:tcPr>
            <w:tcW w:w="16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16,897</w:t>
            </w:r>
          </w:p>
        </w:tc>
        <w:tc>
          <w:tcPr>
            <w:tcW w:w="120" w:type="dxa"/>
            <w:vAlign w:val="bottom"/>
            <w:shd w:val="clear" w:color="auto" w:fill="CCEC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Borders>
              <w:bottom w:val="single" w:sz="8" w:color="CCECFF"/>
            </w:tcBorders>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tcBorders>
              <w:bottom w:val="single" w:sz="8" w:color="CCEC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93,569</w:t>
            </w:r>
          </w:p>
        </w:tc>
        <w:tc>
          <w:tcPr>
            <w:tcW w:w="260" w:type="dxa"/>
            <w:vAlign w:val="bottom"/>
            <w:tcBorders>
              <w:bottom w:val="single" w:sz="8" w:color="CCEC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24,324</w:t>
            </w:r>
          </w:p>
        </w:tc>
        <w:tc>
          <w:tcPr>
            <w:tcW w:w="160" w:type="dxa"/>
            <w:vAlign w:val="bottom"/>
            <w:tcBorders>
              <w:bottom w:val="single" w:sz="8" w:color="CCECFF"/>
            </w:tcBorders>
          </w:tcPr>
          <w:p>
            <w:pPr>
              <w:spacing w:after="0"/>
              <w:rPr>
                <w:sz w:val="19"/>
                <w:szCs w:val="19"/>
                <w:color w:val="auto"/>
              </w:rPr>
            </w:pPr>
          </w:p>
        </w:tc>
        <w:tc>
          <w:tcPr>
            <w:tcW w:w="100" w:type="dxa"/>
            <w:vAlign w:val="bottom"/>
            <w:tcBorders>
              <w:bottom w:val="single" w:sz="8" w:color="CCEC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7,427</w:t>
            </w:r>
          </w:p>
        </w:tc>
        <w:tc>
          <w:tcPr>
            <w:tcW w:w="120" w:type="dxa"/>
            <w:vAlign w:val="bottom"/>
            <w:tcBorders>
              <w:bottom w:val="single" w:sz="8" w:color="CCEC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Cash and cash equivalents at end of year</w:t>
            </w:r>
          </w:p>
        </w:tc>
        <w:tc>
          <w:tcPr>
            <w:tcW w:w="100" w:type="dxa"/>
            <w:vAlign w:val="bottom"/>
            <w:tcBorders>
              <w:bottom w:val="single" w:sz="8" w:color="CCECFF"/>
            </w:tcBorders>
            <w:shd w:val="clear" w:color="auto" w:fill="CCECFF"/>
          </w:tcPr>
          <w:p>
            <w:pPr>
              <w:spacing w:after="0"/>
              <w:rPr>
                <w:sz w:val="19"/>
                <w:szCs w:val="19"/>
                <w:color w:val="auto"/>
              </w:rPr>
            </w:pPr>
          </w:p>
        </w:tc>
        <w:tc>
          <w:tcPr>
            <w:tcW w:w="260" w:type="dxa"/>
            <w:vAlign w:val="bottom"/>
            <w:tcBorders>
              <w:bottom w:val="single" w:sz="8" w:color="auto"/>
            </w:tcBorders>
            <w:shd w:val="clear" w:color="auto" w:fill="CCECFF"/>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161,120</w:t>
            </w:r>
          </w:p>
        </w:tc>
        <w:tc>
          <w:tcPr>
            <w:tcW w:w="260" w:type="dxa"/>
            <w:vAlign w:val="bottom"/>
            <w:tcBorders>
              <w:bottom w:val="single" w:sz="8" w:color="CCECFF"/>
            </w:tcBorders>
            <w:shd w:val="clear" w:color="auto" w:fill="CCECFF"/>
          </w:tcPr>
          <w:p>
            <w:pPr>
              <w:spacing w:after="0"/>
              <w:rPr>
                <w:sz w:val="19"/>
                <w:szCs w:val="19"/>
                <w:color w:val="auto"/>
              </w:rPr>
            </w:pPr>
          </w:p>
        </w:tc>
        <w:tc>
          <w:tcPr>
            <w:tcW w:w="220" w:type="dxa"/>
            <w:vAlign w:val="bottom"/>
            <w:tcBorders>
              <w:bottom w:val="single" w:sz="8" w:color="auto"/>
            </w:tcBorders>
            <w:shd w:val="clear" w:color="auto" w:fill="CCEC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93,569</w:t>
            </w:r>
          </w:p>
        </w:tc>
        <w:tc>
          <w:tcPr>
            <w:tcW w:w="160" w:type="dxa"/>
            <w:vAlign w:val="bottom"/>
            <w:tcBorders>
              <w:bottom w:val="single" w:sz="8" w:color="CCECFF"/>
            </w:tcBorders>
            <w:shd w:val="clear" w:color="auto" w:fill="CCECFF"/>
          </w:tcPr>
          <w:p>
            <w:pPr>
              <w:spacing w:after="0"/>
              <w:rPr>
                <w:sz w:val="19"/>
                <w:szCs w:val="19"/>
                <w:color w:val="auto"/>
              </w:rPr>
            </w:pPr>
          </w:p>
        </w:tc>
        <w:tc>
          <w:tcPr>
            <w:tcW w:w="100" w:type="dxa"/>
            <w:vAlign w:val="bottom"/>
            <w:tcBorders>
              <w:bottom w:val="single" w:sz="8" w:color="CCECFF"/>
            </w:tcBorders>
            <w:shd w:val="clear" w:color="auto" w:fill="CCECFF"/>
          </w:tcPr>
          <w:p>
            <w:pPr>
              <w:spacing w:after="0"/>
              <w:rPr>
                <w:sz w:val="19"/>
                <w:szCs w:val="19"/>
                <w:color w:val="auto"/>
              </w:rPr>
            </w:pPr>
          </w:p>
        </w:tc>
        <w:tc>
          <w:tcPr>
            <w:tcW w:w="280" w:type="dxa"/>
            <w:vAlign w:val="bottom"/>
            <w:tcBorders>
              <w:bottom w:val="single" w:sz="8" w:color="auto"/>
            </w:tcBorders>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24,324</w:t>
            </w:r>
          </w:p>
        </w:tc>
        <w:tc>
          <w:tcPr>
            <w:tcW w:w="120" w:type="dxa"/>
            <w:vAlign w:val="bottom"/>
            <w:tcBorders>
              <w:bottom w:val="single" w:sz="8" w:color="CCECFF"/>
            </w:tcBorders>
            <w:shd w:val="clear" w:color="auto" w:fill="CCEC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disclosures of non-cash investing and financing information:</w:t>
            </w: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540" w:type="dxa"/>
            <w:vAlign w:val="bottom"/>
            <w:shd w:val="clear" w:color="auto" w:fill="CCECFF"/>
          </w:tcPr>
          <w:p>
            <w:pPr>
              <w:ind w:left="260"/>
              <w:spacing w:after="0"/>
              <w:rPr>
                <w:sz w:val="20"/>
                <w:szCs w:val="20"/>
                <w:color w:val="auto"/>
              </w:rPr>
            </w:pPr>
            <w:r>
              <w:rPr>
                <w:rFonts w:ascii="Arial" w:cs="Arial" w:eastAsia="Arial" w:hAnsi="Arial"/>
                <w:sz w:val="18"/>
                <w:szCs w:val="18"/>
                <w:color w:val="auto"/>
              </w:rPr>
              <w:t>Costs of property and equipment included in accounts payable and accrued</w:t>
            </w:r>
          </w:p>
        </w:tc>
        <w:tc>
          <w:tcPr>
            <w:tcW w:w="1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78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8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7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CFF"/>
          </w:tcPr>
          <w:p>
            <w:pPr>
              <w:ind w:left="380"/>
              <w:spacing w:after="0"/>
              <w:rPr>
                <w:sz w:val="20"/>
                <w:szCs w:val="20"/>
                <w:color w:val="auto"/>
              </w:rPr>
            </w:pPr>
            <w:r>
              <w:rPr>
                <w:rFonts w:ascii="Arial" w:cs="Arial" w:eastAsia="Arial" w:hAnsi="Arial"/>
                <w:sz w:val="18"/>
                <w:szCs w:val="18"/>
                <w:color w:val="auto"/>
              </w:rPr>
              <w:t>liabilities</w:t>
            </w:r>
          </w:p>
        </w:tc>
        <w:tc>
          <w:tcPr>
            <w:tcW w:w="360" w:type="dxa"/>
            <w:vAlign w:val="bottom"/>
            <w:gridSpan w:val="2"/>
            <w:shd w:val="clear" w:color="auto" w:fill="CCECFF"/>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147</w:t>
            </w:r>
          </w:p>
        </w:tc>
        <w:tc>
          <w:tcPr>
            <w:tcW w:w="260" w:type="dxa"/>
            <w:vAlign w:val="bottom"/>
            <w:shd w:val="clear" w:color="auto" w:fill="CCECFF"/>
          </w:tcPr>
          <w:p>
            <w:pPr>
              <w:spacing w:after="0"/>
              <w:rPr>
                <w:sz w:val="20"/>
                <w:szCs w:val="20"/>
                <w:color w:val="auto"/>
              </w:rPr>
            </w:pPr>
          </w:p>
        </w:tc>
        <w:tc>
          <w:tcPr>
            <w:tcW w:w="220" w:type="dxa"/>
            <w:vAlign w:val="bottom"/>
            <w:shd w:val="clear" w:color="auto" w:fill="CCEC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769</w:t>
            </w:r>
          </w:p>
        </w:tc>
        <w:tc>
          <w:tcPr>
            <w:tcW w:w="160" w:type="dxa"/>
            <w:vAlign w:val="bottom"/>
            <w:shd w:val="clear" w:color="auto" w:fill="CCECFF"/>
          </w:tcPr>
          <w:p>
            <w:pPr>
              <w:spacing w:after="0"/>
              <w:rPr>
                <w:sz w:val="20"/>
                <w:szCs w:val="20"/>
                <w:color w:val="auto"/>
              </w:rPr>
            </w:pPr>
          </w:p>
        </w:tc>
        <w:tc>
          <w:tcPr>
            <w:tcW w:w="380" w:type="dxa"/>
            <w:vAlign w:val="bottom"/>
            <w:gridSpan w:val="2"/>
            <w:shd w:val="clear" w:color="auto" w:fill="CCECFF"/>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C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540" w:type="dxa"/>
            <w:vAlign w:val="bottom"/>
            <w:tcBorders>
              <w:top w:val="single" w:sz="8" w:color="CCECFF"/>
              <w:bottom w:val="single" w:sz="8" w:color="CCECFF"/>
            </w:tcBorders>
            <w:vMerge w:val="restart"/>
          </w:tcPr>
          <w:p>
            <w:pPr>
              <w:ind w:left="260"/>
              <w:spacing w:after="0"/>
              <w:rPr>
                <w:sz w:val="20"/>
                <w:szCs w:val="20"/>
                <w:color w:val="auto"/>
              </w:rPr>
            </w:pPr>
            <w:r>
              <w:rPr>
                <w:rFonts w:ascii="Arial" w:cs="Arial" w:eastAsia="Arial" w:hAnsi="Arial"/>
                <w:sz w:val="18"/>
                <w:szCs w:val="18"/>
                <w:color w:val="auto"/>
              </w:rPr>
              <w:t>Tenant improvement allowance</w:t>
            </w:r>
          </w:p>
        </w:tc>
        <w:tc>
          <w:tcPr>
            <w:tcW w:w="100" w:type="dxa"/>
            <w:vAlign w:val="bottom"/>
            <w:tcBorders>
              <w:top w:val="single" w:sz="8" w:color="CCEC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CFF"/>
            </w:tcBorders>
            <w:vMerge w:val="continue"/>
          </w:tcPr>
          <w:p>
            <w:pPr>
              <w:spacing w:after="0"/>
              <w:rPr>
                <w:sz w:val="21"/>
                <w:szCs w:val="21"/>
                <w:color w:val="auto"/>
              </w:rPr>
            </w:pPr>
          </w:p>
        </w:tc>
        <w:tc>
          <w:tcPr>
            <w:tcW w:w="100" w:type="dxa"/>
            <w:vAlign w:val="bottom"/>
            <w:tcBorders>
              <w:bottom w:val="single" w:sz="8" w:color="CCECFF"/>
            </w:tcBorders>
          </w:tcPr>
          <w:p>
            <w:pPr>
              <w:spacing w:after="0"/>
              <w:rPr>
                <w:sz w:val="21"/>
                <w:szCs w:val="21"/>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3,467</w:t>
            </w:r>
          </w:p>
        </w:tc>
        <w:tc>
          <w:tcPr>
            <w:tcW w:w="260" w:type="dxa"/>
            <w:vAlign w:val="bottom"/>
            <w:tcBorders>
              <w:bottom w:val="single" w:sz="8" w:color="CCECFF"/>
            </w:tcBorders>
          </w:tcPr>
          <w:p>
            <w:pPr>
              <w:spacing w:after="0"/>
              <w:rPr>
                <w:sz w:val="21"/>
                <w:szCs w:val="21"/>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CFF"/>
            </w:tcBorders>
          </w:tcPr>
          <w:p>
            <w:pPr>
              <w:spacing w:after="0"/>
              <w:rPr>
                <w:sz w:val="21"/>
                <w:szCs w:val="21"/>
                <w:color w:val="auto"/>
              </w:rPr>
            </w:pPr>
          </w:p>
        </w:tc>
        <w:tc>
          <w:tcPr>
            <w:tcW w:w="100" w:type="dxa"/>
            <w:vAlign w:val="bottom"/>
            <w:tcBorders>
              <w:bottom w:val="single" w:sz="8" w:color="CCECFF"/>
            </w:tcBorders>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C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540" w:type="dxa"/>
            <w:vAlign w:val="bottom"/>
            <w:shd w:val="clear" w:color="auto" w:fill="CCECFF"/>
          </w:tcPr>
          <w:p>
            <w:pPr>
              <w:ind w:left="260"/>
              <w:spacing w:after="0" w:line="195" w:lineRule="exact"/>
              <w:rPr>
                <w:sz w:val="20"/>
                <w:szCs w:val="20"/>
                <w:color w:val="auto"/>
              </w:rPr>
            </w:pPr>
            <w:r>
              <w:rPr>
                <w:rFonts w:ascii="Arial" w:cs="Arial" w:eastAsia="Arial" w:hAnsi="Arial"/>
                <w:sz w:val="18"/>
                <w:szCs w:val="18"/>
                <w:color w:val="auto"/>
              </w:rPr>
              <w:t>Reclassification of warrant liability to equity upon conversion to common stock</w:t>
            </w:r>
          </w:p>
        </w:tc>
        <w:tc>
          <w:tcPr>
            <w:tcW w:w="10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78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82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78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CFF"/>
          </w:tcPr>
          <w:p>
            <w:pPr>
              <w:ind w:left="380"/>
              <w:spacing w:after="0"/>
              <w:rPr>
                <w:sz w:val="20"/>
                <w:szCs w:val="20"/>
                <w:color w:val="auto"/>
              </w:rPr>
            </w:pPr>
            <w:r>
              <w:rPr>
                <w:rFonts w:ascii="Arial" w:cs="Arial" w:eastAsia="Arial" w:hAnsi="Arial"/>
                <w:sz w:val="18"/>
                <w:szCs w:val="18"/>
                <w:color w:val="auto"/>
              </w:rPr>
              <w:t>warrants</w:t>
            </w:r>
          </w:p>
        </w:tc>
        <w:tc>
          <w:tcPr>
            <w:tcW w:w="360" w:type="dxa"/>
            <w:vAlign w:val="bottom"/>
            <w:gridSpan w:val="2"/>
            <w:shd w:val="clear" w:color="auto" w:fill="CCECFF"/>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CFF"/>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CFF"/>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6,743</w:t>
            </w:r>
          </w:p>
        </w:tc>
        <w:tc>
          <w:tcPr>
            <w:tcW w:w="120" w:type="dxa"/>
            <w:vAlign w:val="bottom"/>
            <w:shd w:val="clear" w:color="auto" w:fill="CCEC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540" w:type="dxa"/>
            <w:vAlign w:val="bottom"/>
            <w:tcBorders>
              <w:top w:val="single" w:sz="8" w:color="CCECFF"/>
              <w:bottom w:val="single" w:sz="8" w:color="CCECFF"/>
            </w:tcBorders>
            <w:vMerge w:val="restart"/>
          </w:tcPr>
          <w:p>
            <w:pPr>
              <w:ind w:left="260"/>
              <w:spacing w:after="0"/>
              <w:rPr>
                <w:sz w:val="20"/>
                <w:szCs w:val="20"/>
                <w:color w:val="auto"/>
              </w:rPr>
            </w:pPr>
            <w:r>
              <w:rPr>
                <w:rFonts w:ascii="Arial" w:cs="Arial" w:eastAsia="Arial" w:hAnsi="Arial"/>
                <w:sz w:val="18"/>
                <w:szCs w:val="18"/>
                <w:color w:val="auto"/>
              </w:rPr>
              <w:t>Conversion of Series A and Series B preferred stock to common stock</w:t>
            </w:r>
          </w:p>
        </w:tc>
        <w:tc>
          <w:tcPr>
            <w:tcW w:w="100" w:type="dxa"/>
            <w:vAlign w:val="bottom"/>
            <w:tcBorders>
              <w:top w:val="single" w:sz="8" w:color="CCEC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129,360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jc w:val="center"/>
              <w:ind w:left="3790"/>
              <w:spacing w:after="0"/>
              <w:rPr>
                <w:sz w:val="20"/>
                <w:szCs w:val="20"/>
                <w:color w:val="auto"/>
              </w:rPr>
            </w:pPr>
            <w:r>
              <w:rPr>
                <w:rFonts w:ascii="Arial" w:cs="Arial" w:eastAsia="Arial" w:hAnsi="Arial"/>
                <w:sz w:val="18"/>
                <w:szCs w:val="18"/>
                <w:color w:val="auto"/>
                <w:w w:val="87"/>
              </w:rPr>
              <w:t>See accompanying notes.</w:t>
            </w: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7540" w:type="dxa"/>
            <w:vAlign w:val="bottom"/>
          </w:tcPr>
          <w:p>
            <w:pPr>
              <w:jc w:val="center"/>
              <w:ind w:left="3790"/>
              <w:spacing w:after="0"/>
              <w:rPr>
                <w:sz w:val="20"/>
                <w:szCs w:val="20"/>
                <w:color w:val="auto"/>
              </w:rPr>
            </w:pPr>
            <w:r>
              <w:rPr>
                <w:rFonts w:ascii="Arial" w:cs="Arial" w:eastAsia="Arial" w:hAnsi="Arial"/>
                <w:sz w:val="18"/>
                <w:szCs w:val="18"/>
                <w:color w:val="auto"/>
                <w:w w:val="96"/>
              </w:rPr>
              <w:t>F-7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80" w:name="page81"/>
    <w:bookmarkEnd w:id="80"/>
    <w:p>
      <w:pPr>
        <w:jc w:val="center"/>
        <w:ind w:right="-39"/>
        <w:spacing w:after="0"/>
        <w:rPr>
          <w:sz w:val="20"/>
          <w:szCs w:val="20"/>
          <w:color w:val="auto"/>
        </w:rPr>
      </w:pPr>
      <w:r>
        <w:rPr>
          <w:rFonts w:ascii="Arial" w:cs="Arial" w:eastAsia="Arial" w:hAnsi="Arial"/>
          <w:sz w:val="18"/>
          <w:szCs w:val="18"/>
          <w:b w:val="1"/>
          <w:bCs w:val="1"/>
          <w:color w:val="auto"/>
        </w:rPr>
        <w:t>ULTRAGENYX PHARMACEUTICAL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w:t>
      </w:r>
    </w:p>
    <w:p>
      <w:pPr>
        <w:spacing w:after="0" w:line="81"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Ultragenyx Pharmaceutical Inc. (the Company) is a biopharmaceutical company and was incorporated in California on April 22, 2010. The Company subsequently reincorporated in the state of Delaware in June 2011.</w:t>
      </w:r>
    </w:p>
    <w:p>
      <w:pPr>
        <w:spacing w:after="0" w:line="22" w:lineRule="exact"/>
        <w:rPr>
          <w:sz w:val="20"/>
          <w:szCs w:val="20"/>
          <w:color w:val="auto"/>
        </w:rPr>
      </w:pPr>
    </w:p>
    <w:p>
      <w:pPr>
        <w:ind w:right="120" w:firstLine="518"/>
        <w:spacing w:after="0" w:line="270" w:lineRule="auto"/>
        <w:rPr>
          <w:sz w:val="20"/>
          <w:szCs w:val="20"/>
          <w:color w:val="auto"/>
        </w:rPr>
      </w:pPr>
      <w:r>
        <w:rPr>
          <w:rFonts w:ascii="Arial" w:cs="Arial" w:eastAsia="Arial" w:hAnsi="Arial"/>
          <w:sz w:val="17"/>
          <w:szCs w:val="17"/>
          <w:color w:val="auto"/>
        </w:rPr>
        <w:t>The Company is focused on the identification, acquisition, development, and commercialization of novel products for the treatment of rare and ultra-rare diseases, with a focus on serious, debilitating genetic diseases. The Company is currently conducting a Phase 3 study of aceneuramic acid extended-release (Ace-ER) in patients with GNE myopathy, which is also known as hereditary inclusion body myopathy, a progressive muscle-wasting disorder; a Phase 3 study of recombinant human beta-glucuronidase (rhGUS) in patients with mucopolysaccharidosis 7 (MPS 7), a rare lysosomal storage disease; a Phase 2 clinical study for UX007 in patients with glucose transporter type-1 deficiency syndrome (Glut1 DS), a brain energy deficiency; a Phase 2 clinical study of UX007 in patients severely affected by long-chain fatty acid oxidation disorders (LC-FAOD), a genetic disorder in which the body is unable to convert long chain fatty acids into energy; and Phase 2 and Phase 3 studies of KRN23, an antibody targeting fibroblast growth factor 23, or FGF23, in patients with X-linked hypophosphatemia (XLH) and tumor-induced osteomalacia (TIO), both rare diseases that impair bone mineralization. The Company operates as one reportable segment.</w:t>
      </w:r>
    </w:p>
    <w:p>
      <w:pPr>
        <w:spacing w:after="0" w:line="4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In the course of its research activities, the Company has sustained operating losses and expects such losses to continue over the next several years. The Company’s ultimate success depends on the outcome of its research and development activities. Management expects to incur additional losses in the future to conduct product research and development and recognizes the need to raise additional capital to fully implement its business plan. Through December 31, 2016, the Company has relied primarily on the proceeds from equity offerings to finance its operations.</w:t>
      </w:r>
    </w:p>
    <w:p>
      <w:pPr>
        <w:spacing w:after="0" w:line="23"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Company intends to raise additional capital through the issuance of equity, borrowings, or strategic alliances with partner companies. However, if such financing is not available at adequate levels, the Company will need to reevaluate its operating plans.</w:t>
      </w:r>
    </w:p>
    <w:p>
      <w:pPr>
        <w:spacing w:after="0" w:line="180" w:lineRule="exact"/>
        <w:rPr>
          <w:sz w:val="20"/>
          <w:szCs w:val="20"/>
          <w:color w:val="auto"/>
        </w:rPr>
      </w:pPr>
    </w:p>
    <w:p>
      <w:pPr>
        <w:ind w:right="7540" w:firstLine="8"/>
        <w:spacing w:after="0" w:line="338" w:lineRule="auto"/>
        <w:tabs>
          <w:tab w:leader="none" w:pos="45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Consolidation</w:t>
      </w:r>
    </w:p>
    <w:p>
      <w:pPr>
        <w:spacing w:after="0" w:line="2" w:lineRule="exact"/>
        <w:rPr>
          <w:sz w:val="20"/>
          <w:szCs w:val="20"/>
          <w:color w:val="auto"/>
        </w:rPr>
      </w:pPr>
    </w:p>
    <w:p>
      <w:pPr>
        <w:ind w:right="220" w:firstLine="476"/>
        <w:spacing w:after="0" w:line="277" w:lineRule="auto"/>
        <w:rPr>
          <w:sz w:val="20"/>
          <w:szCs w:val="20"/>
          <w:color w:val="auto"/>
        </w:rPr>
      </w:pPr>
      <w:r>
        <w:rPr>
          <w:rFonts w:ascii="Arial" w:cs="Arial" w:eastAsia="Arial" w:hAnsi="Arial"/>
          <w:sz w:val="18"/>
          <w:szCs w:val="18"/>
          <w:color w:val="auto"/>
        </w:rPr>
        <w:t>The consolidated financial statements include the accounts of Ultragenyx Pharmaceutical Inc. and our wholly-owned subsidiaries. All intercompany balances and transactions have been eliminated.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4"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 accompanying consolidated financial statements have been prepared in accordance with U.S. generally accepted accounting principles (“GAAP”). The preparation of the consolidated financial statements in conformity with GAAP requires management to make estimates and assumptions that affect the reported amounts of assets and liabilities, disclosure of contingent liabilities and the reported amounts of expenses in the consolidated financial statements and the accompanying notes. On an ongoing basis, management evaluates its estimates, including those related to clinical trial accruals, fair value of assets and liabilities, income taxes, and stock-based compensation. Management bases its estimates on historical experience and on various other market-specific and relevant assumptions that management believes to be reasonable under the circumstances. Actual results could differ from those estimates.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considers all highly liquid investments with original maturities of three months or less from the date of purchase to be cash equivalents.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consist primarily of amounts invested in money market accounts and corporate bonds.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81" w:lineRule="exact"/>
        <w:rPr>
          <w:sz w:val="20"/>
          <w:szCs w:val="20"/>
          <w:color w:val="auto"/>
        </w:rPr>
      </w:pPr>
    </w:p>
    <w:p>
      <w:pPr>
        <w:ind w:right="140" w:firstLine="518"/>
        <w:spacing w:after="0" w:line="272" w:lineRule="auto"/>
        <w:rPr>
          <w:sz w:val="20"/>
          <w:szCs w:val="20"/>
          <w:color w:val="auto"/>
        </w:rPr>
      </w:pPr>
      <w:r>
        <w:rPr>
          <w:rFonts w:ascii="Arial" w:cs="Arial" w:eastAsia="Arial" w:hAnsi="Arial"/>
          <w:sz w:val="17"/>
          <w:szCs w:val="17"/>
          <w:color w:val="auto"/>
        </w:rPr>
        <w:t>All investments have been classified as “available-for-sale” and are carried at estimated fair value as determined based upon quoted market prices or pricing models for similar securities. Management determines the appropriate classification of its investments in debt securities at the time of purchase and reevaluates such designation as of each balance sheet date. Investments with a maturity of one year or less from the balance sheet date are reported as short-term investments and investments with a maturity of greater than one year from the balance sheet date are reported as long-term investments. Unrealized gains and losses are excluded from earnings and are reported as a component of comprehensive loss. Realized gains and losses and declines in fair value judged to be other than temporary, if any, on available-for-sale securities are included in other expense, net. The cost of securities sold is based on the specific-identification method. Interest on investments is included in interest income.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81" w:name="page82"/>
    <w:bookmarkEnd w:id="81"/>
    <w:p>
      <w:pPr>
        <w:jc w:val="center"/>
        <w:ind w:right="-39"/>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 and Other Risks and Uncertainties</w:t>
      </w:r>
    </w:p>
    <w:p>
      <w:pPr>
        <w:spacing w:after="0" w:line="94"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Financial instruments that potentially subject the Company to a concentration of credit risk consist of cash, cash equivalents, and investments. The Company’s cash, cash equivalents, and investments are held by financial institutions that management believes are of high credit quality. The Company’s investment policy limits investments to fixed income securities denominated and payable in U.S. dollars such as U.S. government obligations, money market instruments and funds, corporate bonds, and asset-backed securities and places restrictions on maturities and concentrations by type and issuer. Such deposits may, at times, exceed federally insured limits. The Company has not experienced any losses on its deposits of cash and cash equivalents and its accounts are monitored by management to mitigate risk. The Company is exposed to credit risk in the event of default by the financial institutions holding its cash and cash equivalents, corporate bond issuers and other financial instruments to the extent recorded in the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81"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Property and equipment are stated at cost, less accumulated depreciation and amortization. Depreciation and amortization is computed using the straight-line method over the estimated useful lives of the respective assets. Depreciation and amortization begins at the time the asset is placed in service. Maintenance and repairs are charged to operations as incurred. Upon sale or retirement of assets, the cost and related accumulated depreciation are removed from the balance sheet and the resulting gain or loss, if any, is reflected in operations.</w:t>
      </w:r>
    </w:p>
    <w:p>
      <w:pPr>
        <w:spacing w:after="0" w:line="3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useful lives of the property and equipment are as follows:</w:t>
      </w:r>
    </w:p>
    <w:p>
      <w:pPr>
        <w:sectPr>
          <w:pgSz w:w="11900" w:h="16838" w:orient="portrait"/>
          <w:cols w:equalWidth="0" w:num="1">
            <w:col w:w="11380"/>
          </w:cols>
          <w:pgMar w:left="240" w:top="121" w:right="279" w:bottom="1440" w:gutter="0" w:footer="0" w:header="0"/>
        </w:sectPr>
      </w:pPr>
    </w:p>
    <w:p>
      <w:pPr>
        <w:spacing w:after="0" w:line="9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Research and development equipment</w:t>
      </w:r>
    </w:p>
    <w:p>
      <w:pPr>
        <w:spacing w:after="0" w:line="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Furniture and office equipment</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Computer equipment</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Software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3-5 years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Shorter of lease term or estimated useful life</w:t>
      </w:r>
    </w:p>
    <w:p>
      <w:pPr>
        <w:spacing w:after="0" w:line="222" w:lineRule="exact"/>
        <w:rPr>
          <w:sz w:val="20"/>
          <w:szCs w:val="20"/>
          <w:color w:val="auto"/>
        </w:rPr>
      </w:pPr>
    </w:p>
    <w:p>
      <w:pPr>
        <w:sectPr>
          <w:pgSz w:w="11900" w:h="16838" w:orient="portrait"/>
          <w:cols w:equalWidth="0" w:num="2">
            <w:col w:w="5100" w:space="720"/>
            <w:col w:w="5560"/>
          </w:cols>
          <w:pgMar w:left="240" w:top="121" w:right="279" w:bottom="1440" w:gutter="0" w:footer="0" w:header="0"/>
          <w:type w:val="continuous"/>
        </w:sectPr>
      </w:pP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8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Company evaluates its long-lived assets, including property and equipment, for impairment whenever events or changes in circumstances indicate that the carrying value of these assets may not be recoverable. Recoverability of these assets is measured by comparison of the carrying amount of each asset to the future undiscounted cash flows expected to result from the use of the asset and its eventual disposition. If the asset is considered to be impaired, the amount of any impairment is measured as the difference between the carrying value and the fair value of the impaired asset. The Company has not recorded impairment of any long-lived assets since inception.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94"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Restricted cash primarily consists of money market accounts as collateral for its obligations under its facility leases of the Company’s corporate headquarters in Novato, California and for its facilities in Brisbane, California.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Accruals of Research and Development Costs</w:t>
      </w:r>
    </w:p>
    <w:p>
      <w:pPr>
        <w:spacing w:after="0" w:line="81"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The Company records accruals for estimated costs of research, preclinical and clinical studies and manufacturing development. These costs are a significant component of the Company’s research and development expenses. A substantial portion of the Company’s ongoing research and development activities are conducted by third-party service providers, including contract research organizations. The Company accrues the costs incurred under its agreements with these third parties based on actual work completed in accordance with agreements established with these third parties. The Company determines the actual costs through discussions with internal personnel and external service providers as to the progress or stage of completion of the services and the agreed-upon fee to be paid for such services. The Company makes significant judgments and estimates in determining the accrual balance in each reporting period. As actual costs become known, the Company adjusts its accruals. The Company has not experienced any material deviations between accrued clinical trial expenses and actual clinical trial expenses. However, actual services performed, number of patients enrolled, and the rate of patient enrollment may vary from the Company’s estimates, resulting in adjustments to clinical trial expense in future periods. Changes in these estimates that result in material changes to the Company’s accruals could materially affect the Company’s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81"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Company recognizes revenue when persuasive evidence of an arrangement exists, delivery has occurred, the price is fixed or determinable, and collectability is reasonably assured. Revenue is recognized once all revenue recognition criteria are met.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type w:val="continuous"/>
        </w:sectPr>
      </w:pPr>
    </w:p>
    <w:bookmarkStart w:id="82" w:name="page83"/>
    <w:bookmarkEnd w:id="82"/>
    <w:p>
      <w:pPr>
        <w:jc w:val="center"/>
        <w:ind w:right="-39"/>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3" w:lineRule="exact"/>
        <w:rPr>
          <w:sz w:val="20"/>
          <w:szCs w:val="20"/>
          <w:color w:val="auto"/>
        </w:rPr>
      </w:pPr>
    </w:p>
    <w:p>
      <w:pPr>
        <w:jc w:val="both"/>
        <w:ind w:right="340" w:firstLine="518"/>
        <w:spacing w:after="0" w:line="264" w:lineRule="auto"/>
        <w:rPr>
          <w:sz w:val="20"/>
          <w:szCs w:val="20"/>
          <w:color w:val="auto"/>
        </w:rPr>
      </w:pPr>
      <w:r>
        <w:rPr>
          <w:rFonts w:ascii="Arial" w:cs="Arial" w:eastAsia="Arial" w:hAnsi="Arial"/>
          <w:sz w:val="18"/>
          <w:szCs w:val="18"/>
          <w:color w:val="auto"/>
        </w:rPr>
        <w:t>During the year ended December 31, 2016, the Company recognized revenue from sales of rhGUS (UX003) on a “named patient” basis which are allowed in certain European countries prior to the commercial approval of the product in the territory. Due to the Company’s limited sales and collection history to date, revenue has been recognized upon receipt of payment.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81" w:lineRule="exact"/>
        <w:rPr>
          <w:sz w:val="20"/>
          <w:szCs w:val="20"/>
          <w:color w:val="auto"/>
        </w:rPr>
      </w:pPr>
    </w:p>
    <w:p>
      <w:pPr>
        <w:jc w:val="both"/>
        <w:ind w:right="500" w:firstLine="518"/>
        <w:spacing w:after="0" w:line="302" w:lineRule="auto"/>
        <w:rPr>
          <w:sz w:val="20"/>
          <w:szCs w:val="20"/>
          <w:color w:val="auto"/>
        </w:rPr>
      </w:pPr>
      <w:r>
        <w:rPr>
          <w:rFonts w:ascii="Arial" w:cs="Arial" w:eastAsia="Arial" w:hAnsi="Arial"/>
          <w:sz w:val="16"/>
          <w:szCs w:val="16"/>
          <w:color w:val="auto"/>
        </w:rPr>
        <w:t>The Company enters into lease agreements for its office and laboratory facilities. These leases are classified as operating leases. Rent expense is recognized on a straight-line basis over the term of the lease and, accordingly, the Company records the difference between cash rent payments and the recognition of rent expense as a deferred rent liability. Incentives granted under the Company’s facilities leases, including allowances to fund leasehold improvements, are deferred and are recognized as adjustments to rental expense on a straight-line basis over the term of the lease.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94" w:lineRule="exact"/>
        <w:rPr>
          <w:sz w:val="20"/>
          <w:szCs w:val="20"/>
          <w:color w:val="auto"/>
        </w:rPr>
      </w:pPr>
    </w:p>
    <w:p>
      <w:pPr>
        <w:ind w:right="480" w:firstLine="518"/>
        <w:spacing w:after="0" w:line="264" w:lineRule="auto"/>
        <w:rPr>
          <w:sz w:val="20"/>
          <w:szCs w:val="20"/>
          <w:color w:val="auto"/>
        </w:rPr>
      </w:pPr>
      <w:r>
        <w:rPr>
          <w:rFonts w:ascii="Arial" w:cs="Arial" w:eastAsia="Arial" w:hAnsi="Arial"/>
          <w:sz w:val="18"/>
          <w:szCs w:val="18"/>
          <w:color w:val="auto"/>
        </w:rPr>
        <w:t>Comprehensive loss is the change in stockholders’ equity from transactions and other events and circumstances other than those resulting from investments by stockholders and distributions to stockholders. The Company’s other comprehensive loss is comprised of unrealized gains and losses on investments in available-for-sale securities and foreign currency translation adjustments.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8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Research and development costs are expensed as incurred and consist of salaries and benefits, stock-based compensation expense, lab supplies and facility costs, as well as fees paid to other nonemployees and entities that conduct certain research and development activities on the Company’s behalf. Amounts incurred in connection with license agreements are also included in research and development expense. Nonrefundable advance payments for goods or services to be received in the future for use in research and development activities are deferred and capitalized. The capitalized amounts are expensed as the related goods are delivered or the services are performed.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81"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Stock-based awards issued to employees, including stock options and restricted stock units (RSUs), are recorded at fair value as of the grant date and recognized as expense on a straight-line basis over the employee’s requisite service period (generally the vesting period). Because noncash stock compensation expense is based on awards ultimately expected to vest, it is reduced by an estimate for future forfeitures. Forfeitures are estimated at the time of grant and revised, if necessary, in subsequent periods if actual forfeitures differ from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The Company uses the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 The Company must then assess the likelihood that the resulting deferred tax assets will be realized. A valuation allowance is provided when it is more likely than not that some portion or all of a deferred tax asset will not be realized. Due to the Company’s lack of earnings history, the net deferred tax assets have been fully offset by a valuation allowance.</w:t>
      </w:r>
    </w:p>
    <w:p>
      <w:pPr>
        <w:spacing w:after="0" w:line="24"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Company recognizes benefits of uncertain tax positions if it is more likely than not that such positions will be sustained upon examination based solely on their technical merits, as the largest amount of benefit that is more likely than not to be realized upon the ultimate settlement. The Company’s policy is to recognize interest and penalties related to the underpayment of income taxes as a component of income tax expense or benefit. To date, there have been no interest or penalties charged in relation to the unrecognized tax benefits.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94"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Assets and liabilities of non-U.S. subsidiaries that operate in a local currency environment, where that local currency is the functional currency, are translated to U.S. dollars at exchange rates in effect at the balance sheet date, with the resulting translation adjustments directly recorded to a separate component of accumulated other comprehensive loss. Income and expense accounts are translated at average exchange rates for the period. Remeasurement adjustments are recorded in other income (expense), net.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 Attributable to Common Stockholders</w:t>
      </w:r>
    </w:p>
    <w:p>
      <w:pPr>
        <w:spacing w:after="0" w:line="81"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Basic net loss per share attributable to common stockholders is calculated by dividing the net loss attributable to common stockholders by the weighted-average number of shares of common stock outstanding during the period, without consideration for common stock equivalents. Diluted net loss per share attributable to common stockholders is the same as basic net loss per share attributable to common stockholders, since the effects of potentially dilutive securities are antidilutive. In periods when we have incurred a net loss, convertible preferred stock, options and warrants to purchase common stock and convertible preferred stock warrants are considered common stock equivalents, but have been excluded from the calculation of diluted net loss per share attributable to common stockholders, as their effect is antidilutive.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1" w:lineRule="exact"/>
        <w:rPr>
          <w:sz w:val="20"/>
          <w:szCs w:val="20"/>
          <w:color w:val="auto"/>
        </w:rPr>
      </w:pPr>
    </w:p>
    <w:p>
      <w:pPr>
        <w:ind w:firstLine="518"/>
        <w:spacing w:after="0" w:line="283"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to supersede nearly all existing revenue recognition guidance under GAAP. The core principle of ASU 2014-09 is to recognize revenues when promised goods or services are transferred to customers in an amount that reflects the consideration that is expected to be received for those goods or services. ASU 2014-09 defines a five-step process to achieve this core principle and, in doing so, it is possible more judgment and estimates may be required within the revenue recognition process than are required under existing GAAP, including identifying performance obligations in a contract, estimating the amount of variable consideration to include in the transaction price and allocating the transaction price to each separate performance obligation. In March, April, May and December 2016, the FASB issued ASU 2016-08, </w:t>
      </w:r>
      <w:r>
        <w:rPr>
          <w:rFonts w:ascii="Arial" w:cs="Arial" w:eastAsia="Arial" w:hAnsi="Arial"/>
          <w:sz w:val="16"/>
          <w:szCs w:val="16"/>
          <w:i w:val="1"/>
          <w:iCs w:val="1"/>
          <w:color w:val="auto"/>
        </w:rPr>
        <w:t>Revenue from Contracts with Customers: Principal versus Agent Considerations</w:t>
      </w:r>
      <w:r>
        <w:rPr>
          <w:rFonts w:ascii="Arial" w:cs="Arial" w:eastAsia="Arial" w:hAnsi="Arial"/>
          <w:sz w:val="16"/>
          <w:szCs w:val="16"/>
          <w:color w:val="auto"/>
        </w:rPr>
        <w:t>, ASU 2016-10,</w:t>
      </w:r>
      <w:r>
        <w:rPr>
          <w:rFonts w:ascii="Arial" w:cs="Arial" w:eastAsia="Arial" w:hAnsi="Arial"/>
          <w:sz w:val="16"/>
          <w:szCs w:val="16"/>
          <w:i w:val="1"/>
          <w:iCs w:val="1"/>
          <w:color w:val="auto"/>
        </w:rPr>
        <w:t xml:space="preserve"> Revenue from Contracts with Customers: Identifying Performance Obligations and Licensing</w:t>
      </w:r>
      <w:r>
        <w:rPr>
          <w:rFonts w:ascii="Arial" w:cs="Arial" w:eastAsia="Arial" w:hAnsi="Arial"/>
          <w:sz w:val="16"/>
          <w:szCs w:val="16"/>
          <w:color w:val="auto"/>
        </w:rPr>
        <w:t>, and ASU 2016-12,</w:t>
      </w:r>
      <w:r>
        <w:rPr>
          <w:rFonts w:ascii="Arial" w:cs="Arial" w:eastAsia="Arial" w:hAnsi="Arial"/>
          <w:sz w:val="16"/>
          <w:szCs w:val="16"/>
          <w:i w:val="1"/>
          <w:iCs w:val="1"/>
          <w:color w:val="auto"/>
        </w:rPr>
        <w:t xml:space="preserve"> Revenue from Contracts with Customers: Narrow-Scope Improvements and Practical Expedients to provide supplemental adoption guidance and clarification to ASU 2014-09 </w:t>
      </w:r>
      <w:r>
        <w:rPr>
          <w:rFonts w:ascii="Arial" w:cs="Arial" w:eastAsia="Arial" w:hAnsi="Arial"/>
          <w:sz w:val="16"/>
          <w:szCs w:val="16"/>
          <w:color w:val="auto"/>
        </w:rPr>
        <w:t>and ASU 2014-20,</w:t>
      </w:r>
      <w:r>
        <w:rPr>
          <w:rFonts w:ascii="Arial" w:cs="Arial" w:eastAsia="Arial" w:hAnsi="Arial"/>
          <w:sz w:val="16"/>
          <w:szCs w:val="16"/>
          <w:i w:val="1"/>
          <w:iCs w:val="1"/>
          <w:color w:val="auto"/>
        </w:rPr>
        <w:t xml:space="preserve"> Technical Corrections and Improvements to Topic 606, Revenue from Contracts with Customers</w:t>
      </w:r>
      <w:r>
        <w:rPr>
          <w:rFonts w:ascii="Arial" w:cs="Arial" w:eastAsia="Arial" w:hAnsi="Arial"/>
          <w:sz w:val="16"/>
          <w:szCs w:val="16"/>
          <w:color w:val="auto"/>
        </w:rPr>
        <w:t>. The effective date for these new standards is the same as the effective date and transition requirements for ASU</w:t>
      </w:r>
    </w:p>
    <w:p>
      <w:pPr>
        <w:spacing w:after="0" w:line="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2014-09. The Company will early adopt the new revenue standard as of January 1, 2017 using a full retrospective application to each prior reporting period presented. The Company has substantially completed its assessment of the effect of the adoption of the new revenue standard. It does not expect the adoption to have a material effect on its Consolidated Financial Statements on the adoption date.</w:t>
      </w:r>
    </w:p>
    <w:p>
      <w:pPr>
        <w:spacing w:after="0" w:line="42"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In February 2016, the FASB issued ASU No. 2016-02, Leases (Topic 842), which requires an entity that is a lessee to record a right of use asset and a corresponding lease liability on the balance sheet for all leases with terms longer than 12 months. This guidance also requires disclosures about the amount, timing, and uncertainty of cash flows arising from leases. This guidance is effective for annual reporting periods beginning after December 15, 2018, and interim periods within those annual periods, using a modified retrospective approach, and early adoption is permitted. The Company is evaluating the effect that this guidance will have on its Consolidated Financial Statements and related disclosures.</w:t>
      </w:r>
    </w:p>
    <w:p>
      <w:pPr>
        <w:spacing w:after="0" w:line="37"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Compensation — Stock Compensation (Topic 718): 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which simplifies several aspects of the accounting for employee share-based payments, including income tax consequences, application of award</w:t>
      </w:r>
      <w:r>
        <w:rPr>
          <w:rFonts w:ascii="Arial" w:cs="Arial" w:eastAsia="Arial" w:hAnsi="Arial"/>
          <w:sz w:val="17"/>
          <w:szCs w:val="17"/>
          <w:i w:val="1"/>
          <w:iCs w:val="1"/>
          <w:color w:val="auto"/>
        </w:rPr>
        <w:t xml:space="preserve"> </w:t>
      </w:r>
      <w:r>
        <w:rPr>
          <w:rFonts w:ascii="Arial" w:cs="Arial" w:eastAsia="Arial" w:hAnsi="Arial"/>
          <w:sz w:val="17"/>
          <w:szCs w:val="17"/>
          <w:color w:val="auto"/>
        </w:rPr>
        <w:t>forfeitures to expense, classification on the statement of cash flows, and classification of awards as either equity or liabilities. This guidance is effective for annual reporting periods beginning after December 15, 2016, and interim periods within those annual periods. The Company is evaluating the effect that this guidance will have on its Consolidated Financial Statements and related disclosures.</w:t>
      </w:r>
    </w:p>
    <w:p>
      <w:pPr>
        <w:spacing w:after="0" w:line="24"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 xml:space="preserve">In October 2016, the FASB issued ASU 2016-16, </w:t>
      </w:r>
      <w:r>
        <w:rPr>
          <w:rFonts w:ascii="Arial" w:cs="Arial" w:eastAsia="Arial" w:hAnsi="Arial"/>
          <w:sz w:val="18"/>
          <w:szCs w:val="18"/>
          <w:i w:val="1"/>
          <w:iCs w:val="1"/>
          <w:color w:val="auto"/>
        </w:rPr>
        <w:t>Income Taxes - Intra-Entity Transfers of Assets Other Than Inventory</w:t>
      </w:r>
      <w:r>
        <w:rPr>
          <w:rFonts w:ascii="Arial" w:cs="Arial" w:eastAsia="Arial" w:hAnsi="Arial"/>
          <w:sz w:val="18"/>
          <w:szCs w:val="18"/>
          <w:color w:val="auto"/>
        </w:rPr>
        <w:t>, which requires entities to recognize the income tax consequences of an intra-entity transfer of an asset other than inventory when the transfer occurs. The standard is effective for fiscal years beginning after December 15, 2017, including interim periods within those fiscal years. Early adoption is permitted as of the beginning of a fiscal year. The new standard must be adopted using a modified retrospective transition method which is a cumulative-effective adjustment to retained earnings as of the beginning of the first effective reporting period. The Company is evaluating the effect that this guidance will have on its Consolidated Financial Statements and related disclosures.</w:t>
      </w:r>
    </w:p>
    <w:p>
      <w:pPr>
        <w:spacing w:after="0" w:line="243"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81" w:lineRule="exact"/>
        <w:rPr>
          <w:sz w:val="20"/>
          <w:szCs w:val="20"/>
          <w:color w:val="auto"/>
        </w:rPr>
      </w:pPr>
    </w:p>
    <w:p>
      <w:pPr>
        <w:ind w:right="140" w:firstLine="518"/>
        <w:spacing w:after="0" w:line="293" w:lineRule="auto"/>
        <w:rPr>
          <w:sz w:val="20"/>
          <w:szCs w:val="20"/>
          <w:color w:val="auto"/>
        </w:rPr>
      </w:pPr>
      <w:r>
        <w:rPr>
          <w:rFonts w:ascii="Arial" w:cs="Arial" w:eastAsia="Arial" w:hAnsi="Arial"/>
          <w:sz w:val="16"/>
          <w:szCs w:val="16"/>
          <w:color w:val="auto"/>
        </w:rPr>
        <w:t>Financial assets and liabilities are recorded at fair value. The carrying amount of certain financial instruments, including cash and cash equivalents, accounts payable and accrued liabilities approximate fair value due to their relatively short maturities. 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The authoritative guidance on fair value measurements establishes a three-tier fair value hierarchy for disclosure of fair value measurements as follows:</w:t>
      </w:r>
    </w:p>
    <w:p>
      <w:pPr>
        <w:spacing w:after="0" w:line="3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—Inputs are unadjusted, quoted prices in active markets for identical assets or liabilities at the measurement date;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4" w:name="page85"/>
    <w:bookmarkEnd w:id="84"/>
    <w:p>
      <w:pPr>
        <w:jc w:val="center"/>
        <w:ind w:right="20"/>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3" w:lineRule="exact"/>
        <w:rPr>
          <w:sz w:val="20"/>
          <w:szCs w:val="20"/>
          <w:color w:val="auto"/>
        </w:rPr>
      </w:pPr>
    </w:p>
    <w:p>
      <w:pPr>
        <w:ind w:left="520" w:right="34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are observable, unadjusted quoted prices in active markets for similar assets or liabilities, unadjusted quoted prices for identical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assets or liabilities in markets that are not active, or other inputs that are observable or can be corroborated by observable market data for substantially the full term of the related assets or liabilities; and</w:t>
      </w:r>
    </w:p>
    <w:p>
      <w:pPr>
        <w:spacing w:after="0" w:line="46" w:lineRule="exact"/>
        <w:rPr>
          <w:sz w:val="20"/>
          <w:szCs w:val="20"/>
          <w:color w:val="auto"/>
        </w:rPr>
      </w:pPr>
    </w:p>
    <w:p>
      <w:pPr>
        <w:ind w:left="520" w:right="500"/>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significant to the measurement of the fair value of the assets or liabilities that are supported by little or no</w:t>
      </w:r>
      <w:r>
        <w:rPr>
          <w:rFonts w:ascii="Arial" w:cs="Arial" w:eastAsia="Arial" w:hAnsi="Arial"/>
          <w:sz w:val="18"/>
          <w:szCs w:val="18"/>
          <w:i w:val="1"/>
          <w:iCs w:val="1"/>
          <w:color w:val="auto"/>
        </w:rPr>
        <w:t xml:space="preserve"> </w:t>
      </w:r>
      <w:r>
        <w:rPr>
          <w:rFonts w:ascii="Arial" w:cs="Arial" w:eastAsia="Arial" w:hAnsi="Arial"/>
          <w:sz w:val="18"/>
          <w:szCs w:val="18"/>
          <w:color w:val="auto"/>
        </w:rPr>
        <w:t>market data.</w:t>
      </w:r>
    </w:p>
    <w:p>
      <w:pPr>
        <w:spacing w:after="0" w:line="22"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The Company’s financial instruments consist of Level 1 and Level 2 assets. Where quoted prices are available in an active market, securities are classified as Level 1. Money market funds are classified as Level 1. Level 2 assets consist primarily of corporate bonds, asset backed securities, commercial paper and U.S. Government agency securities based upon quoted market prices for similar movements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 Where applicable these models project future cash flows and discount the future amounts to a present value using market-based observable inputs obtained from various third party data providers, including but not limited to, benchmark yields, interest rate curves, reported trades, broker/dealer quotes and reference data.</w:t>
      </w:r>
    </w:p>
    <w:p>
      <w:pPr>
        <w:spacing w:after="0" w:line="29"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following table sets forth the fair value of the Company’s financial assets and liabilities remeasured on a recurring basis based on the three-tier fair value hierarchy (in thousands):</w:t>
      </w:r>
    </w:p>
    <w:p>
      <w:pPr>
        <w:spacing w:after="0" w:line="4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197"/>
              <w:spacing w:after="0"/>
              <w:rPr>
                <w:sz w:val="20"/>
                <w:szCs w:val="20"/>
                <w:color w:val="auto"/>
              </w:rPr>
            </w:pPr>
            <w:r>
              <w:rPr>
                <w:rFonts w:ascii="Arial" w:cs="Arial" w:eastAsia="Arial" w:hAnsi="Arial"/>
                <w:sz w:val="18"/>
                <w:szCs w:val="18"/>
                <w:b w:val="1"/>
                <w:bCs w:val="1"/>
                <w:color w:val="auto"/>
              </w:rPr>
              <w:t>December 31, 2016</w:t>
            </w: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340" w:type="dxa"/>
            <w:vAlign w:val="bottom"/>
            <w:tcBorders>
              <w:bottom w:val="single" w:sz="8" w:color="CCECFF"/>
            </w:tcBorders>
          </w:tcPr>
          <w:p>
            <w:pPr>
              <w:spacing w:after="0"/>
              <w:rPr>
                <w:sz w:val="19"/>
                <w:szCs w:val="19"/>
                <w:color w:val="auto"/>
              </w:rPr>
            </w:pPr>
          </w:p>
        </w:tc>
        <w:tc>
          <w:tcPr>
            <w:tcW w:w="58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240" w:type="dxa"/>
            <w:vAlign w:val="bottom"/>
            <w:tcBorders>
              <w:bottom w:val="single" w:sz="8" w:color="CCEC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260" w:type="dxa"/>
            <w:vAlign w:val="bottom"/>
            <w:tcBorders>
              <w:bottom w:val="single" w:sz="8" w:color="CCEC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CCEC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CFF"/>
            </w:tcBorders>
          </w:tcPr>
          <w:p>
            <w:pPr>
              <w:spacing w:after="0"/>
              <w:rPr>
                <w:sz w:val="19"/>
                <w:szCs w:val="19"/>
                <w:color w:val="auto"/>
              </w:rPr>
            </w:pPr>
          </w:p>
        </w:tc>
      </w:tr>
      <w:tr>
        <w:trPr>
          <w:trHeight w:val="223"/>
        </w:trPr>
        <w:tc>
          <w:tcPr>
            <w:tcW w:w="4340" w:type="dxa"/>
            <w:vAlign w:val="bottom"/>
            <w:shd w:val="clear" w:color="auto" w:fill="CCECFF"/>
          </w:tcPr>
          <w:p>
            <w:pPr>
              <w:spacing w:after="0"/>
              <w:rPr>
                <w:sz w:val="20"/>
                <w:szCs w:val="20"/>
                <w:color w:val="auto"/>
              </w:rPr>
            </w:pPr>
            <w:r>
              <w:rPr>
                <w:rFonts w:ascii="Arial" w:cs="Arial" w:eastAsia="Arial" w:hAnsi="Arial"/>
                <w:sz w:val="18"/>
                <w:szCs w:val="18"/>
                <w:b w:val="1"/>
                <w:bCs w:val="1"/>
                <w:color w:val="auto"/>
              </w:rPr>
              <w:t>Financial Assets:</w:t>
            </w:r>
          </w:p>
        </w:tc>
        <w:tc>
          <w:tcPr>
            <w:tcW w:w="58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6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94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88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92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r>
      <w:tr>
        <w:trPr>
          <w:trHeight w:val="230"/>
        </w:trPr>
        <w:tc>
          <w:tcPr>
            <w:tcW w:w="434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7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123,536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717"/>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123,536</w:t>
            </w:r>
          </w:p>
        </w:tc>
        <w:tc>
          <w:tcPr>
            <w:tcW w:w="100" w:type="dxa"/>
            <w:vAlign w:val="bottom"/>
          </w:tcPr>
          <w:p>
            <w:pPr>
              <w:spacing w:after="0"/>
              <w:rPr>
                <w:sz w:val="19"/>
                <w:szCs w:val="19"/>
                <w:color w:val="auto"/>
              </w:rPr>
            </w:pPr>
          </w:p>
        </w:tc>
      </w:tr>
      <w:tr>
        <w:trPr>
          <w:trHeight w:val="230"/>
        </w:trPr>
        <w:tc>
          <w:tcPr>
            <w:tcW w:w="4340" w:type="dxa"/>
            <w:vAlign w:val="bottom"/>
            <w:shd w:val="clear" w:color="auto" w:fill="CCECFF"/>
          </w:tcPr>
          <w:p>
            <w:pPr>
              <w:ind w:left="240"/>
              <w:spacing w:after="0"/>
              <w:rPr>
                <w:sz w:val="20"/>
                <w:szCs w:val="20"/>
                <w:color w:val="auto"/>
              </w:rPr>
            </w:pPr>
            <w:r>
              <w:rPr>
                <w:rFonts w:ascii="Arial" w:cs="Arial" w:eastAsia="Arial" w:hAnsi="Arial"/>
                <w:sz w:val="18"/>
                <w:szCs w:val="18"/>
                <w:color w:val="auto"/>
              </w:rPr>
              <w:t>Corporate bonds</w:t>
            </w:r>
          </w:p>
        </w:tc>
        <w:tc>
          <w:tcPr>
            <w:tcW w:w="58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207,726</w:t>
            </w:r>
          </w:p>
        </w:tc>
        <w:tc>
          <w:tcPr>
            <w:tcW w:w="260" w:type="dxa"/>
            <w:vAlign w:val="bottom"/>
            <w:shd w:val="clear" w:color="auto" w:fill="CCECFF"/>
          </w:tcPr>
          <w:p>
            <w:pPr>
              <w:spacing w:after="0"/>
              <w:rPr>
                <w:sz w:val="19"/>
                <w:szCs w:val="19"/>
                <w:color w:val="auto"/>
              </w:rPr>
            </w:pPr>
          </w:p>
        </w:tc>
        <w:tc>
          <w:tcPr>
            <w:tcW w:w="880" w:type="dxa"/>
            <w:vAlign w:val="bottom"/>
            <w:shd w:val="clear" w:color="auto" w:fill="CCECFF"/>
          </w:tcPr>
          <w:p>
            <w:pPr>
              <w:spacing w:after="0"/>
              <w:rPr>
                <w:sz w:val="19"/>
                <w:szCs w:val="19"/>
                <w:color w:val="auto"/>
              </w:rPr>
            </w:pPr>
          </w:p>
        </w:tc>
        <w:tc>
          <w:tcPr>
            <w:tcW w:w="240" w:type="dxa"/>
            <w:vAlign w:val="bottom"/>
            <w:shd w:val="clear" w:color="auto" w:fill="CCECFF"/>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207,726</w:t>
            </w:r>
          </w:p>
        </w:tc>
        <w:tc>
          <w:tcPr>
            <w:tcW w:w="100" w:type="dxa"/>
            <w:vAlign w:val="bottom"/>
            <w:shd w:val="clear" w:color="auto" w:fill="CCECFF"/>
          </w:tcPr>
          <w:p>
            <w:pPr>
              <w:spacing w:after="0"/>
              <w:rPr>
                <w:sz w:val="19"/>
                <w:szCs w:val="19"/>
                <w:color w:val="auto"/>
              </w:rPr>
            </w:pPr>
          </w:p>
        </w:tc>
      </w:tr>
      <w:tr>
        <w:trPr>
          <w:trHeight w:val="230"/>
        </w:trPr>
        <w:tc>
          <w:tcPr>
            <w:tcW w:w="434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11,970</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11,970</w:t>
            </w:r>
          </w:p>
        </w:tc>
        <w:tc>
          <w:tcPr>
            <w:tcW w:w="100" w:type="dxa"/>
            <w:vAlign w:val="bottom"/>
          </w:tcPr>
          <w:p>
            <w:pPr>
              <w:spacing w:after="0"/>
              <w:rPr>
                <w:sz w:val="19"/>
                <w:szCs w:val="19"/>
                <w:color w:val="auto"/>
              </w:rPr>
            </w:pPr>
          </w:p>
        </w:tc>
      </w:tr>
      <w:tr>
        <w:trPr>
          <w:trHeight w:val="230"/>
        </w:trPr>
        <w:tc>
          <w:tcPr>
            <w:tcW w:w="4340" w:type="dxa"/>
            <w:vAlign w:val="bottom"/>
            <w:shd w:val="clear" w:color="auto" w:fill="CCECFF"/>
          </w:tcPr>
          <w:p>
            <w:pPr>
              <w:ind w:left="240"/>
              <w:spacing w:after="0"/>
              <w:rPr>
                <w:sz w:val="20"/>
                <w:szCs w:val="20"/>
                <w:color w:val="auto"/>
              </w:rPr>
            </w:pPr>
            <w:r>
              <w:rPr>
                <w:rFonts w:ascii="Arial" w:cs="Arial" w:eastAsia="Arial" w:hAnsi="Arial"/>
                <w:sz w:val="18"/>
                <w:szCs w:val="18"/>
                <w:color w:val="auto"/>
              </w:rPr>
              <w:t>Asset-backed securities</w:t>
            </w:r>
          </w:p>
        </w:tc>
        <w:tc>
          <w:tcPr>
            <w:tcW w:w="58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27,713</w:t>
            </w:r>
          </w:p>
        </w:tc>
        <w:tc>
          <w:tcPr>
            <w:tcW w:w="260" w:type="dxa"/>
            <w:vAlign w:val="bottom"/>
            <w:shd w:val="clear" w:color="auto" w:fill="CCECFF"/>
          </w:tcPr>
          <w:p>
            <w:pPr>
              <w:spacing w:after="0"/>
              <w:rPr>
                <w:sz w:val="19"/>
                <w:szCs w:val="19"/>
                <w:color w:val="auto"/>
              </w:rPr>
            </w:pPr>
          </w:p>
        </w:tc>
        <w:tc>
          <w:tcPr>
            <w:tcW w:w="880" w:type="dxa"/>
            <w:vAlign w:val="bottom"/>
            <w:shd w:val="clear" w:color="auto" w:fill="CCECFF"/>
          </w:tcPr>
          <w:p>
            <w:pPr>
              <w:spacing w:after="0"/>
              <w:rPr>
                <w:sz w:val="19"/>
                <w:szCs w:val="19"/>
                <w:color w:val="auto"/>
              </w:rPr>
            </w:pPr>
          </w:p>
        </w:tc>
        <w:tc>
          <w:tcPr>
            <w:tcW w:w="240" w:type="dxa"/>
            <w:vAlign w:val="bottom"/>
            <w:shd w:val="clear" w:color="auto" w:fill="CCECFF"/>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27,713</w:t>
            </w:r>
          </w:p>
        </w:tc>
        <w:tc>
          <w:tcPr>
            <w:tcW w:w="100" w:type="dxa"/>
            <w:vAlign w:val="bottom"/>
            <w:shd w:val="clear" w:color="auto" w:fill="CCECFF"/>
          </w:tcPr>
          <w:p>
            <w:pPr>
              <w:spacing w:after="0"/>
              <w:rPr>
                <w:sz w:val="19"/>
                <w:szCs w:val="19"/>
                <w:color w:val="auto"/>
              </w:rPr>
            </w:pPr>
          </w:p>
        </w:tc>
      </w:tr>
      <w:tr>
        <w:trPr>
          <w:trHeight w:val="230"/>
        </w:trPr>
        <w:tc>
          <w:tcPr>
            <w:tcW w:w="4340" w:type="dxa"/>
            <w:vAlign w:val="bottom"/>
            <w:tcBorders>
              <w:bottom w:val="single" w:sz="8" w:color="CCECFF"/>
            </w:tcBorders>
          </w:tcPr>
          <w:p>
            <w:pPr>
              <w:ind w:left="240"/>
              <w:spacing w:after="0"/>
              <w:rPr>
                <w:sz w:val="20"/>
                <w:szCs w:val="20"/>
                <w:color w:val="auto"/>
              </w:rPr>
            </w:pPr>
            <w:r>
              <w:rPr>
                <w:rFonts w:ascii="Arial" w:cs="Arial" w:eastAsia="Arial" w:hAnsi="Arial"/>
                <w:sz w:val="18"/>
                <w:szCs w:val="18"/>
                <w:color w:val="auto"/>
              </w:rPr>
              <w:t>U.S. Government Treasury and agency securities</w:t>
            </w:r>
          </w:p>
        </w:tc>
        <w:tc>
          <w:tcPr>
            <w:tcW w:w="58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C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111,931</w:t>
            </w:r>
          </w:p>
        </w:tc>
        <w:tc>
          <w:tcPr>
            <w:tcW w:w="260" w:type="dxa"/>
            <w:vAlign w:val="bottom"/>
            <w:tcBorders>
              <w:bottom w:val="single" w:sz="8" w:color="CCEC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C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111,931</w:t>
            </w:r>
          </w:p>
        </w:tc>
        <w:tc>
          <w:tcPr>
            <w:tcW w:w="100" w:type="dxa"/>
            <w:vAlign w:val="bottom"/>
            <w:tcBorders>
              <w:bottom w:val="single" w:sz="8" w:color="CCECFF"/>
            </w:tcBorders>
          </w:tcPr>
          <w:p>
            <w:pPr>
              <w:spacing w:after="0"/>
              <w:rPr>
                <w:sz w:val="19"/>
                <w:szCs w:val="19"/>
                <w:color w:val="auto"/>
              </w:rPr>
            </w:pPr>
          </w:p>
        </w:tc>
      </w:tr>
      <w:tr>
        <w:trPr>
          <w:trHeight w:val="223"/>
        </w:trPr>
        <w:tc>
          <w:tcPr>
            <w:tcW w:w="434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Total financial assets</w:t>
            </w:r>
          </w:p>
        </w:tc>
        <w:tc>
          <w:tcPr>
            <w:tcW w:w="580" w:type="dxa"/>
            <w:vAlign w:val="bottom"/>
            <w:tcBorders>
              <w:bottom w:val="single" w:sz="8" w:color="CCECFF"/>
            </w:tcBorders>
            <w:shd w:val="clear" w:color="auto" w:fill="CCECFF"/>
          </w:tcPr>
          <w:p>
            <w:pPr>
              <w:spacing w:after="0"/>
              <w:rPr>
                <w:sz w:val="19"/>
                <w:szCs w:val="19"/>
                <w:color w:val="auto"/>
              </w:rPr>
            </w:pPr>
          </w:p>
        </w:tc>
        <w:tc>
          <w:tcPr>
            <w:tcW w:w="160" w:type="dxa"/>
            <w:vAlign w:val="bottom"/>
            <w:tcBorders>
              <w:bottom w:val="single" w:sz="8" w:color="auto"/>
            </w:tcBorders>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123,536</w:t>
            </w:r>
          </w:p>
        </w:tc>
        <w:tc>
          <w:tcPr>
            <w:tcW w:w="240" w:type="dxa"/>
            <w:vAlign w:val="bottom"/>
            <w:tcBorders>
              <w:bottom w:val="single" w:sz="8" w:color="CCECFF"/>
            </w:tcBorders>
            <w:shd w:val="clear" w:color="auto" w:fill="CCECFF"/>
          </w:tcPr>
          <w:p>
            <w:pPr>
              <w:spacing w:after="0"/>
              <w:rPr>
                <w:sz w:val="19"/>
                <w:szCs w:val="19"/>
                <w:color w:val="auto"/>
              </w:rPr>
            </w:pPr>
          </w:p>
        </w:tc>
        <w:tc>
          <w:tcPr>
            <w:tcW w:w="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359,340</w:t>
            </w:r>
          </w:p>
        </w:tc>
        <w:tc>
          <w:tcPr>
            <w:tcW w:w="260" w:type="dxa"/>
            <w:vAlign w:val="bottom"/>
            <w:tcBorders>
              <w:bottom w:val="single" w:sz="8" w:color="CCECFF"/>
            </w:tcBorders>
            <w:shd w:val="clear" w:color="auto" w:fill="CCECFF"/>
          </w:tcPr>
          <w:p>
            <w:pPr>
              <w:spacing w:after="0"/>
              <w:rPr>
                <w:sz w:val="19"/>
                <w:szCs w:val="19"/>
                <w:color w:val="auto"/>
              </w:rPr>
            </w:pPr>
          </w:p>
        </w:tc>
        <w:tc>
          <w:tcPr>
            <w:tcW w:w="880" w:type="dxa"/>
            <w:vAlign w:val="bottom"/>
            <w:tcBorders>
              <w:bottom w:val="single" w:sz="8" w:color="auto"/>
            </w:tcBorders>
            <w:shd w:val="clear" w:color="auto" w:fill="CCECFF"/>
          </w:tcPr>
          <w:p>
            <w:pPr>
              <w:jc w:val="right"/>
              <w:ind w:right="717"/>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shd w:val="clear" w:color="auto" w:fill="CCECFF"/>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CFF"/>
            </w:tcBorders>
            <w:shd w:val="clear" w:color="auto" w:fill="CCECFF"/>
          </w:tcPr>
          <w:p>
            <w:pPr>
              <w:spacing w:after="0"/>
              <w:rPr>
                <w:sz w:val="19"/>
                <w:szCs w:val="19"/>
                <w:color w:val="auto"/>
              </w:rPr>
            </w:pPr>
          </w:p>
        </w:tc>
        <w:tc>
          <w:tcPr>
            <w:tcW w:w="220" w:type="dxa"/>
            <w:vAlign w:val="bottom"/>
            <w:tcBorders>
              <w:bottom w:val="single" w:sz="8" w:color="auto"/>
            </w:tcBorders>
            <w:shd w:val="clear" w:color="auto" w:fill="CCEC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482,876</w:t>
            </w:r>
          </w:p>
        </w:tc>
        <w:tc>
          <w:tcPr>
            <w:tcW w:w="100" w:type="dxa"/>
            <w:vAlign w:val="bottom"/>
            <w:tcBorders>
              <w:bottom w:val="single" w:sz="8" w:color="CCECFF"/>
            </w:tcBorders>
            <w:shd w:val="clear" w:color="auto" w:fill="CCECFF"/>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7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197"/>
              <w:spacing w:after="0"/>
              <w:rPr>
                <w:sz w:val="20"/>
                <w:szCs w:val="20"/>
                <w:color w:val="auto"/>
              </w:rPr>
            </w:pPr>
            <w:r>
              <w:rPr>
                <w:rFonts w:ascii="Arial" w:cs="Arial" w:eastAsia="Arial" w:hAnsi="Arial"/>
                <w:sz w:val="18"/>
                <w:szCs w:val="18"/>
                <w:b w:val="1"/>
                <w:bCs w:val="1"/>
                <w:color w:val="auto"/>
              </w:rPr>
              <w:t>December 31, 2015</w:t>
            </w: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340" w:type="dxa"/>
            <w:vAlign w:val="bottom"/>
            <w:tcBorders>
              <w:bottom w:val="single" w:sz="8" w:color="CCECFF"/>
            </w:tcBorders>
          </w:tcPr>
          <w:p>
            <w:pPr>
              <w:spacing w:after="0"/>
              <w:rPr>
                <w:sz w:val="19"/>
                <w:szCs w:val="19"/>
                <w:color w:val="auto"/>
              </w:rPr>
            </w:pPr>
          </w:p>
        </w:tc>
        <w:tc>
          <w:tcPr>
            <w:tcW w:w="58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240" w:type="dxa"/>
            <w:vAlign w:val="bottom"/>
            <w:tcBorders>
              <w:bottom w:val="single" w:sz="8" w:color="CCEC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260" w:type="dxa"/>
            <w:vAlign w:val="bottom"/>
            <w:tcBorders>
              <w:bottom w:val="single" w:sz="8" w:color="CCEC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CCEC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CFF"/>
            </w:tcBorders>
          </w:tcPr>
          <w:p>
            <w:pPr>
              <w:spacing w:after="0"/>
              <w:rPr>
                <w:sz w:val="19"/>
                <w:szCs w:val="19"/>
                <w:color w:val="auto"/>
              </w:rPr>
            </w:pPr>
          </w:p>
        </w:tc>
      </w:tr>
      <w:tr>
        <w:trPr>
          <w:trHeight w:val="223"/>
        </w:trPr>
        <w:tc>
          <w:tcPr>
            <w:tcW w:w="4340" w:type="dxa"/>
            <w:vAlign w:val="bottom"/>
            <w:shd w:val="clear" w:color="auto" w:fill="CCECFF"/>
          </w:tcPr>
          <w:p>
            <w:pPr>
              <w:spacing w:after="0"/>
              <w:rPr>
                <w:sz w:val="20"/>
                <w:szCs w:val="20"/>
                <w:color w:val="auto"/>
              </w:rPr>
            </w:pPr>
            <w:r>
              <w:rPr>
                <w:rFonts w:ascii="Arial" w:cs="Arial" w:eastAsia="Arial" w:hAnsi="Arial"/>
                <w:sz w:val="18"/>
                <w:szCs w:val="18"/>
                <w:b w:val="1"/>
                <w:bCs w:val="1"/>
                <w:color w:val="auto"/>
              </w:rPr>
              <w:t>Financial Assets:</w:t>
            </w:r>
          </w:p>
        </w:tc>
        <w:tc>
          <w:tcPr>
            <w:tcW w:w="58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6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94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88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92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r>
      <w:tr>
        <w:trPr>
          <w:trHeight w:val="230"/>
        </w:trPr>
        <w:tc>
          <w:tcPr>
            <w:tcW w:w="434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7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53,254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717"/>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53,254</w:t>
            </w:r>
          </w:p>
        </w:tc>
        <w:tc>
          <w:tcPr>
            <w:tcW w:w="100" w:type="dxa"/>
            <w:vAlign w:val="bottom"/>
          </w:tcPr>
          <w:p>
            <w:pPr>
              <w:spacing w:after="0"/>
              <w:rPr>
                <w:sz w:val="19"/>
                <w:szCs w:val="19"/>
                <w:color w:val="auto"/>
              </w:rPr>
            </w:pPr>
          </w:p>
        </w:tc>
      </w:tr>
      <w:tr>
        <w:trPr>
          <w:trHeight w:val="230"/>
        </w:trPr>
        <w:tc>
          <w:tcPr>
            <w:tcW w:w="4340" w:type="dxa"/>
            <w:vAlign w:val="bottom"/>
            <w:shd w:val="clear" w:color="auto" w:fill="CCECFF"/>
          </w:tcPr>
          <w:p>
            <w:pPr>
              <w:ind w:left="240"/>
              <w:spacing w:after="0"/>
              <w:rPr>
                <w:sz w:val="20"/>
                <w:szCs w:val="20"/>
                <w:color w:val="auto"/>
              </w:rPr>
            </w:pPr>
            <w:r>
              <w:rPr>
                <w:rFonts w:ascii="Arial" w:cs="Arial" w:eastAsia="Arial" w:hAnsi="Arial"/>
                <w:sz w:val="18"/>
                <w:szCs w:val="18"/>
                <w:color w:val="auto"/>
              </w:rPr>
              <w:t>Corporate bonds</w:t>
            </w:r>
          </w:p>
        </w:tc>
        <w:tc>
          <w:tcPr>
            <w:tcW w:w="58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370,445</w:t>
            </w:r>
          </w:p>
        </w:tc>
        <w:tc>
          <w:tcPr>
            <w:tcW w:w="260" w:type="dxa"/>
            <w:vAlign w:val="bottom"/>
            <w:shd w:val="clear" w:color="auto" w:fill="CCECFF"/>
          </w:tcPr>
          <w:p>
            <w:pPr>
              <w:spacing w:after="0"/>
              <w:rPr>
                <w:sz w:val="19"/>
                <w:szCs w:val="19"/>
                <w:color w:val="auto"/>
              </w:rPr>
            </w:pPr>
          </w:p>
        </w:tc>
        <w:tc>
          <w:tcPr>
            <w:tcW w:w="880" w:type="dxa"/>
            <w:vAlign w:val="bottom"/>
            <w:shd w:val="clear" w:color="auto" w:fill="CCECFF"/>
          </w:tcPr>
          <w:p>
            <w:pPr>
              <w:spacing w:after="0"/>
              <w:rPr>
                <w:sz w:val="19"/>
                <w:szCs w:val="19"/>
                <w:color w:val="auto"/>
              </w:rPr>
            </w:pPr>
          </w:p>
        </w:tc>
        <w:tc>
          <w:tcPr>
            <w:tcW w:w="240" w:type="dxa"/>
            <w:vAlign w:val="bottom"/>
            <w:shd w:val="clear" w:color="auto" w:fill="CCECFF"/>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370,445</w:t>
            </w:r>
          </w:p>
        </w:tc>
        <w:tc>
          <w:tcPr>
            <w:tcW w:w="100" w:type="dxa"/>
            <w:vAlign w:val="bottom"/>
            <w:shd w:val="clear" w:color="auto" w:fill="CCECFF"/>
          </w:tcPr>
          <w:p>
            <w:pPr>
              <w:spacing w:after="0"/>
              <w:rPr>
                <w:sz w:val="19"/>
                <w:szCs w:val="19"/>
                <w:color w:val="auto"/>
              </w:rPr>
            </w:pPr>
          </w:p>
        </w:tc>
      </w:tr>
      <w:tr>
        <w:trPr>
          <w:trHeight w:val="230"/>
        </w:trPr>
        <w:tc>
          <w:tcPr>
            <w:tcW w:w="434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13,887</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13,887</w:t>
            </w:r>
          </w:p>
        </w:tc>
        <w:tc>
          <w:tcPr>
            <w:tcW w:w="100" w:type="dxa"/>
            <w:vAlign w:val="bottom"/>
          </w:tcPr>
          <w:p>
            <w:pPr>
              <w:spacing w:after="0"/>
              <w:rPr>
                <w:sz w:val="19"/>
                <w:szCs w:val="19"/>
                <w:color w:val="auto"/>
              </w:rPr>
            </w:pPr>
          </w:p>
        </w:tc>
      </w:tr>
      <w:tr>
        <w:trPr>
          <w:trHeight w:val="230"/>
        </w:trPr>
        <w:tc>
          <w:tcPr>
            <w:tcW w:w="4340" w:type="dxa"/>
            <w:vAlign w:val="bottom"/>
            <w:shd w:val="clear" w:color="auto" w:fill="CCECFF"/>
          </w:tcPr>
          <w:p>
            <w:pPr>
              <w:ind w:left="240"/>
              <w:spacing w:after="0"/>
              <w:rPr>
                <w:sz w:val="20"/>
                <w:szCs w:val="20"/>
                <w:color w:val="auto"/>
              </w:rPr>
            </w:pPr>
            <w:r>
              <w:rPr>
                <w:rFonts w:ascii="Arial" w:cs="Arial" w:eastAsia="Arial" w:hAnsi="Arial"/>
                <w:sz w:val="18"/>
                <w:szCs w:val="18"/>
                <w:color w:val="auto"/>
              </w:rPr>
              <w:t>Asset-backed securities</w:t>
            </w:r>
          </w:p>
        </w:tc>
        <w:tc>
          <w:tcPr>
            <w:tcW w:w="58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29,302</w:t>
            </w:r>
          </w:p>
        </w:tc>
        <w:tc>
          <w:tcPr>
            <w:tcW w:w="260" w:type="dxa"/>
            <w:vAlign w:val="bottom"/>
            <w:shd w:val="clear" w:color="auto" w:fill="CCECFF"/>
          </w:tcPr>
          <w:p>
            <w:pPr>
              <w:spacing w:after="0"/>
              <w:rPr>
                <w:sz w:val="19"/>
                <w:szCs w:val="19"/>
                <w:color w:val="auto"/>
              </w:rPr>
            </w:pPr>
          </w:p>
        </w:tc>
        <w:tc>
          <w:tcPr>
            <w:tcW w:w="880" w:type="dxa"/>
            <w:vAlign w:val="bottom"/>
            <w:shd w:val="clear" w:color="auto" w:fill="CCECFF"/>
          </w:tcPr>
          <w:p>
            <w:pPr>
              <w:spacing w:after="0"/>
              <w:rPr>
                <w:sz w:val="19"/>
                <w:szCs w:val="19"/>
                <w:color w:val="auto"/>
              </w:rPr>
            </w:pPr>
          </w:p>
        </w:tc>
        <w:tc>
          <w:tcPr>
            <w:tcW w:w="240" w:type="dxa"/>
            <w:vAlign w:val="bottom"/>
            <w:shd w:val="clear" w:color="auto" w:fill="CCECFF"/>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29,302</w:t>
            </w:r>
          </w:p>
        </w:tc>
        <w:tc>
          <w:tcPr>
            <w:tcW w:w="100" w:type="dxa"/>
            <w:vAlign w:val="bottom"/>
            <w:shd w:val="clear" w:color="auto" w:fill="CCECFF"/>
          </w:tcPr>
          <w:p>
            <w:pPr>
              <w:spacing w:after="0"/>
              <w:rPr>
                <w:sz w:val="19"/>
                <w:szCs w:val="19"/>
                <w:color w:val="auto"/>
              </w:rPr>
            </w:pPr>
          </w:p>
        </w:tc>
      </w:tr>
      <w:tr>
        <w:trPr>
          <w:trHeight w:val="230"/>
        </w:trPr>
        <w:tc>
          <w:tcPr>
            <w:tcW w:w="4340" w:type="dxa"/>
            <w:vAlign w:val="bottom"/>
            <w:tcBorders>
              <w:bottom w:val="single" w:sz="8" w:color="CCECFF"/>
            </w:tcBorders>
          </w:tcPr>
          <w:p>
            <w:pPr>
              <w:ind w:left="240"/>
              <w:spacing w:after="0"/>
              <w:rPr>
                <w:sz w:val="20"/>
                <w:szCs w:val="20"/>
                <w:color w:val="auto"/>
              </w:rPr>
            </w:pPr>
            <w:r>
              <w:rPr>
                <w:rFonts w:ascii="Arial" w:cs="Arial" w:eastAsia="Arial" w:hAnsi="Arial"/>
                <w:sz w:val="18"/>
                <w:szCs w:val="18"/>
                <w:color w:val="auto"/>
              </w:rPr>
              <w:t>U.S. Government Treasury and agency securities</w:t>
            </w:r>
          </w:p>
        </w:tc>
        <w:tc>
          <w:tcPr>
            <w:tcW w:w="58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C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47,452</w:t>
            </w:r>
          </w:p>
        </w:tc>
        <w:tc>
          <w:tcPr>
            <w:tcW w:w="260" w:type="dxa"/>
            <w:vAlign w:val="bottom"/>
            <w:tcBorders>
              <w:bottom w:val="single" w:sz="8" w:color="CCEC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C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47,452</w:t>
            </w:r>
          </w:p>
        </w:tc>
        <w:tc>
          <w:tcPr>
            <w:tcW w:w="100" w:type="dxa"/>
            <w:vAlign w:val="bottom"/>
            <w:tcBorders>
              <w:bottom w:val="single" w:sz="8" w:color="CCECFF"/>
            </w:tcBorders>
          </w:tcPr>
          <w:p>
            <w:pPr>
              <w:spacing w:after="0"/>
              <w:rPr>
                <w:sz w:val="19"/>
                <w:szCs w:val="19"/>
                <w:color w:val="auto"/>
              </w:rPr>
            </w:pPr>
          </w:p>
        </w:tc>
      </w:tr>
      <w:tr>
        <w:trPr>
          <w:trHeight w:val="223"/>
        </w:trPr>
        <w:tc>
          <w:tcPr>
            <w:tcW w:w="434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Total financial assets</w:t>
            </w:r>
          </w:p>
        </w:tc>
        <w:tc>
          <w:tcPr>
            <w:tcW w:w="580" w:type="dxa"/>
            <w:vAlign w:val="bottom"/>
            <w:tcBorders>
              <w:bottom w:val="single" w:sz="8" w:color="CCECFF"/>
            </w:tcBorders>
            <w:shd w:val="clear" w:color="auto" w:fill="CCECFF"/>
          </w:tcPr>
          <w:p>
            <w:pPr>
              <w:spacing w:after="0"/>
              <w:rPr>
                <w:sz w:val="19"/>
                <w:szCs w:val="19"/>
                <w:color w:val="auto"/>
              </w:rPr>
            </w:pPr>
          </w:p>
        </w:tc>
        <w:tc>
          <w:tcPr>
            <w:tcW w:w="160" w:type="dxa"/>
            <w:vAlign w:val="bottom"/>
            <w:tcBorders>
              <w:bottom w:val="single" w:sz="8" w:color="auto"/>
            </w:tcBorders>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53,254</w:t>
            </w:r>
          </w:p>
        </w:tc>
        <w:tc>
          <w:tcPr>
            <w:tcW w:w="240" w:type="dxa"/>
            <w:vAlign w:val="bottom"/>
            <w:tcBorders>
              <w:bottom w:val="single" w:sz="8" w:color="CCECFF"/>
            </w:tcBorders>
            <w:shd w:val="clear" w:color="auto" w:fill="CCECFF"/>
          </w:tcPr>
          <w:p>
            <w:pPr>
              <w:spacing w:after="0"/>
              <w:rPr>
                <w:sz w:val="19"/>
                <w:szCs w:val="19"/>
                <w:color w:val="auto"/>
              </w:rPr>
            </w:pPr>
          </w:p>
        </w:tc>
        <w:tc>
          <w:tcPr>
            <w:tcW w:w="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461,086</w:t>
            </w:r>
          </w:p>
        </w:tc>
        <w:tc>
          <w:tcPr>
            <w:tcW w:w="260" w:type="dxa"/>
            <w:vAlign w:val="bottom"/>
            <w:tcBorders>
              <w:bottom w:val="single" w:sz="8" w:color="CCECFF"/>
            </w:tcBorders>
            <w:shd w:val="clear" w:color="auto" w:fill="CCECFF"/>
          </w:tcPr>
          <w:p>
            <w:pPr>
              <w:spacing w:after="0"/>
              <w:rPr>
                <w:sz w:val="19"/>
                <w:szCs w:val="19"/>
                <w:color w:val="auto"/>
              </w:rPr>
            </w:pPr>
          </w:p>
        </w:tc>
        <w:tc>
          <w:tcPr>
            <w:tcW w:w="880" w:type="dxa"/>
            <w:vAlign w:val="bottom"/>
            <w:tcBorders>
              <w:bottom w:val="single" w:sz="8" w:color="auto"/>
            </w:tcBorders>
            <w:shd w:val="clear" w:color="auto" w:fill="CCECFF"/>
          </w:tcPr>
          <w:p>
            <w:pPr>
              <w:jc w:val="right"/>
              <w:ind w:right="717"/>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shd w:val="clear" w:color="auto" w:fill="CCECFF"/>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CFF"/>
            </w:tcBorders>
            <w:shd w:val="clear" w:color="auto" w:fill="CCECFF"/>
          </w:tcPr>
          <w:p>
            <w:pPr>
              <w:spacing w:after="0"/>
              <w:rPr>
                <w:sz w:val="19"/>
                <w:szCs w:val="19"/>
                <w:color w:val="auto"/>
              </w:rPr>
            </w:pPr>
          </w:p>
        </w:tc>
        <w:tc>
          <w:tcPr>
            <w:tcW w:w="220" w:type="dxa"/>
            <w:vAlign w:val="bottom"/>
            <w:tcBorders>
              <w:bottom w:val="single" w:sz="8" w:color="auto"/>
            </w:tcBorders>
            <w:shd w:val="clear" w:color="auto" w:fill="CCEC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514,340</w:t>
            </w:r>
          </w:p>
        </w:tc>
        <w:tc>
          <w:tcPr>
            <w:tcW w:w="100" w:type="dxa"/>
            <w:vAlign w:val="bottom"/>
            <w:tcBorders>
              <w:bottom w:val="single" w:sz="8" w:color="CCECFF"/>
            </w:tcBorders>
            <w:shd w:val="clear" w:color="auto" w:fill="CCECFF"/>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ind w:right="8780" w:firstLine="8"/>
        <w:spacing w:after="0" w:line="381" w:lineRule="auto"/>
        <w:tabs>
          <w:tab w:leader="none" w:pos="450"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Balance Sheet Components Cash Equivalents and Investments</w:t>
      </w:r>
    </w:p>
    <w:p>
      <w:pPr>
        <w:spacing w:after="0" w:line="1"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The fair values of cash equivalents, short-term investments, and long-term investments classified as available-for-sale securities, consisted of the following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8"/>
                <w:szCs w:val="18"/>
                <w:b w:val="1"/>
                <w:bCs w:val="1"/>
                <w:color w:val="auto"/>
              </w:rPr>
              <w:t>December 31, 2016</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4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Gross Unrealized</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5"/>
        </w:trPr>
        <w:tc>
          <w:tcPr>
            <w:tcW w:w="58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90"/>
              <w:spacing w:after="0" w:line="205" w:lineRule="exact"/>
              <w:rPr>
                <w:sz w:val="20"/>
                <w:szCs w:val="20"/>
                <w:color w:val="auto"/>
              </w:rPr>
            </w:pPr>
            <w:r>
              <w:rPr>
                <w:rFonts w:ascii="Arial" w:cs="Arial" w:eastAsia="Arial" w:hAnsi="Arial"/>
                <w:sz w:val="18"/>
                <w:szCs w:val="18"/>
                <w:b w:val="1"/>
                <w:bCs w:val="1"/>
                <w:color w:val="auto"/>
                <w:w w:val="95"/>
              </w:rPr>
              <w:t>Amortized</w:t>
            </w: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4"/>
          </w:tcPr>
          <w:p>
            <w:pPr>
              <w:ind w:left="100"/>
              <w:spacing w:after="0" w:line="205" w:lineRule="exact"/>
              <w:rPr>
                <w:sz w:val="20"/>
                <w:szCs w:val="20"/>
                <w:color w:val="auto"/>
              </w:rPr>
            </w:pPr>
            <w:r>
              <w:rPr>
                <w:rFonts w:ascii="Arial" w:cs="Arial" w:eastAsia="Arial" w:hAnsi="Arial"/>
                <w:sz w:val="18"/>
                <w:szCs w:val="18"/>
                <w:b w:val="1"/>
                <w:bCs w:val="1"/>
                <w:color w:val="auto"/>
              </w:rPr>
              <w:t>Estimated Fair</w:t>
            </w:r>
          </w:p>
        </w:tc>
        <w:tc>
          <w:tcPr>
            <w:tcW w:w="58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Gains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3"/>
              </w:rPr>
              <w:t>Losses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Value</w:t>
            </w:r>
          </w:p>
        </w:tc>
        <w:tc>
          <w:tcPr>
            <w:tcW w:w="58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488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Money market funds</w:t>
            </w:r>
          </w:p>
        </w:tc>
        <w:tc>
          <w:tcPr>
            <w:tcW w:w="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123,536</w:t>
            </w:r>
          </w:p>
        </w:tc>
        <w:tc>
          <w:tcPr>
            <w:tcW w:w="240" w:type="dxa"/>
            <w:vAlign w:val="bottom"/>
            <w:tcBorders>
              <w:top w:val="single" w:sz="8" w:color="CCECFF"/>
            </w:tcBorders>
            <w:shd w:val="clear" w:color="auto" w:fill="CCECFF"/>
          </w:tcPr>
          <w:p>
            <w:pPr>
              <w:spacing w:after="0"/>
              <w:rPr>
                <w:sz w:val="19"/>
                <w:szCs w:val="19"/>
                <w:color w:val="auto"/>
              </w:rPr>
            </w:pPr>
          </w:p>
        </w:tc>
        <w:tc>
          <w:tcPr>
            <w:tcW w:w="220" w:type="dxa"/>
            <w:vAlign w:val="bottom"/>
            <w:tcBorders>
              <w:top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CFF"/>
            </w:tcBorders>
            <w:shd w:val="clear" w:color="auto" w:fill="CCECFF"/>
          </w:tcPr>
          <w:p>
            <w:pPr>
              <w:spacing w:after="0"/>
              <w:rPr>
                <w:sz w:val="19"/>
                <w:szCs w:val="19"/>
                <w:color w:val="auto"/>
              </w:rPr>
            </w:pPr>
          </w:p>
        </w:tc>
        <w:tc>
          <w:tcPr>
            <w:tcW w:w="200" w:type="dxa"/>
            <w:vAlign w:val="bottom"/>
            <w:tcBorders>
              <w:top w:val="single" w:sz="8" w:color="auto"/>
            </w:tcBorders>
            <w:shd w:val="clear" w:color="auto" w:fill="CCEC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CFF"/>
            </w:tcBorders>
            <w:shd w:val="clear" w:color="auto" w:fill="CCECFF"/>
          </w:tcPr>
          <w:p>
            <w:pPr>
              <w:spacing w:after="0"/>
              <w:rPr>
                <w:sz w:val="19"/>
                <w:szCs w:val="19"/>
                <w:color w:val="auto"/>
              </w:rPr>
            </w:pPr>
          </w:p>
        </w:tc>
        <w:tc>
          <w:tcPr>
            <w:tcW w:w="100" w:type="dxa"/>
            <w:vAlign w:val="bottom"/>
            <w:tcBorders>
              <w:top w:val="single" w:sz="8" w:color="CCECFF"/>
            </w:tcBorders>
            <w:shd w:val="clear" w:color="auto" w:fill="CCECFF"/>
          </w:tcPr>
          <w:p>
            <w:pPr>
              <w:spacing w:after="0"/>
              <w:rPr>
                <w:sz w:val="19"/>
                <w:szCs w:val="19"/>
                <w:color w:val="auto"/>
              </w:rPr>
            </w:pPr>
          </w:p>
        </w:tc>
        <w:tc>
          <w:tcPr>
            <w:tcW w:w="22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123,536</w:t>
            </w:r>
          </w:p>
        </w:tc>
        <w:tc>
          <w:tcPr>
            <w:tcW w:w="100" w:type="dxa"/>
            <w:vAlign w:val="bottom"/>
            <w:tcBorders>
              <w:top w:val="single" w:sz="8" w:color="CCECFF"/>
            </w:tcBorders>
            <w:shd w:val="clear" w:color="auto" w:fill="CCECFF"/>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Corporate bonds</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207,909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207,726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880" w:type="dxa"/>
            <w:vAlign w:val="bottom"/>
            <w:shd w:val="clear" w:color="auto" w:fill="CCECFF"/>
          </w:tcPr>
          <w:p>
            <w:pPr>
              <w:spacing w:after="0"/>
              <w:rPr>
                <w:sz w:val="20"/>
                <w:szCs w:val="20"/>
                <w:color w:val="auto"/>
              </w:rPr>
            </w:pPr>
            <w:r>
              <w:rPr>
                <w:rFonts w:ascii="Arial" w:cs="Arial" w:eastAsia="Arial" w:hAnsi="Arial"/>
                <w:sz w:val="18"/>
                <w:szCs w:val="18"/>
                <w:color w:val="auto"/>
              </w:rPr>
              <w:t>Commercial paper</w:t>
            </w:r>
          </w:p>
        </w:tc>
        <w:tc>
          <w:tcPr>
            <w:tcW w:w="80" w:type="dxa"/>
            <w:vAlign w:val="bottom"/>
            <w:shd w:val="clear" w:color="auto" w:fill="CCECFF"/>
          </w:tcPr>
          <w:p>
            <w:pPr>
              <w:spacing w:after="0"/>
              <w:rPr>
                <w:sz w:val="19"/>
                <w:szCs w:val="19"/>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11,970</w:t>
            </w:r>
          </w:p>
        </w:tc>
        <w:tc>
          <w:tcPr>
            <w:tcW w:w="24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08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11,970</w:t>
            </w:r>
          </w:p>
        </w:tc>
        <w:tc>
          <w:tcPr>
            <w:tcW w:w="100" w:type="dxa"/>
            <w:vAlign w:val="bottom"/>
            <w:shd w:val="clear" w:color="auto" w:fill="CCECFF"/>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Asset-backed securities</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27,712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27,713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880" w:type="dxa"/>
            <w:vAlign w:val="bottom"/>
            <w:shd w:val="clear" w:color="auto" w:fill="CCECFF"/>
          </w:tcPr>
          <w:p>
            <w:pPr>
              <w:spacing w:after="0"/>
              <w:rPr>
                <w:sz w:val="20"/>
                <w:szCs w:val="20"/>
                <w:color w:val="auto"/>
              </w:rPr>
            </w:pPr>
            <w:r>
              <w:rPr>
                <w:rFonts w:ascii="Arial" w:cs="Arial" w:eastAsia="Arial" w:hAnsi="Arial"/>
                <w:sz w:val="18"/>
                <w:szCs w:val="18"/>
                <w:color w:val="auto"/>
              </w:rPr>
              <w:t>U.S. Government Treasury and agency securities</w:t>
            </w:r>
          </w:p>
        </w:tc>
        <w:tc>
          <w:tcPr>
            <w:tcW w:w="80" w:type="dxa"/>
            <w:vAlign w:val="bottom"/>
            <w:shd w:val="clear" w:color="auto" w:fill="CCECFF"/>
          </w:tcPr>
          <w:p>
            <w:pPr>
              <w:spacing w:after="0"/>
              <w:rPr>
                <w:sz w:val="19"/>
                <w:szCs w:val="19"/>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112,166</w:t>
            </w:r>
          </w:p>
        </w:tc>
        <w:tc>
          <w:tcPr>
            <w:tcW w:w="24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08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111,931</w:t>
            </w:r>
          </w:p>
        </w:tc>
        <w:tc>
          <w:tcPr>
            <w:tcW w:w="100" w:type="dxa"/>
            <w:vAlign w:val="bottom"/>
            <w:shd w:val="clear" w:color="auto" w:fill="CCECFF"/>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460" w:type="dxa"/>
            <w:vAlign w:val="bottom"/>
            <w:gridSpan w:val="2"/>
          </w:tcPr>
          <w:p>
            <w:pPr>
              <w:ind w:left="580"/>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483,293</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482,876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right"/>
              <w:ind w:right="610"/>
              <w:spacing w:after="0"/>
              <w:rPr>
                <w:sz w:val="20"/>
                <w:szCs w:val="20"/>
                <w:color w:val="auto"/>
              </w:rPr>
            </w:pPr>
            <w:r>
              <w:rPr>
                <w:rFonts w:ascii="Arial" w:cs="Arial" w:eastAsia="Arial" w:hAnsi="Arial"/>
                <w:sz w:val="18"/>
                <w:szCs w:val="18"/>
                <w:color w:val="auto"/>
                <w:w w:val="86"/>
              </w:rPr>
              <w:t>F-12</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ind w:left="320"/>
              <w:spacing w:after="0"/>
              <w:rPr>
                <w:sz w:val="20"/>
                <w:szCs w:val="20"/>
                <w:color w:val="auto"/>
              </w:rPr>
            </w:pPr>
            <w:r>
              <w:rPr>
                <w:rFonts w:ascii="Arial" w:cs="Arial" w:eastAsia="Arial" w:hAnsi="Arial"/>
                <w:sz w:val="18"/>
                <w:szCs w:val="18"/>
                <w:b w:val="1"/>
                <w:bCs w:val="1"/>
                <w:color w:val="auto"/>
              </w:rPr>
              <w:t>December 31, 2015</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40" w:type="dxa"/>
            <w:vAlign w:val="bottom"/>
            <w:gridSpan w:val="5"/>
          </w:tcPr>
          <w:p>
            <w:pPr>
              <w:ind w:left="360"/>
              <w:spacing w:after="0"/>
              <w:rPr>
                <w:sz w:val="20"/>
                <w:szCs w:val="20"/>
                <w:color w:val="auto"/>
              </w:rPr>
            </w:pPr>
            <w:r>
              <w:rPr>
                <w:rFonts w:ascii="Arial" w:cs="Arial" w:eastAsia="Arial" w:hAnsi="Arial"/>
                <w:sz w:val="18"/>
                <w:szCs w:val="18"/>
                <w:b w:val="1"/>
                <w:bCs w:val="1"/>
                <w:color w:val="auto"/>
              </w:rPr>
              <w:t>Gross Unrealized</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5"/>
        </w:trPr>
        <w:tc>
          <w:tcPr>
            <w:tcW w:w="4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90"/>
              <w:spacing w:after="0" w:line="205" w:lineRule="exact"/>
              <w:rPr>
                <w:sz w:val="20"/>
                <w:szCs w:val="20"/>
                <w:color w:val="auto"/>
              </w:rPr>
            </w:pPr>
            <w:r>
              <w:rPr>
                <w:rFonts w:ascii="Arial" w:cs="Arial" w:eastAsia="Arial" w:hAnsi="Arial"/>
                <w:sz w:val="18"/>
                <w:szCs w:val="18"/>
                <w:b w:val="1"/>
                <w:bCs w:val="1"/>
                <w:color w:val="auto"/>
                <w:w w:val="93"/>
              </w:rPr>
              <w:t>Amortized</w:t>
            </w: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4"/>
          </w:tcPr>
          <w:p>
            <w:pPr>
              <w:spacing w:after="0" w:line="205" w:lineRule="exact"/>
              <w:rPr>
                <w:sz w:val="20"/>
                <w:szCs w:val="20"/>
                <w:color w:val="auto"/>
              </w:rPr>
            </w:pPr>
            <w:r>
              <w:rPr>
                <w:rFonts w:ascii="Arial" w:cs="Arial" w:eastAsia="Arial" w:hAnsi="Arial"/>
                <w:sz w:val="18"/>
                <w:szCs w:val="18"/>
                <w:b w:val="1"/>
                <w:bCs w:val="1"/>
                <w:color w:val="auto"/>
              </w:rPr>
              <w:t>Estimated Fair</w:t>
            </w:r>
          </w:p>
        </w:tc>
      </w:tr>
      <w:tr>
        <w:trPr>
          <w:trHeight w:val="234"/>
        </w:trPr>
        <w:tc>
          <w:tcPr>
            <w:tcW w:w="4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ind w:left="120"/>
              <w:spacing w:after="0"/>
              <w:rPr>
                <w:sz w:val="20"/>
                <w:szCs w:val="20"/>
                <w:color w:val="auto"/>
              </w:rPr>
            </w:pPr>
            <w:r>
              <w:rPr>
                <w:rFonts w:ascii="Arial" w:cs="Arial" w:eastAsia="Arial" w:hAnsi="Arial"/>
                <w:sz w:val="18"/>
                <w:szCs w:val="18"/>
                <w:b w:val="1"/>
                <w:bCs w:val="1"/>
                <w:color w:val="auto"/>
              </w:rPr>
              <w:t>Gains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3"/>
              </w:rPr>
              <w:t>Losses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Value</w:t>
            </w:r>
          </w:p>
        </w:tc>
      </w:tr>
      <w:tr>
        <w:trPr>
          <w:trHeight w:val="223"/>
        </w:trPr>
        <w:tc>
          <w:tcPr>
            <w:tcW w:w="488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Money market funds</w:t>
            </w:r>
          </w:p>
        </w:tc>
        <w:tc>
          <w:tcPr>
            <w:tcW w:w="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53,254</w:t>
            </w:r>
          </w:p>
        </w:tc>
        <w:tc>
          <w:tcPr>
            <w:tcW w:w="240" w:type="dxa"/>
            <w:vAlign w:val="bottom"/>
            <w:tcBorders>
              <w:top w:val="single" w:sz="8" w:color="CCECFF"/>
            </w:tcBorders>
            <w:shd w:val="clear" w:color="auto" w:fill="CCECFF"/>
          </w:tcPr>
          <w:p>
            <w:pPr>
              <w:spacing w:after="0"/>
              <w:rPr>
                <w:sz w:val="19"/>
                <w:szCs w:val="19"/>
                <w:color w:val="auto"/>
              </w:rPr>
            </w:pPr>
          </w:p>
        </w:tc>
        <w:tc>
          <w:tcPr>
            <w:tcW w:w="220" w:type="dxa"/>
            <w:vAlign w:val="bottom"/>
            <w:tcBorders>
              <w:top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CFF"/>
          </w:tcPr>
          <w:p>
            <w:pPr>
              <w:ind w:left="70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CECFF"/>
            </w:tcBorders>
            <w:shd w:val="clear" w:color="auto" w:fill="CCECFF"/>
          </w:tcPr>
          <w:p>
            <w:pPr>
              <w:spacing w:after="0"/>
              <w:rPr>
                <w:sz w:val="19"/>
                <w:szCs w:val="19"/>
                <w:color w:val="auto"/>
              </w:rPr>
            </w:pPr>
          </w:p>
        </w:tc>
        <w:tc>
          <w:tcPr>
            <w:tcW w:w="200" w:type="dxa"/>
            <w:vAlign w:val="bottom"/>
            <w:tcBorders>
              <w:top w:val="single" w:sz="8" w:color="auto"/>
            </w:tcBorders>
            <w:shd w:val="clear" w:color="auto" w:fill="CCEC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CFF"/>
            </w:tcBorders>
            <w:shd w:val="clear" w:color="auto" w:fill="CCECFF"/>
          </w:tcPr>
          <w:p>
            <w:pPr>
              <w:spacing w:after="0"/>
              <w:rPr>
                <w:sz w:val="19"/>
                <w:szCs w:val="19"/>
                <w:color w:val="auto"/>
              </w:rPr>
            </w:pPr>
          </w:p>
        </w:tc>
        <w:tc>
          <w:tcPr>
            <w:tcW w:w="20" w:type="dxa"/>
            <w:vAlign w:val="bottom"/>
            <w:tcBorders>
              <w:top w:val="single" w:sz="8" w:color="CCECFF"/>
            </w:tcBorders>
            <w:shd w:val="clear" w:color="auto" w:fill="CCECFF"/>
          </w:tcPr>
          <w:p>
            <w:pPr>
              <w:spacing w:after="0"/>
              <w:rPr>
                <w:sz w:val="19"/>
                <w:szCs w:val="19"/>
                <w:color w:val="auto"/>
              </w:rPr>
            </w:pPr>
          </w:p>
        </w:tc>
        <w:tc>
          <w:tcPr>
            <w:tcW w:w="20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53,254</w:t>
            </w:r>
          </w:p>
        </w:tc>
        <w:tc>
          <w:tcPr>
            <w:tcW w:w="100" w:type="dxa"/>
            <w:vAlign w:val="bottom"/>
            <w:tcBorders>
              <w:top w:val="single" w:sz="8" w:color="CCECFF"/>
            </w:tcBorders>
            <w:shd w:val="clear" w:color="auto" w:fill="CCECFF"/>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Corporate bonds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371,098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ind w:left="720"/>
              <w:spacing w:after="0"/>
              <w:rPr>
                <w:sz w:val="20"/>
                <w:szCs w:val="20"/>
                <w:color w:val="auto"/>
              </w:rPr>
            </w:pPr>
            <w:r>
              <w:rPr>
                <w:rFonts w:ascii="Arial" w:cs="Arial" w:eastAsia="Arial" w:hAnsi="Arial"/>
                <w:sz w:val="18"/>
                <w:szCs w:val="18"/>
                <w:color w:val="auto"/>
                <w:w w:val="79"/>
              </w:rPr>
              <w:t>11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(664)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370,445</w:t>
            </w:r>
          </w:p>
        </w:tc>
        <w:tc>
          <w:tcPr>
            <w:tcW w:w="100" w:type="dxa"/>
            <w:vAlign w:val="bottom"/>
          </w:tcPr>
          <w:p>
            <w:pPr>
              <w:spacing w:after="0"/>
              <w:rPr>
                <w:sz w:val="19"/>
                <w:szCs w:val="19"/>
                <w:color w:val="auto"/>
              </w:rPr>
            </w:pPr>
          </w:p>
        </w:tc>
      </w:tr>
      <w:tr>
        <w:trPr>
          <w:trHeight w:val="230"/>
        </w:trPr>
        <w:tc>
          <w:tcPr>
            <w:tcW w:w="4880" w:type="dxa"/>
            <w:vAlign w:val="bottom"/>
            <w:shd w:val="clear" w:color="auto" w:fill="CCECFF"/>
          </w:tcPr>
          <w:p>
            <w:pPr>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CECFF"/>
          </w:tcPr>
          <w:p>
            <w:pPr>
              <w:spacing w:after="0"/>
              <w:rPr>
                <w:sz w:val="19"/>
                <w:szCs w:val="19"/>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13,887</w:t>
            </w:r>
          </w:p>
        </w:tc>
        <w:tc>
          <w:tcPr>
            <w:tcW w:w="24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900" w:type="dxa"/>
            <w:vAlign w:val="bottom"/>
            <w:shd w:val="clear" w:color="auto" w:fill="CCECFF"/>
          </w:tcPr>
          <w:p>
            <w:pPr>
              <w:ind w:left="70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18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13,887</w:t>
            </w:r>
          </w:p>
        </w:tc>
        <w:tc>
          <w:tcPr>
            <w:tcW w:w="100" w:type="dxa"/>
            <w:vAlign w:val="bottom"/>
            <w:shd w:val="clear" w:color="auto" w:fill="CCECFF"/>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Asset-backed securities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29,356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ind w:left="7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29,302</w:t>
            </w:r>
          </w:p>
        </w:tc>
        <w:tc>
          <w:tcPr>
            <w:tcW w:w="100" w:type="dxa"/>
            <w:vAlign w:val="bottom"/>
          </w:tcPr>
          <w:p>
            <w:pPr>
              <w:spacing w:after="0"/>
              <w:rPr>
                <w:sz w:val="19"/>
                <w:szCs w:val="19"/>
                <w:color w:val="auto"/>
              </w:rPr>
            </w:pPr>
          </w:p>
        </w:tc>
      </w:tr>
      <w:tr>
        <w:trPr>
          <w:trHeight w:val="230"/>
        </w:trPr>
        <w:tc>
          <w:tcPr>
            <w:tcW w:w="4880" w:type="dxa"/>
            <w:vAlign w:val="bottom"/>
            <w:shd w:val="clear" w:color="auto" w:fill="CCECFF"/>
          </w:tcPr>
          <w:p>
            <w:pPr>
              <w:spacing w:after="0"/>
              <w:rPr>
                <w:sz w:val="20"/>
                <w:szCs w:val="20"/>
                <w:color w:val="auto"/>
              </w:rPr>
            </w:pPr>
            <w:r>
              <w:rPr>
                <w:rFonts w:ascii="Arial" w:cs="Arial" w:eastAsia="Arial" w:hAnsi="Arial"/>
                <w:sz w:val="18"/>
                <w:szCs w:val="18"/>
                <w:color w:val="auto"/>
              </w:rPr>
              <w:t>U.S. Government Treasury and agency securities</w:t>
            </w:r>
          </w:p>
        </w:tc>
        <w:tc>
          <w:tcPr>
            <w:tcW w:w="100" w:type="dxa"/>
            <w:vAlign w:val="bottom"/>
            <w:shd w:val="clear" w:color="auto" w:fill="CCECFF"/>
          </w:tcPr>
          <w:p>
            <w:pPr>
              <w:spacing w:after="0"/>
              <w:rPr>
                <w:sz w:val="19"/>
                <w:szCs w:val="19"/>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47,613</w:t>
            </w:r>
          </w:p>
        </w:tc>
        <w:tc>
          <w:tcPr>
            <w:tcW w:w="24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900" w:type="dxa"/>
            <w:vAlign w:val="bottom"/>
            <w:shd w:val="clear" w:color="auto" w:fill="CCECFF"/>
          </w:tcPr>
          <w:p>
            <w:pPr>
              <w:ind w:left="70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18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(161)</w:t>
            </w:r>
          </w:p>
        </w:tc>
        <w:tc>
          <w:tcPr>
            <w:tcW w:w="2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47,452</w:t>
            </w:r>
          </w:p>
        </w:tc>
        <w:tc>
          <w:tcPr>
            <w:tcW w:w="100" w:type="dxa"/>
            <w:vAlign w:val="bottom"/>
            <w:shd w:val="clear" w:color="auto" w:fill="CCECFF"/>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515,208</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79"/>
              </w:rPr>
              <w:t>11</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514,340</w:t>
            </w:r>
          </w:p>
        </w:tc>
        <w:tc>
          <w:tcPr>
            <w:tcW w:w="100" w:type="dxa"/>
            <w:vAlign w:val="bottom"/>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At December 31, 2016, the remaining contractual maturities of available-for-sale securities were less than two years. There have been no significant realized gains or losses on available-for-sale securities for the periods presented. All marketable securities with unrealized losses at December 31, 2016 have been in a loss position for less than twelve months or the loss is not material and were temporary in nature. We do not intend to sell the investments that are in an unrealized loss position before recovery of their amortized cost basis.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 net</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97"/>
        </w:trPr>
        <w:tc>
          <w:tcPr>
            <w:tcW w:w="6940" w:type="dxa"/>
            <w:vAlign w:val="bottom"/>
            <w:gridSpan w:val="2"/>
          </w:tcPr>
          <w:p>
            <w:pPr>
              <w:ind w:left="520"/>
              <w:spacing w:after="0"/>
              <w:rPr>
                <w:sz w:val="20"/>
                <w:szCs w:val="20"/>
                <w:color w:val="auto"/>
              </w:rPr>
            </w:pPr>
            <w:r>
              <w:rPr>
                <w:rFonts w:ascii="Arial" w:cs="Arial" w:eastAsia="Arial" w:hAnsi="Arial"/>
                <w:sz w:val="18"/>
                <w:szCs w:val="18"/>
                <w:color w:val="auto"/>
              </w:rPr>
              <w:t>Property and equipment, net consists of the following (in thousands):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1"/>
        </w:trPr>
        <w:tc>
          <w:tcPr>
            <w:tcW w:w="17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1720" w:type="dxa"/>
            <w:vAlign w:val="bottom"/>
          </w:tcPr>
          <w:p>
            <w:pPr>
              <w:spacing w:after="0"/>
              <w:rPr>
                <w:sz w:val="19"/>
                <w:szCs w:val="19"/>
                <w:color w:val="auto"/>
              </w:rPr>
            </w:pPr>
          </w:p>
        </w:tc>
        <w:tc>
          <w:tcPr>
            <w:tcW w:w="5220" w:type="dxa"/>
            <w:vAlign w:val="bottom"/>
            <w:tcBorders>
              <w:bottom w:val="single" w:sz="8" w:color="CCEC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CCECFF"/>
            </w:tcBorders>
          </w:tcPr>
          <w:p>
            <w:pPr>
              <w:spacing w:after="0"/>
              <w:rPr>
                <w:sz w:val="19"/>
                <w:szCs w:val="19"/>
                <w:color w:val="auto"/>
              </w:rPr>
            </w:pPr>
          </w:p>
        </w:tc>
        <w:tc>
          <w:tcPr>
            <w:tcW w:w="80" w:type="dxa"/>
            <w:vAlign w:val="bottom"/>
            <w:tcBorders>
              <w:bottom w:val="single" w:sz="8" w:color="CCEC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2015</w:t>
            </w:r>
          </w:p>
        </w:tc>
        <w:tc>
          <w:tcPr>
            <w:tcW w:w="80" w:type="dxa"/>
            <w:vAlign w:val="bottom"/>
            <w:tcBorders>
              <w:bottom w:val="single" w:sz="8" w:color="CCECFF"/>
            </w:tcBorders>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5220" w:type="dxa"/>
            <w:vAlign w:val="bottom"/>
            <w:shd w:val="clear" w:color="auto" w:fill="CCECFF"/>
          </w:tcPr>
          <w:p>
            <w:pPr>
              <w:spacing w:after="0"/>
              <w:rPr>
                <w:sz w:val="20"/>
                <w:szCs w:val="20"/>
                <w:color w:val="auto"/>
              </w:rPr>
            </w:pPr>
            <w:r>
              <w:rPr>
                <w:rFonts w:ascii="Arial" w:cs="Arial" w:eastAsia="Arial" w:hAnsi="Arial"/>
                <w:sz w:val="18"/>
                <w:szCs w:val="18"/>
                <w:color w:val="auto"/>
              </w:rPr>
              <w:t>Research and development equipment</w:t>
            </w:r>
          </w:p>
        </w:tc>
        <w:tc>
          <w:tcPr>
            <w:tcW w:w="2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2,154</w:t>
            </w:r>
          </w:p>
        </w:tc>
        <w:tc>
          <w:tcPr>
            <w:tcW w:w="16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420" w:type="dxa"/>
            <w:vAlign w:val="bottom"/>
            <w:shd w:val="clear" w:color="auto" w:fill="CCEC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1,302</w:t>
            </w:r>
          </w:p>
        </w:tc>
        <w:tc>
          <w:tcPr>
            <w:tcW w:w="80" w:type="dxa"/>
            <w:vAlign w:val="bottom"/>
            <w:shd w:val="clear" w:color="auto" w:fill="CCECFF"/>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2,595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944</w:t>
            </w:r>
          </w:p>
        </w:tc>
        <w:tc>
          <w:tcPr>
            <w:tcW w:w="8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220" w:type="dxa"/>
            <w:vAlign w:val="bottom"/>
            <w:shd w:val="clear" w:color="auto" w:fill="CCECFF"/>
          </w:tcPr>
          <w:p>
            <w:pPr>
              <w:spacing w:after="0"/>
              <w:rPr>
                <w:sz w:val="20"/>
                <w:szCs w:val="20"/>
                <w:color w:val="auto"/>
              </w:rPr>
            </w:pPr>
            <w:r>
              <w:rPr>
                <w:rFonts w:ascii="Arial" w:cs="Arial" w:eastAsia="Arial" w:hAnsi="Arial"/>
                <w:sz w:val="18"/>
                <w:szCs w:val="18"/>
                <w:color w:val="auto"/>
              </w:rPr>
              <w:t>Computer equipment</w:t>
            </w:r>
          </w:p>
        </w:tc>
        <w:tc>
          <w:tcPr>
            <w:tcW w:w="26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2,013</w:t>
            </w:r>
          </w:p>
        </w:tc>
        <w:tc>
          <w:tcPr>
            <w:tcW w:w="16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420" w:type="dxa"/>
            <w:vAlign w:val="bottom"/>
            <w:shd w:val="clear" w:color="auto" w:fill="CCECFF"/>
          </w:tcPr>
          <w:p>
            <w:pPr>
              <w:spacing w:after="0"/>
              <w:rPr>
                <w:sz w:val="19"/>
                <w:szCs w:val="19"/>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628</w:t>
            </w:r>
          </w:p>
        </w:tc>
        <w:tc>
          <w:tcPr>
            <w:tcW w:w="80" w:type="dxa"/>
            <w:vAlign w:val="bottom"/>
            <w:shd w:val="clear" w:color="auto" w:fill="CCECFF"/>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Software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3,931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1,622</w:t>
            </w:r>
          </w:p>
        </w:tc>
        <w:tc>
          <w:tcPr>
            <w:tcW w:w="8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220" w:type="dxa"/>
            <w:vAlign w:val="bottom"/>
            <w:shd w:val="clear" w:color="auto" w:fill="CCECFF"/>
          </w:tcPr>
          <w:p>
            <w:pPr>
              <w:spacing w:after="0"/>
              <w:rPr>
                <w:sz w:val="20"/>
                <w:szCs w:val="20"/>
                <w:color w:val="auto"/>
              </w:rPr>
            </w:pPr>
            <w:r>
              <w:rPr>
                <w:rFonts w:ascii="Arial" w:cs="Arial" w:eastAsia="Arial" w:hAnsi="Arial"/>
                <w:sz w:val="18"/>
                <w:szCs w:val="18"/>
                <w:color w:val="auto"/>
              </w:rPr>
              <w:t>Leasehold improvements</w:t>
            </w:r>
          </w:p>
        </w:tc>
        <w:tc>
          <w:tcPr>
            <w:tcW w:w="26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12,486</w:t>
            </w:r>
          </w:p>
        </w:tc>
        <w:tc>
          <w:tcPr>
            <w:tcW w:w="16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420" w:type="dxa"/>
            <w:vAlign w:val="bottom"/>
            <w:shd w:val="clear" w:color="auto" w:fill="CCECFF"/>
          </w:tcPr>
          <w:p>
            <w:pPr>
              <w:spacing w:after="0"/>
              <w:rPr>
                <w:sz w:val="19"/>
                <w:szCs w:val="19"/>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3,466</w:t>
            </w:r>
          </w:p>
        </w:tc>
        <w:tc>
          <w:tcPr>
            <w:tcW w:w="80" w:type="dxa"/>
            <w:vAlign w:val="bottom"/>
            <w:shd w:val="clear" w:color="auto" w:fill="CCECFF"/>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220" w:type="dxa"/>
            <w:vAlign w:val="bottom"/>
            <w:tcBorders>
              <w:bottom w:val="single" w:sz="8" w:color="CCECFF"/>
            </w:tcBorders>
          </w:tcPr>
          <w:p>
            <w:pPr>
              <w:spacing w:after="0"/>
              <w:rPr>
                <w:sz w:val="20"/>
                <w:szCs w:val="20"/>
                <w:color w:val="auto"/>
              </w:rPr>
            </w:pPr>
            <w:r>
              <w:rPr>
                <w:rFonts w:ascii="Arial" w:cs="Arial" w:eastAsia="Arial" w:hAnsi="Arial"/>
                <w:sz w:val="18"/>
                <w:szCs w:val="18"/>
                <w:color w:val="auto"/>
              </w:rPr>
              <w:t>Construction-in-progress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60" w:type="dxa"/>
            <w:vAlign w:val="bottom"/>
            <w:tcBorders>
              <w:bottom w:val="single" w:sz="8" w:color="CCECFF"/>
            </w:tcBorders>
          </w:tcPr>
          <w:p>
            <w:pPr>
              <w:spacing w:after="0"/>
              <w:rPr>
                <w:sz w:val="19"/>
                <w:szCs w:val="19"/>
                <w:color w:val="auto"/>
              </w:rPr>
            </w:pPr>
          </w:p>
        </w:tc>
        <w:tc>
          <w:tcPr>
            <w:tcW w:w="80" w:type="dxa"/>
            <w:vAlign w:val="bottom"/>
            <w:tcBorders>
              <w:bottom w:val="single" w:sz="8" w:color="CCEC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2,276</w:t>
            </w:r>
          </w:p>
        </w:tc>
        <w:tc>
          <w:tcPr>
            <w:tcW w:w="80" w:type="dxa"/>
            <w:vAlign w:val="bottom"/>
            <w:tcBorders>
              <w:bottom w:val="single" w:sz="8" w:color="CCECFF"/>
            </w:tcBorders>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5220" w:type="dxa"/>
            <w:vAlign w:val="bottom"/>
            <w:shd w:val="clear" w:color="auto" w:fill="CCECFF"/>
          </w:tcPr>
          <w:p>
            <w:pPr>
              <w:spacing w:after="0"/>
              <w:rPr>
                <w:sz w:val="20"/>
                <w:szCs w:val="20"/>
                <w:color w:val="auto"/>
              </w:rPr>
            </w:pPr>
            <w:r>
              <w:rPr>
                <w:rFonts w:ascii="Arial" w:cs="Arial" w:eastAsia="Arial" w:hAnsi="Arial"/>
                <w:sz w:val="18"/>
                <w:szCs w:val="18"/>
                <w:color w:val="auto"/>
              </w:rPr>
              <w:t>Property and equipment, gross</w:t>
            </w:r>
          </w:p>
        </w:tc>
        <w:tc>
          <w:tcPr>
            <w:tcW w:w="26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23,216</w:t>
            </w:r>
          </w:p>
        </w:tc>
        <w:tc>
          <w:tcPr>
            <w:tcW w:w="16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420" w:type="dxa"/>
            <w:vAlign w:val="bottom"/>
            <w:shd w:val="clear" w:color="auto" w:fill="CCECFF"/>
          </w:tcPr>
          <w:p>
            <w:pPr>
              <w:spacing w:after="0"/>
              <w:rPr>
                <w:sz w:val="19"/>
                <w:szCs w:val="19"/>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10,238</w:t>
            </w:r>
          </w:p>
        </w:tc>
        <w:tc>
          <w:tcPr>
            <w:tcW w:w="80" w:type="dxa"/>
            <w:vAlign w:val="bottom"/>
            <w:shd w:val="clear" w:color="auto" w:fill="CCECFF"/>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(6,161)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(2,865)</w:t>
            </w:r>
          </w:p>
        </w:tc>
      </w:tr>
      <w:tr>
        <w:trPr>
          <w:trHeight w:val="223"/>
        </w:trPr>
        <w:tc>
          <w:tcPr>
            <w:tcW w:w="1720" w:type="dxa"/>
            <w:vAlign w:val="bottom"/>
          </w:tcPr>
          <w:p>
            <w:pPr>
              <w:spacing w:after="0"/>
              <w:rPr>
                <w:sz w:val="19"/>
                <w:szCs w:val="19"/>
                <w:color w:val="auto"/>
              </w:rPr>
            </w:pPr>
          </w:p>
        </w:tc>
        <w:tc>
          <w:tcPr>
            <w:tcW w:w="5220" w:type="dxa"/>
            <w:vAlign w:val="bottom"/>
            <w:tcBorders>
              <w:top w:val="single" w:sz="8" w:color="CCECFF"/>
              <w:bottom w:val="single" w:sz="8" w:color="CCECFF"/>
            </w:tcBorders>
            <w:shd w:val="clear" w:color="auto" w:fill="CCECFF"/>
          </w:tcPr>
          <w:p>
            <w:pPr>
              <w:ind w:left="24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top w:val="single" w:sz="8" w:color="auto"/>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17,055</w:t>
            </w:r>
          </w:p>
        </w:tc>
        <w:tc>
          <w:tcPr>
            <w:tcW w:w="160" w:type="dxa"/>
            <w:vAlign w:val="bottom"/>
            <w:tcBorders>
              <w:top w:val="single" w:sz="8" w:color="CCECFF"/>
              <w:bottom w:val="single" w:sz="8" w:color="CCECFF"/>
            </w:tcBorders>
            <w:shd w:val="clear" w:color="auto" w:fill="CCECFF"/>
          </w:tcPr>
          <w:p>
            <w:pPr>
              <w:spacing w:after="0"/>
              <w:rPr>
                <w:sz w:val="19"/>
                <w:szCs w:val="19"/>
                <w:color w:val="auto"/>
              </w:rPr>
            </w:pPr>
          </w:p>
        </w:tc>
        <w:tc>
          <w:tcPr>
            <w:tcW w:w="80" w:type="dxa"/>
            <w:vAlign w:val="bottom"/>
            <w:tcBorders>
              <w:top w:val="single" w:sz="8" w:color="CCECFF"/>
              <w:bottom w:val="single" w:sz="8" w:color="CCECFF"/>
            </w:tcBorders>
            <w:shd w:val="clear" w:color="auto" w:fill="CCECFF"/>
          </w:tcPr>
          <w:p>
            <w:pPr>
              <w:spacing w:after="0"/>
              <w:rPr>
                <w:sz w:val="19"/>
                <w:szCs w:val="19"/>
                <w:color w:val="auto"/>
              </w:rPr>
            </w:pPr>
          </w:p>
        </w:tc>
        <w:tc>
          <w:tcPr>
            <w:tcW w:w="420" w:type="dxa"/>
            <w:vAlign w:val="bottom"/>
            <w:tcBorders>
              <w:top w:val="single" w:sz="8" w:color="auto"/>
              <w:bottom w:val="single" w:sz="8" w:color="auto"/>
            </w:tcBorders>
            <w:shd w:val="clear" w:color="auto" w:fill="CCEC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7,373</w:t>
            </w:r>
          </w:p>
        </w:tc>
        <w:tc>
          <w:tcPr>
            <w:tcW w:w="80" w:type="dxa"/>
            <w:vAlign w:val="bottom"/>
            <w:tcBorders>
              <w:top w:val="single" w:sz="8" w:color="CCECFF"/>
              <w:bottom w:val="single" w:sz="8" w:color="CCECFF"/>
            </w:tcBorders>
            <w:shd w:val="clear" w:color="auto" w:fill="CCECFF"/>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6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Depreciation expense for the years ended December 31, 2016, 2015 and 2014 was $3.4 million, $1.4 million and $0.7 million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leasehold improvements and software is included in depreciation expense.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Accrued Liabilities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84"/>
        </w:trPr>
        <w:tc>
          <w:tcPr>
            <w:tcW w:w="6960" w:type="dxa"/>
            <w:vAlign w:val="bottom"/>
            <w:gridSpan w:val="2"/>
          </w:tcPr>
          <w:p>
            <w:pPr>
              <w:ind w:left="520"/>
              <w:spacing w:after="0"/>
              <w:rPr>
                <w:sz w:val="20"/>
                <w:szCs w:val="20"/>
                <w:color w:val="auto"/>
              </w:rPr>
            </w:pPr>
            <w:r>
              <w:rPr>
                <w:rFonts w:ascii="Arial" w:cs="Arial" w:eastAsia="Arial" w:hAnsi="Arial"/>
                <w:sz w:val="18"/>
                <w:szCs w:val="18"/>
                <w:color w:val="auto"/>
              </w:rPr>
              <w:t>Accrued liabilities consist of the following (in thousands):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1"/>
        </w:trPr>
        <w:tc>
          <w:tcPr>
            <w:tcW w:w="17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1720" w:type="dxa"/>
            <w:vAlign w:val="bottom"/>
          </w:tcPr>
          <w:p>
            <w:pPr>
              <w:spacing w:after="0"/>
              <w:rPr>
                <w:sz w:val="19"/>
                <w:szCs w:val="19"/>
                <w:color w:val="auto"/>
              </w:rPr>
            </w:pPr>
          </w:p>
        </w:tc>
        <w:tc>
          <w:tcPr>
            <w:tcW w:w="5240" w:type="dxa"/>
            <w:vAlign w:val="bottom"/>
            <w:tcBorders>
              <w:bottom w:val="single" w:sz="8" w:color="CCEC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C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2015</w:t>
            </w:r>
          </w:p>
        </w:tc>
        <w:tc>
          <w:tcPr>
            <w:tcW w:w="80" w:type="dxa"/>
            <w:vAlign w:val="bottom"/>
            <w:tcBorders>
              <w:bottom w:val="single" w:sz="8" w:color="CCECFF"/>
            </w:tcBorders>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5240" w:type="dxa"/>
            <w:vAlign w:val="bottom"/>
            <w:shd w:val="clear" w:color="auto" w:fill="CCECFF"/>
          </w:tcPr>
          <w:p>
            <w:pPr>
              <w:spacing w:after="0"/>
              <w:rPr>
                <w:sz w:val="20"/>
                <w:szCs w:val="20"/>
                <w:color w:val="auto"/>
              </w:rPr>
            </w:pPr>
            <w:r>
              <w:rPr>
                <w:rFonts w:ascii="Arial" w:cs="Arial" w:eastAsia="Arial" w:hAnsi="Arial"/>
                <w:sz w:val="18"/>
                <w:szCs w:val="18"/>
                <w:color w:val="auto"/>
              </w:rPr>
              <w:t>Research and clinical study expenses</w:t>
            </w:r>
          </w:p>
        </w:tc>
        <w:tc>
          <w:tcPr>
            <w:tcW w:w="2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18,593</w:t>
            </w:r>
          </w:p>
        </w:tc>
        <w:tc>
          <w:tcPr>
            <w:tcW w:w="220" w:type="dxa"/>
            <w:vAlign w:val="bottom"/>
            <w:shd w:val="clear" w:color="auto" w:fill="CCECFF"/>
          </w:tcPr>
          <w:p>
            <w:pPr>
              <w:spacing w:after="0"/>
              <w:rPr>
                <w:sz w:val="19"/>
                <w:szCs w:val="19"/>
                <w:color w:val="auto"/>
              </w:rPr>
            </w:pPr>
          </w:p>
        </w:tc>
        <w:tc>
          <w:tcPr>
            <w:tcW w:w="420" w:type="dxa"/>
            <w:vAlign w:val="bottom"/>
            <w:shd w:val="clear" w:color="auto" w:fill="CCEC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9,764</w:t>
            </w:r>
          </w:p>
        </w:tc>
        <w:tc>
          <w:tcPr>
            <w:tcW w:w="80" w:type="dxa"/>
            <w:vAlign w:val="bottom"/>
            <w:shd w:val="clear" w:color="auto" w:fill="CCECFF"/>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Payroll and related expenses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17,226</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9,423</w:t>
            </w:r>
          </w:p>
        </w:tc>
        <w:tc>
          <w:tcPr>
            <w:tcW w:w="8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240" w:type="dxa"/>
            <w:vAlign w:val="bottom"/>
            <w:shd w:val="clear" w:color="auto" w:fill="CCECFF"/>
          </w:tcPr>
          <w:p>
            <w:pPr>
              <w:spacing w:after="0"/>
              <w:rPr>
                <w:sz w:val="20"/>
                <w:szCs w:val="20"/>
                <w:color w:val="auto"/>
              </w:rPr>
            </w:pPr>
            <w:r>
              <w:rPr>
                <w:rFonts w:ascii="Arial" w:cs="Arial" w:eastAsia="Arial" w:hAnsi="Arial"/>
                <w:sz w:val="18"/>
                <w:szCs w:val="18"/>
                <w:color w:val="auto"/>
              </w:rPr>
              <w:t>Repayment liability under collaboration agreement</w:t>
            </w:r>
          </w:p>
        </w:tc>
        <w:tc>
          <w:tcPr>
            <w:tcW w:w="26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13,650</w:t>
            </w:r>
          </w:p>
        </w:tc>
        <w:tc>
          <w:tcPr>
            <w:tcW w:w="220" w:type="dxa"/>
            <w:vAlign w:val="bottom"/>
            <w:shd w:val="clear" w:color="auto" w:fill="CCECFF"/>
          </w:tcPr>
          <w:p>
            <w:pPr>
              <w:spacing w:after="0"/>
              <w:rPr>
                <w:sz w:val="19"/>
                <w:szCs w:val="19"/>
                <w:color w:val="auto"/>
              </w:rPr>
            </w:pPr>
          </w:p>
        </w:tc>
        <w:tc>
          <w:tcPr>
            <w:tcW w:w="420" w:type="dxa"/>
            <w:vAlign w:val="bottom"/>
            <w:shd w:val="clear" w:color="auto" w:fill="CCECFF"/>
          </w:tcPr>
          <w:p>
            <w:pPr>
              <w:spacing w:after="0"/>
              <w:rPr>
                <w:sz w:val="19"/>
                <w:szCs w:val="19"/>
                <w:color w:val="auto"/>
              </w:rPr>
            </w:pPr>
          </w:p>
        </w:tc>
        <w:tc>
          <w:tcPr>
            <w:tcW w:w="880" w:type="dxa"/>
            <w:vAlign w:val="bottom"/>
            <w:gridSpan w:val="2"/>
            <w:shd w:val="clear" w:color="auto" w:fill="CCEC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1720" w:type="dxa"/>
            <w:vAlign w:val="bottom"/>
          </w:tcPr>
          <w:p>
            <w:pPr>
              <w:spacing w:after="0"/>
              <w:rPr>
                <w:sz w:val="19"/>
                <w:szCs w:val="19"/>
                <w:color w:val="auto"/>
              </w:rPr>
            </w:pPr>
          </w:p>
        </w:tc>
        <w:tc>
          <w:tcPr>
            <w:tcW w:w="5240" w:type="dxa"/>
            <w:vAlign w:val="bottom"/>
            <w:tcBorders>
              <w:bottom w:val="single" w:sz="8" w:color="CCECFF"/>
            </w:tcBorders>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5,085</w:t>
            </w:r>
          </w:p>
        </w:tc>
        <w:tc>
          <w:tcPr>
            <w:tcW w:w="220" w:type="dxa"/>
            <w:vAlign w:val="bottom"/>
            <w:tcBorders>
              <w:bottom w:val="single" w:sz="8" w:color="CCEC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5,597</w:t>
            </w:r>
          </w:p>
        </w:tc>
        <w:tc>
          <w:tcPr>
            <w:tcW w:w="80" w:type="dxa"/>
            <w:vAlign w:val="bottom"/>
            <w:tcBorders>
              <w:bottom w:val="single" w:sz="8" w:color="CCECFF"/>
            </w:tcBorders>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5240" w:type="dxa"/>
            <w:vAlign w:val="bottom"/>
            <w:tcBorders>
              <w:bottom w:val="single" w:sz="8" w:color="CCECFF"/>
            </w:tcBorders>
            <w:shd w:val="clear" w:color="auto" w:fill="CCECFF"/>
          </w:tcPr>
          <w:p>
            <w:pPr>
              <w:ind w:left="240"/>
              <w:spacing w:after="0"/>
              <w:rPr>
                <w:sz w:val="20"/>
                <w:szCs w:val="20"/>
                <w:color w:val="auto"/>
              </w:rPr>
            </w:pPr>
            <w:r>
              <w:rPr>
                <w:rFonts w:ascii="Arial" w:cs="Arial" w:eastAsia="Arial" w:hAnsi="Arial"/>
                <w:sz w:val="18"/>
                <w:szCs w:val="18"/>
                <w:color w:val="auto"/>
              </w:rPr>
              <w:t>Total accrued liabilities</w:t>
            </w:r>
          </w:p>
        </w:tc>
        <w:tc>
          <w:tcPr>
            <w:tcW w:w="260" w:type="dxa"/>
            <w:vAlign w:val="bottom"/>
            <w:tcBorders>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54,554</w:t>
            </w:r>
          </w:p>
        </w:tc>
        <w:tc>
          <w:tcPr>
            <w:tcW w:w="220" w:type="dxa"/>
            <w:vAlign w:val="bottom"/>
            <w:tcBorders>
              <w:bottom w:val="single" w:sz="8" w:color="CCECFF"/>
            </w:tcBorders>
            <w:shd w:val="clear" w:color="auto" w:fill="CCECFF"/>
          </w:tcPr>
          <w:p>
            <w:pPr>
              <w:spacing w:after="0"/>
              <w:rPr>
                <w:sz w:val="19"/>
                <w:szCs w:val="19"/>
                <w:color w:val="auto"/>
              </w:rPr>
            </w:pPr>
          </w:p>
        </w:tc>
        <w:tc>
          <w:tcPr>
            <w:tcW w:w="420" w:type="dxa"/>
            <w:vAlign w:val="bottom"/>
            <w:tcBorders>
              <w:bottom w:val="single" w:sz="8" w:color="auto"/>
            </w:tcBorders>
            <w:shd w:val="clear" w:color="auto" w:fill="CCEC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24,784</w:t>
            </w:r>
          </w:p>
        </w:tc>
        <w:tc>
          <w:tcPr>
            <w:tcW w:w="80" w:type="dxa"/>
            <w:vAlign w:val="bottom"/>
            <w:tcBorders>
              <w:bottom w:val="single" w:sz="8" w:color="CCECFF"/>
            </w:tcBorders>
            <w:shd w:val="clear" w:color="auto" w:fill="CCECFF"/>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2" w:lineRule="exact"/>
        <w:rPr>
          <w:sz w:val="20"/>
          <w:szCs w:val="20"/>
          <w:color w:val="auto"/>
        </w:rPr>
      </w:pPr>
    </w:p>
    <w:p>
      <w:pPr>
        <w:ind w:right="8380" w:firstLine="8"/>
        <w:spacing w:after="0" w:line="406" w:lineRule="auto"/>
        <w:tabs>
          <w:tab w:leader="none" w:pos="405" w:val="left"/>
        </w:tabs>
        <w:numPr>
          <w:ilvl w:val="0"/>
          <w:numId w:val="45"/>
        </w:numPr>
        <w:rPr>
          <w:rFonts w:ascii="Arial" w:cs="Arial" w:eastAsia="Arial" w:hAnsi="Arial"/>
          <w:sz w:val="15"/>
          <w:szCs w:val="15"/>
          <w:b w:val="1"/>
          <w:bCs w:val="1"/>
          <w:color w:val="auto"/>
        </w:rPr>
      </w:pPr>
      <w:r>
        <w:rPr>
          <w:rFonts w:ascii="Arial" w:cs="Arial" w:eastAsia="Arial" w:hAnsi="Arial"/>
          <w:sz w:val="15"/>
          <w:szCs w:val="15"/>
          <w:b w:val="1"/>
          <w:bCs w:val="1"/>
          <w:color w:val="auto"/>
        </w:rPr>
        <w:t>License and Research Agreements Nobelpharma License Agreement</w:t>
      </w:r>
    </w:p>
    <w:p>
      <w:pPr>
        <w:spacing w:after="0" w:line="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In September 2010, the Company entered into a collaboration and license agreement with Nobelpharma Co., Ltd. (Nobelpharma), which was amended in August 2015. Under the terms of this collaboration and license agreement, each party granted the other party a worldwide exclusive license under certain of that party’s intellectual property related to the compound identified as N-acetylneuraminic acid, also known as sialic acid, to develop, manufacture, and commercialize products. Nobelpharma’s licensed territory includes Japan and certain other Asian countries, and the Company’s licensed territory includes the rest of the world.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3" w:lineRule="exact"/>
        <w:rPr>
          <w:sz w:val="20"/>
          <w:szCs w:val="20"/>
          <w:color w:val="auto"/>
        </w:rPr>
      </w:pPr>
    </w:p>
    <w:p>
      <w:pPr>
        <w:ind w:right="280" w:firstLine="518"/>
        <w:spacing w:after="0" w:line="257" w:lineRule="auto"/>
        <w:rPr>
          <w:sz w:val="20"/>
          <w:szCs w:val="20"/>
          <w:color w:val="auto"/>
        </w:rPr>
      </w:pPr>
      <w:r>
        <w:rPr>
          <w:rFonts w:ascii="Arial" w:cs="Arial" w:eastAsia="Arial" w:hAnsi="Arial"/>
          <w:sz w:val="18"/>
          <w:szCs w:val="18"/>
          <w:color w:val="auto"/>
        </w:rPr>
        <w:t>The Company is required to make certain payments to Nobelpharma based upon achievement of certain development and approval milestones. The Company may make future payments that aggregate up to 200 million Yen (approximately $1.7 million based on the exchange rate at December 31, 2016) that are contingent upon attainment of various development and approval milestones. The Company will pay a mid-single digit royalty on net sales in the Company’s territory and will receive a mid-single digit royalty on net sales in the Nobelpharma territory, excluding Japan, if such product sales are ever achieved.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Saint Louis University License Agreement</w:t>
      </w:r>
    </w:p>
    <w:p>
      <w:pPr>
        <w:spacing w:after="0" w:line="8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In November 2010, the Company entered into a license agreement with Saint Louis University (SLU). Under the terms of this license agreement, SLU granted the Company an exclusive worldwide license to make, have made, use, import, offer for sale, and sell therapeutics related to SLU’s beta-glucuronidase product for use in the treatment of human diseases.</w:t>
      </w:r>
    </w:p>
    <w:p>
      <w:pPr>
        <w:spacing w:after="0" w:line="33"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The Company will be required to make a milestone payment of $0.1 million upon approval of a glucuronidase-based enzyme therapy for treatment of MPS 7. Additionally, upon reaching a certain level of cumulative worldwide sales of the product, the Company will be required to pay to SLU a low single-digit royalty on net sales of the licensed products in any country or region, if such product sales are ever achieved.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Alcami Corporation License Agreement</w:t>
      </w:r>
    </w:p>
    <w:p>
      <w:pPr>
        <w:spacing w:after="0" w:line="81"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In March 2011, the Company entered into a license agreement with Alcami Corporation (Alcami). Under the terms of this license agreement, Alcami granted the Company a fully paid-up, royalty-free, exclusive, perpetual, and irrevocable license to research, develop, make, have made, use, import, offer for sale, and sell products incorporating Alcami’s controlled release matrix solid dose oral tablet. Under the license agreement, the Company will pay a mid-single digit percentage of any sublicense revenue received by Ultragenyx related to the sublicense of Alcami technology that had been initially licensed by Ultragenyx.</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HIBM Research Group</w:t>
      </w:r>
    </w:p>
    <w:p>
      <w:pPr>
        <w:spacing w:after="0" w:line="94"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In April 2012, the Company entered into an exclusive license agreement with HIBM Research Group (HRG). Under the terms of this license agreement, HRG granted the Company an exclusive worldwide license to certain intellectual property related to the treatment of HIBM. The Company may make future payments that aggregate up to $0.3 million that are contingent upon attainment of various development and approval milestones. Additionally, the Company will pay to HRG a royalty of less than 1% of net sales of the licensed products in the licensed territories, if such product sales are ever achieved.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 Jude Children’s Research Hospital License Agreement</w:t>
      </w:r>
    </w:p>
    <w:p>
      <w:pPr>
        <w:spacing w:after="0" w:line="81"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In September 2012, the Company entered into a license agreement with St. Jude Children’s Research Hospital (St. Jude). Under the terms of this license agreement, St. Jude granted the Company an exclusive license under certain know-how to research, develop, make, use, offer to sell, import, and otherwise commercialize and exploit St. Jude’s protective protein, cathepsin, a protein product to treat, prevent, and/or diagnose galactosialidosis and other monogenetic diseases.</w:t>
      </w:r>
    </w:p>
    <w:p>
      <w:pPr>
        <w:spacing w:after="0" w:line="52"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The Company will pay to St. Jude a royalty of less than 1% on net sales of the licensed products in the licensed territories, if such product sales are ever achieved.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Baylor Research Institute License Agreement</w:t>
      </w:r>
    </w:p>
    <w:p>
      <w:pPr>
        <w:spacing w:after="0" w:line="8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September 2012, the Company entered into a license agreement with Baylor Research Institute (BRI). Under the terms of this license agreement, BRI exclusively licensed to the Company certain intellectual property related to triheptanoin for North America. In June 2013, the Company notified BRI that it was exercising its option pursuant to the agreement to license the rights to triheptanoin in all territories outside of the United States, Canada and Mexico and paid the option exercise fee of $0.8 million.</w:t>
      </w:r>
    </w:p>
    <w:p>
      <w:pPr>
        <w:spacing w:after="0" w:line="52" w:lineRule="exact"/>
        <w:rPr>
          <w:sz w:val="20"/>
          <w:szCs w:val="20"/>
          <w:color w:val="auto"/>
        </w:rPr>
      </w:pPr>
    </w:p>
    <w:p>
      <w:pPr>
        <w:jc w:val="both"/>
        <w:ind w:right="420" w:firstLine="518"/>
        <w:spacing w:after="0" w:line="264" w:lineRule="auto"/>
        <w:rPr>
          <w:sz w:val="20"/>
          <w:szCs w:val="20"/>
          <w:color w:val="auto"/>
        </w:rPr>
      </w:pPr>
      <w:r>
        <w:rPr>
          <w:rFonts w:ascii="Arial" w:cs="Arial" w:eastAsia="Arial" w:hAnsi="Arial"/>
          <w:sz w:val="18"/>
          <w:szCs w:val="18"/>
          <w:color w:val="auto"/>
        </w:rPr>
        <w:t>The Company may make future payments of up to $10.5 million contingent upon attainment of various development milestones and $7.5 million contingent upon attainment of various sales milestones. Additionally, the Company will pay to BRI a mid-single digit royalty on net sales of the licensed product in the licensed territories, if such product sales are ever achieved.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Kyowa Hakko Kirin Collaboration and License Agreement</w:t>
      </w:r>
    </w:p>
    <w:p>
      <w:pPr>
        <w:spacing w:after="0" w:line="94"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In August 2013, the Company entered into a collaboration and license agreement with Kyowa Hakko Kirin Co., Ltd. (KHK). Under the terms of this collaboration and license agreement, as amended, the Company and KHK will collaborate on the development and commercialization of certain products containing KRN23 in the field of orphan diseases in the United States and Canada, or the profit share territory, and in the European Union, Switzerland, and Turkey, or the European territory, and the Company will have the right to develop and commercialize such products in the field of orphan diseases in Mexico and Central and South America, or Latin America. In the field of orphan diseases, and except for ongoing studies being conducted by KHK, the Company will be the lead party for development activities in the profit share territory and in the European territory until the applicable transition date; the Company will also be the lead party for core development activities conducted in Japan and Korea, for which the core development plan is limited to clinical trials mutually agreed to by the Company and KHK. The Company will share the costs for development activities in the profit share territory and the European territory conducted pursuant to the development plan before the applicable transition date equally with KHK, and KHK shall be responsible for 100% of the costs for development activities in Japan and Korea. On the applicable transition date in the profit share territory and the European territory, KHK will become the lead party and be responsible for the costs of the development activities. However, the Company will continue to share the costs of the studies commenced prior to the applicable transition date equally with KHK. The Company has the primary responsibility for conducting certain research and development services. The Company is obligated to provide assistance in accordance with the agreed upon development plan as well as participate on various committees. If KRN23 is approved, the Company and KHK will share commercial responsibilities and profits in the profit share territory until the applicable transition date, KHK will commercialize KRN23 in the European territory, and the Company will develop and commercialize KRN23 in Latin America.</w:t>
      </w:r>
    </w:p>
    <w:p>
      <w:pPr>
        <w:spacing w:after="0" w:line="20"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KHK will manufacture and supply KRN23 for clinical use globally and will manufacture and supply KRN23 for commercial use in the profit share territory and Latin America. The remaining profit or loss from commercializing products in the profit-share territory, until the applicable transition date, will be shared between the Company and KHK on a 50/50 basis. Thereafter, the Company will be entitled to receive a tiered double-digit revenue share in the mid-to-high 20% range in the profit share territory, intended to approximate the profit share. The Company will also be entitled to receive a royalty of up to 10% on net sales in the European territory. In Latin America, the Company will pay to KHK a low single-digit royalty on net sales.</w:t>
      </w:r>
    </w:p>
    <w:p>
      <w:pPr>
        <w:spacing w:after="0" w:line="24"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 xml:space="preserve">The Company is accounting for the agreement as a collaboration arrangement as defined in ASC 808, </w:t>
      </w:r>
      <w:r>
        <w:rPr>
          <w:rFonts w:ascii="Arial" w:cs="Arial" w:eastAsia="Arial" w:hAnsi="Arial"/>
          <w:sz w:val="18"/>
          <w:szCs w:val="18"/>
          <w:i w:val="1"/>
          <w:iCs w:val="1"/>
          <w:color w:val="auto"/>
        </w:rPr>
        <w:t>Collaborative Agreements.</w:t>
      </w:r>
      <w:r>
        <w:rPr>
          <w:rFonts w:ascii="Arial" w:cs="Arial" w:eastAsia="Arial" w:hAnsi="Arial"/>
          <w:sz w:val="18"/>
          <w:szCs w:val="18"/>
          <w:color w:val="auto"/>
        </w:rPr>
        <w:t xml:space="preserve"> The Company’s expenses were reduced by $26.8 million and $10.8 million for the years ended December 31, 2016 and 2015, respectively, for its share of the costs as research and development. As of December 31, 2016 and 2015, the Company had receivables in the amount of $8.6 million and $3.8 million, respectively, for this collaboration arrangement.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Arcturus Research Collaboration and License Agreement</w:t>
      </w:r>
    </w:p>
    <w:p>
      <w:pPr>
        <w:spacing w:after="0" w:line="81" w:lineRule="exact"/>
        <w:rPr>
          <w:sz w:val="20"/>
          <w:szCs w:val="20"/>
          <w:color w:val="auto"/>
        </w:rPr>
      </w:pPr>
    </w:p>
    <w:p>
      <w:pPr>
        <w:ind w:right="540" w:firstLine="518"/>
        <w:spacing w:after="0" w:line="302" w:lineRule="auto"/>
        <w:rPr>
          <w:sz w:val="20"/>
          <w:szCs w:val="20"/>
          <w:color w:val="auto"/>
        </w:rPr>
      </w:pPr>
      <w:r>
        <w:rPr>
          <w:rFonts w:ascii="Arial" w:cs="Arial" w:eastAsia="Arial" w:hAnsi="Arial"/>
          <w:sz w:val="16"/>
          <w:szCs w:val="16"/>
          <w:color w:val="auto"/>
        </w:rPr>
        <w:t>In October 2015, the Company entered into a Research Collaboration and License Agreement with Arcturus Therapeutics, Inc. (Arcturus). The Company and Arcturus will collaborate on the research and development of therapies for select rare diseases. As consideration for entering into the arrangement, the Company paid Arcturus an upfront fee of $10.0 million. Arcturus will have the primary responsibility for conducting certain research services, funded by the Company, and the Company will be responsible for development and commercialization costs.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Takeda License and Collaboration and Purchase Agreements</w:t>
      </w:r>
    </w:p>
    <w:p>
      <w:pPr>
        <w:spacing w:after="0" w:line="94"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In June 2016, the Company executed a collaboration and license agreement with Takeda Pharmaceutical Company Limited (Takeda). Pursuant to the agreement, which became effective in July 2016, the Company obtained an exclusive license for a pre-clinical compound from Takeda in a pre-determined field of use, which includes an option to an additional field of use for this product with the terms to be negotiated, and an option to a specified product candidate (identified option product). The Company is responsible for the development costs for the pre-clinical compound and the identified option product pursuant to an initial development plan. Because the license to the pre-clinical compound has no alternative future use, the estimated fair value of $0.7 million was recorded as a research and development expense upon acquisition. Under the license for the pre-clinical compound, the Company may be required to make future milestone payments to Takeda of up to $7.5 million if certain development milestones are met, $75.0 million if certain regulatory milestones are met, and $150.0 million if certain commercial milestones are met, as well as royalties with respect to net sales in the high-single digits to low-teens. Any products resulting from the pre-clinical compound or the identified option product is referred to in this report as the “licensed product.”</w:t>
      </w:r>
    </w:p>
    <w:p>
      <w:pPr>
        <w:spacing w:after="0" w:line="18" w:lineRule="exact"/>
        <w:rPr>
          <w:sz w:val="20"/>
          <w:szCs w:val="20"/>
          <w:color w:val="auto"/>
        </w:rPr>
      </w:pPr>
    </w:p>
    <w:p>
      <w:pPr>
        <w:ind w:right="460" w:firstLine="518"/>
        <w:spacing w:after="0" w:line="264" w:lineRule="auto"/>
        <w:rPr>
          <w:sz w:val="20"/>
          <w:szCs w:val="20"/>
          <w:color w:val="auto"/>
        </w:rPr>
      </w:pPr>
      <w:r>
        <w:rPr>
          <w:rFonts w:ascii="Arial" w:cs="Arial" w:eastAsia="Arial" w:hAnsi="Arial"/>
          <w:sz w:val="18"/>
          <w:szCs w:val="18"/>
          <w:color w:val="auto"/>
        </w:rPr>
        <w:t>As part of the agreement, the Company and Takeda established a five-year research collaboration whereby the parties may mutually agree to add additional option products candidates to the collaboration, in which case the Company will bear the cost of the development activities, with certain exceptions.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3"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In July 2016, the Company consummated a common stock purchase agreement, executed in conjunction with the collaboration and license agreement, whereby Takeda purchased 374,590 shares of the Company’s common stock for $40.0 million in cash. The fair market value of the common stock issued to Takeda was $27.3 million, based on the closing stock price of $72.95 on the date of issuance, resulting in a $12.7 million premium paid to the Company. The Company also received a put option to require Takeda to purchase an additional $25.0 million in shares of the Company’s common stock at the then-current 30-day volume-weighted average price (VWAP). The put option was exercised in October 2016, whereby Takeda purchased 352,530 shares of the Company’s common stock for $25.0 million in cash. The Company also received a second put option, which is contingent upon meeting certain development milestones on the identified option product, to require Takeda to purchase an additional $10.0 million in shares of the Company’s common stock at the then-current 30-day VWAP. Takeda was subject to a 180-day lock-up provision as a result of the initial purchase of common stock, and a 90-day lock-up provision as a result of its purchase under the first put option, is subject to a five-year standstill (subject to customary exceptions or release), and has registration rights for purchases of common stock. The Company estimated the fair value of the put options to be $0.9 million and recorded the put options in additional paid-in capital. The valuation was performed using a Monte Carlo simulation approach using the term of the put options and an equity volatility of approximately 70%.</w:t>
      </w:r>
    </w:p>
    <w:p>
      <w:pPr>
        <w:spacing w:after="0" w:line="45"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Company also granted Takeda an exclusive option for Asian rights, for a limited period, to any licensed products and any additional products resulting from the collaboration, as well as an option to exclusively license one of the Company’s products for development and commercialization in Japan. If Takeda exercises any of its option rights to license a product pursuant to the agreement, Takeda will pay for the development costs within the licensed territory, will share in a portion of the global development costs, and will make a milestone payment upon regulatory approval. Takeda will also owe royalties on net sales in the licensed territory for any licensed product, depending on the development stage when the product is licensed as well as sales levels. The royalties related to the option to license the Company’s product, as well as the additional product are subject to future good faith negotiations at the time that the option is exercised.</w:t>
      </w:r>
    </w:p>
    <w:p>
      <w:pPr>
        <w:spacing w:after="0" w:line="41"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 xml:space="preserve">The research and license agreement and the stock purchase agreement are being accounted for as one arrangement because they were entered into at the same time. The arrangements were evaluated pursuant to </w:t>
      </w:r>
      <w:r>
        <w:rPr>
          <w:rFonts w:ascii="Arial" w:cs="Arial" w:eastAsia="Arial" w:hAnsi="Arial"/>
          <w:sz w:val="16"/>
          <w:szCs w:val="16"/>
          <w:i w:val="1"/>
          <w:iCs w:val="1"/>
          <w:color w:val="auto"/>
        </w:rPr>
        <w:t>ASC 605-25, Multiple-Element Arrangements</w:t>
      </w:r>
      <w:r>
        <w:rPr>
          <w:rFonts w:ascii="Arial" w:cs="Arial" w:eastAsia="Arial" w:hAnsi="Arial"/>
          <w:sz w:val="16"/>
          <w:szCs w:val="16"/>
          <w:color w:val="auto"/>
        </w:rPr>
        <w:t xml:space="preserve"> because the agreements contain multiple elements and deliverables. The Company concluded that there are multiple deliverables under the collaboration agreement, including deliverables related to research and development services with respect to licensed products as well as committee participation, which were determined to represent separate units of accounting. The total arrangement consideration received from Takeda is $14.3 million and consists of the $12.7 million premium on the sale of the common stock, the $0.9 million estimated fair value of the put options, and the $0.7 million estimated fair value of the pre-clinical compound. The Company is responsible for the costs under the initial development plan, which is expected to be performed over a period of approximately one and a half years. A significant portion of this work is expected to be performed by Takeda which has an estimated cost of approximately $10.0 million to $15.5 million. The total amount of funding to be returned to Takeda for the development work is uncertain as of December 31, 2016. The total arrangement consideration of $14.3 million will be recorded as a monetary liability until the total amount of the repayment obligation is determinable. Once the repayment obligation to Takeda is determinable, then any excess of the total arrangement consideration over the repayment obligation to Takeda, if any, will be classified as deferred revenue, allocated to the deliverables on a relative fair value basis, and subsequently will be recognized as collaboration revenue as the underlying services are performed. Costs incurred by the Company associated with co-development activities performed under this collaboration are included in research and development expense in the accompanying consolidated statements of operations. As of December 31, 2016 the Company had a monetary liability in the amount of $14.3 million for this collaboration arrangement.</w:t>
      </w:r>
    </w:p>
    <w:p>
      <w:pPr>
        <w:spacing w:after="0" w:line="239"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In January 2017, the Company terminated the option to the identified option product. As a result, the second put option to require Takeda to purchase an additional $10.0 million in shares of the Company’s common stock was terminated.</w:t>
      </w:r>
    </w:p>
    <w:p>
      <w:pPr>
        <w:spacing w:after="0" w:line="220" w:lineRule="exact"/>
        <w:rPr>
          <w:sz w:val="20"/>
          <w:szCs w:val="20"/>
          <w:color w:val="auto"/>
        </w:rPr>
      </w:pPr>
    </w:p>
    <w:p>
      <w:pPr>
        <w:ind w:left="420" w:hanging="412"/>
        <w:spacing w:after="0"/>
        <w:tabs>
          <w:tab w:leader="none" w:pos="42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Transactions</w:t>
      </w:r>
    </w:p>
    <w:p>
      <w:pPr>
        <w:spacing w:after="0" w:line="8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In July 2016, the Company entered into an At-The-Market (ATM) sales agreement, with Cowen and Company, LLC (Cowen), whereby the Company may sell up to $150.0 million in aggregate proceeds of common stock from time to time, through Cowen as our sales agent. During the year ended December 31, 2016, the Company sold 1,159,415 shares of common stock, resulting in net proceeds of approximately $79.5 million, after commissions and other offering costs.</w:t>
      </w:r>
    </w:p>
    <w:p>
      <w:pPr>
        <w:spacing w:after="0" w:line="52"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During the period of January 1, 2017 through February 15, 2017, the Company sold an additional 658,532 shares of common stock, resulting in net proceeds of approximately $48.4 million, after commissions and other offering costs.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9" w:name="page90"/>
    <w:bookmarkEnd w:id="89"/>
    <w:p>
      <w:pPr>
        <w:jc w:val="center"/>
        <w:ind w:right="20"/>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w:t>
      </w:r>
    </w:p>
    <w:p>
      <w:pPr>
        <w:spacing w:after="0" w:line="94"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In connection with various financing activities, the Company issued preferred stock warrants. The fair value ascribed to these warrants upon their issuance was $0.2 million, which was determined using an option-pricing method to allocate the equity value of the Company to the warrants based on the Company’s capital structure. Upon the closing of the Company’s IPO in February 2014, the warrants were converted into warrants to purchase common stock. Accordingly, the warrants were reclassified from a liability to permanent equity and were no longer subject to remeasurement. As of December 31, 2016 and 2015, there were 83,167 and 66,533 common stock warrants outstanding that were issued in June 2010 and June 2011, respectively, with a contractual term of 10 years and an exercise price of $3.006. The fair value of the warrants was estimated to be $6.7 million as of January 30, 2014 (pricing date of IPO). The Company recorded $0, $0, and $3.3 million to other income (expense), net, for the years ended December 31, 2016, 2015 and 2014 respectively, representing the change in fair value of the warrants for the respective period.</w:t>
      </w:r>
    </w:p>
    <w:p>
      <w:pPr>
        <w:spacing w:after="0" w:line="188" w:lineRule="exact"/>
        <w:rPr>
          <w:sz w:val="20"/>
          <w:szCs w:val="20"/>
          <w:color w:val="auto"/>
        </w:rPr>
      </w:pPr>
    </w:p>
    <w:p>
      <w:pPr>
        <w:ind w:right="9440" w:firstLine="8"/>
        <w:spacing w:after="0" w:line="381" w:lineRule="auto"/>
        <w:tabs>
          <w:tab w:leader="none" w:pos="405"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Stock-Based Awards Equity Plan Awards</w:t>
      </w:r>
    </w:p>
    <w:p>
      <w:pPr>
        <w:spacing w:after="0" w:line="1" w:lineRule="exact"/>
        <w:rPr>
          <w:sz w:val="20"/>
          <w:szCs w:val="20"/>
          <w:color w:val="auto"/>
        </w:rPr>
      </w:pPr>
    </w:p>
    <w:p>
      <w:pPr>
        <w:ind w:right="120" w:firstLine="518"/>
        <w:spacing w:after="0" w:line="287" w:lineRule="auto"/>
        <w:rPr>
          <w:sz w:val="20"/>
          <w:szCs w:val="20"/>
          <w:color w:val="auto"/>
        </w:rPr>
      </w:pPr>
      <w:r>
        <w:rPr>
          <w:rFonts w:ascii="Arial" w:cs="Arial" w:eastAsia="Arial" w:hAnsi="Arial"/>
          <w:sz w:val="16"/>
          <w:szCs w:val="16"/>
          <w:color w:val="auto"/>
        </w:rPr>
        <w:t>In 2011, the Company adopted the 2011 Equity Incentive Plan (the 2011 Plan). The 2011 Plan provides for the granting of stock-based awards to employees, directors, and consultants under terms and provisions established by the board of directors. In 2014, the Company adopted the 2014 Incentive Plan (the 2014 Plan), which became effective upon the closing of the Company’s IPO in February 2014. The 2014 Plan had 2,250,000 shares of common stock available for future issuance at the time of its inception, which included 655,038 shares available under the 2011 Plan, which were transferred to the 2014 Plan upon adoption. No further grants subsequent to the IPO were made under the 2011 Plan. The 2014 Plan provides for automatic annual increases in shares available for grant, beginning on January 1, 2015 through January 1, 2024. Under the terms of the 2014 Plan, awards may be granted at an exercise price not less than fair market value. For employees holding more than 10% of the voting rights of all classes of stock, the exercise prices for awards must be at least 110% of fair market of the common stock on the grant date, as determined by the board of directors. The term of an award granted under the 2014 Plan may not exceed ten years. Typically, the vesting schedule for option grants to the employees provides that 1/4 of the grant vests upon the first anniversary of the date of grant, with the remainder of the shares vesting monthly thereafter at a rate of 1/48 of the total shares subject to the option. The vesting schedule for RSU grants provides that 1/4 of the grant vests upon the annual anniversary of the date of grant over the period of four years. As of December 31, 2016, an aggregate of 7,478,107 shares of common stock have been authorized for issuance under all equity award plans.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Activity</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activity under the Company’s stock option plans, including the 2011 Plan and the 2014 Plan and related information: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Options Outstanding</w:t>
            </w: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1"/>
              </w:rPr>
              <w:t>Weighted-</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Weighted-</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Average</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Options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Exercise Price</w:t>
            </w:r>
          </w:p>
        </w:tc>
        <w:tc>
          <w:tcPr>
            <w:tcW w:w="26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Term (Years)</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Value</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w w:val="98"/>
              </w:rPr>
              <w:t>(In thousands)</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shd w:val="clear" w:color="auto" w:fill="CCECFF"/>
          </w:tcPr>
          <w:p>
            <w:pPr>
              <w:spacing w:after="0"/>
              <w:rPr>
                <w:sz w:val="20"/>
                <w:szCs w:val="20"/>
                <w:color w:val="auto"/>
              </w:rPr>
            </w:pPr>
            <w:r>
              <w:rPr>
                <w:rFonts w:ascii="Arial" w:cs="Arial" w:eastAsia="Arial" w:hAnsi="Arial"/>
                <w:sz w:val="18"/>
                <w:szCs w:val="18"/>
                <w:color w:val="auto"/>
              </w:rPr>
              <w:t>Outstanding — December 31, 2013</w:t>
            </w:r>
          </w:p>
        </w:tc>
        <w:tc>
          <w:tcPr>
            <w:tcW w:w="19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2,228,883</w:t>
            </w:r>
          </w:p>
        </w:tc>
        <w:tc>
          <w:tcPr>
            <w:tcW w:w="140" w:type="dxa"/>
            <w:vAlign w:val="bottom"/>
            <w:shd w:val="clear" w:color="auto" w:fill="CCECFF"/>
          </w:tcPr>
          <w:p>
            <w:pPr>
              <w:spacing w:after="0"/>
              <w:rPr>
                <w:sz w:val="19"/>
                <w:szCs w:val="19"/>
                <w:color w:val="auto"/>
              </w:rPr>
            </w:pPr>
          </w:p>
        </w:tc>
        <w:tc>
          <w:tcPr>
            <w:tcW w:w="220" w:type="dxa"/>
            <w:vAlign w:val="bottom"/>
            <w:gridSpan w:val="2"/>
            <w:shd w:val="clear" w:color="auto" w:fill="CCECFF"/>
          </w:tcPr>
          <w:p>
            <w:pPr>
              <w:ind w:left="10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3.41</w:t>
            </w:r>
          </w:p>
        </w:tc>
        <w:tc>
          <w:tcPr>
            <w:tcW w:w="260" w:type="dxa"/>
            <w:vAlign w:val="bottom"/>
            <w:shd w:val="clear" w:color="auto" w:fill="CCECFF"/>
          </w:tcPr>
          <w:p>
            <w:pPr>
              <w:spacing w:after="0"/>
              <w:rPr>
                <w:sz w:val="19"/>
                <w:szCs w:val="19"/>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8.91</w:t>
            </w:r>
          </w:p>
        </w:tc>
        <w:tc>
          <w:tcPr>
            <w:tcW w:w="380" w:type="dxa"/>
            <w:vAlign w:val="bottom"/>
            <w:gridSpan w:val="2"/>
            <w:shd w:val="clear" w:color="auto" w:fill="CCECFF"/>
          </w:tcPr>
          <w:p>
            <w:pPr>
              <w:ind w:lef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19,468</w:t>
            </w:r>
          </w:p>
        </w:tc>
        <w:tc>
          <w:tcPr>
            <w:tcW w:w="100" w:type="dxa"/>
            <w:vAlign w:val="bottom"/>
            <w:shd w:val="clear" w:color="auto" w:fill="CCECFF"/>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932,555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41.12</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shd w:val="clear" w:color="auto" w:fill="CCECFF"/>
          </w:tcPr>
          <w:p>
            <w:pPr>
              <w:ind w:left="240"/>
              <w:spacing w:after="0"/>
              <w:rPr>
                <w:sz w:val="20"/>
                <w:szCs w:val="20"/>
                <w:color w:val="auto"/>
              </w:rPr>
            </w:pPr>
            <w:r>
              <w:rPr>
                <w:rFonts w:ascii="Arial" w:cs="Arial" w:eastAsia="Arial" w:hAnsi="Arial"/>
                <w:sz w:val="18"/>
                <w:szCs w:val="18"/>
                <w:color w:val="auto"/>
              </w:rPr>
              <w:t>Options exercised</w:t>
            </w:r>
          </w:p>
        </w:tc>
        <w:tc>
          <w:tcPr>
            <w:tcW w:w="2080" w:type="dxa"/>
            <w:vAlign w:val="bottom"/>
            <w:gridSpan w:val="3"/>
            <w:shd w:val="clear" w:color="auto" w:fill="CCECFF"/>
          </w:tcPr>
          <w:p>
            <w:pPr>
              <w:jc w:val="right"/>
              <w:ind w:right="100"/>
              <w:spacing w:after="0"/>
              <w:rPr>
                <w:sz w:val="20"/>
                <w:szCs w:val="20"/>
                <w:color w:val="auto"/>
              </w:rPr>
            </w:pPr>
            <w:r>
              <w:rPr>
                <w:rFonts w:ascii="Arial" w:cs="Arial" w:eastAsia="Arial" w:hAnsi="Arial"/>
                <w:sz w:val="18"/>
                <w:szCs w:val="18"/>
                <w:color w:val="auto"/>
              </w:rPr>
              <w:t>(305,090)</w:t>
            </w:r>
          </w:p>
        </w:tc>
        <w:tc>
          <w:tcPr>
            <w:tcW w:w="10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2.14</w:t>
            </w:r>
          </w:p>
        </w:tc>
        <w:tc>
          <w:tcPr>
            <w:tcW w:w="260" w:type="dxa"/>
            <w:vAlign w:val="bottom"/>
            <w:shd w:val="clear" w:color="auto" w:fill="CCECFF"/>
          </w:tcPr>
          <w:p>
            <w:pPr>
              <w:spacing w:after="0"/>
              <w:rPr>
                <w:sz w:val="19"/>
                <w:szCs w:val="19"/>
                <w:color w:val="auto"/>
              </w:rPr>
            </w:pPr>
          </w:p>
        </w:tc>
        <w:tc>
          <w:tcPr>
            <w:tcW w:w="108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02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Options cancelled</w:t>
            </w:r>
          </w:p>
        </w:tc>
        <w:tc>
          <w:tcPr>
            <w:tcW w:w="2080" w:type="dxa"/>
            <w:vAlign w:val="bottom"/>
            <w:gridSpan w:val="3"/>
          </w:tcPr>
          <w:p>
            <w:pPr>
              <w:jc w:val="right"/>
              <w:ind w:right="100"/>
              <w:spacing w:after="0"/>
              <w:rPr>
                <w:sz w:val="20"/>
                <w:szCs w:val="20"/>
                <w:color w:val="auto"/>
              </w:rPr>
            </w:pPr>
            <w:r>
              <w:rPr>
                <w:rFonts w:ascii="Arial" w:cs="Arial" w:eastAsia="Arial" w:hAnsi="Arial"/>
                <w:sz w:val="18"/>
                <w:szCs w:val="18"/>
                <w:color w:val="auto"/>
              </w:rPr>
              <w:t>(116,873)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8.92</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4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Outstanding — December 31, 2014</w:t>
            </w:r>
          </w:p>
        </w:tc>
        <w:tc>
          <w:tcPr>
            <w:tcW w:w="860" w:type="dxa"/>
            <w:vAlign w:val="bottom"/>
            <w:tcBorders>
              <w:top w:val="single" w:sz="8" w:color="CCECFF"/>
            </w:tcBorders>
            <w:shd w:val="clear" w:color="auto" w:fill="CCECFF"/>
          </w:tcPr>
          <w:p>
            <w:pPr>
              <w:spacing w:after="0"/>
              <w:rPr>
                <w:sz w:val="19"/>
                <w:szCs w:val="19"/>
                <w:color w:val="auto"/>
              </w:rPr>
            </w:pPr>
          </w:p>
        </w:tc>
        <w:tc>
          <w:tcPr>
            <w:tcW w:w="10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2,739,475</w:t>
            </w:r>
          </w:p>
        </w:tc>
        <w:tc>
          <w:tcPr>
            <w:tcW w:w="140" w:type="dxa"/>
            <w:vAlign w:val="bottom"/>
            <w:tcBorders>
              <w:top w:val="single" w:sz="8" w:color="CCECFF"/>
            </w:tcBorders>
            <w:shd w:val="clear" w:color="auto" w:fill="CCECFF"/>
          </w:tcPr>
          <w:p>
            <w:pPr>
              <w:spacing w:after="0"/>
              <w:rPr>
                <w:sz w:val="19"/>
                <w:szCs w:val="19"/>
                <w:color w:val="auto"/>
              </w:rPr>
            </w:pPr>
          </w:p>
        </w:tc>
        <w:tc>
          <w:tcPr>
            <w:tcW w:w="220" w:type="dxa"/>
            <w:vAlign w:val="bottom"/>
            <w:tcBorders>
              <w:top w:val="single" w:sz="8" w:color="CCECFF"/>
            </w:tcBorders>
            <w:gridSpan w:val="2"/>
            <w:shd w:val="clear" w:color="auto" w:fill="CCECFF"/>
          </w:tcPr>
          <w:p>
            <w:pPr>
              <w:ind w:left="10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16.15</w:t>
            </w:r>
          </w:p>
        </w:tc>
        <w:tc>
          <w:tcPr>
            <w:tcW w:w="260" w:type="dxa"/>
            <w:vAlign w:val="bottom"/>
            <w:tcBorders>
              <w:top w:val="single" w:sz="8" w:color="CCECFF"/>
            </w:tcBorders>
            <w:shd w:val="clear" w:color="auto" w:fill="CCECFF"/>
          </w:tcPr>
          <w:p>
            <w:pPr>
              <w:spacing w:after="0"/>
              <w:rPr>
                <w:sz w:val="19"/>
                <w:szCs w:val="19"/>
                <w:color w:val="auto"/>
              </w:rPr>
            </w:pPr>
          </w:p>
        </w:tc>
        <w:tc>
          <w:tcPr>
            <w:tcW w:w="1080" w:type="dxa"/>
            <w:vAlign w:val="bottom"/>
            <w:tcBorders>
              <w:top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8.43</w:t>
            </w:r>
          </w:p>
        </w:tc>
        <w:tc>
          <w:tcPr>
            <w:tcW w:w="380" w:type="dxa"/>
            <w:vAlign w:val="bottom"/>
            <w:tcBorders>
              <w:top w:val="single" w:sz="8" w:color="CCECFF"/>
            </w:tcBorders>
            <w:gridSpan w:val="2"/>
            <w:shd w:val="clear" w:color="auto" w:fill="CCECFF"/>
          </w:tcPr>
          <w:p>
            <w:pPr>
              <w:ind w:left="24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79,840</w:t>
            </w:r>
          </w:p>
        </w:tc>
        <w:tc>
          <w:tcPr>
            <w:tcW w:w="100" w:type="dxa"/>
            <w:vAlign w:val="bottom"/>
            <w:tcBorders>
              <w:top w:val="single" w:sz="8" w:color="CCECFF"/>
            </w:tcBorders>
            <w:shd w:val="clear" w:color="auto" w:fill="CCECFF"/>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2,013,350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90.60</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shd w:val="clear" w:color="auto" w:fill="CCECFF"/>
          </w:tcPr>
          <w:p>
            <w:pPr>
              <w:ind w:left="240"/>
              <w:spacing w:after="0"/>
              <w:rPr>
                <w:sz w:val="20"/>
                <w:szCs w:val="20"/>
                <w:color w:val="auto"/>
              </w:rPr>
            </w:pPr>
            <w:r>
              <w:rPr>
                <w:rFonts w:ascii="Arial" w:cs="Arial" w:eastAsia="Arial" w:hAnsi="Arial"/>
                <w:sz w:val="18"/>
                <w:szCs w:val="18"/>
                <w:color w:val="auto"/>
              </w:rPr>
              <w:t>Options exercised</w:t>
            </w:r>
          </w:p>
        </w:tc>
        <w:tc>
          <w:tcPr>
            <w:tcW w:w="2080" w:type="dxa"/>
            <w:vAlign w:val="bottom"/>
            <w:gridSpan w:val="3"/>
            <w:shd w:val="clear" w:color="auto" w:fill="CCECFF"/>
          </w:tcPr>
          <w:p>
            <w:pPr>
              <w:jc w:val="right"/>
              <w:ind w:right="100"/>
              <w:spacing w:after="0"/>
              <w:rPr>
                <w:sz w:val="20"/>
                <w:szCs w:val="20"/>
                <w:color w:val="auto"/>
              </w:rPr>
            </w:pPr>
            <w:r>
              <w:rPr>
                <w:rFonts w:ascii="Arial" w:cs="Arial" w:eastAsia="Arial" w:hAnsi="Arial"/>
                <w:sz w:val="18"/>
                <w:szCs w:val="18"/>
                <w:color w:val="auto"/>
              </w:rPr>
              <w:t>(795,825)</w:t>
            </w:r>
          </w:p>
        </w:tc>
        <w:tc>
          <w:tcPr>
            <w:tcW w:w="10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8.65</w:t>
            </w:r>
          </w:p>
        </w:tc>
        <w:tc>
          <w:tcPr>
            <w:tcW w:w="260" w:type="dxa"/>
            <w:vAlign w:val="bottom"/>
            <w:shd w:val="clear" w:color="auto" w:fill="CCECFF"/>
          </w:tcPr>
          <w:p>
            <w:pPr>
              <w:spacing w:after="0"/>
              <w:rPr>
                <w:sz w:val="19"/>
                <w:szCs w:val="19"/>
                <w:color w:val="auto"/>
              </w:rPr>
            </w:pPr>
          </w:p>
        </w:tc>
        <w:tc>
          <w:tcPr>
            <w:tcW w:w="108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02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Options cancelled</w:t>
            </w:r>
          </w:p>
        </w:tc>
        <w:tc>
          <w:tcPr>
            <w:tcW w:w="2080" w:type="dxa"/>
            <w:vAlign w:val="bottom"/>
            <w:gridSpan w:val="3"/>
          </w:tcPr>
          <w:p>
            <w:pPr>
              <w:jc w:val="right"/>
              <w:ind w:right="100"/>
              <w:spacing w:after="0"/>
              <w:rPr>
                <w:sz w:val="20"/>
                <w:szCs w:val="20"/>
                <w:color w:val="auto"/>
              </w:rPr>
            </w:pPr>
            <w:r>
              <w:rPr>
                <w:rFonts w:ascii="Arial" w:cs="Arial" w:eastAsia="Arial" w:hAnsi="Arial"/>
                <w:sz w:val="18"/>
                <w:szCs w:val="18"/>
                <w:color w:val="auto"/>
              </w:rPr>
              <w:t>(130,037)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31.49</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4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Outstanding — December 31, 2015</w:t>
            </w:r>
          </w:p>
        </w:tc>
        <w:tc>
          <w:tcPr>
            <w:tcW w:w="860" w:type="dxa"/>
            <w:vAlign w:val="bottom"/>
            <w:tcBorders>
              <w:top w:val="single" w:sz="8" w:color="CCECFF"/>
            </w:tcBorders>
            <w:shd w:val="clear" w:color="auto" w:fill="CCECFF"/>
          </w:tcPr>
          <w:p>
            <w:pPr>
              <w:spacing w:after="0"/>
              <w:rPr>
                <w:sz w:val="19"/>
                <w:szCs w:val="19"/>
                <w:color w:val="auto"/>
              </w:rPr>
            </w:pPr>
          </w:p>
        </w:tc>
        <w:tc>
          <w:tcPr>
            <w:tcW w:w="10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3,826,963</w:t>
            </w:r>
          </w:p>
        </w:tc>
        <w:tc>
          <w:tcPr>
            <w:tcW w:w="140" w:type="dxa"/>
            <w:vAlign w:val="bottom"/>
            <w:tcBorders>
              <w:top w:val="single" w:sz="8" w:color="CCECFF"/>
            </w:tcBorders>
            <w:shd w:val="clear" w:color="auto" w:fill="CCECFF"/>
          </w:tcPr>
          <w:p>
            <w:pPr>
              <w:spacing w:after="0"/>
              <w:rPr>
                <w:sz w:val="19"/>
                <w:szCs w:val="19"/>
                <w:color w:val="auto"/>
              </w:rPr>
            </w:pPr>
          </w:p>
        </w:tc>
        <w:tc>
          <w:tcPr>
            <w:tcW w:w="220" w:type="dxa"/>
            <w:vAlign w:val="bottom"/>
            <w:tcBorders>
              <w:top w:val="single" w:sz="8" w:color="CCECFF"/>
            </w:tcBorders>
            <w:gridSpan w:val="2"/>
            <w:shd w:val="clear" w:color="auto" w:fill="CCECFF"/>
          </w:tcPr>
          <w:p>
            <w:pPr>
              <w:ind w:left="10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56.36</w:t>
            </w:r>
          </w:p>
        </w:tc>
        <w:tc>
          <w:tcPr>
            <w:tcW w:w="260" w:type="dxa"/>
            <w:vAlign w:val="bottom"/>
            <w:tcBorders>
              <w:top w:val="single" w:sz="8" w:color="CCECFF"/>
            </w:tcBorders>
            <w:shd w:val="clear" w:color="auto" w:fill="CCECFF"/>
          </w:tcPr>
          <w:p>
            <w:pPr>
              <w:spacing w:after="0"/>
              <w:rPr>
                <w:sz w:val="19"/>
                <w:szCs w:val="19"/>
                <w:color w:val="auto"/>
              </w:rPr>
            </w:pPr>
          </w:p>
        </w:tc>
        <w:tc>
          <w:tcPr>
            <w:tcW w:w="1080" w:type="dxa"/>
            <w:vAlign w:val="bottom"/>
            <w:tcBorders>
              <w:top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8.58</w:t>
            </w:r>
          </w:p>
        </w:tc>
        <w:tc>
          <w:tcPr>
            <w:tcW w:w="380" w:type="dxa"/>
            <w:vAlign w:val="bottom"/>
            <w:tcBorders>
              <w:top w:val="single" w:sz="8" w:color="CCECFF"/>
            </w:tcBorders>
            <w:gridSpan w:val="2"/>
            <w:shd w:val="clear" w:color="auto" w:fill="CCECFF"/>
          </w:tcPr>
          <w:p>
            <w:pPr>
              <w:ind w:left="24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217,386</w:t>
            </w:r>
          </w:p>
        </w:tc>
        <w:tc>
          <w:tcPr>
            <w:tcW w:w="100" w:type="dxa"/>
            <w:vAlign w:val="bottom"/>
            <w:tcBorders>
              <w:top w:val="single" w:sz="8" w:color="CCECFF"/>
            </w:tcBorders>
            <w:shd w:val="clear" w:color="auto" w:fill="CCECFF"/>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1,435,995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67.00</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shd w:val="clear" w:color="auto" w:fill="CCECFF"/>
          </w:tcPr>
          <w:p>
            <w:pPr>
              <w:ind w:left="240"/>
              <w:spacing w:after="0"/>
              <w:rPr>
                <w:sz w:val="20"/>
                <w:szCs w:val="20"/>
                <w:color w:val="auto"/>
              </w:rPr>
            </w:pPr>
            <w:r>
              <w:rPr>
                <w:rFonts w:ascii="Arial" w:cs="Arial" w:eastAsia="Arial" w:hAnsi="Arial"/>
                <w:sz w:val="18"/>
                <w:szCs w:val="18"/>
                <w:color w:val="auto"/>
              </w:rPr>
              <w:t>Options exercised</w:t>
            </w:r>
          </w:p>
        </w:tc>
        <w:tc>
          <w:tcPr>
            <w:tcW w:w="2080" w:type="dxa"/>
            <w:vAlign w:val="bottom"/>
            <w:gridSpan w:val="3"/>
            <w:shd w:val="clear" w:color="auto" w:fill="CCECFF"/>
          </w:tcPr>
          <w:p>
            <w:pPr>
              <w:jc w:val="right"/>
              <w:ind w:right="100"/>
              <w:spacing w:after="0"/>
              <w:rPr>
                <w:sz w:val="20"/>
                <w:szCs w:val="20"/>
                <w:color w:val="auto"/>
              </w:rPr>
            </w:pPr>
            <w:r>
              <w:rPr>
                <w:rFonts w:ascii="Arial" w:cs="Arial" w:eastAsia="Arial" w:hAnsi="Arial"/>
                <w:sz w:val="18"/>
                <w:szCs w:val="18"/>
                <w:color w:val="auto"/>
              </w:rPr>
              <w:t>(425,922)</w:t>
            </w:r>
          </w:p>
        </w:tc>
        <w:tc>
          <w:tcPr>
            <w:tcW w:w="10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21.21</w:t>
            </w:r>
          </w:p>
        </w:tc>
        <w:tc>
          <w:tcPr>
            <w:tcW w:w="260" w:type="dxa"/>
            <w:vAlign w:val="bottom"/>
            <w:shd w:val="clear" w:color="auto" w:fill="CCECFF"/>
          </w:tcPr>
          <w:p>
            <w:pPr>
              <w:spacing w:after="0"/>
              <w:rPr>
                <w:sz w:val="19"/>
                <w:szCs w:val="19"/>
                <w:color w:val="auto"/>
              </w:rPr>
            </w:pPr>
          </w:p>
        </w:tc>
        <w:tc>
          <w:tcPr>
            <w:tcW w:w="108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02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Options cancelled</w:t>
            </w:r>
          </w:p>
        </w:tc>
        <w:tc>
          <w:tcPr>
            <w:tcW w:w="2080" w:type="dxa"/>
            <w:vAlign w:val="bottom"/>
            <w:gridSpan w:val="3"/>
          </w:tcPr>
          <w:p>
            <w:pPr>
              <w:jc w:val="right"/>
              <w:ind w:right="100"/>
              <w:spacing w:after="0"/>
              <w:rPr>
                <w:sz w:val="20"/>
                <w:szCs w:val="20"/>
                <w:color w:val="auto"/>
              </w:rPr>
            </w:pPr>
            <w:r>
              <w:rPr>
                <w:rFonts w:ascii="Arial" w:cs="Arial" w:eastAsia="Arial" w:hAnsi="Arial"/>
                <w:sz w:val="18"/>
                <w:szCs w:val="18"/>
                <w:color w:val="auto"/>
              </w:rPr>
              <w:t>(407,564)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70.87</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40" w:type="dxa"/>
            <w:vAlign w:val="bottom"/>
            <w:tcBorders>
              <w:top w:val="single" w:sz="8" w:color="CCECFF"/>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Outstanding — December 31, 2016</w:t>
            </w:r>
          </w:p>
        </w:tc>
        <w:tc>
          <w:tcPr>
            <w:tcW w:w="860" w:type="dxa"/>
            <w:vAlign w:val="bottom"/>
            <w:tcBorders>
              <w:top w:val="single" w:sz="8" w:color="CCECFF"/>
              <w:bottom w:val="single" w:sz="8" w:color="CCECFF"/>
            </w:tcBorders>
            <w:shd w:val="clear" w:color="auto" w:fill="CCECFF"/>
          </w:tcPr>
          <w:p>
            <w:pPr>
              <w:spacing w:after="0"/>
              <w:rPr>
                <w:sz w:val="19"/>
                <w:szCs w:val="19"/>
                <w:color w:val="auto"/>
              </w:rPr>
            </w:pP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4,429,472</w:t>
            </w:r>
          </w:p>
        </w:tc>
        <w:tc>
          <w:tcPr>
            <w:tcW w:w="140" w:type="dxa"/>
            <w:vAlign w:val="bottom"/>
            <w:tcBorders>
              <w:top w:val="single" w:sz="8" w:color="CCECFF"/>
              <w:bottom w:val="single" w:sz="8" w:color="CCECFF"/>
            </w:tcBorders>
            <w:shd w:val="clear" w:color="auto" w:fill="CCECFF"/>
          </w:tcPr>
          <w:p>
            <w:pPr>
              <w:spacing w:after="0"/>
              <w:rPr>
                <w:sz w:val="19"/>
                <w:szCs w:val="19"/>
                <w:color w:val="auto"/>
              </w:rPr>
            </w:pPr>
          </w:p>
        </w:tc>
        <w:tc>
          <w:tcPr>
            <w:tcW w:w="220" w:type="dxa"/>
            <w:vAlign w:val="bottom"/>
            <w:tcBorders>
              <w:top w:val="single" w:sz="8" w:color="CCECFF"/>
              <w:bottom w:val="single" w:sz="8" w:color="CCECFF"/>
            </w:tcBorders>
            <w:gridSpan w:val="2"/>
            <w:shd w:val="clear" w:color="auto" w:fill="CCECFF"/>
          </w:tcPr>
          <w:p>
            <w:pPr>
              <w:ind w:left="10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CCECFF"/>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61.85</w:t>
            </w:r>
          </w:p>
        </w:tc>
        <w:tc>
          <w:tcPr>
            <w:tcW w:w="260" w:type="dxa"/>
            <w:vAlign w:val="bottom"/>
            <w:tcBorders>
              <w:top w:val="single" w:sz="8" w:color="CCECFF"/>
              <w:bottom w:val="single" w:sz="8" w:color="CCECFF"/>
            </w:tcBorders>
            <w:shd w:val="clear" w:color="auto" w:fill="CCECFF"/>
          </w:tcPr>
          <w:p>
            <w:pPr>
              <w:spacing w:after="0"/>
              <w:rPr>
                <w:sz w:val="19"/>
                <w:szCs w:val="19"/>
                <w:color w:val="auto"/>
              </w:rPr>
            </w:pPr>
          </w:p>
        </w:tc>
        <w:tc>
          <w:tcPr>
            <w:tcW w:w="1080" w:type="dxa"/>
            <w:vAlign w:val="bottom"/>
            <w:tcBorders>
              <w:top w:val="single" w:sz="8" w:color="CCECFF"/>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8.22</w:t>
            </w:r>
          </w:p>
        </w:tc>
        <w:tc>
          <w:tcPr>
            <w:tcW w:w="380" w:type="dxa"/>
            <w:vAlign w:val="bottom"/>
            <w:tcBorders>
              <w:top w:val="single" w:sz="8" w:color="CCECFF"/>
              <w:bottom w:val="single" w:sz="8" w:color="CCECFF"/>
            </w:tcBorders>
            <w:gridSpan w:val="2"/>
            <w:shd w:val="clear" w:color="auto" w:fill="CCECFF"/>
          </w:tcPr>
          <w:p>
            <w:pPr>
              <w:ind w:left="24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CFF"/>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79,135</w:t>
            </w:r>
          </w:p>
        </w:tc>
        <w:tc>
          <w:tcPr>
            <w:tcW w:w="100" w:type="dxa"/>
            <w:vAlign w:val="bottom"/>
            <w:tcBorders>
              <w:top w:val="single" w:sz="8" w:color="CCECFF"/>
              <w:bottom w:val="single" w:sz="8" w:color="CCECFF"/>
            </w:tcBorders>
            <w:shd w:val="clear" w:color="auto" w:fill="CCECFF"/>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ind w:left="580"/>
              <w:spacing w:after="0"/>
              <w:rPr>
                <w:sz w:val="20"/>
                <w:szCs w:val="20"/>
                <w:color w:val="auto"/>
              </w:rPr>
            </w:pPr>
            <w:r>
              <w:rPr>
                <w:rFonts w:ascii="Arial" w:cs="Arial" w:eastAsia="Arial" w:hAnsi="Arial"/>
                <w:sz w:val="18"/>
                <w:szCs w:val="18"/>
                <w:color w:val="auto"/>
              </w:rPr>
              <w:t>Vested and exercisable — December 31, 2016</w:t>
            </w:r>
          </w:p>
        </w:tc>
        <w:tc>
          <w:tcPr>
            <w:tcW w:w="19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vMerge w:val="restart"/>
          </w:tcPr>
          <w:p>
            <w:pPr>
              <w:ind w:left="10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44.96</w:t>
            </w:r>
          </w:p>
        </w:tc>
        <w:tc>
          <w:tcPr>
            <w:tcW w:w="260" w:type="dxa"/>
            <w:vAlign w:val="bottom"/>
          </w:tcPr>
          <w:p>
            <w:pPr>
              <w:spacing w:after="0" w:line="20" w:lineRule="exact"/>
              <w:rPr>
                <w:sz w:val="1"/>
                <w:szCs w:val="1"/>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7.24</w:t>
            </w:r>
          </w:p>
        </w:tc>
        <w:tc>
          <w:tcPr>
            <w:tcW w:w="380" w:type="dxa"/>
            <w:vAlign w:val="bottom"/>
            <w:gridSpan w:val="2"/>
            <w:vMerge w:val="restart"/>
          </w:tcPr>
          <w:p>
            <w:pPr>
              <w:ind w:left="24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55,537</w:t>
            </w: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gridSpan w:val="2"/>
            <w:vMerge w:val="continue"/>
          </w:tcPr>
          <w:p>
            <w:pPr>
              <w:spacing w:after="0"/>
              <w:rPr>
                <w:sz w:val="21"/>
                <w:szCs w:val="21"/>
                <w:color w:val="auto"/>
              </w:rPr>
            </w:pPr>
          </w:p>
        </w:tc>
        <w:tc>
          <w:tcPr>
            <w:tcW w:w="86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1,620,443</w:t>
            </w:r>
          </w:p>
        </w:tc>
        <w:tc>
          <w:tcPr>
            <w:tcW w:w="140" w:type="dxa"/>
            <w:vAlign w:val="bottom"/>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380" w:type="dxa"/>
            <w:vAlign w:val="bottom"/>
            <w:gridSpan w:val="2"/>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140" w:type="dxa"/>
            <w:vAlign w:val="bottom"/>
            <w:tcBorders>
              <w:top w:val="single" w:sz="8" w:color="CCECFF"/>
            </w:tcBorders>
            <w:shd w:val="clear" w:color="auto" w:fill="CCECFF"/>
          </w:tcPr>
          <w:p>
            <w:pPr>
              <w:spacing w:after="0" w:line="195" w:lineRule="exact"/>
              <w:rPr>
                <w:sz w:val="20"/>
                <w:szCs w:val="20"/>
                <w:color w:val="auto"/>
              </w:rPr>
            </w:pPr>
            <w:r>
              <w:rPr>
                <w:rFonts w:ascii="Arial" w:cs="Arial" w:eastAsia="Arial" w:hAnsi="Arial"/>
                <w:sz w:val="18"/>
                <w:szCs w:val="18"/>
                <w:color w:val="auto"/>
              </w:rPr>
              <w:t>Vested and expected to vest — December 31,</w:t>
            </w:r>
          </w:p>
        </w:tc>
        <w:tc>
          <w:tcPr>
            <w:tcW w:w="860" w:type="dxa"/>
            <w:vAlign w:val="bottom"/>
            <w:tcBorders>
              <w:top w:val="single" w:sz="8" w:color="CCECFF"/>
            </w:tcBorders>
            <w:shd w:val="clear" w:color="auto" w:fill="CCECFF"/>
          </w:tcPr>
          <w:p>
            <w:pPr>
              <w:spacing w:after="0"/>
              <w:rPr>
                <w:sz w:val="17"/>
                <w:szCs w:val="17"/>
                <w:color w:val="auto"/>
              </w:rPr>
            </w:pPr>
          </w:p>
        </w:tc>
        <w:tc>
          <w:tcPr>
            <w:tcW w:w="1080" w:type="dxa"/>
            <w:vAlign w:val="bottom"/>
            <w:tcBorders>
              <w:top w:val="single" w:sz="8" w:color="auto"/>
            </w:tcBorders>
            <w:shd w:val="clear" w:color="auto" w:fill="CCECFF"/>
          </w:tcPr>
          <w:p>
            <w:pPr>
              <w:spacing w:after="0"/>
              <w:rPr>
                <w:sz w:val="17"/>
                <w:szCs w:val="17"/>
                <w:color w:val="auto"/>
              </w:rPr>
            </w:pPr>
          </w:p>
        </w:tc>
        <w:tc>
          <w:tcPr>
            <w:tcW w:w="140" w:type="dxa"/>
            <w:vAlign w:val="bottom"/>
            <w:tcBorders>
              <w:top w:val="single" w:sz="8" w:color="CCECFF"/>
            </w:tcBorders>
            <w:shd w:val="clear" w:color="auto" w:fill="CCECFF"/>
          </w:tcPr>
          <w:p>
            <w:pPr>
              <w:spacing w:after="0"/>
              <w:rPr>
                <w:sz w:val="17"/>
                <w:szCs w:val="17"/>
                <w:color w:val="auto"/>
              </w:rPr>
            </w:pPr>
          </w:p>
        </w:tc>
        <w:tc>
          <w:tcPr>
            <w:tcW w:w="100" w:type="dxa"/>
            <w:vAlign w:val="bottom"/>
            <w:tcBorders>
              <w:top w:val="single" w:sz="8" w:color="CCECFF"/>
            </w:tcBorders>
            <w:shd w:val="clear" w:color="auto" w:fill="CCECFF"/>
          </w:tcPr>
          <w:p>
            <w:pPr>
              <w:spacing w:after="0"/>
              <w:rPr>
                <w:sz w:val="17"/>
                <w:szCs w:val="17"/>
                <w:color w:val="auto"/>
              </w:rPr>
            </w:pPr>
          </w:p>
        </w:tc>
        <w:tc>
          <w:tcPr>
            <w:tcW w:w="120" w:type="dxa"/>
            <w:vAlign w:val="bottom"/>
            <w:tcBorders>
              <w:top w:val="single" w:sz="8" w:color="CCECFF"/>
            </w:tcBorders>
            <w:shd w:val="clear" w:color="auto" w:fill="CCECFF"/>
          </w:tcPr>
          <w:p>
            <w:pPr>
              <w:spacing w:after="0"/>
              <w:rPr>
                <w:sz w:val="17"/>
                <w:szCs w:val="17"/>
                <w:color w:val="auto"/>
              </w:rPr>
            </w:pPr>
          </w:p>
        </w:tc>
        <w:tc>
          <w:tcPr>
            <w:tcW w:w="1000" w:type="dxa"/>
            <w:vAlign w:val="bottom"/>
            <w:tcBorders>
              <w:top w:val="single" w:sz="8" w:color="CCECFF"/>
            </w:tcBorders>
            <w:shd w:val="clear" w:color="auto" w:fill="CCECFF"/>
          </w:tcPr>
          <w:p>
            <w:pPr>
              <w:spacing w:after="0"/>
              <w:rPr>
                <w:sz w:val="17"/>
                <w:szCs w:val="17"/>
                <w:color w:val="auto"/>
              </w:rPr>
            </w:pPr>
          </w:p>
        </w:tc>
        <w:tc>
          <w:tcPr>
            <w:tcW w:w="260" w:type="dxa"/>
            <w:vAlign w:val="bottom"/>
            <w:tcBorders>
              <w:top w:val="single" w:sz="8" w:color="CCECFF"/>
            </w:tcBorders>
            <w:shd w:val="clear" w:color="auto" w:fill="CCECFF"/>
          </w:tcPr>
          <w:p>
            <w:pPr>
              <w:spacing w:after="0"/>
              <w:rPr>
                <w:sz w:val="17"/>
                <w:szCs w:val="17"/>
                <w:color w:val="auto"/>
              </w:rPr>
            </w:pPr>
          </w:p>
        </w:tc>
        <w:tc>
          <w:tcPr>
            <w:tcW w:w="1080" w:type="dxa"/>
            <w:vAlign w:val="bottom"/>
            <w:tcBorders>
              <w:top w:val="single" w:sz="8" w:color="CCECFF"/>
            </w:tcBorders>
            <w:shd w:val="clear" w:color="auto" w:fill="CCECFF"/>
          </w:tcPr>
          <w:p>
            <w:pPr>
              <w:spacing w:after="0"/>
              <w:rPr>
                <w:sz w:val="17"/>
                <w:szCs w:val="17"/>
                <w:color w:val="auto"/>
              </w:rPr>
            </w:pPr>
          </w:p>
        </w:tc>
        <w:tc>
          <w:tcPr>
            <w:tcW w:w="260" w:type="dxa"/>
            <w:vAlign w:val="bottom"/>
            <w:tcBorders>
              <w:top w:val="single" w:sz="8" w:color="CCECFF"/>
            </w:tcBorders>
            <w:shd w:val="clear" w:color="auto" w:fill="CCECFF"/>
          </w:tcPr>
          <w:p>
            <w:pPr>
              <w:spacing w:after="0"/>
              <w:rPr>
                <w:sz w:val="17"/>
                <w:szCs w:val="17"/>
                <w:color w:val="auto"/>
              </w:rPr>
            </w:pPr>
          </w:p>
        </w:tc>
        <w:tc>
          <w:tcPr>
            <w:tcW w:w="120" w:type="dxa"/>
            <w:vAlign w:val="bottom"/>
            <w:tcBorders>
              <w:top w:val="single" w:sz="8" w:color="CCECFF"/>
            </w:tcBorders>
            <w:shd w:val="clear" w:color="auto" w:fill="CCECFF"/>
          </w:tcPr>
          <w:p>
            <w:pPr>
              <w:spacing w:after="0"/>
              <w:rPr>
                <w:sz w:val="17"/>
                <w:szCs w:val="17"/>
                <w:color w:val="auto"/>
              </w:rPr>
            </w:pPr>
          </w:p>
        </w:tc>
        <w:tc>
          <w:tcPr>
            <w:tcW w:w="1020" w:type="dxa"/>
            <w:vAlign w:val="bottom"/>
            <w:tcBorders>
              <w:top w:val="single" w:sz="8" w:color="CCECFF"/>
            </w:tcBorders>
            <w:shd w:val="clear" w:color="auto" w:fill="CCECFF"/>
          </w:tcPr>
          <w:p>
            <w:pPr>
              <w:spacing w:after="0"/>
              <w:rPr>
                <w:sz w:val="17"/>
                <w:szCs w:val="17"/>
                <w:color w:val="auto"/>
              </w:rPr>
            </w:pPr>
          </w:p>
        </w:tc>
        <w:tc>
          <w:tcPr>
            <w:tcW w:w="100" w:type="dxa"/>
            <w:vAlign w:val="bottom"/>
            <w:tcBorders>
              <w:top w:val="single" w:sz="8" w:color="CCECFF"/>
            </w:tcBorders>
            <w:shd w:val="clear" w:color="auto" w:fill="CCECFF"/>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140" w:type="dxa"/>
            <w:vAlign w:val="bottom"/>
            <w:tcBorders>
              <w:bottom w:val="single" w:sz="8" w:color="CCECFF"/>
            </w:tcBorders>
            <w:shd w:val="clear" w:color="auto" w:fill="CCECFF"/>
          </w:tcPr>
          <w:p>
            <w:pPr>
              <w:ind w:left="140"/>
              <w:spacing w:after="0"/>
              <w:rPr>
                <w:sz w:val="20"/>
                <w:szCs w:val="20"/>
                <w:color w:val="auto"/>
              </w:rPr>
            </w:pPr>
            <w:r>
              <w:rPr>
                <w:rFonts w:ascii="Arial" w:cs="Arial" w:eastAsia="Arial" w:hAnsi="Arial"/>
                <w:sz w:val="18"/>
                <w:szCs w:val="18"/>
                <w:color w:val="auto"/>
              </w:rPr>
              <w:t>2016</w:t>
            </w:r>
          </w:p>
        </w:tc>
        <w:tc>
          <w:tcPr>
            <w:tcW w:w="860" w:type="dxa"/>
            <w:vAlign w:val="bottom"/>
            <w:tcBorders>
              <w:bottom w:val="single" w:sz="8" w:color="CCECFF"/>
            </w:tcBorders>
            <w:shd w:val="clear" w:color="auto" w:fill="CCECFF"/>
          </w:tcPr>
          <w:p>
            <w:pPr>
              <w:spacing w:after="0"/>
              <w:rPr>
                <w:sz w:val="20"/>
                <w:szCs w:val="20"/>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4,264,788</w:t>
            </w:r>
          </w:p>
        </w:tc>
        <w:tc>
          <w:tcPr>
            <w:tcW w:w="140" w:type="dxa"/>
            <w:vAlign w:val="bottom"/>
            <w:tcBorders>
              <w:bottom w:val="single" w:sz="8" w:color="CCECFF"/>
            </w:tcBorders>
            <w:shd w:val="clear" w:color="auto" w:fill="CCECFF"/>
          </w:tcPr>
          <w:p>
            <w:pPr>
              <w:spacing w:after="0"/>
              <w:rPr>
                <w:sz w:val="20"/>
                <w:szCs w:val="20"/>
                <w:color w:val="auto"/>
              </w:rPr>
            </w:pPr>
          </w:p>
        </w:tc>
        <w:tc>
          <w:tcPr>
            <w:tcW w:w="220" w:type="dxa"/>
            <w:vAlign w:val="bottom"/>
            <w:tcBorders>
              <w:bottom w:val="single" w:sz="8" w:color="CCECFF"/>
            </w:tcBorders>
            <w:gridSpan w:val="2"/>
            <w:shd w:val="clear" w:color="auto" w:fill="CCECFF"/>
          </w:tcPr>
          <w:p>
            <w:pPr>
              <w:ind w:left="10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61.33</w:t>
            </w:r>
          </w:p>
        </w:tc>
        <w:tc>
          <w:tcPr>
            <w:tcW w:w="260" w:type="dxa"/>
            <w:vAlign w:val="bottom"/>
            <w:tcBorders>
              <w:bottom w:val="single" w:sz="8" w:color="CCECFF"/>
            </w:tcBorders>
            <w:shd w:val="clear" w:color="auto" w:fill="CCECFF"/>
          </w:tcPr>
          <w:p>
            <w:pPr>
              <w:spacing w:after="0"/>
              <w:rPr>
                <w:sz w:val="20"/>
                <w:szCs w:val="20"/>
                <w:color w:val="auto"/>
              </w:rPr>
            </w:pPr>
          </w:p>
        </w:tc>
        <w:tc>
          <w:tcPr>
            <w:tcW w:w="108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8.18</w:t>
            </w:r>
          </w:p>
        </w:tc>
        <w:tc>
          <w:tcPr>
            <w:tcW w:w="380" w:type="dxa"/>
            <w:vAlign w:val="bottom"/>
            <w:tcBorders>
              <w:bottom w:val="single" w:sz="8" w:color="CCECFF"/>
            </w:tcBorders>
            <w:gridSpan w:val="2"/>
            <w:shd w:val="clear" w:color="auto" w:fill="CCECFF"/>
          </w:tcPr>
          <w:p>
            <w:pPr>
              <w:ind w:left="2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78,412</w:t>
            </w:r>
          </w:p>
        </w:tc>
        <w:tc>
          <w:tcPr>
            <w:tcW w:w="100" w:type="dxa"/>
            <w:vAlign w:val="bottom"/>
            <w:tcBorders>
              <w:bottom w:val="single" w:sz="8" w:color="CCECFF"/>
            </w:tcBorders>
            <w:shd w:val="clear" w:color="auto" w:fill="CCECFF"/>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5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080" w:type="dxa"/>
            <w:vAlign w:val="bottom"/>
            <w:gridSpan w:val="3"/>
          </w:tcPr>
          <w:p>
            <w:pPr>
              <w:jc w:val="right"/>
              <w:ind w:right="920"/>
              <w:spacing w:after="0"/>
              <w:rPr>
                <w:sz w:val="20"/>
                <w:szCs w:val="20"/>
                <w:color w:val="auto"/>
              </w:rPr>
            </w:pPr>
            <w:r>
              <w:rPr>
                <w:rFonts w:ascii="Arial" w:cs="Arial" w:eastAsia="Arial" w:hAnsi="Arial"/>
                <w:sz w:val="18"/>
                <w:szCs w:val="18"/>
                <w:color w:val="auto"/>
              </w:rPr>
              <w:t>F-17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0" w:name="page91"/>
    <w:bookmarkEnd w:id="90"/>
    <w:p>
      <w:pPr>
        <w:jc w:val="center"/>
        <w:ind w:right="-39"/>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6" w:lineRule="exact"/>
        <w:rPr>
          <w:sz w:val="20"/>
          <w:szCs w:val="20"/>
          <w:color w:val="auto"/>
        </w:rPr>
      </w:pPr>
    </w:p>
    <w:p>
      <w:pPr>
        <w:ind w:right="140" w:firstLine="518"/>
        <w:spacing w:after="0" w:line="270" w:lineRule="auto"/>
        <w:rPr>
          <w:sz w:val="20"/>
          <w:szCs w:val="20"/>
          <w:color w:val="auto"/>
        </w:rPr>
      </w:pPr>
      <w:r>
        <w:rPr>
          <w:rFonts w:ascii="Arial" w:cs="Arial" w:eastAsia="Arial" w:hAnsi="Arial"/>
          <w:sz w:val="18"/>
          <w:szCs w:val="18"/>
          <w:color w:val="auto"/>
        </w:rPr>
        <w:t>The aggregate intrinsic values of options outstanding, vested and exercisable, and vested and expected to vest were calculated as the difference between the exercise price of the options and the fair value of the Company’s common stock. The total intrinsic value of options exercised during the years ended December 31, 2016, 2015, and 2014 was $22.2 million, $59.0 million and $12.1 million, respectively. Cash received from the exercise of options was $9.0 million, $6.9 million, and $0.7 million as of December 31, 2016, 2015, and 2014, respectively.</w:t>
      </w:r>
    </w:p>
    <w:p>
      <w:pPr>
        <w:spacing w:after="0" w:line="2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weighted-average estimated fair value of stock options granted was $40.49, $54.90 and $26.58 per share of the Company’s common stock during the years ended December 31, 2016, 2015, and 2014, respectively. The total estimated fair value of options vested during the years ended December 31, 2016, 2015, and 2014 was $43.8 million, $10.7 million, and $2.0 million,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activity under the Company’s Restricted Stock Units (RSUs) from the 2014 Plan and related information:</w:t>
      </w:r>
    </w:p>
    <w:p>
      <w:pPr>
        <w:spacing w:after="0" w:line="86"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p>
        </w:tc>
        <w:tc>
          <w:tcPr>
            <w:tcW w:w="2880" w:type="dxa"/>
            <w:vAlign w:val="bottom"/>
            <w:gridSpan w:val="5"/>
          </w:tcPr>
          <w:p>
            <w:pPr>
              <w:ind w:left="680"/>
              <w:spacing w:after="0"/>
              <w:rPr>
                <w:sz w:val="20"/>
                <w:szCs w:val="20"/>
                <w:color w:val="auto"/>
              </w:rPr>
            </w:pPr>
            <w:r>
              <w:rPr>
                <w:rFonts w:ascii="Arial" w:cs="Arial" w:eastAsia="Arial" w:hAnsi="Arial"/>
                <w:sz w:val="18"/>
                <w:szCs w:val="18"/>
                <w:b w:val="1"/>
                <w:bCs w:val="1"/>
                <w:color w:val="auto"/>
              </w:rPr>
              <w:t>RSUs Outstanding</w:t>
            </w:r>
          </w:p>
        </w:tc>
      </w:tr>
      <w:tr>
        <w:trPr>
          <w:trHeight w:val="205"/>
        </w:trPr>
        <w:tc>
          <w:tcPr>
            <w:tcW w:w="510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center"/>
              <w:ind w:right="10"/>
              <w:spacing w:after="0" w:line="205" w:lineRule="exact"/>
              <w:rPr>
                <w:sz w:val="20"/>
                <w:szCs w:val="20"/>
                <w:color w:val="auto"/>
              </w:rPr>
            </w:pPr>
            <w:r>
              <w:rPr>
                <w:rFonts w:ascii="Arial" w:cs="Arial" w:eastAsia="Arial" w:hAnsi="Arial"/>
                <w:sz w:val="18"/>
                <w:szCs w:val="18"/>
                <w:b w:val="1"/>
                <w:bCs w:val="1"/>
                <w:color w:val="auto"/>
                <w:w w:val="89"/>
              </w:rPr>
              <w:t>Weighted-</w:t>
            </w:r>
          </w:p>
        </w:tc>
        <w:tc>
          <w:tcPr>
            <w:tcW w:w="80" w:type="dxa"/>
            <w:vAlign w:val="bottom"/>
          </w:tcPr>
          <w:p>
            <w:pPr>
              <w:spacing w:after="0"/>
              <w:rPr>
                <w:sz w:val="17"/>
                <w:szCs w:val="17"/>
                <w:color w:val="auto"/>
              </w:rPr>
            </w:pPr>
          </w:p>
        </w:tc>
      </w:tr>
      <w:tr>
        <w:trPr>
          <w:trHeight w:val="216"/>
        </w:trPr>
        <w:tc>
          <w:tcPr>
            <w:tcW w:w="5100" w:type="dxa"/>
            <w:vAlign w:val="bottom"/>
          </w:tcPr>
          <w:p>
            <w:pPr>
              <w:spacing w:after="0"/>
              <w:rPr>
                <w:sz w:val="18"/>
                <w:szCs w:val="18"/>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Average Grant</w:t>
            </w:r>
          </w:p>
        </w:tc>
      </w:tr>
      <w:tr>
        <w:trPr>
          <w:trHeight w:val="234"/>
        </w:trPr>
        <w:tc>
          <w:tcPr>
            <w:tcW w:w="5100" w:type="dxa"/>
            <w:vAlign w:val="bottom"/>
          </w:tcPr>
          <w:p>
            <w:pPr>
              <w:spacing w:after="0"/>
              <w:rPr>
                <w:sz w:val="20"/>
                <w:szCs w:val="20"/>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of Shares</w:t>
            </w:r>
          </w:p>
        </w:tc>
        <w:tc>
          <w:tcPr>
            <w:tcW w:w="14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3"/>
              </w:rPr>
              <w:t>Date Fair Value</w:t>
            </w:r>
          </w:p>
        </w:tc>
      </w:tr>
      <w:tr>
        <w:trPr>
          <w:trHeight w:val="223"/>
        </w:trPr>
        <w:tc>
          <w:tcPr>
            <w:tcW w:w="510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Unvested — December 31, 2013</w:t>
            </w:r>
          </w:p>
        </w:tc>
        <w:tc>
          <w:tcPr>
            <w:tcW w:w="13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CFF"/>
            </w:tcBorders>
            <w:shd w:val="clear" w:color="auto" w:fill="CCECFF"/>
          </w:tcPr>
          <w:p>
            <w:pPr>
              <w:spacing w:after="0"/>
              <w:rPr>
                <w:sz w:val="19"/>
                <w:szCs w:val="19"/>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CFF"/>
            </w:tcBorders>
            <w:shd w:val="clear" w:color="auto" w:fill="CCECFF"/>
          </w:tcPr>
          <w:p>
            <w:pPr>
              <w:spacing w:after="0"/>
              <w:rPr>
                <w:sz w:val="19"/>
                <w:szCs w:val="19"/>
                <w:color w:val="auto"/>
              </w:rPr>
            </w:pPr>
          </w:p>
        </w:tc>
      </w:tr>
      <w:tr>
        <w:trPr>
          <w:trHeight w:val="230"/>
        </w:trPr>
        <w:tc>
          <w:tcPr>
            <w:tcW w:w="5100" w:type="dxa"/>
            <w:vAlign w:val="bottom"/>
            <w:tcBorders>
              <w:bottom w:val="single" w:sz="8" w:color="CCECFF"/>
            </w:tcBorders>
          </w:tcPr>
          <w:p>
            <w:pPr>
              <w:ind w:left="240"/>
              <w:spacing w:after="0"/>
              <w:rPr>
                <w:sz w:val="20"/>
                <w:szCs w:val="20"/>
                <w:color w:val="auto"/>
              </w:rPr>
            </w:pPr>
            <w:r>
              <w:rPr>
                <w:rFonts w:ascii="Arial" w:cs="Arial" w:eastAsia="Arial" w:hAnsi="Arial"/>
                <w:sz w:val="18"/>
                <w:szCs w:val="18"/>
                <w:color w:val="auto"/>
              </w:rPr>
              <w:t>RSUs granted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31,000</w:t>
            </w:r>
          </w:p>
        </w:tc>
        <w:tc>
          <w:tcPr>
            <w:tcW w:w="160" w:type="dxa"/>
            <w:vAlign w:val="bottom"/>
            <w:tcBorders>
              <w:bottom w:val="single" w:sz="8" w:color="CCECFF"/>
            </w:tcBorders>
          </w:tcPr>
          <w:p>
            <w:pPr>
              <w:spacing w:after="0"/>
              <w:rPr>
                <w:sz w:val="19"/>
                <w:szCs w:val="19"/>
                <w:color w:val="auto"/>
              </w:rPr>
            </w:pPr>
          </w:p>
        </w:tc>
        <w:tc>
          <w:tcPr>
            <w:tcW w:w="100" w:type="dxa"/>
            <w:vAlign w:val="bottom"/>
            <w:tcBorders>
              <w:bottom w:val="single" w:sz="8" w:color="CCECFF"/>
            </w:tcBorders>
          </w:tcPr>
          <w:p>
            <w:pPr>
              <w:spacing w:after="0"/>
              <w:rPr>
                <w:sz w:val="19"/>
                <w:szCs w:val="19"/>
                <w:color w:val="auto"/>
              </w:rPr>
            </w:pPr>
          </w:p>
        </w:tc>
        <w:tc>
          <w:tcPr>
            <w:tcW w:w="1240" w:type="dxa"/>
            <w:vAlign w:val="bottom"/>
            <w:tcBorders>
              <w:bottom w:val="single" w:sz="8" w:color="CCECFF"/>
            </w:tcBorders>
          </w:tcPr>
          <w:p>
            <w:pPr>
              <w:jc w:val="right"/>
              <w:spacing w:after="0"/>
              <w:rPr>
                <w:sz w:val="20"/>
                <w:szCs w:val="20"/>
                <w:color w:val="auto"/>
              </w:rPr>
            </w:pPr>
            <w:r>
              <w:rPr>
                <w:rFonts w:ascii="Arial" w:cs="Arial" w:eastAsia="Arial" w:hAnsi="Arial"/>
                <w:sz w:val="18"/>
                <w:szCs w:val="18"/>
                <w:color w:val="auto"/>
              </w:rPr>
              <w:t>53.23</w:t>
            </w:r>
          </w:p>
        </w:tc>
        <w:tc>
          <w:tcPr>
            <w:tcW w:w="80" w:type="dxa"/>
            <w:vAlign w:val="bottom"/>
            <w:tcBorders>
              <w:bottom w:val="single" w:sz="8" w:color="CCECFF"/>
            </w:tcBorders>
          </w:tcPr>
          <w:p>
            <w:pPr>
              <w:spacing w:after="0"/>
              <w:rPr>
                <w:sz w:val="19"/>
                <w:szCs w:val="19"/>
                <w:color w:val="auto"/>
              </w:rPr>
            </w:pPr>
          </w:p>
        </w:tc>
      </w:tr>
      <w:tr>
        <w:trPr>
          <w:trHeight w:val="223"/>
        </w:trPr>
        <w:tc>
          <w:tcPr>
            <w:tcW w:w="5100" w:type="dxa"/>
            <w:vAlign w:val="bottom"/>
            <w:shd w:val="clear" w:color="auto" w:fill="CCECFF"/>
          </w:tcPr>
          <w:p>
            <w:pPr>
              <w:spacing w:after="0"/>
              <w:rPr>
                <w:sz w:val="20"/>
                <w:szCs w:val="20"/>
                <w:color w:val="auto"/>
              </w:rPr>
            </w:pPr>
            <w:r>
              <w:rPr>
                <w:rFonts w:ascii="Arial" w:cs="Arial" w:eastAsia="Arial" w:hAnsi="Arial"/>
                <w:sz w:val="18"/>
                <w:szCs w:val="18"/>
                <w:color w:val="auto"/>
              </w:rPr>
              <w:t>Unvested — December 31, 2014</w:t>
            </w:r>
          </w:p>
        </w:tc>
        <w:tc>
          <w:tcPr>
            <w:tcW w:w="13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31,000</w:t>
            </w:r>
          </w:p>
        </w:tc>
        <w:tc>
          <w:tcPr>
            <w:tcW w:w="160" w:type="dxa"/>
            <w:vAlign w:val="bottom"/>
            <w:shd w:val="clear" w:color="auto" w:fill="CCECFF"/>
          </w:tcPr>
          <w:p>
            <w:pPr>
              <w:spacing w:after="0"/>
              <w:rPr>
                <w:sz w:val="19"/>
                <w:szCs w:val="19"/>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53.23</w:t>
            </w:r>
          </w:p>
        </w:tc>
        <w:tc>
          <w:tcPr>
            <w:tcW w:w="80" w:type="dxa"/>
            <w:vAlign w:val="bottom"/>
            <w:shd w:val="clear" w:color="auto" w:fill="CCECFF"/>
          </w:tcPr>
          <w:p>
            <w:pPr>
              <w:spacing w:after="0"/>
              <w:rPr>
                <w:sz w:val="19"/>
                <w:szCs w:val="19"/>
                <w:color w:val="auto"/>
              </w:rPr>
            </w:pPr>
          </w:p>
        </w:tc>
      </w:tr>
      <w:tr>
        <w:trPr>
          <w:trHeight w:val="230"/>
        </w:trPr>
        <w:tc>
          <w:tcPr>
            <w:tcW w:w="5100" w:type="dxa"/>
            <w:vAlign w:val="bottom"/>
          </w:tcPr>
          <w:p>
            <w:pPr>
              <w:ind w:left="240"/>
              <w:spacing w:after="0"/>
              <w:rPr>
                <w:sz w:val="20"/>
                <w:szCs w:val="20"/>
                <w:color w:val="auto"/>
              </w:rPr>
            </w:pPr>
            <w:r>
              <w:rPr>
                <w:rFonts w:ascii="Arial" w:cs="Arial" w:eastAsia="Arial" w:hAnsi="Arial"/>
                <w:sz w:val="18"/>
                <w:szCs w:val="18"/>
                <w:color w:val="auto"/>
              </w:rPr>
              <w:t>RSUs 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187,260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89.67</w:t>
            </w:r>
          </w:p>
        </w:tc>
        <w:tc>
          <w:tcPr>
            <w:tcW w:w="80" w:type="dxa"/>
            <w:vAlign w:val="bottom"/>
          </w:tcPr>
          <w:p>
            <w:pPr>
              <w:spacing w:after="0"/>
              <w:rPr>
                <w:sz w:val="19"/>
                <w:szCs w:val="19"/>
                <w:color w:val="auto"/>
              </w:rPr>
            </w:pPr>
          </w:p>
        </w:tc>
      </w:tr>
      <w:tr>
        <w:trPr>
          <w:trHeight w:val="230"/>
        </w:trPr>
        <w:tc>
          <w:tcPr>
            <w:tcW w:w="5100" w:type="dxa"/>
            <w:vAlign w:val="bottom"/>
            <w:shd w:val="clear" w:color="auto" w:fill="CCECFF"/>
          </w:tcPr>
          <w:p>
            <w:pPr>
              <w:ind w:left="240"/>
              <w:spacing w:after="0"/>
              <w:rPr>
                <w:sz w:val="20"/>
                <w:szCs w:val="20"/>
                <w:color w:val="auto"/>
              </w:rPr>
            </w:pPr>
            <w:r>
              <w:rPr>
                <w:rFonts w:ascii="Arial" w:cs="Arial" w:eastAsia="Arial" w:hAnsi="Arial"/>
                <w:sz w:val="18"/>
                <w:szCs w:val="18"/>
                <w:color w:val="auto"/>
              </w:rPr>
              <w:t>RSUs released</w:t>
            </w:r>
          </w:p>
        </w:tc>
        <w:tc>
          <w:tcPr>
            <w:tcW w:w="146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(18,209)</w:t>
            </w:r>
          </w:p>
        </w:tc>
        <w:tc>
          <w:tcPr>
            <w:tcW w:w="100" w:type="dxa"/>
            <w:vAlign w:val="bottom"/>
            <w:shd w:val="clear" w:color="auto" w:fill="CCECFF"/>
          </w:tcPr>
          <w:p>
            <w:pPr>
              <w:spacing w:after="0"/>
              <w:rPr>
                <w:sz w:val="19"/>
                <w:szCs w:val="19"/>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54.72</w:t>
            </w:r>
          </w:p>
        </w:tc>
        <w:tc>
          <w:tcPr>
            <w:tcW w:w="80" w:type="dxa"/>
            <w:vAlign w:val="bottom"/>
            <w:shd w:val="clear" w:color="auto" w:fill="CCECFF"/>
          </w:tcPr>
          <w:p>
            <w:pPr>
              <w:spacing w:after="0"/>
              <w:rPr>
                <w:sz w:val="19"/>
                <w:szCs w:val="19"/>
                <w:color w:val="auto"/>
              </w:rPr>
            </w:pPr>
          </w:p>
        </w:tc>
      </w:tr>
      <w:tr>
        <w:trPr>
          <w:trHeight w:val="230"/>
        </w:trPr>
        <w:tc>
          <w:tcPr>
            <w:tcW w:w="5100" w:type="dxa"/>
            <w:vAlign w:val="bottom"/>
          </w:tcPr>
          <w:p>
            <w:pPr>
              <w:ind w:left="240"/>
              <w:spacing w:after="0"/>
              <w:rPr>
                <w:sz w:val="20"/>
                <w:szCs w:val="20"/>
                <w:color w:val="auto"/>
              </w:rPr>
            </w:pPr>
            <w:r>
              <w:rPr>
                <w:rFonts w:ascii="Arial" w:cs="Arial" w:eastAsia="Arial" w:hAnsi="Arial"/>
                <w:sz w:val="18"/>
                <w:szCs w:val="18"/>
                <w:color w:val="auto"/>
              </w:rPr>
              <w:t>RSUs cancelled</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(2,900)</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84.89</w:t>
            </w:r>
          </w:p>
        </w:tc>
        <w:tc>
          <w:tcPr>
            <w:tcW w:w="80" w:type="dxa"/>
            <w:vAlign w:val="bottom"/>
          </w:tcPr>
          <w:p>
            <w:pPr>
              <w:spacing w:after="0"/>
              <w:rPr>
                <w:sz w:val="19"/>
                <w:szCs w:val="19"/>
                <w:color w:val="auto"/>
              </w:rPr>
            </w:pPr>
          </w:p>
        </w:tc>
      </w:tr>
      <w:tr>
        <w:trPr>
          <w:trHeight w:val="223"/>
        </w:trPr>
        <w:tc>
          <w:tcPr>
            <w:tcW w:w="510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Unvested — December 31, 2015</w:t>
            </w:r>
          </w:p>
        </w:tc>
        <w:tc>
          <w:tcPr>
            <w:tcW w:w="13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197,151</w:t>
            </w:r>
          </w:p>
        </w:tc>
        <w:tc>
          <w:tcPr>
            <w:tcW w:w="160" w:type="dxa"/>
            <w:vAlign w:val="bottom"/>
            <w:tcBorders>
              <w:top w:val="single" w:sz="8" w:color="CCECFF"/>
            </w:tcBorders>
            <w:shd w:val="clear" w:color="auto" w:fill="CCECFF"/>
          </w:tcPr>
          <w:p>
            <w:pPr>
              <w:spacing w:after="0"/>
              <w:rPr>
                <w:sz w:val="19"/>
                <w:szCs w:val="19"/>
                <w:color w:val="auto"/>
              </w:rPr>
            </w:pPr>
          </w:p>
        </w:tc>
        <w:tc>
          <w:tcPr>
            <w:tcW w:w="100" w:type="dxa"/>
            <w:vAlign w:val="bottom"/>
            <w:tcBorders>
              <w:top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87.24</w:t>
            </w:r>
          </w:p>
        </w:tc>
        <w:tc>
          <w:tcPr>
            <w:tcW w:w="80" w:type="dxa"/>
            <w:vAlign w:val="bottom"/>
            <w:tcBorders>
              <w:top w:val="single" w:sz="8" w:color="CCECFF"/>
            </w:tcBorders>
            <w:shd w:val="clear" w:color="auto" w:fill="CCECFF"/>
          </w:tcPr>
          <w:p>
            <w:pPr>
              <w:spacing w:after="0"/>
              <w:rPr>
                <w:sz w:val="19"/>
                <w:szCs w:val="19"/>
                <w:color w:val="auto"/>
              </w:rPr>
            </w:pPr>
          </w:p>
        </w:tc>
      </w:tr>
      <w:tr>
        <w:trPr>
          <w:trHeight w:val="230"/>
        </w:trPr>
        <w:tc>
          <w:tcPr>
            <w:tcW w:w="5100" w:type="dxa"/>
            <w:vAlign w:val="bottom"/>
          </w:tcPr>
          <w:p>
            <w:pPr>
              <w:ind w:left="240"/>
              <w:spacing w:after="0"/>
              <w:rPr>
                <w:sz w:val="20"/>
                <w:szCs w:val="20"/>
                <w:color w:val="auto"/>
              </w:rPr>
            </w:pPr>
            <w:r>
              <w:rPr>
                <w:rFonts w:ascii="Arial" w:cs="Arial" w:eastAsia="Arial" w:hAnsi="Arial"/>
                <w:sz w:val="18"/>
                <w:szCs w:val="18"/>
                <w:color w:val="auto"/>
              </w:rPr>
              <w:t>RSUs 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477,816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66.83</w:t>
            </w:r>
          </w:p>
        </w:tc>
        <w:tc>
          <w:tcPr>
            <w:tcW w:w="80" w:type="dxa"/>
            <w:vAlign w:val="bottom"/>
          </w:tcPr>
          <w:p>
            <w:pPr>
              <w:spacing w:after="0"/>
              <w:rPr>
                <w:sz w:val="19"/>
                <w:szCs w:val="19"/>
                <w:color w:val="auto"/>
              </w:rPr>
            </w:pPr>
          </w:p>
        </w:tc>
      </w:tr>
      <w:tr>
        <w:trPr>
          <w:trHeight w:val="230"/>
        </w:trPr>
        <w:tc>
          <w:tcPr>
            <w:tcW w:w="5100" w:type="dxa"/>
            <w:vAlign w:val="bottom"/>
            <w:shd w:val="clear" w:color="auto" w:fill="CCECFF"/>
          </w:tcPr>
          <w:p>
            <w:pPr>
              <w:ind w:left="240"/>
              <w:spacing w:after="0"/>
              <w:rPr>
                <w:sz w:val="20"/>
                <w:szCs w:val="20"/>
                <w:color w:val="auto"/>
              </w:rPr>
            </w:pPr>
            <w:r>
              <w:rPr>
                <w:rFonts w:ascii="Arial" w:cs="Arial" w:eastAsia="Arial" w:hAnsi="Arial"/>
                <w:sz w:val="18"/>
                <w:szCs w:val="18"/>
                <w:color w:val="auto"/>
              </w:rPr>
              <w:t>RSUs released</w:t>
            </w:r>
          </w:p>
        </w:tc>
        <w:tc>
          <w:tcPr>
            <w:tcW w:w="146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(52,273)</w:t>
            </w:r>
          </w:p>
        </w:tc>
        <w:tc>
          <w:tcPr>
            <w:tcW w:w="100" w:type="dxa"/>
            <w:vAlign w:val="bottom"/>
            <w:shd w:val="clear" w:color="auto" w:fill="CCECFF"/>
          </w:tcPr>
          <w:p>
            <w:pPr>
              <w:spacing w:after="0"/>
              <w:rPr>
                <w:sz w:val="19"/>
                <w:szCs w:val="19"/>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82.59</w:t>
            </w:r>
          </w:p>
        </w:tc>
        <w:tc>
          <w:tcPr>
            <w:tcW w:w="80" w:type="dxa"/>
            <w:vAlign w:val="bottom"/>
            <w:shd w:val="clear" w:color="auto" w:fill="CCECFF"/>
          </w:tcPr>
          <w:p>
            <w:pPr>
              <w:spacing w:after="0"/>
              <w:rPr>
                <w:sz w:val="19"/>
                <w:szCs w:val="19"/>
                <w:color w:val="auto"/>
              </w:rPr>
            </w:pPr>
          </w:p>
        </w:tc>
      </w:tr>
      <w:tr>
        <w:trPr>
          <w:trHeight w:val="230"/>
        </w:trPr>
        <w:tc>
          <w:tcPr>
            <w:tcW w:w="5100" w:type="dxa"/>
            <w:vAlign w:val="bottom"/>
          </w:tcPr>
          <w:p>
            <w:pPr>
              <w:ind w:left="240"/>
              <w:spacing w:after="0"/>
              <w:rPr>
                <w:sz w:val="20"/>
                <w:szCs w:val="20"/>
                <w:color w:val="auto"/>
              </w:rPr>
            </w:pPr>
            <w:r>
              <w:rPr>
                <w:rFonts w:ascii="Arial" w:cs="Arial" w:eastAsia="Arial" w:hAnsi="Arial"/>
                <w:sz w:val="18"/>
                <w:szCs w:val="18"/>
                <w:color w:val="auto"/>
              </w:rPr>
              <w:t>RSUs cancelled</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(48,950)</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78.04</w:t>
            </w:r>
          </w:p>
        </w:tc>
        <w:tc>
          <w:tcPr>
            <w:tcW w:w="80" w:type="dxa"/>
            <w:vAlign w:val="bottom"/>
          </w:tcPr>
          <w:p>
            <w:pPr>
              <w:spacing w:after="0"/>
              <w:rPr>
                <w:sz w:val="19"/>
                <w:szCs w:val="19"/>
                <w:color w:val="auto"/>
              </w:rPr>
            </w:pPr>
          </w:p>
        </w:tc>
      </w:tr>
      <w:tr>
        <w:trPr>
          <w:trHeight w:val="223"/>
        </w:trPr>
        <w:tc>
          <w:tcPr>
            <w:tcW w:w="5100" w:type="dxa"/>
            <w:vAlign w:val="bottom"/>
            <w:tcBorders>
              <w:top w:val="single" w:sz="8" w:color="CCECFF"/>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Unvested — December 31, 2016</w:t>
            </w:r>
          </w:p>
        </w:tc>
        <w:tc>
          <w:tcPr>
            <w:tcW w:w="13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573,744</w:t>
            </w:r>
          </w:p>
        </w:tc>
        <w:tc>
          <w:tcPr>
            <w:tcW w:w="160" w:type="dxa"/>
            <w:vAlign w:val="bottom"/>
            <w:tcBorders>
              <w:top w:val="single" w:sz="8" w:color="CCECFF"/>
              <w:bottom w:val="single" w:sz="8" w:color="CCECFF"/>
            </w:tcBorders>
            <w:shd w:val="clear" w:color="auto" w:fill="CCECFF"/>
          </w:tcPr>
          <w:p>
            <w:pPr>
              <w:spacing w:after="0"/>
              <w:rPr>
                <w:sz w:val="19"/>
                <w:szCs w:val="19"/>
                <w:color w:val="auto"/>
              </w:rPr>
            </w:pPr>
          </w:p>
        </w:tc>
        <w:tc>
          <w:tcPr>
            <w:tcW w:w="100" w:type="dxa"/>
            <w:vAlign w:val="bottom"/>
            <w:tcBorders>
              <w:top w:val="single" w:sz="8" w:color="CCECFF"/>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CCECFF"/>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71.45</w:t>
            </w:r>
          </w:p>
        </w:tc>
        <w:tc>
          <w:tcPr>
            <w:tcW w:w="80" w:type="dxa"/>
            <w:vAlign w:val="bottom"/>
            <w:tcBorders>
              <w:top w:val="single" w:sz="8" w:color="CCECFF"/>
              <w:bottom w:val="single" w:sz="8" w:color="CCECFF"/>
            </w:tcBorders>
            <w:shd w:val="clear" w:color="auto" w:fill="CCECFF"/>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right="300" w:firstLine="518"/>
        <w:spacing w:after="0" w:line="264" w:lineRule="auto"/>
        <w:rPr>
          <w:sz w:val="20"/>
          <w:szCs w:val="20"/>
          <w:color w:val="auto"/>
        </w:rPr>
      </w:pPr>
      <w:r>
        <w:rPr>
          <w:rFonts w:ascii="Arial" w:cs="Arial" w:eastAsia="Arial" w:hAnsi="Arial"/>
          <w:sz w:val="18"/>
          <w:szCs w:val="18"/>
          <w:color w:val="auto"/>
        </w:rPr>
        <w:t>The fair value of the RSUs is determined on the grant date based on the fair value of the Company’s common stock. The fair value of the RSUs is recognized as expense ratably over the vesting period of one to four years. The total fair value of the 52,273 shares vested during 2016 was approximately $4.3 million with an aggregate intrinsic value of the shares of $3.3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81"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In January 2014, the Company adopted the 2014 Employee Stock Purchase Plan (ESPP) which became effective upon the closing of our IPO in February 2014. The Company had reserved a total of 600,000 shares of common stock for issuance under the ESPP. The ESPP provides for automatic annual increases in shares available for grant, beginning on January 1, 2015 through January 1, 2024. Eligible employees may purchase common stock at 85% of the lesser of the fair market value of common stock on the offering date or the purchase date with a six-month look-back feature. ESPP purchases are settled with common stock from the ESPP’s previously authorized and available pool of shares.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Stock-Based Compensation Expense</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84"/>
        </w:trPr>
        <w:tc>
          <w:tcPr>
            <w:tcW w:w="6240" w:type="dxa"/>
            <w:vAlign w:val="bottom"/>
            <w:gridSpan w:val="2"/>
          </w:tcPr>
          <w:p>
            <w:pPr>
              <w:ind w:left="520"/>
              <w:spacing w:after="0"/>
              <w:rPr>
                <w:sz w:val="20"/>
                <w:szCs w:val="20"/>
                <w:color w:val="auto"/>
              </w:rPr>
            </w:pPr>
            <w:r>
              <w:rPr>
                <w:rFonts w:ascii="Arial" w:cs="Arial" w:eastAsia="Arial" w:hAnsi="Arial"/>
                <w:sz w:val="18"/>
                <w:szCs w:val="18"/>
                <w:color w:val="auto"/>
                <w:w w:val="95"/>
              </w:rPr>
              <w:t>Total stock-based compensation recognized was as follows (in thousands):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1"/>
        </w:trPr>
        <w:tc>
          <w:tcPr>
            <w:tcW w:w="11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1160" w:type="dxa"/>
            <w:vAlign w:val="bottom"/>
          </w:tcPr>
          <w:p>
            <w:pPr>
              <w:spacing w:after="0"/>
              <w:rPr>
                <w:sz w:val="19"/>
                <w:szCs w:val="19"/>
                <w:color w:val="auto"/>
              </w:rPr>
            </w:pPr>
          </w:p>
        </w:tc>
        <w:tc>
          <w:tcPr>
            <w:tcW w:w="5080" w:type="dxa"/>
            <w:vAlign w:val="bottom"/>
            <w:tcBorders>
              <w:bottom w:val="single" w:sz="8" w:color="CCEC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bottom w:val="single" w:sz="8" w:color="CCEC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bottom w:val="single" w:sz="8" w:color="CCEC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80" w:type="dxa"/>
            <w:vAlign w:val="bottom"/>
            <w:tcBorders>
              <w:bottom w:val="single" w:sz="8" w:color="CCECFF"/>
            </w:tcBorders>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5080" w:type="dxa"/>
            <w:vAlign w:val="bottom"/>
            <w:shd w:val="clear" w:color="auto" w:fill="CCEC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29,412</w:t>
            </w:r>
          </w:p>
        </w:tc>
        <w:tc>
          <w:tcPr>
            <w:tcW w:w="240" w:type="dxa"/>
            <w:vAlign w:val="bottom"/>
            <w:shd w:val="clear" w:color="auto" w:fill="CCECFF"/>
          </w:tcPr>
          <w:p>
            <w:pPr>
              <w:spacing w:after="0"/>
              <w:rPr>
                <w:sz w:val="19"/>
                <w:szCs w:val="19"/>
                <w:color w:val="auto"/>
              </w:rPr>
            </w:pPr>
          </w:p>
        </w:tc>
        <w:tc>
          <w:tcPr>
            <w:tcW w:w="240" w:type="dxa"/>
            <w:vAlign w:val="bottom"/>
            <w:shd w:val="clear" w:color="auto" w:fill="CCEC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17,100</w:t>
            </w:r>
          </w:p>
        </w:tc>
        <w:tc>
          <w:tcPr>
            <w:tcW w:w="240" w:type="dxa"/>
            <w:vAlign w:val="bottom"/>
            <w:shd w:val="clear" w:color="auto" w:fill="CCECFF"/>
          </w:tcPr>
          <w:p>
            <w:pPr>
              <w:spacing w:after="0"/>
              <w:rPr>
                <w:sz w:val="19"/>
                <w:szCs w:val="19"/>
                <w:color w:val="auto"/>
              </w:rPr>
            </w:pPr>
          </w:p>
        </w:tc>
        <w:tc>
          <w:tcPr>
            <w:tcW w:w="300" w:type="dxa"/>
            <w:vAlign w:val="bottom"/>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4,116</w:t>
            </w:r>
          </w:p>
        </w:tc>
        <w:tc>
          <w:tcPr>
            <w:tcW w:w="80" w:type="dxa"/>
            <w:vAlign w:val="bottom"/>
            <w:shd w:val="clear" w:color="auto" w:fill="CCECFF"/>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080" w:type="dxa"/>
            <w:vAlign w:val="bottom"/>
            <w:tcBorders>
              <w:bottom w:val="single" w:sz="8" w:color="CCECFF"/>
            </w:tcBorders>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18,897</w:t>
            </w:r>
          </w:p>
        </w:tc>
        <w:tc>
          <w:tcPr>
            <w:tcW w:w="240" w:type="dxa"/>
            <w:vAlign w:val="bottom"/>
            <w:tcBorders>
              <w:bottom w:val="single" w:sz="8" w:color="CCEC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7,784</w:t>
            </w:r>
          </w:p>
        </w:tc>
        <w:tc>
          <w:tcPr>
            <w:tcW w:w="240" w:type="dxa"/>
            <w:vAlign w:val="bottom"/>
            <w:tcBorders>
              <w:bottom w:val="single" w:sz="8" w:color="CCEC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80" w:type="dxa"/>
            <w:vAlign w:val="bottom"/>
            <w:tcBorders>
              <w:bottom w:val="single" w:sz="8" w:color="CCECFF"/>
            </w:tcBorders>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5080" w:type="dxa"/>
            <w:vAlign w:val="bottom"/>
            <w:tcBorders>
              <w:bottom w:val="single" w:sz="8" w:color="CCECFF"/>
            </w:tcBorders>
            <w:shd w:val="clear" w:color="auto" w:fill="CCECFF"/>
          </w:tcPr>
          <w:p>
            <w:pPr>
              <w:ind w:left="24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Borders>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48,309</w:t>
            </w:r>
          </w:p>
        </w:tc>
        <w:tc>
          <w:tcPr>
            <w:tcW w:w="24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24,884</w:t>
            </w:r>
          </w:p>
        </w:tc>
        <w:tc>
          <w:tcPr>
            <w:tcW w:w="240" w:type="dxa"/>
            <w:vAlign w:val="bottom"/>
            <w:tcBorders>
              <w:bottom w:val="single" w:sz="8" w:color="CCECFF"/>
            </w:tcBorders>
            <w:shd w:val="clear" w:color="auto" w:fill="CCECFF"/>
          </w:tcPr>
          <w:p>
            <w:pPr>
              <w:spacing w:after="0"/>
              <w:rPr>
                <w:sz w:val="19"/>
                <w:szCs w:val="19"/>
                <w:color w:val="auto"/>
              </w:rPr>
            </w:pP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5,394</w:t>
            </w:r>
          </w:p>
        </w:tc>
        <w:tc>
          <w:tcPr>
            <w:tcW w:w="80" w:type="dxa"/>
            <w:vAlign w:val="bottom"/>
            <w:tcBorders>
              <w:bottom w:val="single" w:sz="8" w:color="CCECFF"/>
            </w:tcBorders>
            <w:shd w:val="clear" w:color="auto" w:fill="CCECFF"/>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53"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As of December 31, 2016, the total unrecognized compensation expense related to unvested equity awards, net of estimated forfeitures, was $136.5 million, which the Company expects to recognize over an estimated weighted-average period of 2.78 years. In determining the estimated fair value of the stock-based awards, the Company uses the Black-Scholes option-pricing model and assumptions discussed below. Each of these inputs is subjective and generally requires significant judgment to determine.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1" w:name="page92"/>
    <w:bookmarkEnd w:id="91"/>
    <w:p>
      <w:pPr>
        <w:jc w:val="center"/>
        <w:ind w:right="20"/>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3" w:lineRule="exact"/>
        <w:rPr>
          <w:sz w:val="20"/>
          <w:szCs w:val="20"/>
          <w:color w:val="auto"/>
        </w:rPr>
      </w:pPr>
    </w:p>
    <w:p>
      <w:pPr>
        <w:ind w:left="520" w:right="320"/>
        <w:spacing w:after="0" w:line="334" w:lineRule="auto"/>
        <w:rPr>
          <w:sz w:val="20"/>
          <w:szCs w:val="20"/>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—The Company’s expected term represents the period that the Company’s stock-based awards are expected to be outstanding and is</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using the simplified method (based on the mid-point between the vesting date and the end of the contractual term).</w:t>
      </w:r>
    </w:p>
    <w:p>
      <w:pPr>
        <w:spacing w:after="0" w:line="1" w:lineRule="exact"/>
        <w:rPr>
          <w:sz w:val="20"/>
          <w:szCs w:val="20"/>
          <w:color w:val="auto"/>
        </w:rPr>
      </w:pPr>
    </w:p>
    <w:p>
      <w:pPr>
        <w:ind w:left="520" w:right="60"/>
        <w:spacing w:after="0" w:line="270" w:lineRule="auto"/>
        <w:rPr>
          <w:sz w:val="20"/>
          <w:szCs w:val="20"/>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—As the Company does not have sufficient historical stock price information from the Company to meet the expected life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stock-based awards, our approach to estimating expected volatility is to phase in our own common stock trading history and supplement the remaining historical information with a blended volatility from the trading history from the common stock of the set of comparable publicly traded biopharmaceutical companies. When selecting comparable publicly traded biopharmaceutical companies on which to base the expected stock price volatility, we selected companies with comparable characteristics to it, including enterprise value, risk profiles, position within the industry, and with historical share price information sufficient to meet the expected life of the stock-based awards. The historical volatility data was computed using the daily closing prices for the selected companies’ shares during the equivalent period of the calculated expected term of the stock-based awards. The average volatility for comparable publicly traded biopharmaceutical companies over a period equal to the expected term of the stock option grants is used to supplement the Company’s historical volatility. We will continue to apply this process until a sufficient amount of historical information regarding the volatility of our own stock price becomes available.</w:t>
      </w:r>
    </w:p>
    <w:p>
      <w:pPr>
        <w:spacing w:after="0" w:line="29" w:lineRule="exact"/>
        <w:rPr>
          <w:sz w:val="20"/>
          <w:szCs w:val="20"/>
          <w:color w:val="auto"/>
        </w:rPr>
      </w:pPr>
    </w:p>
    <w:p>
      <w:pPr>
        <w:ind w:left="520" w:right="800"/>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option.</w:t>
      </w:r>
    </w:p>
    <w:p>
      <w:pPr>
        <w:spacing w:after="0" w:line="22" w:lineRule="exact"/>
        <w:rPr>
          <w:sz w:val="20"/>
          <w:szCs w:val="20"/>
          <w:color w:val="auto"/>
        </w:rPr>
      </w:pPr>
    </w:p>
    <w:p>
      <w:pPr>
        <w:ind w:left="520" w:right="120"/>
        <w:spacing w:after="0" w:line="277" w:lineRule="auto"/>
        <w:rPr>
          <w:sz w:val="20"/>
          <w:szCs w:val="20"/>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—The Company has never paid dividends on its common stock and has no plans to pay dividends on its common stock. Therefore,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used an expected dividend yield of zero.</w:t>
      </w:r>
    </w:p>
    <w:p>
      <w:pPr>
        <w:spacing w:after="0" w:line="35"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The fair value of stock option awards was estimated at the date of grant using a Black-Scholes option-pricing model with the following weighted-average assumptions:</w:t>
      </w:r>
    </w:p>
    <w:p>
      <w:pPr>
        <w:spacing w:after="0" w:line="58"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520"/>
              <w:spacing w:after="0"/>
              <w:rPr>
                <w:sz w:val="20"/>
                <w:szCs w:val="20"/>
                <w:color w:val="auto"/>
              </w:rPr>
            </w:pPr>
            <w:r>
              <w:rPr>
                <w:rFonts w:ascii="Arial" w:cs="Arial" w:eastAsia="Arial" w:hAnsi="Arial"/>
                <w:sz w:val="18"/>
                <w:szCs w:val="18"/>
                <w:b w:val="1"/>
                <w:bCs w:val="1"/>
                <w:color w:val="auto"/>
                <w:w w:val="91"/>
              </w:rPr>
              <w:t>Options</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90"/>
              </w:rPr>
              <w:t>Year Ended December 31,</w:t>
            </w:r>
          </w:p>
        </w:tc>
        <w:tc>
          <w:tcPr>
            <w:tcW w:w="8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166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12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Expected term (years)</w:t>
            </w:r>
          </w:p>
        </w:tc>
        <w:tc>
          <w:tcPr>
            <w:tcW w:w="860" w:type="dxa"/>
            <w:vAlign w:val="bottom"/>
            <w:tcBorders>
              <w:top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rPr>
              <w:t>6.23</w:t>
            </w:r>
          </w:p>
        </w:tc>
        <w:tc>
          <w:tcPr>
            <w:tcW w:w="280" w:type="dxa"/>
            <w:vAlign w:val="bottom"/>
            <w:tcBorders>
              <w:top w:val="single" w:sz="8" w:color="auto"/>
            </w:tcBorders>
            <w:shd w:val="clear" w:color="auto" w:fill="CCECFF"/>
          </w:tcPr>
          <w:p>
            <w:pPr>
              <w:spacing w:after="0"/>
              <w:rPr>
                <w:sz w:val="19"/>
                <w:szCs w:val="19"/>
                <w:color w:val="auto"/>
              </w:rPr>
            </w:pPr>
          </w:p>
        </w:tc>
        <w:tc>
          <w:tcPr>
            <w:tcW w:w="240" w:type="dxa"/>
            <w:vAlign w:val="bottom"/>
            <w:tcBorders>
              <w:top w:val="single" w:sz="8" w:color="CCECFF"/>
            </w:tcBorders>
            <w:shd w:val="clear" w:color="auto" w:fill="CCECFF"/>
          </w:tcPr>
          <w:p>
            <w:pPr>
              <w:spacing w:after="0"/>
              <w:rPr>
                <w:sz w:val="19"/>
                <w:szCs w:val="19"/>
                <w:color w:val="auto"/>
              </w:rPr>
            </w:pPr>
          </w:p>
        </w:tc>
        <w:tc>
          <w:tcPr>
            <w:tcW w:w="1140" w:type="dxa"/>
            <w:vAlign w:val="bottom"/>
            <w:tcBorders>
              <w:top w:val="single" w:sz="8" w:color="auto"/>
            </w:tcBorders>
            <w:shd w:val="clear" w:color="auto" w:fill="CCECFF"/>
          </w:tcPr>
          <w:p>
            <w:pPr>
              <w:jc w:val="right"/>
              <w:ind w:right="330"/>
              <w:spacing w:after="0"/>
              <w:rPr>
                <w:sz w:val="20"/>
                <w:szCs w:val="20"/>
                <w:color w:val="auto"/>
              </w:rPr>
            </w:pPr>
            <w:r>
              <w:rPr>
                <w:rFonts w:ascii="Arial" w:cs="Arial" w:eastAsia="Arial" w:hAnsi="Arial"/>
                <w:sz w:val="18"/>
                <w:szCs w:val="18"/>
                <w:color w:val="auto"/>
              </w:rPr>
              <w:t>6.23</w:t>
            </w:r>
          </w:p>
        </w:tc>
        <w:tc>
          <w:tcPr>
            <w:tcW w:w="240" w:type="dxa"/>
            <w:vAlign w:val="bottom"/>
            <w:tcBorders>
              <w:top w:val="single" w:sz="8" w:color="CCECFF"/>
            </w:tcBorders>
            <w:shd w:val="clear" w:color="auto" w:fill="CCECFF"/>
          </w:tcPr>
          <w:p>
            <w:pPr>
              <w:spacing w:after="0"/>
              <w:rPr>
                <w:sz w:val="19"/>
                <w:szCs w:val="19"/>
                <w:color w:val="auto"/>
              </w:rPr>
            </w:pPr>
          </w:p>
        </w:tc>
        <w:tc>
          <w:tcPr>
            <w:tcW w:w="280" w:type="dxa"/>
            <w:vAlign w:val="bottom"/>
            <w:tcBorders>
              <w:top w:val="single" w:sz="8" w:color="auto"/>
            </w:tcBorders>
            <w:shd w:val="clear" w:color="auto" w:fill="CCECFF"/>
          </w:tcPr>
          <w:p>
            <w:pPr>
              <w:spacing w:after="0"/>
              <w:rPr>
                <w:sz w:val="19"/>
                <w:szCs w:val="19"/>
                <w:color w:val="auto"/>
              </w:rPr>
            </w:pPr>
          </w:p>
        </w:tc>
        <w:tc>
          <w:tcPr>
            <w:tcW w:w="880" w:type="dxa"/>
            <w:vAlign w:val="bottom"/>
            <w:tcBorders>
              <w:top w:val="single" w:sz="8" w:color="auto"/>
            </w:tcBorders>
            <w:shd w:val="clear" w:color="auto" w:fill="CCECFF"/>
          </w:tcPr>
          <w:p>
            <w:pPr>
              <w:jc w:val="right"/>
              <w:ind w:right="350"/>
              <w:spacing w:after="0"/>
              <w:rPr>
                <w:sz w:val="20"/>
                <w:szCs w:val="20"/>
                <w:color w:val="auto"/>
              </w:rPr>
            </w:pPr>
            <w:r>
              <w:rPr>
                <w:rFonts w:ascii="Arial" w:cs="Arial" w:eastAsia="Arial" w:hAnsi="Arial"/>
                <w:sz w:val="18"/>
                <w:szCs w:val="18"/>
                <w:color w:val="auto"/>
              </w:rPr>
              <w:t>6.23</w:t>
            </w:r>
          </w:p>
        </w:tc>
        <w:tc>
          <w:tcPr>
            <w:tcW w:w="80" w:type="dxa"/>
            <w:vAlign w:val="bottom"/>
            <w:tcBorders>
              <w:top w:val="single" w:sz="8" w:color="CCECFF"/>
            </w:tcBorders>
            <w:shd w:val="clear" w:color="auto" w:fill="CCEC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Expected volatility</w:t>
            </w:r>
          </w:p>
        </w:tc>
        <w:tc>
          <w:tcPr>
            <w:tcW w:w="860" w:type="dxa"/>
            <w:vAlign w:val="bottom"/>
          </w:tcPr>
          <w:p>
            <w:pPr>
              <w:jc w:val="center"/>
              <w:ind w:left="250"/>
              <w:spacing w:after="0"/>
              <w:rPr>
                <w:sz w:val="20"/>
                <w:szCs w:val="20"/>
                <w:color w:val="auto"/>
              </w:rPr>
            </w:pPr>
            <w:r>
              <w:rPr>
                <w:rFonts w:ascii="Arial" w:cs="Arial" w:eastAsia="Arial" w:hAnsi="Arial"/>
                <w:sz w:val="18"/>
                <w:szCs w:val="18"/>
                <w:color w:val="auto"/>
                <w:w w:val="88"/>
              </w:rPr>
              <w:t>65%</w:t>
            </w:r>
          </w:p>
        </w:tc>
        <w:tc>
          <w:tcPr>
            <w:tcW w:w="1660" w:type="dxa"/>
            <w:vAlign w:val="bottom"/>
            <w:gridSpan w:val="3"/>
          </w:tcPr>
          <w:p>
            <w:pPr>
              <w:jc w:val="center"/>
              <w:ind w:left="490"/>
              <w:spacing w:after="0"/>
              <w:rPr>
                <w:sz w:val="20"/>
                <w:szCs w:val="20"/>
                <w:color w:val="auto"/>
              </w:rPr>
            </w:pPr>
            <w:r>
              <w:rPr>
                <w:rFonts w:ascii="Arial" w:cs="Arial" w:eastAsia="Arial" w:hAnsi="Arial"/>
                <w:sz w:val="18"/>
                <w:szCs w:val="18"/>
                <w:color w:val="auto"/>
                <w:w w:val="88"/>
              </w:rPr>
              <w:t>65%</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center"/>
              <w:ind w:right="150"/>
              <w:spacing w:after="0"/>
              <w:rPr>
                <w:sz w:val="20"/>
                <w:szCs w:val="20"/>
                <w:color w:val="auto"/>
              </w:rPr>
            </w:pPr>
            <w:r>
              <w:rPr>
                <w:rFonts w:ascii="Arial" w:cs="Arial" w:eastAsia="Arial" w:hAnsi="Arial"/>
                <w:sz w:val="18"/>
                <w:szCs w:val="18"/>
                <w:color w:val="auto"/>
                <w:w w:val="88"/>
              </w:rPr>
              <w:t>70%</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120" w:type="dxa"/>
            <w:vAlign w:val="bottom"/>
            <w:shd w:val="clear" w:color="auto" w:fill="CCECFF"/>
          </w:tcPr>
          <w:p>
            <w:pPr>
              <w:spacing w:after="0"/>
              <w:rPr>
                <w:sz w:val="20"/>
                <w:szCs w:val="20"/>
                <w:color w:val="auto"/>
              </w:rPr>
            </w:pPr>
            <w:r>
              <w:rPr>
                <w:rFonts w:ascii="Arial" w:cs="Arial" w:eastAsia="Arial" w:hAnsi="Arial"/>
                <w:sz w:val="18"/>
                <w:szCs w:val="18"/>
                <w:color w:val="auto"/>
              </w:rPr>
              <w:t>Risk-free interest rate</w:t>
            </w:r>
          </w:p>
        </w:tc>
        <w:tc>
          <w:tcPr>
            <w:tcW w:w="860" w:type="dxa"/>
            <w:vAlign w:val="bottom"/>
            <w:shd w:val="clear" w:color="auto" w:fill="CCECFF"/>
          </w:tcPr>
          <w:p>
            <w:pPr>
              <w:jc w:val="center"/>
              <w:ind w:left="250"/>
              <w:spacing w:after="0"/>
              <w:rPr>
                <w:sz w:val="20"/>
                <w:szCs w:val="20"/>
                <w:color w:val="auto"/>
              </w:rPr>
            </w:pPr>
            <w:r>
              <w:rPr>
                <w:rFonts w:ascii="Arial" w:cs="Arial" w:eastAsia="Arial" w:hAnsi="Arial"/>
                <w:sz w:val="18"/>
                <w:szCs w:val="18"/>
                <w:color w:val="auto"/>
                <w:w w:val="87"/>
              </w:rPr>
              <w:t>1.5%</w:t>
            </w:r>
          </w:p>
        </w:tc>
        <w:tc>
          <w:tcPr>
            <w:tcW w:w="1660" w:type="dxa"/>
            <w:vAlign w:val="bottom"/>
            <w:gridSpan w:val="3"/>
            <w:shd w:val="clear" w:color="auto" w:fill="CCECFF"/>
          </w:tcPr>
          <w:p>
            <w:pPr>
              <w:jc w:val="center"/>
              <w:ind w:left="490"/>
              <w:spacing w:after="0"/>
              <w:rPr>
                <w:sz w:val="20"/>
                <w:szCs w:val="20"/>
                <w:color w:val="auto"/>
              </w:rPr>
            </w:pPr>
            <w:r>
              <w:rPr>
                <w:rFonts w:ascii="Arial" w:cs="Arial" w:eastAsia="Arial" w:hAnsi="Arial"/>
                <w:sz w:val="18"/>
                <w:szCs w:val="18"/>
                <w:color w:val="auto"/>
                <w:w w:val="87"/>
              </w:rPr>
              <w:t>1.8%</w:t>
            </w:r>
          </w:p>
        </w:tc>
        <w:tc>
          <w:tcPr>
            <w:tcW w:w="24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880" w:type="dxa"/>
            <w:vAlign w:val="bottom"/>
            <w:shd w:val="clear" w:color="auto" w:fill="CCECFF"/>
          </w:tcPr>
          <w:p>
            <w:pPr>
              <w:jc w:val="center"/>
              <w:ind w:right="130"/>
              <w:spacing w:after="0"/>
              <w:rPr>
                <w:sz w:val="20"/>
                <w:szCs w:val="20"/>
                <w:color w:val="auto"/>
              </w:rPr>
            </w:pPr>
            <w:r>
              <w:rPr>
                <w:rFonts w:ascii="Arial" w:cs="Arial" w:eastAsia="Arial" w:hAnsi="Arial"/>
                <w:sz w:val="18"/>
                <w:szCs w:val="18"/>
                <w:color w:val="auto"/>
                <w:w w:val="92"/>
              </w:rPr>
              <w:t>1.9%</w:t>
            </w:r>
          </w:p>
        </w:tc>
        <w:tc>
          <w:tcPr>
            <w:tcW w:w="80" w:type="dxa"/>
            <w:vAlign w:val="bottom"/>
            <w:shd w:val="clear" w:color="auto" w:fill="CCEC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Expected dividend rate</w:t>
            </w:r>
          </w:p>
        </w:tc>
        <w:tc>
          <w:tcPr>
            <w:tcW w:w="860" w:type="dxa"/>
            <w:vAlign w:val="bottom"/>
          </w:tcPr>
          <w:p>
            <w:pPr>
              <w:jc w:val="center"/>
              <w:ind w:left="250"/>
              <w:spacing w:after="0"/>
              <w:rPr>
                <w:sz w:val="20"/>
                <w:szCs w:val="20"/>
                <w:color w:val="auto"/>
              </w:rPr>
            </w:pPr>
            <w:r>
              <w:rPr>
                <w:rFonts w:ascii="Arial" w:cs="Arial" w:eastAsia="Arial" w:hAnsi="Arial"/>
                <w:sz w:val="18"/>
                <w:szCs w:val="18"/>
                <w:color w:val="auto"/>
                <w:w w:val="87"/>
              </w:rPr>
              <w:t>0.0%</w:t>
            </w:r>
          </w:p>
        </w:tc>
        <w:tc>
          <w:tcPr>
            <w:tcW w:w="1660" w:type="dxa"/>
            <w:vAlign w:val="bottom"/>
            <w:gridSpan w:val="3"/>
          </w:tcPr>
          <w:p>
            <w:pPr>
              <w:jc w:val="center"/>
              <w:ind w:left="490"/>
              <w:spacing w:after="0"/>
              <w:rPr>
                <w:sz w:val="20"/>
                <w:szCs w:val="20"/>
                <w:color w:val="auto"/>
              </w:rPr>
            </w:pPr>
            <w:r>
              <w:rPr>
                <w:rFonts w:ascii="Arial" w:cs="Arial" w:eastAsia="Arial" w:hAnsi="Arial"/>
                <w:sz w:val="18"/>
                <w:szCs w:val="18"/>
                <w:color w:val="auto"/>
                <w:w w:val="87"/>
              </w:rPr>
              <w:t>0.0%</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center"/>
              <w:ind w:right="130"/>
              <w:spacing w:after="0"/>
              <w:rPr>
                <w:sz w:val="20"/>
                <w:szCs w:val="20"/>
                <w:color w:val="auto"/>
              </w:rPr>
            </w:pPr>
            <w:r>
              <w:rPr>
                <w:rFonts w:ascii="Arial" w:cs="Arial" w:eastAsia="Arial" w:hAnsi="Arial"/>
                <w:sz w:val="18"/>
                <w:szCs w:val="18"/>
                <w:color w:val="auto"/>
                <w:w w:val="92"/>
              </w:rPr>
              <w:t>0.0%</w:t>
            </w:r>
          </w:p>
        </w:tc>
        <w:tc>
          <w:tcPr>
            <w:tcW w:w="80" w:type="dxa"/>
            <w:vAlign w:val="bottom"/>
          </w:tcPr>
          <w:p>
            <w:pPr>
              <w:spacing w:after="0"/>
              <w:rPr>
                <w:sz w:val="21"/>
                <w:szCs w:val="21"/>
                <w:color w:val="auto"/>
              </w:rPr>
            </w:pPr>
          </w:p>
        </w:tc>
      </w:tr>
    </w:tbl>
    <w:p>
      <w:pPr>
        <w:spacing w:after="0" w:line="265"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Plan</w:t>
      </w:r>
    </w:p>
    <w:p>
      <w:pPr>
        <w:spacing w:after="0" w:line="81"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In March 2013, the Company began to sponsor a 401(k) retirement plan, in which substantially all of its full-time employees are eligible to participate. Eligible participants may contribute a percentage of their annual compensation to this plan, subject to statutory limitations. Prior to 2015, the Company had not provided any contributions to the plan. In 2015, the Company began to make contributions to the Plan for eligible participants, and recorded $1.5 million and $0.6 million and as contribution expenses for the years ended December 31, 2016 and 2015, respectively.</w:t>
      </w:r>
    </w:p>
    <w:p>
      <w:pPr>
        <w:spacing w:after="0" w:line="181" w:lineRule="exact"/>
        <w:rPr>
          <w:sz w:val="20"/>
          <w:szCs w:val="20"/>
          <w:color w:val="auto"/>
        </w:rPr>
      </w:pPr>
    </w:p>
    <w:p>
      <w:pPr>
        <w:ind w:left="420" w:hanging="412"/>
        <w:spacing w:after="0"/>
        <w:tabs>
          <w:tab w:leader="none" w:pos="42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the Company’s loss before income taxes were as follows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center"/>
              <w:ind w:left="510"/>
              <w:spacing w:after="0"/>
              <w:rPr>
                <w:sz w:val="20"/>
                <w:szCs w:val="20"/>
                <w:color w:val="auto"/>
              </w:rPr>
            </w:pPr>
            <w:r>
              <w:rPr>
                <w:rFonts w:ascii="Arial" w:cs="Arial" w:eastAsia="Arial" w:hAnsi="Arial"/>
                <w:sz w:val="18"/>
                <w:szCs w:val="18"/>
                <w:b w:val="1"/>
                <w:bCs w:val="1"/>
                <w:color w:val="auto"/>
                <w:w w:val="90"/>
              </w:rPr>
              <w:t>Year Ended December 31,</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3280" w:type="dxa"/>
            <w:vAlign w:val="bottom"/>
            <w:tcBorders>
              <w:bottom w:val="single" w:sz="8" w:color="CCECFF"/>
            </w:tcBorders>
          </w:tcPr>
          <w:p>
            <w:pPr>
              <w:spacing w:after="0"/>
              <w:rPr>
                <w:sz w:val="19"/>
                <w:szCs w:val="19"/>
                <w:color w:val="auto"/>
              </w:rPr>
            </w:pPr>
          </w:p>
        </w:tc>
        <w:tc>
          <w:tcPr>
            <w:tcW w:w="1800" w:type="dxa"/>
            <w:vAlign w:val="bottom"/>
            <w:tcBorders>
              <w:bottom w:val="single" w:sz="8" w:color="CCEC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bottom w:val="single" w:sz="8" w:color="CCEC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2015</w:t>
            </w:r>
          </w:p>
        </w:tc>
        <w:tc>
          <w:tcPr>
            <w:tcW w:w="240" w:type="dxa"/>
            <w:vAlign w:val="bottom"/>
            <w:tcBorders>
              <w:bottom w:val="single" w:sz="8" w:color="CCEC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80" w:type="dxa"/>
            <w:vAlign w:val="bottom"/>
            <w:tcBorders>
              <w:bottom w:val="single" w:sz="8" w:color="CCECFF"/>
            </w:tcBorders>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3280" w:type="dxa"/>
            <w:vAlign w:val="bottom"/>
            <w:shd w:val="clear" w:color="auto" w:fill="CCECFF"/>
          </w:tcPr>
          <w:p>
            <w:pPr>
              <w:spacing w:after="0"/>
              <w:rPr>
                <w:sz w:val="20"/>
                <w:szCs w:val="20"/>
                <w:color w:val="auto"/>
              </w:rPr>
            </w:pPr>
            <w:r>
              <w:rPr>
                <w:rFonts w:ascii="Arial" w:cs="Arial" w:eastAsia="Arial" w:hAnsi="Arial"/>
                <w:sz w:val="18"/>
                <w:szCs w:val="18"/>
                <w:color w:val="auto"/>
              </w:rPr>
              <w:t>Domestic</w:t>
            </w:r>
          </w:p>
        </w:tc>
        <w:tc>
          <w:tcPr>
            <w:tcW w:w="1800" w:type="dxa"/>
            <w:vAlign w:val="bottom"/>
            <w:shd w:val="clear" w:color="auto" w:fill="CCECFF"/>
          </w:tcPr>
          <w:p>
            <w:pPr>
              <w:spacing w:after="0"/>
              <w:rPr>
                <w:sz w:val="19"/>
                <w:szCs w:val="19"/>
                <w:color w:val="auto"/>
              </w:rPr>
            </w:pP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192,287</w:t>
            </w:r>
          </w:p>
        </w:tc>
        <w:tc>
          <w:tcPr>
            <w:tcW w:w="240" w:type="dxa"/>
            <w:vAlign w:val="bottom"/>
            <w:shd w:val="clear" w:color="auto" w:fill="CCECFF"/>
          </w:tcPr>
          <w:p>
            <w:pPr>
              <w:spacing w:after="0"/>
              <w:rPr>
                <w:sz w:val="19"/>
                <w:szCs w:val="19"/>
                <w:color w:val="auto"/>
              </w:rPr>
            </w:pPr>
          </w:p>
        </w:tc>
        <w:tc>
          <w:tcPr>
            <w:tcW w:w="240" w:type="dxa"/>
            <w:vAlign w:val="bottom"/>
            <w:shd w:val="clear" w:color="auto" w:fill="CCEC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145,618</w:t>
            </w:r>
          </w:p>
        </w:tc>
        <w:tc>
          <w:tcPr>
            <w:tcW w:w="240" w:type="dxa"/>
            <w:vAlign w:val="bottom"/>
            <w:shd w:val="clear" w:color="auto" w:fill="CCECFF"/>
          </w:tcPr>
          <w:p>
            <w:pPr>
              <w:spacing w:after="0"/>
              <w:rPr>
                <w:sz w:val="19"/>
                <w:szCs w:val="19"/>
                <w:color w:val="auto"/>
              </w:rPr>
            </w:pPr>
          </w:p>
        </w:tc>
        <w:tc>
          <w:tcPr>
            <w:tcW w:w="300" w:type="dxa"/>
            <w:vAlign w:val="bottom"/>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59,802</w:t>
            </w:r>
          </w:p>
        </w:tc>
        <w:tc>
          <w:tcPr>
            <w:tcW w:w="80" w:type="dxa"/>
            <w:vAlign w:val="bottom"/>
            <w:shd w:val="clear" w:color="auto" w:fill="CCECFF"/>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Foreign</w:t>
            </w: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53,552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3280" w:type="dxa"/>
            <w:vAlign w:val="bottom"/>
            <w:tcBorders>
              <w:top w:val="single" w:sz="8" w:color="CCECFF"/>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Total loss before income taxes</w:t>
            </w:r>
          </w:p>
        </w:tc>
        <w:tc>
          <w:tcPr>
            <w:tcW w:w="1800" w:type="dxa"/>
            <w:vAlign w:val="bottom"/>
            <w:tcBorders>
              <w:top w:val="single" w:sz="8" w:color="CCECFF"/>
              <w:bottom w:val="single" w:sz="8" w:color="CCECFF"/>
            </w:tcBorders>
            <w:shd w:val="clear" w:color="auto" w:fill="CCECFF"/>
          </w:tcPr>
          <w:p>
            <w:pPr>
              <w:spacing w:after="0"/>
              <w:rPr>
                <w:sz w:val="19"/>
                <w:szCs w:val="19"/>
                <w:color w:val="auto"/>
              </w:rPr>
            </w:pPr>
          </w:p>
        </w:tc>
        <w:tc>
          <w:tcPr>
            <w:tcW w:w="240" w:type="dxa"/>
            <w:vAlign w:val="bottom"/>
            <w:tcBorders>
              <w:top w:val="single" w:sz="8" w:color="auto"/>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245,839</w:t>
            </w:r>
          </w:p>
        </w:tc>
        <w:tc>
          <w:tcPr>
            <w:tcW w:w="240" w:type="dxa"/>
            <w:vAlign w:val="bottom"/>
            <w:tcBorders>
              <w:top w:val="single" w:sz="8" w:color="CCECFF"/>
              <w:bottom w:val="single" w:sz="8" w:color="CCECFF"/>
            </w:tcBorders>
            <w:shd w:val="clear" w:color="auto" w:fill="CCECFF"/>
          </w:tcPr>
          <w:p>
            <w:pPr>
              <w:spacing w:after="0"/>
              <w:rPr>
                <w:sz w:val="19"/>
                <w:szCs w:val="19"/>
                <w:color w:val="auto"/>
              </w:rPr>
            </w:pPr>
          </w:p>
        </w:tc>
        <w:tc>
          <w:tcPr>
            <w:tcW w:w="240" w:type="dxa"/>
            <w:vAlign w:val="bottom"/>
            <w:tcBorders>
              <w:top w:val="single" w:sz="8" w:color="auto"/>
              <w:bottom w:val="single" w:sz="8" w:color="auto"/>
            </w:tcBorders>
            <w:shd w:val="clear" w:color="auto" w:fill="CCEC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145,618</w:t>
            </w:r>
          </w:p>
        </w:tc>
        <w:tc>
          <w:tcPr>
            <w:tcW w:w="240" w:type="dxa"/>
            <w:vAlign w:val="bottom"/>
            <w:tcBorders>
              <w:top w:val="single" w:sz="8" w:color="CCECFF"/>
              <w:bottom w:val="single" w:sz="8" w:color="CCECFF"/>
            </w:tcBorders>
            <w:shd w:val="clear" w:color="auto" w:fill="CCECFF"/>
          </w:tcPr>
          <w:p>
            <w:pPr>
              <w:spacing w:after="0"/>
              <w:rPr>
                <w:sz w:val="19"/>
                <w:szCs w:val="19"/>
                <w:color w:val="auto"/>
              </w:rPr>
            </w:pPr>
          </w:p>
        </w:tc>
        <w:tc>
          <w:tcPr>
            <w:tcW w:w="300" w:type="dxa"/>
            <w:vAlign w:val="bottom"/>
            <w:tcBorders>
              <w:top w:val="single" w:sz="8" w:color="auto"/>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59,802</w:t>
            </w:r>
          </w:p>
        </w:tc>
        <w:tc>
          <w:tcPr>
            <w:tcW w:w="80" w:type="dxa"/>
            <w:vAlign w:val="bottom"/>
            <w:tcBorders>
              <w:top w:val="single" w:sz="8" w:color="CCECFF"/>
              <w:bottom w:val="single" w:sz="8" w:color="CCECFF"/>
            </w:tcBorders>
            <w:shd w:val="clear" w:color="auto" w:fill="CCECFF"/>
          </w:tcPr>
          <w:p>
            <w:pPr>
              <w:spacing w:after="0"/>
              <w:rPr>
                <w:sz w:val="19"/>
                <w:szCs w:val="19"/>
                <w:color w:val="auto"/>
              </w:rPr>
            </w:pPr>
          </w:p>
        </w:tc>
        <w:tc>
          <w:tcPr>
            <w:tcW w:w="1160" w:type="dxa"/>
            <w:vAlign w:val="bottom"/>
          </w:tcPr>
          <w:p>
            <w:pPr>
              <w:spacing w:after="0"/>
              <w:rPr>
                <w:sz w:val="19"/>
                <w:szCs w:val="19"/>
                <w:color w:val="auto"/>
              </w:rPr>
            </w:pPr>
          </w:p>
        </w:tc>
      </w:tr>
      <w:tr>
        <w:trPr>
          <w:trHeight w:val="20"/>
        </w:trPr>
        <w:tc>
          <w:tcPr>
            <w:tcW w:w="6240" w:type="dxa"/>
            <w:vAlign w:val="bottom"/>
            <w:gridSpan w:val="3"/>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64"/>
        </w:trPr>
        <w:tc>
          <w:tcPr>
            <w:tcW w:w="7400" w:type="dxa"/>
            <w:vAlign w:val="bottom"/>
            <w:gridSpan w:val="5"/>
          </w:tcPr>
          <w:p>
            <w:pPr>
              <w:jc w:val="right"/>
              <w:ind w:right="410"/>
              <w:spacing w:after="0"/>
              <w:rPr>
                <w:sz w:val="20"/>
                <w:szCs w:val="20"/>
                <w:color w:val="auto"/>
              </w:rPr>
            </w:pPr>
            <w:r>
              <w:rPr>
                <w:rFonts w:ascii="Arial" w:cs="Arial" w:eastAsia="Arial" w:hAnsi="Arial"/>
                <w:sz w:val="18"/>
                <w:szCs w:val="18"/>
                <w:color w:val="auto"/>
                <w:w w:val="98"/>
              </w:rPr>
              <w:t>The components of the Company’s income tax provision were as follows (in thousands):</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311"/>
        </w:trPr>
        <w:tc>
          <w:tcPr>
            <w:tcW w:w="11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center"/>
              <w:ind w:left="510"/>
              <w:spacing w:after="0"/>
              <w:rPr>
                <w:sz w:val="20"/>
                <w:szCs w:val="20"/>
                <w:color w:val="auto"/>
              </w:rPr>
            </w:pPr>
            <w:r>
              <w:rPr>
                <w:rFonts w:ascii="Arial" w:cs="Arial" w:eastAsia="Arial" w:hAnsi="Arial"/>
                <w:sz w:val="18"/>
                <w:szCs w:val="18"/>
                <w:b w:val="1"/>
                <w:bCs w:val="1"/>
                <w:color w:val="auto"/>
                <w:w w:val="90"/>
              </w:rPr>
              <w:t>Year Ended December 31,</w:t>
            </w: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3"/>
        </w:trPr>
        <w:tc>
          <w:tcPr>
            <w:tcW w:w="1160" w:type="dxa"/>
            <w:vAlign w:val="bottom"/>
          </w:tcPr>
          <w:p>
            <w:pPr>
              <w:spacing w:after="0"/>
              <w:rPr>
                <w:sz w:val="19"/>
                <w:szCs w:val="19"/>
                <w:color w:val="auto"/>
              </w:rPr>
            </w:pPr>
          </w:p>
        </w:tc>
        <w:tc>
          <w:tcPr>
            <w:tcW w:w="3280" w:type="dxa"/>
            <w:vAlign w:val="bottom"/>
            <w:tcBorders>
              <w:bottom w:val="single" w:sz="8" w:color="CCECFF"/>
            </w:tcBorders>
          </w:tcPr>
          <w:p>
            <w:pPr>
              <w:spacing w:after="0"/>
              <w:rPr>
                <w:sz w:val="19"/>
                <w:szCs w:val="19"/>
                <w:color w:val="auto"/>
              </w:rPr>
            </w:pPr>
          </w:p>
        </w:tc>
        <w:tc>
          <w:tcPr>
            <w:tcW w:w="1800" w:type="dxa"/>
            <w:vAlign w:val="bottom"/>
            <w:tcBorders>
              <w:bottom w:val="single" w:sz="8" w:color="CCEC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bottom w:val="single" w:sz="8" w:color="CCEC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2015</w:t>
            </w:r>
          </w:p>
        </w:tc>
        <w:tc>
          <w:tcPr>
            <w:tcW w:w="240" w:type="dxa"/>
            <w:vAlign w:val="bottom"/>
            <w:tcBorders>
              <w:bottom w:val="single" w:sz="8" w:color="CCEC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80" w:type="dxa"/>
            <w:vAlign w:val="bottom"/>
            <w:tcBorders>
              <w:bottom w:val="single" w:sz="8" w:color="CCECFF"/>
            </w:tcBorders>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3280" w:type="dxa"/>
            <w:vAlign w:val="bottom"/>
            <w:shd w:val="clear" w:color="auto" w:fill="CCECFF"/>
          </w:tcPr>
          <w:p>
            <w:pPr>
              <w:spacing w:after="0"/>
              <w:rPr>
                <w:sz w:val="20"/>
                <w:szCs w:val="20"/>
                <w:color w:val="auto"/>
              </w:rPr>
            </w:pPr>
            <w:r>
              <w:rPr>
                <w:rFonts w:ascii="Arial" w:cs="Arial" w:eastAsia="Arial" w:hAnsi="Arial"/>
                <w:sz w:val="18"/>
                <w:szCs w:val="18"/>
                <w:color w:val="auto"/>
              </w:rPr>
              <w:t>Federal</w:t>
            </w:r>
          </w:p>
        </w:tc>
        <w:tc>
          <w:tcPr>
            <w:tcW w:w="1800" w:type="dxa"/>
            <w:vAlign w:val="bottom"/>
            <w:shd w:val="clear" w:color="auto" w:fill="CCECFF"/>
          </w:tcPr>
          <w:p>
            <w:pPr>
              <w:spacing w:after="0"/>
              <w:rPr>
                <w:sz w:val="19"/>
                <w:szCs w:val="19"/>
                <w:color w:val="auto"/>
              </w:rPr>
            </w:pP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CFF"/>
          </w:tcPr>
          <w:p>
            <w:pPr>
              <w:spacing w:after="0"/>
              <w:rPr>
                <w:sz w:val="19"/>
                <w:szCs w:val="19"/>
                <w:color w:val="auto"/>
              </w:rPr>
            </w:pPr>
          </w:p>
        </w:tc>
        <w:tc>
          <w:tcPr>
            <w:tcW w:w="240" w:type="dxa"/>
            <w:vAlign w:val="bottom"/>
            <w:shd w:val="clear" w:color="auto" w:fill="CCEC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CFF"/>
          </w:tcPr>
          <w:p>
            <w:pPr>
              <w:spacing w:after="0"/>
              <w:rPr>
                <w:sz w:val="19"/>
                <w:szCs w:val="19"/>
                <w:color w:val="auto"/>
              </w:rPr>
            </w:pPr>
          </w:p>
        </w:tc>
        <w:tc>
          <w:tcPr>
            <w:tcW w:w="300" w:type="dxa"/>
            <w:vAlign w:val="bottom"/>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CFF"/>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State</w:t>
            </w: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280" w:type="dxa"/>
            <w:vAlign w:val="bottom"/>
            <w:shd w:val="clear" w:color="auto" w:fill="CCECFF"/>
          </w:tcPr>
          <w:p>
            <w:pPr>
              <w:spacing w:after="0"/>
              <w:rPr>
                <w:sz w:val="20"/>
                <w:szCs w:val="20"/>
                <w:color w:val="auto"/>
              </w:rPr>
            </w:pPr>
            <w:r>
              <w:rPr>
                <w:rFonts w:ascii="Arial" w:cs="Arial" w:eastAsia="Arial" w:hAnsi="Arial"/>
                <w:sz w:val="18"/>
                <w:szCs w:val="18"/>
                <w:color w:val="auto"/>
              </w:rPr>
              <w:t>International</w:t>
            </w:r>
          </w:p>
        </w:tc>
        <w:tc>
          <w:tcPr>
            <w:tcW w:w="180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96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r>
      <w:tr>
        <w:trPr>
          <w:trHeight w:val="223"/>
        </w:trPr>
        <w:tc>
          <w:tcPr>
            <w:tcW w:w="4440" w:type="dxa"/>
            <w:vAlign w:val="bottom"/>
            <w:gridSpan w:val="2"/>
          </w:tcPr>
          <w:p>
            <w:pPr>
              <w:ind w:left="1140"/>
              <w:spacing w:after="0"/>
              <w:rPr>
                <w:sz w:val="20"/>
                <w:szCs w:val="20"/>
                <w:color w:val="auto"/>
              </w:rPr>
            </w:pPr>
            <w:r>
              <w:rPr>
                <w:rFonts w:ascii="Arial" w:cs="Arial" w:eastAsia="Arial" w:hAnsi="Arial"/>
                <w:sz w:val="18"/>
                <w:szCs w:val="18"/>
                <w:color w:val="auto"/>
              </w:rPr>
              <w:t>Total income tax provision</w:t>
            </w:r>
          </w:p>
        </w:tc>
        <w:tc>
          <w:tcPr>
            <w:tcW w:w="18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40" w:type="dxa"/>
            <w:vAlign w:val="bottom"/>
            <w:gridSpan w:val="2"/>
          </w:tcPr>
          <w:p>
            <w:pPr>
              <w:jc w:val="right"/>
              <w:ind w:right="510"/>
              <w:spacing w:after="0"/>
              <w:rPr>
                <w:sz w:val="20"/>
                <w:szCs w:val="20"/>
                <w:color w:val="auto"/>
              </w:rPr>
            </w:pPr>
            <w:r>
              <w:rPr>
                <w:rFonts w:ascii="Arial" w:cs="Arial" w:eastAsia="Arial" w:hAnsi="Arial"/>
                <w:sz w:val="18"/>
                <w:szCs w:val="18"/>
                <w:color w:val="auto"/>
              </w:rPr>
              <w:t>F-19</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2" w:name="page93"/>
    <w:bookmarkEnd w:id="92"/>
    <w:p>
      <w:pPr>
        <w:jc w:val="center"/>
        <w:ind w:right="-39"/>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3"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Company has incurred net operating losses since inception. The Company has not reflected any benefit of such net operating loss carryforwards in the accompanying financial statements. The Company has established a full valuation allowance against its deferred tax assets due to the uncertainty surrounding the realization of such assets.</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effective tax rate of our provision for income taxes differs from the federal statutory rate as follows:</w:t>
      </w:r>
    </w:p>
    <w:p>
      <w:pPr>
        <w:spacing w:after="0" w:line="113"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3080" w:type="dxa"/>
            <w:vAlign w:val="bottom"/>
            <w:tcBorders>
              <w:bottom w:val="single" w:sz="8" w:color="auto"/>
            </w:tcBorders>
            <w:gridSpan w:val="7"/>
          </w:tcPr>
          <w:p>
            <w:pPr>
              <w:ind w:left="960"/>
              <w:spacing w:after="0"/>
              <w:rPr>
                <w:sz w:val="20"/>
                <w:szCs w:val="20"/>
                <w:color w:val="auto"/>
              </w:rPr>
            </w:pPr>
            <w:r>
              <w:rPr>
                <w:rFonts w:ascii="Arial" w:cs="Arial" w:eastAsia="Arial" w:hAnsi="Arial"/>
                <w:sz w:val="18"/>
                <w:szCs w:val="18"/>
                <w:b w:val="1"/>
                <w:bCs w:val="1"/>
                <w:color w:val="auto"/>
                <w:w w:val="94"/>
              </w:rPr>
              <w:t>Year Ended December 31,</w:t>
            </w:r>
          </w:p>
        </w:tc>
        <w:tc>
          <w:tcPr>
            <w:tcW w:w="8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820" w:type="dxa"/>
            <w:vAlign w:val="bottom"/>
            <w:tcBorders>
              <w:bottom w:val="single" w:sz="8" w:color="CCECFF"/>
            </w:tcBorders>
          </w:tcPr>
          <w:p>
            <w:pPr>
              <w:spacing w:after="0"/>
              <w:rPr>
                <w:sz w:val="19"/>
                <w:szCs w:val="19"/>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60" w:type="dxa"/>
            <w:vAlign w:val="bottom"/>
            <w:tcBorders>
              <w:bottom w:val="single" w:sz="8" w:color="CCECFF"/>
            </w:tcBorders>
          </w:tcPr>
          <w:p>
            <w:pPr>
              <w:spacing w:after="0"/>
              <w:rPr>
                <w:sz w:val="19"/>
                <w:szCs w:val="19"/>
                <w:color w:val="auto"/>
              </w:rPr>
            </w:pPr>
          </w:p>
        </w:tc>
        <w:tc>
          <w:tcPr>
            <w:tcW w:w="300" w:type="dxa"/>
            <w:vAlign w:val="bottom"/>
            <w:tcBorders>
              <w:bottom w:val="single" w:sz="8" w:color="CCECFF"/>
            </w:tcBorders>
          </w:tcPr>
          <w:p>
            <w:pPr>
              <w:spacing w:after="0"/>
              <w:rPr>
                <w:sz w:val="19"/>
                <w:szCs w:val="19"/>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60" w:type="dxa"/>
            <w:vAlign w:val="bottom"/>
            <w:tcBorders>
              <w:bottom w:val="single" w:sz="8" w:color="CCECFF"/>
            </w:tcBorders>
          </w:tcPr>
          <w:p>
            <w:pPr>
              <w:spacing w:after="0"/>
              <w:rPr>
                <w:sz w:val="19"/>
                <w:szCs w:val="19"/>
                <w:color w:val="auto"/>
              </w:rPr>
            </w:pPr>
          </w:p>
        </w:tc>
        <w:tc>
          <w:tcPr>
            <w:tcW w:w="320" w:type="dxa"/>
            <w:vAlign w:val="bottom"/>
            <w:tcBorders>
              <w:bottom w:val="single" w:sz="8" w:color="CCEC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60" w:type="dxa"/>
            <w:vAlign w:val="bottom"/>
            <w:tcBorders>
              <w:bottom w:val="single" w:sz="8" w:color="CCECFF"/>
            </w:tcBorders>
          </w:tcPr>
          <w:p>
            <w:pPr>
              <w:spacing w:after="0"/>
              <w:rPr>
                <w:sz w:val="19"/>
                <w:szCs w:val="19"/>
                <w:color w:val="auto"/>
              </w:rPr>
            </w:pPr>
          </w:p>
        </w:tc>
        <w:tc>
          <w:tcPr>
            <w:tcW w:w="300" w:type="dxa"/>
            <w:vAlign w:val="bottom"/>
            <w:tcBorders>
              <w:bottom w:val="single" w:sz="8" w:color="CCEC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820" w:type="dxa"/>
            <w:vAlign w:val="bottom"/>
            <w:shd w:val="clear" w:color="auto" w:fill="CCECFF"/>
          </w:tcPr>
          <w:p>
            <w:pPr>
              <w:spacing w:after="0"/>
              <w:rPr>
                <w:sz w:val="20"/>
                <w:szCs w:val="20"/>
                <w:color w:val="auto"/>
              </w:rPr>
            </w:pPr>
            <w:r>
              <w:rPr>
                <w:rFonts w:ascii="Arial" w:cs="Arial" w:eastAsia="Arial" w:hAnsi="Arial"/>
                <w:sz w:val="18"/>
                <w:szCs w:val="18"/>
                <w:color w:val="auto"/>
              </w:rPr>
              <w:t>Federal statutory income tax rate</w:t>
            </w: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34.0</w:t>
            </w:r>
          </w:p>
        </w:tc>
        <w:tc>
          <w:tcPr>
            <w:tcW w:w="60" w:type="dxa"/>
            <w:vAlign w:val="bottom"/>
            <w:shd w:val="clear" w:color="auto" w:fill="CCECFF"/>
          </w:tcPr>
          <w:p>
            <w:pPr>
              <w:spacing w:after="0"/>
              <w:rPr>
                <w:sz w:val="19"/>
                <w:szCs w:val="19"/>
                <w:color w:val="auto"/>
              </w:rPr>
            </w:pPr>
          </w:p>
        </w:tc>
        <w:tc>
          <w:tcPr>
            <w:tcW w:w="30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87"/>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34.0</w:t>
            </w:r>
          </w:p>
        </w:tc>
        <w:tc>
          <w:tcPr>
            <w:tcW w:w="60" w:type="dxa"/>
            <w:vAlign w:val="bottom"/>
            <w:shd w:val="clear" w:color="auto" w:fill="CCECFF"/>
          </w:tcPr>
          <w:p>
            <w:pPr>
              <w:spacing w:after="0"/>
              <w:rPr>
                <w:sz w:val="19"/>
                <w:szCs w:val="19"/>
                <w:color w:val="auto"/>
              </w:rPr>
            </w:pPr>
          </w:p>
        </w:tc>
        <w:tc>
          <w:tcPr>
            <w:tcW w:w="32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87"/>
              </w:rPr>
              <w:t>%</w:t>
            </w:r>
          </w:p>
        </w:tc>
        <w:tc>
          <w:tcPr>
            <w:tcW w:w="220" w:type="dxa"/>
            <w:vAlign w:val="bottom"/>
            <w:shd w:val="clear" w:color="auto" w:fill="CCECFF"/>
          </w:tcPr>
          <w:p>
            <w:pPr>
              <w:spacing w:after="0"/>
              <w:rPr>
                <w:sz w:val="19"/>
                <w:szCs w:val="19"/>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34.0</w:t>
            </w:r>
          </w:p>
        </w:tc>
        <w:tc>
          <w:tcPr>
            <w:tcW w:w="60" w:type="dxa"/>
            <w:vAlign w:val="bottom"/>
            <w:shd w:val="clear" w:color="auto" w:fill="CCECFF"/>
          </w:tcPr>
          <w:p>
            <w:pPr>
              <w:spacing w:after="0"/>
              <w:rPr>
                <w:sz w:val="19"/>
                <w:szCs w:val="19"/>
                <w:color w:val="auto"/>
              </w:rPr>
            </w:pPr>
          </w:p>
        </w:tc>
        <w:tc>
          <w:tcPr>
            <w:tcW w:w="30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87"/>
              </w:rPr>
              <w:t>%</w:t>
            </w:r>
          </w:p>
        </w:tc>
      </w:tr>
      <w:tr>
        <w:trPr>
          <w:trHeight w:val="230"/>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CECFF"/>
          </w:tcPr>
          <w:p>
            <w:pPr>
              <w:spacing w:after="0"/>
              <w:rPr>
                <w:sz w:val="20"/>
                <w:szCs w:val="20"/>
                <w:color w:val="auto"/>
              </w:rPr>
            </w:pPr>
            <w:r>
              <w:rPr>
                <w:rFonts w:ascii="Arial" w:cs="Arial" w:eastAsia="Arial" w:hAnsi="Arial"/>
                <w:sz w:val="18"/>
                <w:szCs w:val="18"/>
                <w:color w:val="auto"/>
              </w:rPr>
              <w:t>Federal tax credits</w:t>
            </w: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13.7</w:t>
            </w:r>
          </w:p>
        </w:tc>
        <w:tc>
          <w:tcPr>
            <w:tcW w:w="6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CFF"/>
          </w:tcPr>
          <w:p>
            <w:pPr>
              <w:spacing w:after="0"/>
              <w:rPr>
                <w:sz w:val="19"/>
                <w:szCs w:val="19"/>
                <w:color w:val="auto"/>
              </w:rPr>
            </w:pPr>
          </w:p>
        </w:tc>
        <w:tc>
          <w:tcPr>
            <w:tcW w:w="32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6.7</w:t>
            </w:r>
          </w:p>
        </w:tc>
        <w:tc>
          <w:tcPr>
            <w:tcW w:w="6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Other</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CECFF"/>
          </w:tcPr>
          <w:p>
            <w:pPr>
              <w:spacing w:after="0"/>
              <w:rPr>
                <w:sz w:val="20"/>
                <w:szCs w:val="20"/>
                <w:color w:val="auto"/>
              </w:rPr>
            </w:pPr>
            <w:r>
              <w:rPr>
                <w:rFonts w:ascii="Arial" w:cs="Arial" w:eastAsia="Arial" w:hAnsi="Arial"/>
                <w:sz w:val="18"/>
                <w:szCs w:val="18"/>
                <w:color w:val="auto"/>
              </w:rPr>
              <w:t>Nondeductible permanent items</w:t>
            </w:r>
          </w:p>
        </w:tc>
        <w:tc>
          <w:tcPr>
            <w:tcW w:w="1120" w:type="dxa"/>
            <w:vAlign w:val="bottom"/>
            <w:gridSpan w:val="2"/>
            <w:shd w:val="clear" w:color="auto" w:fill="CCEC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CFF"/>
          </w:tcPr>
          <w:p>
            <w:pPr>
              <w:spacing w:after="0"/>
              <w:rPr>
                <w:sz w:val="19"/>
                <w:szCs w:val="19"/>
                <w:color w:val="auto"/>
              </w:rPr>
            </w:pPr>
          </w:p>
        </w:tc>
        <w:tc>
          <w:tcPr>
            <w:tcW w:w="1120" w:type="dxa"/>
            <w:vAlign w:val="bottom"/>
            <w:gridSpan w:val="2"/>
            <w:shd w:val="clear" w:color="auto" w:fill="CCEC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C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CECFF"/>
          </w:tcPr>
          <w:p>
            <w:pPr>
              <w:spacing w:after="0"/>
              <w:rPr>
                <w:sz w:val="20"/>
                <w:szCs w:val="20"/>
                <w:color w:val="auto"/>
              </w:rPr>
            </w:pPr>
            <w:r>
              <w:rPr>
                <w:rFonts w:ascii="Arial" w:cs="Arial" w:eastAsia="Arial" w:hAnsi="Arial"/>
                <w:sz w:val="18"/>
                <w:szCs w:val="18"/>
                <w:color w:val="auto"/>
              </w:rPr>
              <w:t>Uncertain tax positions</w:t>
            </w: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112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(7.7)</w:t>
            </w:r>
          </w:p>
        </w:tc>
        <w:tc>
          <w:tcPr>
            <w:tcW w:w="32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920" w:type="dxa"/>
            <w:vAlign w:val="bottom"/>
            <w:gridSpan w:val="2"/>
            <w:shd w:val="clear" w:color="auto" w:fill="CCEC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C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(41.9)</w:t>
            </w:r>
          </w:p>
        </w:tc>
        <w:tc>
          <w:tcPr>
            <w:tcW w:w="3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(39.2)</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(42.7)</w:t>
            </w:r>
          </w:p>
        </w:tc>
        <w:tc>
          <w:tcPr>
            <w:tcW w:w="3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CECFF"/>
          </w:tcPr>
          <w:p>
            <w:pPr>
              <w:spacing w:after="0"/>
              <w:rPr>
                <w:sz w:val="20"/>
                <w:szCs w:val="20"/>
                <w:color w:val="auto"/>
              </w:rPr>
            </w:pPr>
            <w:r>
              <w:rPr>
                <w:rFonts w:ascii="Arial" w:cs="Arial" w:eastAsia="Arial" w:hAnsi="Arial"/>
                <w:sz w:val="18"/>
                <w:szCs w:val="18"/>
                <w:color w:val="auto"/>
              </w:rPr>
              <w:t>Foreign rate differential</w:t>
            </w:r>
          </w:p>
        </w:tc>
        <w:tc>
          <w:tcPr>
            <w:tcW w:w="11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(7.4)</w:t>
            </w:r>
          </w:p>
        </w:tc>
        <w:tc>
          <w:tcPr>
            <w:tcW w:w="300" w:type="dxa"/>
            <w:vAlign w:val="bottom"/>
            <w:shd w:val="clear" w:color="auto" w:fill="CCECFF"/>
          </w:tcPr>
          <w:p>
            <w:pPr>
              <w:spacing w:after="0"/>
              <w:rPr>
                <w:sz w:val="19"/>
                <w:szCs w:val="19"/>
                <w:color w:val="auto"/>
              </w:rPr>
            </w:pPr>
          </w:p>
        </w:tc>
        <w:tc>
          <w:tcPr>
            <w:tcW w:w="1120" w:type="dxa"/>
            <w:vAlign w:val="bottom"/>
            <w:gridSpan w:val="2"/>
            <w:shd w:val="clear" w:color="auto" w:fill="CCEC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920" w:type="dxa"/>
            <w:vAlign w:val="bottom"/>
            <w:gridSpan w:val="2"/>
            <w:shd w:val="clear" w:color="auto" w:fill="CCEC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CFF"/>
          </w:tcPr>
          <w:p>
            <w:pPr>
              <w:spacing w:after="0"/>
              <w:rPr>
                <w:sz w:val="19"/>
                <w:szCs w:val="19"/>
                <w:color w:val="auto"/>
              </w:rPr>
            </w:pP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tax effect of temporary differences that give rise to significant portions of the deferred tax assets is presented below (in thousands):</w:t>
      </w:r>
    </w:p>
    <w:p>
      <w:pPr>
        <w:spacing w:after="0" w:line="113"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4"/>
              </w:rPr>
              <w:t>Year Ended December 31,</w:t>
            </w:r>
          </w:p>
        </w:tc>
      </w:tr>
      <w:tr>
        <w:trPr>
          <w:trHeight w:val="223"/>
        </w:trPr>
        <w:tc>
          <w:tcPr>
            <w:tcW w:w="5220" w:type="dxa"/>
            <w:vAlign w:val="bottom"/>
            <w:tcBorders>
              <w:bottom w:val="single" w:sz="8" w:color="CCEC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top w:val="single" w:sz="8" w:color="auto"/>
              <w:bottom w:val="single" w:sz="8" w:color="CCECFF"/>
            </w:tcBorders>
          </w:tcPr>
          <w:p>
            <w:pPr>
              <w:spacing w:after="0"/>
              <w:rPr>
                <w:sz w:val="19"/>
                <w:szCs w:val="19"/>
                <w:color w:val="auto"/>
              </w:rPr>
            </w:pPr>
          </w:p>
        </w:tc>
        <w:tc>
          <w:tcPr>
            <w:tcW w:w="20" w:type="dxa"/>
            <w:vAlign w:val="bottom"/>
            <w:tcBorders>
              <w:top w:val="single" w:sz="8" w:color="auto"/>
              <w:bottom w:val="single" w:sz="8" w:color="CCEC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80" w:type="dxa"/>
            <w:vAlign w:val="bottom"/>
            <w:tcBorders>
              <w:bottom w:val="single" w:sz="8" w:color="CCECFF"/>
            </w:tcBorders>
          </w:tcPr>
          <w:p>
            <w:pPr>
              <w:spacing w:after="0"/>
              <w:rPr>
                <w:sz w:val="19"/>
                <w:szCs w:val="19"/>
                <w:color w:val="auto"/>
              </w:rPr>
            </w:pPr>
          </w:p>
        </w:tc>
      </w:tr>
      <w:tr>
        <w:trPr>
          <w:trHeight w:val="223"/>
        </w:trPr>
        <w:tc>
          <w:tcPr>
            <w:tcW w:w="5220" w:type="dxa"/>
            <w:vAlign w:val="bottom"/>
            <w:shd w:val="clear" w:color="auto" w:fill="CCECFF"/>
          </w:tcPr>
          <w:p>
            <w:pPr>
              <w:spacing w:after="0"/>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CECFF"/>
          </w:tcPr>
          <w:p>
            <w:pPr>
              <w:spacing w:after="0"/>
              <w:rPr>
                <w:sz w:val="19"/>
                <w:szCs w:val="19"/>
                <w:color w:val="auto"/>
              </w:rPr>
            </w:pPr>
          </w:p>
        </w:tc>
        <w:tc>
          <w:tcPr>
            <w:tcW w:w="100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96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102,960</w:t>
            </w:r>
          </w:p>
        </w:tc>
        <w:tc>
          <w:tcPr>
            <w:tcW w:w="240" w:type="dxa"/>
            <w:vAlign w:val="bottom"/>
          </w:tcPr>
          <w:p>
            <w:pPr>
              <w:spacing w:after="0"/>
              <w:rPr>
                <w:sz w:val="19"/>
                <w:szCs w:val="19"/>
                <w:color w:val="auto"/>
              </w:rPr>
            </w:pP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61,503</w:t>
            </w:r>
          </w:p>
        </w:tc>
        <w:tc>
          <w:tcPr>
            <w:tcW w:w="80" w:type="dxa"/>
            <w:vAlign w:val="bottom"/>
          </w:tcPr>
          <w:p>
            <w:pPr>
              <w:spacing w:after="0"/>
              <w:rPr>
                <w:sz w:val="19"/>
                <w:szCs w:val="19"/>
                <w:color w:val="auto"/>
              </w:rPr>
            </w:pPr>
          </w:p>
        </w:tc>
      </w:tr>
      <w:tr>
        <w:trPr>
          <w:trHeight w:val="230"/>
        </w:trPr>
        <w:tc>
          <w:tcPr>
            <w:tcW w:w="5220" w:type="dxa"/>
            <w:vAlign w:val="bottom"/>
            <w:shd w:val="clear" w:color="auto" w:fill="CCECFF"/>
          </w:tcPr>
          <w:p>
            <w:pPr>
              <w:ind w:left="240"/>
              <w:spacing w:after="0"/>
              <w:rPr>
                <w:sz w:val="20"/>
                <w:szCs w:val="20"/>
                <w:color w:val="auto"/>
              </w:rPr>
            </w:pPr>
            <w:r>
              <w:rPr>
                <w:rFonts w:ascii="Arial" w:cs="Arial" w:eastAsia="Arial" w:hAnsi="Arial"/>
                <w:sz w:val="18"/>
                <w:szCs w:val="18"/>
                <w:color w:val="auto"/>
              </w:rPr>
              <w:t>Tax credits</w:t>
            </w:r>
          </w:p>
        </w:tc>
        <w:tc>
          <w:tcPr>
            <w:tcW w:w="220" w:type="dxa"/>
            <w:vAlign w:val="bottom"/>
            <w:shd w:val="clear" w:color="auto" w:fill="CCECFF"/>
          </w:tcPr>
          <w:p>
            <w:pPr>
              <w:spacing w:after="0"/>
              <w:rPr>
                <w:sz w:val="19"/>
                <w:szCs w:val="19"/>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78,324</w:t>
            </w:r>
          </w:p>
        </w:tc>
        <w:tc>
          <w:tcPr>
            <w:tcW w:w="24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33,881</w:t>
            </w:r>
          </w:p>
        </w:tc>
        <w:tc>
          <w:tcPr>
            <w:tcW w:w="80" w:type="dxa"/>
            <w:vAlign w:val="bottom"/>
            <w:shd w:val="clear" w:color="auto" w:fill="CCECFF"/>
          </w:tcPr>
          <w:p>
            <w:pPr>
              <w:spacing w:after="0"/>
              <w:rPr>
                <w:sz w:val="19"/>
                <w:szCs w:val="19"/>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Stock options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16,084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6,680</w:t>
            </w:r>
          </w:p>
        </w:tc>
        <w:tc>
          <w:tcPr>
            <w:tcW w:w="80" w:type="dxa"/>
            <w:vAlign w:val="bottom"/>
          </w:tcPr>
          <w:p>
            <w:pPr>
              <w:spacing w:after="0"/>
              <w:rPr>
                <w:sz w:val="19"/>
                <w:szCs w:val="19"/>
                <w:color w:val="auto"/>
              </w:rPr>
            </w:pPr>
          </w:p>
        </w:tc>
      </w:tr>
      <w:tr>
        <w:trPr>
          <w:trHeight w:val="230"/>
        </w:trPr>
        <w:tc>
          <w:tcPr>
            <w:tcW w:w="5220" w:type="dxa"/>
            <w:vAlign w:val="bottom"/>
            <w:shd w:val="clear" w:color="auto" w:fill="CCECFF"/>
          </w:tcPr>
          <w:p>
            <w:pPr>
              <w:ind w:left="240"/>
              <w:spacing w:after="0"/>
              <w:rPr>
                <w:sz w:val="20"/>
                <w:szCs w:val="20"/>
                <w:color w:val="auto"/>
              </w:rPr>
            </w:pPr>
            <w:r>
              <w:rPr>
                <w:rFonts w:ascii="Arial" w:cs="Arial" w:eastAsia="Arial" w:hAnsi="Arial"/>
                <w:sz w:val="18"/>
                <w:szCs w:val="18"/>
                <w:color w:val="auto"/>
              </w:rPr>
              <w:t>Accruals and reserves</w:t>
            </w:r>
          </w:p>
        </w:tc>
        <w:tc>
          <w:tcPr>
            <w:tcW w:w="220" w:type="dxa"/>
            <w:vAlign w:val="bottom"/>
            <w:shd w:val="clear" w:color="auto" w:fill="CCECFF"/>
          </w:tcPr>
          <w:p>
            <w:pPr>
              <w:spacing w:after="0"/>
              <w:rPr>
                <w:sz w:val="19"/>
                <w:szCs w:val="19"/>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10,039</w:t>
            </w:r>
          </w:p>
        </w:tc>
        <w:tc>
          <w:tcPr>
            <w:tcW w:w="24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2,541</w:t>
            </w:r>
          </w:p>
        </w:tc>
        <w:tc>
          <w:tcPr>
            <w:tcW w:w="80" w:type="dxa"/>
            <w:vAlign w:val="bottom"/>
            <w:shd w:val="clear" w:color="auto" w:fill="CCECFF"/>
          </w:tcPr>
          <w:p>
            <w:pPr>
              <w:spacing w:after="0"/>
              <w:rPr>
                <w:sz w:val="19"/>
                <w:szCs w:val="19"/>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Fixed assets and intangibles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3,014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4,442</w:t>
            </w:r>
          </w:p>
        </w:tc>
        <w:tc>
          <w:tcPr>
            <w:tcW w:w="80" w:type="dxa"/>
            <w:vAlign w:val="bottom"/>
          </w:tcPr>
          <w:p>
            <w:pPr>
              <w:spacing w:after="0"/>
              <w:rPr>
                <w:sz w:val="19"/>
                <w:szCs w:val="19"/>
                <w:color w:val="auto"/>
              </w:rPr>
            </w:pPr>
          </w:p>
        </w:tc>
      </w:tr>
      <w:tr>
        <w:trPr>
          <w:trHeight w:val="230"/>
        </w:trPr>
        <w:tc>
          <w:tcPr>
            <w:tcW w:w="5220" w:type="dxa"/>
            <w:vAlign w:val="bottom"/>
            <w:shd w:val="clear" w:color="auto" w:fill="CCECFF"/>
          </w:tcPr>
          <w:p>
            <w:pPr>
              <w:ind w:left="2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CFF"/>
          </w:tcPr>
          <w:p>
            <w:pPr>
              <w:spacing w:after="0"/>
              <w:rPr>
                <w:sz w:val="19"/>
                <w:szCs w:val="19"/>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1,950</w:t>
            </w:r>
          </w:p>
        </w:tc>
        <w:tc>
          <w:tcPr>
            <w:tcW w:w="24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spacing w:after="0"/>
              <w:rPr>
                <w:sz w:val="19"/>
                <w:szCs w:val="19"/>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432</w:t>
            </w:r>
          </w:p>
        </w:tc>
        <w:tc>
          <w:tcPr>
            <w:tcW w:w="80" w:type="dxa"/>
            <w:vAlign w:val="bottom"/>
            <w:shd w:val="clear" w:color="auto" w:fill="CCECFF"/>
          </w:tcPr>
          <w:p>
            <w:pPr>
              <w:spacing w:after="0"/>
              <w:rPr>
                <w:sz w:val="19"/>
                <w:szCs w:val="19"/>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212,371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109,479</w:t>
            </w:r>
          </w:p>
        </w:tc>
        <w:tc>
          <w:tcPr>
            <w:tcW w:w="80" w:type="dxa"/>
            <w:vAlign w:val="bottom"/>
          </w:tcPr>
          <w:p>
            <w:pPr>
              <w:spacing w:after="0"/>
              <w:rPr>
                <w:sz w:val="19"/>
                <w:szCs w:val="19"/>
                <w:color w:val="auto"/>
              </w:rPr>
            </w:pPr>
          </w:p>
        </w:tc>
      </w:tr>
      <w:tr>
        <w:trPr>
          <w:trHeight w:val="230"/>
        </w:trPr>
        <w:tc>
          <w:tcPr>
            <w:tcW w:w="5220" w:type="dxa"/>
            <w:vAlign w:val="bottom"/>
            <w:shd w:val="clear" w:color="auto" w:fill="CCECFF"/>
          </w:tcPr>
          <w:p>
            <w:pPr>
              <w:spacing w:after="0"/>
              <w:rPr>
                <w:sz w:val="20"/>
                <w:szCs w:val="20"/>
                <w:color w:val="auto"/>
              </w:rPr>
            </w:pPr>
            <w:r>
              <w:rPr>
                <w:rFonts w:ascii="Arial" w:cs="Arial" w:eastAsia="Arial" w:hAnsi="Arial"/>
                <w:sz w:val="18"/>
                <w:szCs w:val="18"/>
                <w:color w:val="auto"/>
              </w:rPr>
              <w:t>Valuation allowance</w:t>
            </w:r>
          </w:p>
        </w:tc>
        <w:tc>
          <w:tcPr>
            <w:tcW w:w="220" w:type="dxa"/>
            <w:vAlign w:val="bottom"/>
            <w:shd w:val="clear" w:color="auto" w:fill="CCECFF"/>
          </w:tcPr>
          <w:p>
            <w:pPr>
              <w:spacing w:after="0"/>
              <w:rPr>
                <w:sz w:val="19"/>
                <w:szCs w:val="19"/>
                <w:color w:val="auto"/>
              </w:rPr>
            </w:pPr>
          </w:p>
        </w:tc>
        <w:tc>
          <w:tcPr>
            <w:tcW w:w="124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(212,371)</w:t>
            </w:r>
          </w:p>
        </w:tc>
        <w:tc>
          <w:tcPr>
            <w:tcW w:w="2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104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(109,479)</w:t>
            </w: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67" w:lineRule="exact"/>
        <w:rPr>
          <w:sz w:val="20"/>
          <w:szCs w:val="20"/>
          <w:color w:val="auto"/>
        </w:rPr>
      </w:pPr>
    </w:p>
    <w:p>
      <w:pPr>
        <w:ind w:right="240" w:firstLine="518"/>
        <w:spacing w:after="0" w:line="311" w:lineRule="auto"/>
        <w:rPr>
          <w:sz w:val="20"/>
          <w:szCs w:val="20"/>
          <w:color w:val="auto"/>
        </w:rPr>
      </w:pPr>
      <w:r>
        <w:rPr>
          <w:rFonts w:ascii="Arial" w:cs="Arial" w:eastAsia="Arial" w:hAnsi="Arial"/>
          <w:sz w:val="16"/>
          <w:szCs w:val="16"/>
          <w:color w:val="auto"/>
        </w:rPr>
        <w:t>As of December 31, 2016 and 2015, the Company had approximately $315.5 million and $225.5 million of federal net operating loss carryforwards available to reduce future taxable income that will begin to expire in 2030. As of December 31, 2016 and 2015, the Company had approximately $259.8 million and $255.0 million of state net operating loss carryforwards available to reduce future taxable income that will begin to expire in 2030.</w:t>
      </w:r>
    </w:p>
    <w:p>
      <w:pPr>
        <w:spacing w:after="0" w:line="1" w:lineRule="exact"/>
        <w:rPr>
          <w:sz w:val="20"/>
          <w:szCs w:val="20"/>
          <w:color w:val="auto"/>
        </w:rPr>
      </w:pPr>
    </w:p>
    <w:p>
      <w:pPr>
        <w:ind w:right="560" w:firstLine="518"/>
        <w:spacing w:after="0" w:line="311" w:lineRule="auto"/>
        <w:rPr>
          <w:sz w:val="20"/>
          <w:szCs w:val="20"/>
          <w:color w:val="auto"/>
        </w:rPr>
      </w:pPr>
      <w:r>
        <w:rPr>
          <w:rFonts w:ascii="Arial" w:cs="Arial" w:eastAsia="Arial" w:hAnsi="Arial"/>
          <w:sz w:val="16"/>
          <w:szCs w:val="16"/>
          <w:color w:val="auto"/>
        </w:rPr>
        <w:t>As of December 31, 2016 and 2015, the Company had federal research tax credit carryforwards of approximately $2.5 million and $1.7 million available to reduce future tax liabilities that will begin to expire in 2030. As of December 31, 2016 and 2015, the Company had state research credit carryforwards of approximately $6.7 million and $4.3 million available to reduce future tax liabilities that will be carried forward indefinitely.</w:t>
      </w:r>
    </w:p>
    <w:p>
      <w:pPr>
        <w:spacing w:after="0" w:line="1"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As of December 31, 2016 and 2015, the Company had federal Orphan Drug Credits of approximately $84.3 million and $35.2 million available to reduce future tax liabilities that will begin to expire in 2031.</w:t>
      </w:r>
    </w:p>
    <w:p>
      <w:pPr>
        <w:spacing w:after="0" w:line="35"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The Company’s ability to use net operating loss and tax credit carryforwards to reduce future taxable income and liabilities may be subject to annual limitations pursuant to Internal Revenue Code Sections 382 and 383 as a result of ownership changes in the past and future. As a result of ownership changes in 2012 and 2011, $3.6 million of federal net operating loss carryforwards, $3.6 million of state net operating loss carryforwards, and $0.2 million of federal tax credits are permanently limited. Deferred tax assets for net operating losses and tax credits have been reduced and a corresponding adjustment to the valuation allowance has been recorded.</w:t>
      </w:r>
    </w:p>
    <w:p>
      <w:pPr>
        <w:spacing w:after="0" w:line="4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The valuation allowance increased by $102.9 million and $58.1 million during the year ended December 31, 2016 and 2015, respectively.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3"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Company recorded unrecognized tax benefits for uncertainties in income taxes. A reconciliation of the Company’s unrecognized tax benefits for the years ended December 31, 2016, 2015, and 2014 is as follows (in thousands):</w:t>
      </w:r>
    </w:p>
    <w:p>
      <w:pPr>
        <w:spacing w:after="0" w:line="4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w w:val="92"/>
              </w:rPr>
              <w:t>December 31,</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080" w:type="dxa"/>
            <w:vAlign w:val="bottom"/>
            <w:tcBorders>
              <w:bottom w:val="single" w:sz="8" w:color="CCEC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CCECFF"/>
            </w:tcBorders>
          </w:tcPr>
          <w:p>
            <w:pPr>
              <w:spacing w:after="0"/>
              <w:rPr>
                <w:sz w:val="19"/>
                <w:szCs w:val="19"/>
                <w:color w:val="auto"/>
              </w:rPr>
            </w:pPr>
          </w:p>
        </w:tc>
        <w:tc>
          <w:tcPr>
            <w:tcW w:w="100" w:type="dxa"/>
            <w:vAlign w:val="bottom"/>
            <w:tcBorders>
              <w:bottom w:val="single" w:sz="8" w:color="CCEC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CCECFF"/>
            </w:tcBorders>
          </w:tcPr>
          <w:p>
            <w:pPr>
              <w:spacing w:after="0"/>
              <w:rPr>
                <w:sz w:val="19"/>
                <w:szCs w:val="19"/>
                <w:color w:val="auto"/>
              </w:rPr>
            </w:pPr>
          </w:p>
        </w:tc>
        <w:tc>
          <w:tcPr>
            <w:tcW w:w="80" w:type="dxa"/>
            <w:vAlign w:val="bottom"/>
            <w:tcBorders>
              <w:bottom w:val="single" w:sz="8" w:color="CCEC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80" w:type="dxa"/>
            <w:vAlign w:val="bottom"/>
            <w:tcBorders>
              <w:bottom w:val="single" w:sz="8" w:color="CCEC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080" w:type="dxa"/>
            <w:vAlign w:val="bottom"/>
            <w:shd w:val="clear" w:color="auto" w:fill="CCECFF"/>
          </w:tcPr>
          <w:p>
            <w:pPr>
              <w:spacing w:after="0"/>
              <w:rPr>
                <w:sz w:val="20"/>
                <w:szCs w:val="20"/>
                <w:color w:val="auto"/>
              </w:rPr>
            </w:pPr>
            <w:r>
              <w:rPr>
                <w:rFonts w:ascii="Arial" w:cs="Arial" w:eastAsia="Arial" w:hAnsi="Arial"/>
                <w:sz w:val="18"/>
                <w:szCs w:val="18"/>
                <w:color w:val="auto"/>
              </w:rPr>
              <w:t>Balance at beginning of year</w:t>
            </w: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24,010</w:t>
            </w:r>
          </w:p>
        </w:tc>
        <w:tc>
          <w:tcPr>
            <w:tcW w:w="14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240" w:type="dxa"/>
            <w:vAlign w:val="bottom"/>
            <w:shd w:val="clear" w:color="auto" w:fill="CCEC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7,275</w:t>
            </w:r>
          </w:p>
        </w:tc>
        <w:tc>
          <w:tcPr>
            <w:tcW w:w="16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3,725</w:t>
            </w:r>
          </w:p>
        </w:tc>
        <w:tc>
          <w:tcPr>
            <w:tcW w:w="80" w:type="dxa"/>
            <w:vAlign w:val="bottom"/>
            <w:shd w:val="clear" w:color="auto" w:fill="CCECFF"/>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5080" w:type="dxa"/>
            <w:vAlign w:val="bottom"/>
          </w:tcPr>
          <w:p>
            <w:pPr>
              <w:ind w:left="240"/>
              <w:spacing w:after="0"/>
              <w:rPr>
                <w:sz w:val="20"/>
                <w:szCs w:val="20"/>
                <w:color w:val="auto"/>
              </w:rPr>
            </w:pPr>
            <w:r>
              <w:rPr>
                <w:rFonts w:ascii="Arial" w:cs="Arial" w:eastAsia="Arial" w:hAnsi="Arial"/>
                <w:sz w:val="18"/>
                <w:szCs w:val="18"/>
                <w:color w:val="auto"/>
              </w:rPr>
              <w:t>Additions based on tax positions related to current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380"/>
              <w:spacing w:after="0"/>
              <w:rPr>
                <w:sz w:val="20"/>
                <w:szCs w:val="20"/>
                <w:color w:val="auto"/>
              </w:rPr>
            </w:pPr>
            <w:r>
              <w:rPr>
                <w:rFonts w:ascii="Arial" w:cs="Arial" w:eastAsia="Arial" w:hAnsi="Arial"/>
                <w:sz w:val="18"/>
                <w:szCs w:val="18"/>
                <w:color w:val="auto"/>
              </w:rPr>
              <w:t>year</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6,777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15,628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3,550</w:t>
            </w:r>
          </w:p>
        </w:tc>
        <w:tc>
          <w:tcPr>
            <w:tcW w:w="8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CECFF"/>
          </w:tcPr>
          <w:p>
            <w:pPr>
              <w:ind w:left="240"/>
              <w:spacing w:after="0"/>
              <w:rPr>
                <w:sz w:val="20"/>
                <w:szCs w:val="20"/>
                <w:color w:val="auto"/>
              </w:rPr>
            </w:pPr>
            <w:r>
              <w:rPr>
                <w:rFonts w:ascii="Arial" w:cs="Arial" w:eastAsia="Arial" w:hAnsi="Arial"/>
                <w:sz w:val="18"/>
                <w:szCs w:val="18"/>
                <w:color w:val="auto"/>
              </w:rPr>
              <w:t>Additions for tax positions of prior years</w:t>
            </w:r>
          </w:p>
        </w:tc>
        <w:tc>
          <w:tcPr>
            <w:tcW w:w="240" w:type="dxa"/>
            <w:vAlign w:val="bottom"/>
            <w:shd w:val="clear" w:color="auto" w:fill="CCECFF"/>
          </w:tcPr>
          <w:p>
            <w:pPr>
              <w:spacing w:after="0"/>
              <w:rPr>
                <w:sz w:val="19"/>
                <w:szCs w:val="19"/>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877</w:t>
            </w:r>
          </w:p>
        </w:tc>
        <w:tc>
          <w:tcPr>
            <w:tcW w:w="14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5,505</w:t>
            </w:r>
          </w:p>
        </w:tc>
        <w:tc>
          <w:tcPr>
            <w:tcW w:w="16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102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080" w:type="dxa"/>
            <w:vAlign w:val="bottom"/>
          </w:tcPr>
          <w:p>
            <w:pPr>
              <w:ind w:left="240"/>
              <w:spacing w:after="0"/>
              <w:rPr>
                <w:sz w:val="20"/>
                <w:szCs w:val="20"/>
                <w:color w:val="auto"/>
              </w:rPr>
            </w:pPr>
            <w:r>
              <w:rPr>
                <w:rFonts w:ascii="Arial" w:cs="Arial" w:eastAsia="Arial" w:hAnsi="Arial"/>
                <w:sz w:val="18"/>
                <w:szCs w:val="18"/>
                <w:color w:val="auto"/>
              </w:rPr>
              <w:t>Reductions for tax positions of prior years</w:t>
            </w:r>
          </w:p>
        </w:tc>
        <w:tc>
          <w:tcPr>
            <w:tcW w:w="2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(18,159)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(4,398)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080" w:type="dxa"/>
            <w:vAlign w:val="bottom"/>
            <w:tcBorders>
              <w:top w:val="single" w:sz="8" w:color="CCECFF"/>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Balance at end of year</w:t>
            </w:r>
          </w:p>
        </w:tc>
        <w:tc>
          <w:tcPr>
            <w:tcW w:w="240" w:type="dxa"/>
            <w:vAlign w:val="bottom"/>
            <w:tcBorders>
              <w:top w:val="single" w:sz="8" w:color="auto"/>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13,505</w:t>
            </w:r>
          </w:p>
        </w:tc>
        <w:tc>
          <w:tcPr>
            <w:tcW w:w="140" w:type="dxa"/>
            <w:vAlign w:val="bottom"/>
            <w:tcBorders>
              <w:top w:val="single" w:sz="8" w:color="CCECFF"/>
              <w:bottom w:val="single" w:sz="8" w:color="CCECFF"/>
            </w:tcBorders>
            <w:shd w:val="clear" w:color="auto" w:fill="CCECFF"/>
          </w:tcPr>
          <w:p>
            <w:pPr>
              <w:spacing w:after="0"/>
              <w:rPr>
                <w:sz w:val="19"/>
                <w:szCs w:val="19"/>
                <w:color w:val="auto"/>
              </w:rPr>
            </w:pPr>
          </w:p>
        </w:tc>
        <w:tc>
          <w:tcPr>
            <w:tcW w:w="100" w:type="dxa"/>
            <w:vAlign w:val="bottom"/>
            <w:tcBorders>
              <w:top w:val="single" w:sz="8" w:color="CCECFF"/>
              <w:bottom w:val="single" w:sz="8" w:color="CCECFF"/>
            </w:tcBorders>
            <w:shd w:val="clear" w:color="auto" w:fill="CCECFF"/>
          </w:tcPr>
          <w:p>
            <w:pPr>
              <w:spacing w:after="0"/>
              <w:rPr>
                <w:sz w:val="19"/>
                <w:szCs w:val="19"/>
                <w:color w:val="auto"/>
              </w:rPr>
            </w:pPr>
          </w:p>
        </w:tc>
        <w:tc>
          <w:tcPr>
            <w:tcW w:w="240" w:type="dxa"/>
            <w:vAlign w:val="bottom"/>
            <w:tcBorders>
              <w:top w:val="single" w:sz="8" w:color="auto"/>
              <w:bottom w:val="single" w:sz="8" w:color="auto"/>
            </w:tcBorders>
            <w:shd w:val="clear" w:color="auto" w:fill="CCEC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24,010</w:t>
            </w:r>
          </w:p>
        </w:tc>
        <w:tc>
          <w:tcPr>
            <w:tcW w:w="160" w:type="dxa"/>
            <w:vAlign w:val="bottom"/>
            <w:tcBorders>
              <w:top w:val="single" w:sz="8" w:color="CCECFF"/>
              <w:bottom w:val="single" w:sz="8" w:color="CCECFF"/>
            </w:tcBorders>
            <w:shd w:val="clear" w:color="auto" w:fill="CCECFF"/>
          </w:tcPr>
          <w:p>
            <w:pPr>
              <w:spacing w:after="0"/>
              <w:rPr>
                <w:sz w:val="19"/>
                <w:szCs w:val="19"/>
                <w:color w:val="auto"/>
              </w:rPr>
            </w:pPr>
          </w:p>
        </w:tc>
        <w:tc>
          <w:tcPr>
            <w:tcW w:w="80" w:type="dxa"/>
            <w:vAlign w:val="bottom"/>
            <w:tcBorders>
              <w:top w:val="single" w:sz="8" w:color="CCECFF"/>
              <w:bottom w:val="single" w:sz="8" w:color="CCECFF"/>
            </w:tcBorders>
            <w:shd w:val="clear" w:color="auto" w:fill="CCECFF"/>
          </w:tcPr>
          <w:p>
            <w:pPr>
              <w:spacing w:after="0"/>
              <w:rPr>
                <w:sz w:val="19"/>
                <w:szCs w:val="19"/>
                <w:color w:val="auto"/>
              </w:rPr>
            </w:pPr>
          </w:p>
        </w:tc>
        <w:tc>
          <w:tcPr>
            <w:tcW w:w="240" w:type="dxa"/>
            <w:vAlign w:val="bottom"/>
            <w:tcBorders>
              <w:top w:val="single" w:sz="8" w:color="auto"/>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7,275</w:t>
            </w:r>
          </w:p>
        </w:tc>
        <w:tc>
          <w:tcPr>
            <w:tcW w:w="80" w:type="dxa"/>
            <w:vAlign w:val="bottom"/>
            <w:tcBorders>
              <w:top w:val="single" w:sz="8" w:color="CCECFF"/>
              <w:bottom w:val="single" w:sz="8" w:color="CCECFF"/>
            </w:tcBorders>
            <w:shd w:val="clear" w:color="auto" w:fill="CCEC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67"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The entire amount of the unrecognized tax benefits would not impact the Company’s effective tax rate if recognized. The Company has elected to include interest and penalties as a component of tax expense. During the years ended December 31, 2016 and 2015, the Company did not recognize accrued interest and penalties related to unrecognized tax benefits. The Company does not anticipate that the amount of existing unrecognized tax benefits will significantly increase or decrease during the next 12 months.</w:t>
      </w:r>
    </w:p>
    <w:p>
      <w:pPr>
        <w:spacing w:after="0" w:line="52"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It is our intention to reinvest the earnings of our non-U.S. subsidiaries in their operations. As of December 31, 2016, the Company had not made a provision for U.S. income taxes or foreign withholding taxes on approximately $0.1 million of the excess of the amount of net income for financial reporting over the tax basis of investments in foreign subsidiaries that are essentially permanent in duration. Generally, such amounts become subject to U.S. taxation upon repatriation as dividends and under certain other circumstances. If these earnings were repatriated to the U.S., the deferred tax liability associated with these temporary differences would result in a nominal amount.</w:t>
      </w:r>
    </w:p>
    <w:p>
      <w:pPr>
        <w:spacing w:after="0" w:line="40"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The Company files income tax returns in the U.S. federal, California, and other state tax jurisdictions. The federal and state income tax returns from inception to December 31, 2016 remain subject to examination.</w:t>
      </w:r>
    </w:p>
    <w:p>
      <w:pPr>
        <w:spacing w:after="0" w:line="193" w:lineRule="exact"/>
        <w:rPr>
          <w:sz w:val="20"/>
          <w:szCs w:val="20"/>
          <w:color w:val="auto"/>
        </w:rPr>
      </w:pPr>
    </w:p>
    <w:p>
      <w:pPr>
        <w:ind w:right="8320" w:firstLine="8"/>
        <w:spacing w:after="0" w:line="338" w:lineRule="auto"/>
        <w:tabs>
          <w:tab w:leader="none" w:pos="5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Facilities</w:t>
      </w:r>
    </w:p>
    <w:p>
      <w:pPr>
        <w:spacing w:after="0" w:line="2"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In December 2015, the Company entered into a lease agreement for office facilities in Brisbane, California, which provided for a tenant improvement allowance of up to $3.7 million. This operating lease commenced in May 2016 and expires 122 months after the commencement date. At the end of the lease term, the Company has the option to extend the lease for two additional consecutive terms of five years each. As provided in the lease agreement, monthly lease payments are subject to annual increases as defined in the lease agreement.</w:t>
      </w:r>
    </w:p>
    <w:p>
      <w:pPr>
        <w:spacing w:after="0" w:line="38" w:lineRule="exact"/>
        <w:rPr>
          <w:sz w:val="20"/>
          <w:szCs w:val="20"/>
          <w:color w:val="auto"/>
        </w:rPr>
      </w:pPr>
    </w:p>
    <w:p>
      <w:pPr>
        <w:jc w:val="both"/>
        <w:ind w:right="80" w:firstLine="518"/>
        <w:spacing w:after="0" w:line="259" w:lineRule="auto"/>
        <w:rPr>
          <w:sz w:val="20"/>
          <w:szCs w:val="20"/>
          <w:color w:val="auto"/>
        </w:rPr>
      </w:pPr>
      <w:r>
        <w:rPr>
          <w:rFonts w:ascii="Arial" w:cs="Arial" w:eastAsia="Arial" w:hAnsi="Arial"/>
          <w:sz w:val="18"/>
          <w:szCs w:val="18"/>
          <w:color w:val="auto"/>
        </w:rPr>
        <w:t>The Company leases office space and research, testing and manufacturing laboratory space in various facilities in Novato, California, under operating agreements expiring at various dates through 2020 and include tenant improvement allowance up to $1.5 million. Certain of the leases provide for options by the Company to extend the lease for multiple five-year renewal periods and also provide for annual minimum increases in rent, usually based on a consumer price index or annual minimum increases.</w:t>
      </w:r>
    </w:p>
    <w:p>
      <w:pPr>
        <w:spacing w:after="0" w:line="38" w:lineRule="exact"/>
        <w:rPr>
          <w:sz w:val="20"/>
          <w:szCs w:val="20"/>
          <w:color w:val="auto"/>
        </w:rPr>
      </w:pPr>
    </w:p>
    <w:p>
      <w:pPr>
        <w:jc w:val="both"/>
        <w:ind w:right="100" w:firstLine="518"/>
        <w:spacing w:after="0" w:line="277" w:lineRule="auto"/>
        <w:rPr>
          <w:sz w:val="20"/>
          <w:szCs w:val="20"/>
          <w:color w:val="auto"/>
        </w:rPr>
      </w:pPr>
      <w:r>
        <w:rPr>
          <w:rFonts w:ascii="Arial" w:cs="Arial" w:eastAsia="Arial" w:hAnsi="Arial"/>
          <w:sz w:val="18"/>
          <w:szCs w:val="18"/>
          <w:color w:val="auto"/>
        </w:rPr>
        <w:t>The Company recognizes rent expense on a straight-line basis over the noncancelable term of its operating lease. Rent expense was $3.3 million, $1.4 million, and $0.6 million during the years ended December 31, 2016, 2015 and 2014,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Commitments</w:t>
      </w:r>
    </w:p>
    <w:p>
      <w:pPr>
        <w:spacing w:after="0" w:line="81"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The Company has various manufacturing, clinical, research, and other contracts with vendors in the conduct of the normal course of its business. Other than as noted below, contracts are terminable, with varying provisions regarding termination. If a contract with a specific vendor were to be terminated, the Company would only be obligated for the products or services that the Company had received at the time the termination became effective.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4" w:name="page95"/>
    <w:bookmarkEnd w:id="94"/>
    <w:p>
      <w:pPr>
        <w:jc w:val="center"/>
        <w:ind w:right="20"/>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3"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As of December 31, 2016, the aggregate future minimum lease payments under the noncancelable operating lease arrangements and future payments under contractually binding manufacturing and service agreements are as follows (in thousands):</w:t>
      </w:r>
    </w:p>
    <w:p>
      <w:pPr>
        <w:spacing w:after="0" w:line="45"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rPr>
              <w:t>Manufacturing</w:t>
            </w:r>
          </w:p>
        </w:tc>
      </w:tr>
      <w:tr>
        <w:trPr>
          <w:trHeight w:val="234"/>
        </w:trPr>
        <w:tc>
          <w:tcPr>
            <w:tcW w:w="508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b w:val="1"/>
                <w:bCs w:val="1"/>
                <w:color w:val="auto"/>
              </w:rPr>
              <w:t>Leases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and Services</w:t>
            </w:r>
          </w:p>
        </w:tc>
      </w:tr>
      <w:tr>
        <w:trPr>
          <w:trHeight w:val="223"/>
        </w:trPr>
        <w:tc>
          <w:tcPr>
            <w:tcW w:w="508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8"/>
                <w:szCs w:val="18"/>
                <w:color w:val="auto"/>
              </w:rPr>
              <w:t>2017</w:t>
            </w:r>
          </w:p>
        </w:tc>
        <w:tc>
          <w:tcPr>
            <w:tcW w:w="160" w:type="dxa"/>
            <w:vAlign w:val="bottom"/>
            <w:tcBorders>
              <w:top w:val="single" w:sz="8" w:color="CCECFF"/>
            </w:tcBorders>
            <w:shd w:val="clear" w:color="auto" w:fill="CCECFF"/>
          </w:tcPr>
          <w:p>
            <w:pPr>
              <w:spacing w:after="0"/>
              <w:rPr>
                <w:sz w:val="19"/>
                <w:szCs w:val="19"/>
                <w:color w:val="auto"/>
              </w:rPr>
            </w:pPr>
          </w:p>
        </w:tc>
        <w:tc>
          <w:tcPr>
            <w:tcW w:w="220" w:type="dxa"/>
            <w:vAlign w:val="bottom"/>
            <w:tcBorders>
              <w:top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3,956</w:t>
            </w:r>
          </w:p>
        </w:tc>
        <w:tc>
          <w:tcPr>
            <w:tcW w:w="220" w:type="dxa"/>
            <w:vAlign w:val="bottom"/>
            <w:tcBorders>
              <w:top w:val="single" w:sz="8" w:color="CCECFF"/>
            </w:tcBorders>
            <w:shd w:val="clear" w:color="auto" w:fill="CCECFF"/>
          </w:tcPr>
          <w:p>
            <w:pPr>
              <w:spacing w:after="0"/>
              <w:rPr>
                <w:sz w:val="19"/>
                <w:szCs w:val="19"/>
                <w:color w:val="auto"/>
              </w:rPr>
            </w:pPr>
          </w:p>
        </w:tc>
        <w:tc>
          <w:tcPr>
            <w:tcW w:w="12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1,956</w:t>
            </w:r>
          </w:p>
        </w:tc>
        <w:tc>
          <w:tcPr>
            <w:tcW w:w="80" w:type="dxa"/>
            <w:vAlign w:val="bottom"/>
            <w:tcBorders>
              <w:top w:val="single" w:sz="8" w:color="CCECFF"/>
            </w:tcBorders>
            <w:shd w:val="clear" w:color="auto" w:fill="CCECFF"/>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4,534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810</w:t>
            </w:r>
          </w:p>
        </w:tc>
        <w:tc>
          <w:tcPr>
            <w:tcW w:w="80" w:type="dxa"/>
            <w:vAlign w:val="bottom"/>
          </w:tcPr>
          <w:p>
            <w:pPr>
              <w:spacing w:after="0"/>
              <w:rPr>
                <w:sz w:val="19"/>
                <w:szCs w:val="19"/>
                <w:color w:val="auto"/>
              </w:rPr>
            </w:pPr>
          </w:p>
        </w:tc>
      </w:tr>
      <w:tr>
        <w:trPr>
          <w:trHeight w:val="230"/>
        </w:trPr>
        <w:tc>
          <w:tcPr>
            <w:tcW w:w="5080" w:type="dxa"/>
            <w:vAlign w:val="bottom"/>
            <w:shd w:val="clear" w:color="auto" w:fill="CCECFF"/>
          </w:tcPr>
          <w:p>
            <w:pPr>
              <w:spacing w:after="0"/>
              <w:rPr>
                <w:sz w:val="20"/>
                <w:szCs w:val="20"/>
                <w:color w:val="auto"/>
              </w:rPr>
            </w:pPr>
            <w:r>
              <w:rPr>
                <w:rFonts w:ascii="Arial" w:cs="Arial" w:eastAsia="Arial" w:hAnsi="Arial"/>
                <w:sz w:val="18"/>
                <w:szCs w:val="18"/>
                <w:color w:val="auto"/>
              </w:rPr>
              <w:t>2019</w:t>
            </w:r>
          </w:p>
        </w:tc>
        <w:tc>
          <w:tcPr>
            <w:tcW w:w="1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3,553</w:t>
            </w:r>
          </w:p>
        </w:tc>
        <w:tc>
          <w:tcPr>
            <w:tcW w:w="22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265</w:t>
            </w:r>
          </w:p>
        </w:tc>
        <w:tc>
          <w:tcPr>
            <w:tcW w:w="80" w:type="dxa"/>
            <w:vAlign w:val="bottom"/>
            <w:shd w:val="clear" w:color="auto" w:fill="CCECFF"/>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2,867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r>
      <w:tr>
        <w:trPr>
          <w:trHeight w:val="230"/>
        </w:trPr>
        <w:tc>
          <w:tcPr>
            <w:tcW w:w="5080" w:type="dxa"/>
            <w:vAlign w:val="bottom"/>
            <w:shd w:val="clear" w:color="auto" w:fill="CCECFF"/>
          </w:tcPr>
          <w:p>
            <w:pPr>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2,346</w:t>
            </w:r>
          </w:p>
        </w:tc>
        <w:tc>
          <w:tcPr>
            <w:tcW w:w="22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180" w:type="dxa"/>
            <w:vAlign w:val="bottom"/>
            <w:gridSpan w:val="2"/>
            <w:shd w:val="clear" w:color="auto" w:fill="CCEC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11,446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080" w:type="dxa"/>
            <w:vAlign w:val="bottom"/>
            <w:tcBorders>
              <w:top w:val="single" w:sz="8" w:color="CCECFF"/>
              <w:bottom w:val="single" w:sz="8" w:color="CCECFF"/>
            </w:tcBorders>
            <w:shd w:val="clear" w:color="auto" w:fill="CCECFF"/>
          </w:tcPr>
          <w:p>
            <w:pPr>
              <w:spacing w:after="0"/>
              <w:rPr>
                <w:sz w:val="19"/>
                <w:szCs w:val="19"/>
                <w:color w:val="auto"/>
              </w:rPr>
            </w:pPr>
          </w:p>
        </w:tc>
        <w:tc>
          <w:tcPr>
            <w:tcW w:w="160" w:type="dxa"/>
            <w:vAlign w:val="bottom"/>
            <w:tcBorders>
              <w:top w:val="single" w:sz="8" w:color="CCECFF"/>
              <w:bottom w:val="single" w:sz="8" w:color="CCECFF"/>
            </w:tcBorders>
            <w:shd w:val="clear" w:color="auto" w:fill="CCECFF"/>
          </w:tcPr>
          <w:p>
            <w:pPr>
              <w:spacing w:after="0"/>
              <w:rPr>
                <w:sz w:val="19"/>
                <w:szCs w:val="19"/>
                <w:color w:val="auto"/>
              </w:rPr>
            </w:pPr>
          </w:p>
        </w:tc>
        <w:tc>
          <w:tcPr>
            <w:tcW w:w="220" w:type="dxa"/>
            <w:vAlign w:val="bottom"/>
            <w:tcBorders>
              <w:top w:val="single" w:sz="8" w:color="auto"/>
              <w:bottom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28,702</w:t>
            </w:r>
          </w:p>
        </w:tc>
        <w:tc>
          <w:tcPr>
            <w:tcW w:w="220" w:type="dxa"/>
            <w:vAlign w:val="bottom"/>
            <w:tcBorders>
              <w:top w:val="single" w:sz="8" w:color="CCECFF"/>
              <w:bottom w:val="single" w:sz="8" w:color="CCECFF"/>
            </w:tcBorders>
            <w:shd w:val="clear" w:color="auto" w:fill="CCECFF"/>
          </w:tcPr>
          <w:p>
            <w:pPr>
              <w:spacing w:after="0"/>
              <w:rPr>
                <w:sz w:val="19"/>
                <w:szCs w:val="19"/>
                <w:color w:val="auto"/>
              </w:rPr>
            </w:pPr>
          </w:p>
        </w:tc>
        <w:tc>
          <w:tcPr>
            <w:tcW w:w="120" w:type="dxa"/>
            <w:vAlign w:val="bottom"/>
            <w:tcBorders>
              <w:top w:val="single" w:sz="8" w:color="auto"/>
              <w:bottom w:val="single" w:sz="8" w:color="auto"/>
            </w:tcBorders>
            <w:shd w:val="clear" w:color="auto" w:fill="CCECFF"/>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3,093</w:t>
            </w:r>
          </w:p>
        </w:tc>
        <w:tc>
          <w:tcPr>
            <w:tcW w:w="80" w:type="dxa"/>
            <w:vAlign w:val="bottom"/>
            <w:tcBorders>
              <w:top w:val="single" w:sz="8" w:color="CCECFF"/>
              <w:bottom w:val="single" w:sz="8" w:color="CCECFF"/>
            </w:tcBorders>
            <w:shd w:val="clear" w:color="auto" w:fill="CCECFF"/>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81"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While there are no material legal proceedings the Company is aware of, the Company may become party to various claims and complaints arising in the ordinary course of business. Management does not believe that any ultimate liability resulting from any of these claims will have a material adverse effect on its results of operations, financial position, or liquidity. However, management cannot give any assurance regarding the ultimate outcome of these claims, and their resolution could be material to operating results for any particular period, depending upon the level of income for the period.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Indemnifications</w:t>
      </w:r>
    </w:p>
    <w:p>
      <w:pPr>
        <w:spacing w:after="0" w:line="94" w:lineRule="exact"/>
        <w:rPr>
          <w:sz w:val="20"/>
          <w:szCs w:val="20"/>
          <w:color w:val="auto"/>
        </w:rPr>
      </w:pPr>
    </w:p>
    <w:p>
      <w:pPr>
        <w:ind w:right="240" w:firstLine="518"/>
        <w:spacing w:after="0" w:line="255" w:lineRule="auto"/>
        <w:rPr>
          <w:sz w:val="20"/>
          <w:szCs w:val="20"/>
          <w:color w:val="auto"/>
        </w:rPr>
      </w:pPr>
      <w:r>
        <w:rPr>
          <w:rFonts w:ascii="Arial" w:cs="Arial" w:eastAsia="Arial" w:hAnsi="Arial"/>
          <w:sz w:val="18"/>
          <w:szCs w:val="18"/>
          <w:color w:val="auto"/>
        </w:rPr>
        <w:t>The Company indemnifies each of its directors and officers for certain events or occurrences, subject to certain limits, while the director is or was serving at the Company’s request in such capacity, as permitted under Delaware law and in accordance with its certificate of incorporation and bylaws. The term of the indemnification period lasts as long as a director may be subject to any proceeding arising out of acts or omissions of such director in such capacity. The maximum amount of potential future indemnification is unlimited; however, the Company currently holds director liability insurance. This insurance allows the transfer of risk associated with the Company’s exposure and may enable it to recover a portion of any future amounts paid. The Company believes that the fair value of these indemnification obligations is minimal. Accordingly, it has not recognized any liabilities relating to these obligations for any period presented.</w:t>
      </w:r>
    </w:p>
    <w:p>
      <w:pPr>
        <w:spacing w:after="0" w:line="199" w:lineRule="exact"/>
        <w:rPr>
          <w:sz w:val="20"/>
          <w:szCs w:val="20"/>
          <w:color w:val="auto"/>
        </w:rPr>
      </w:pPr>
    </w:p>
    <w:p>
      <w:pPr>
        <w:ind w:left="500" w:hanging="492"/>
        <w:spacing w:after="0"/>
        <w:tabs>
          <w:tab w:leader="none" w:pos="5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the computation of the basic and diluted net loss per share attributable to common stockholders during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2015 and 2014 (in thousands, except share and per share data):</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60" w:type="dxa"/>
            <w:vAlign w:val="bottom"/>
            <w:tcBorders>
              <w:bottom w:val="single" w:sz="8" w:color="CCECFF"/>
            </w:tcBorders>
          </w:tcPr>
          <w:p>
            <w:pPr>
              <w:spacing w:after="0"/>
              <w:rPr>
                <w:sz w:val="19"/>
                <w:szCs w:val="19"/>
                <w:color w:val="auto"/>
              </w:rPr>
            </w:pPr>
          </w:p>
        </w:tc>
        <w:tc>
          <w:tcPr>
            <w:tcW w:w="820" w:type="dxa"/>
            <w:vAlign w:val="bottom"/>
            <w:tcBorders>
              <w:bottom w:val="single" w:sz="8" w:color="CCEC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CCECFF"/>
            </w:tcBorders>
          </w:tcPr>
          <w:p>
            <w:pPr>
              <w:spacing w:after="0"/>
              <w:rPr>
                <w:sz w:val="19"/>
                <w:szCs w:val="19"/>
                <w:color w:val="auto"/>
              </w:rPr>
            </w:pPr>
          </w:p>
        </w:tc>
        <w:tc>
          <w:tcPr>
            <w:tcW w:w="100" w:type="dxa"/>
            <w:vAlign w:val="bottom"/>
            <w:tcBorders>
              <w:bottom w:val="single" w:sz="8" w:color="CCEC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CCECFF"/>
            </w:tcBorders>
          </w:tcPr>
          <w:p>
            <w:pPr>
              <w:spacing w:after="0"/>
              <w:rPr>
                <w:sz w:val="19"/>
                <w:szCs w:val="19"/>
                <w:color w:val="auto"/>
              </w:rPr>
            </w:pPr>
          </w:p>
        </w:tc>
        <w:tc>
          <w:tcPr>
            <w:tcW w:w="80" w:type="dxa"/>
            <w:vAlign w:val="bottom"/>
            <w:tcBorders>
              <w:bottom w:val="single" w:sz="8" w:color="CCEC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80" w:type="dxa"/>
            <w:vAlign w:val="bottom"/>
            <w:tcBorders>
              <w:bottom w:val="single" w:sz="8" w:color="CCECFF"/>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60" w:type="dxa"/>
            <w:vAlign w:val="bottom"/>
            <w:shd w:val="clear" w:color="auto" w:fill="CCECFF"/>
          </w:tcPr>
          <w:p>
            <w:pPr>
              <w:spacing w:after="0"/>
              <w:rPr>
                <w:sz w:val="20"/>
                <w:szCs w:val="20"/>
                <w:color w:val="auto"/>
              </w:rPr>
            </w:pPr>
            <w:r>
              <w:rPr>
                <w:rFonts w:ascii="Arial" w:cs="Arial" w:eastAsia="Arial" w:hAnsi="Arial"/>
                <w:sz w:val="18"/>
                <w:szCs w:val="18"/>
                <w:color w:val="auto"/>
              </w:rPr>
              <w:t>Numerator:</w:t>
            </w:r>
          </w:p>
        </w:tc>
        <w:tc>
          <w:tcPr>
            <w:tcW w:w="82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96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94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92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(245,874)</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(145,618)</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(59,802)</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4260" w:type="dxa"/>
            <w:vAlign w:val="bottom"/>
            <w:shd w:val="clear" w:color="auto" w:fill="CCECFF"/>
          </w:tcPr>
          <w:p>
            <w:pPr>
              <w:ind w:left="240"/>
              <w:spacing w:after="0"/>
              <w:rPr>
                <w:sz w:val="20"/>
                <w:szCs w:val="20"/>
                <w:color w:val="auto"/>
              </w:rPr>
            </w:pPr>
            <w:r>
              <w:rPr>
                <w:rFonts w:ascii="Arial" w:cs="Arial" w:eastAsia="Arial" w:hAnsi="Arial"/>
                <w:sz w:val="18"/>
                <w:szCs w:val="18"/>
                <w:color w:val="auto"/>
              </w:rPr>
              <w:t>Accretion and dividends on convertible preferred</w:t>
            </w:r>
          </w:p>
        </w:tc>
        <w:tc>
          <w:tcPr>
            <w:tcW w:w="8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96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94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00" w:type="dxa"/>
            <w:vAlign w:val="bottom"/>
            <w:gridSpan w:val="2"/>
            <w:vMerge w:val="restart"/>
            <w:shd w:val="clear" w:color="auto" w:fill="CCECFF"/>
          </w:tcPr>
          <w:p>
            <w:pPr>
              <w:jc w:val="right"/>
              <w:ind w:right="40"/>
              <w:spacing w:after="0"/>
              <w:rPr>
                <w:sz w:val="20"/>
                <w:szCs w:val="20"/>
                <w:color w:val="auto"/>
              </w:rPr>
            </w:pPr>
            <w:r>
              <w:rPr>
                <w:rFonts w:ascii="Arial" w:cs="Arial" w:eastAsia="Arial" w:hAnsi="Arial"/>
                <w:sz w:val="18"/>
                <w:szCs w:val="18"/>
                <w:color w:val="auto"/>
              </w:rPr>
              <w:t>(4,808)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4260" w:type="dxa"/>
            <w:vAlign w:val="bottom"/>
            <w:vMerge w:val="restart"/>
            <w:shd w:val="clear" w:color="auto" w:fill="CCECFF"/>
          </w:tcPr>
          <w:p>
            <w:pPr>
              <w:ind w:left="380"/>
              <w:spacing w:after="0"/>
              <w:rPr>
                <w:sz w:val="20"/>
                <w:szCs w:val="20"/>
                <w:color w:val="auto"/>
              </w:rPr>
            </w:pPr>
            <w:r>
              <w:rPr>
                <w:rFonts w:ascii="Arial" w:cs="Arial" w:eastAsia="Arial" w:hAnsi="Arial"/>
                <w:sz w:val="18"/>
                <w:szCs w:val="18"/>
                <w:color w:val="auto"/>
              </w:rPr>
              <w:t>stock</w:t>
            </w:r>
          </w:p>
        </w:tc>
        <w:tc>
          <w:tcPr>
            <w:tcW w:w="8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1100" w:type="dxa"/>
            <w:vAlign w:val="bottom"/>
            <w:gridSpan w:val="2"/>
            <w:vMerge w:val="restart"/>
            <w:shd w:val="clear" w:color="auto" w:fill="CCEC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1100" w:type="dxa"/>
            <w:vAlign w:val="bottom"/>
            <w:gridSpan w:val="2"/>
            <w:vMerge w:val="restart"/>
            <w:shd w:val="clear" w:color="auto" w:fill="CCEC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1000" w:type="dxa"/>
            <w:vAlign w:val="bottom"/>
            <w:gridSpan w:val="2"/>
            <w:vMerge w:val="continue"/>
            <w:shd w:val="clear" w:color="auto" w:fill="CCECFF"/>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4260" w:type="dxa"/>
            <w:vAlign w:val="bottom"/>
            <w:vMerge w:val="continue"/>
            <w:shd w:val="clear" w:color="auto" w:fill="CCECFF"/>
          </w:tcPr>
          <w:p>
            <w:pPr>
              <w:spacing w:after="0"/>
              <w:rPr>
                <w:sz w:val="9"/>
                <w:szCs w:val="9"/>
                <w:color w:val="auto"/>
              </w:rPr>
            </w:pPr>
          </w:p>
        </w:tc>
        <w:tc>
          <w:tcPr>
            <w:tcW w:w="82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1100" w:type="dxa"/>
            <w:vAlign w:val="bottom"/>
            <w:gridSpan w:val="2"/>
            <w:vMerge w:val="continue"/>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1100" w:type="dxa"/>
            <w:vAlign w:val="bottom"/>
            <w:gridSpan w:val="2"/>
            <w:vMerge w:val="continue"/>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260" w:type="dxa"/>
            <w:vAlign w:val="bottom"/>
            <w:shd w:val="clear" w:color="auto" w:fill="CCECFF"/>
          </w:tcPr>
          <w:p>
            <w:pPr>
              <w:spacing w:after="0"/>
              <w:rPr>
                <w:sz w:val="9"/>
                <w:szCs w:val="9"/>
                <w:color w:val="auto"/>
              </w:rPr>
            </w:pPr>
          </w:p>
        </w:tc>
        <w:tc>
          <w:tcPr>
            <w:tcW w:w="92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4260" w:type="dxa"/>
            <w:vAlign w:val="bottom"/>
            <w:tcBorders>
              <w:bottom w:val="single" w:sz="8" w:color="CCECFF"/>
            </w:tcBorders>
          </w:tcPr>
          <w:p>
            <w:pPr>
              <w:ind w:left="240"/>
              <w:spacing w:after="0"/>
              <w:rPr>
                <w:sz w:val="20"/>
                <w:szCs w:val="20"/>
                <w:color w:val="auto"/>
              </w:rPr>
            </w:pPr>
            <w:r>
              <w:rPr>
                <w:rFonts w:ascii="Arial" w:cs="Arial" w:eastAsia="Arial" w:hAnsi="Arial"/>
                <w:sz w:val="18"/>
                <w:szCs w:val="18"/>
                <w:color w:val="auto"/>
              </w:rPr>
              <w:t>Net loss attributable to common stockholders</w:t>
            </w:r>
          </w:p>
        </w:tc>
        <w:tc>
          <w:tcPr>
            <w:tcW w:w="820" w:type="dxa"/>
            <w:vAlign w:val="bottom"/>
            <w:tcBorders>
              <w:bottom w:val="single" w:sz="8" w:color="CCEC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(245,874)</w:t>
            </w:r>
          </w:p>
        </w:tc>
        <w:tc>
          <w:tcPr>
            <w:tcW w:w="140" w:type="dxa"/>
            <w:vAlign w:val="bottom"/>
            <w:tcBorders>
              <w:bottom w:val="single" w:sz="8" w:color="CCECFF"/>
            </w:tcBorders>
          </w:tcPr>
          <w:p>
            <w:pPr>
              <w:spacing w:after="0"/>
              <w:rPr>
                <w:sz w:val="22"/>
                <w:szCs w:val="22"/>
                <w:color w:val="auto"/>
              </w:rPr>
            </w:pPr>
          </w:p>
        </w:tc>
        <w:tc>
          <w:tcPr>
            <w:tcW w:w="100" w:type="dxa"/>
            <w:vAlign w:val="bottom"/>
            <w:tcBorders>
              <w:bottom w:val="single" w:sz="8" w:color="CCEC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(145,618)</w:t>
            </w:r>
          </w:p>
        </w:tc>
        <w:tc>
          <w:tcPr>
            <w:tcW w:w="160" w:type="dxa"/>
            <w:vAlign w:val="bottom"/>
            <w:tcBorders>
              <w:bottom w:val="single" w:sz="8" w:color="CCECFF"/>
            </w:tcBorders>
          </w:tcPr>
          <w:p>
            <w:pPr>
              <w:spacing w:after="0"/>
              <w:rPr>
                <w:sz w:val="22"/>
                <w:szCs w:val="22"/>
                <w:color w:val="auto"/>
              </w:rPr>
            </w:pPr>
          </w:p>
        </w:tc>
        <w:tc>
          <w:tcPr>
            <w:tcW w:w="80" w:type="dxa"/>
            <w:vAlign w:val="bottom"/>
            <w:tcBorders>
              <w:bottom w:val="single" w:sz="8" w:color="CCEC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(64,610)</w:t>
            </w:r>
          </w:p>
        </w:tc>
        <w:tc>
          <w:tcPr>
            <w:tcW w:w="80" w:type="dxa"/>
            <w:vAlign w:val="bottom"/>
            <w:tcBorders>
              <w:bottom w:val="single" w:sz="8" w:color="CCECFF"/>
            </w:tcBorders>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260" w:type="dxa"/>
            <w:vAlign w:val="bottom"/>
            <w:shd w:val="clear" w:color="auto" w:fill="CCECFF"/>
          </w:tcPr>
          <w:p>
            <w:pPr>
              <w:spacing w:after="0"/>
              <w:rPr>
                <w:sz w:val="20"/>
                <w:szCs w:val="20"/>
                <w:color w:val="auto"/>
              </w:rPr>
            </w:pPr>
            <w:r>
              <w:rPr>
                <w:rFonts w:ascii="Arial" w:cs="Arial" w:eastAsia="Arial" w:hAnsi="Arial"/>
                <w:sz w:val="18"/>
                <w:szCs w:val="18"/>
                <w:color w:val="auto"/>
              </w:rPr>
              <w:t>Denominator:</w:t>
            </w:r>
          </w:p>
        </w:tc>
        <w:tc>
          <w:tcPr>
            <w:tcW w:w="8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96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94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w w:val="90"/>
              </w:rPr>
              <w:t>Weighted-average shares used to compute net loss per</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tcPr>
          <w:p>
            <w:pPr>
              <w:ind w:left="380"/>
              <w:spacing w:after="0"/>
              <w:rPr>
                <w:sz w:val="20"/>
                <w:szCs w:val="20"/>
                <w:color w:val="auto"/>
              </w:rPr>
            </w:pPr>
            <w:r>
              <w:rPr>
                <w:rFonts w:ascii="Arial" w:cs="Arial" w:eastAsia="Arial" w:hAnsi="Arial"/>
                <w:sz w:val="18"/>
                <w:szCs w:val="18"/>
                <w:color w:val="auto"/>
              </w:rPr>
              <w:t>share attributable to common stockholders,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3"/>
                <w:szCs w:val="23"/>
                <w:color w:val="auto"/>
              </w:rPr>
            </w:pPr>
          </w:p>
        </w:tc>
        <w:tc>
          <w:tcPr>
            <w:tcW w:w="4260" w:type="dxa"/>
            <w:vAlign w:val="bottom"/>
            <w:tcBorders>
              <w:bottom w:val="single" w:sz="8" w:color="CCECFF"/>
            </w:tcBorders>
          </w:tcPr>
          <w:p>
            <w:pPr>
              <w:ind w:left="380"/>
              <w:spacing w:after="0"/>
              <w:rPr>
                <w:sz w:val="20"/>
                <w:szCs w:val="20"/>
                <w:color w:val="auto"/>
              </w:rPr>
            </w:pPr>
            <w:r>
              <w:rPr>
                <w:rFonts w:ascii="Arial" w:cs="Arial" w:eastAsia="Arial" w:hAnsi="Arial"/>
                <w:sz w:val="18"/>
                <w:szCs w:val="18"/>
                <w:color w:val="auto"/>
              </w:rPr>
              <w:t>basic and diluted</w:t>
            </w:r>
          </w:p>
        </w:tc>
        <w:tc>
          <w:tcPr>
            <w:tcW w:w="820" w:type="dxa"/>
            <w:vAlign w:val="bottom"/>
            <w:tcBorders>
              <w:bottom w:val="single" w:sz="8" w:color="CCEC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39,586,908</w:t>
            </w:r>
          </w:p>
        </w:tc>
        <w:tc>
          <w:tcPr>
            <w:tcW w:w="140" w:type="dxa"/>
            <w:vAlign w:val="bottom"/>
            <w:tcBorders>
              <w:bottom w:val="single" w:sz="8" w:color="CCECFF"/>
            </w:tcBorders>
          </w:tcPr>
          <w:p>
            <w:pPr>
              <w:spacing w:after="0"/>
              <w:rPr>
                <w:sz w:val="23"/>
                <w:szCs w:val="23"/>
                <w:color w:val="auto"/>
              </w:rPr>
            </w:pPr>
          </w:p>
        </w:tc>
        <w:tc>
          <w:tcPr>
            <w:tcW w:w="100" w:type="dxa"/>
            <w:vAlign w:val="bottom"/>
            <w:tcBorders>
              <w:bottom w:val="single" w:sz="8" w:color="CCEC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36,782,603</w:t>
            </w:r>
          </w:p>
        </w:tc>
        <w:tc>
          <w:tcPr>
            <w:tcW w:w="160" w:type="dxa"/>
            <w:vAlign w:val="bottom"/>
            <w:tcBorders>
              <w:bottom w:val="single" w:sz="8" w:color="CCECFF"/>
            </w:tcBorders>
          </w:tcPr>
          <w:p>
            <w:pPr>
              <w:spacing w:after="0"/>
              <w:rPr>
                <w:sz w:val="23"/>
                <w:szCs w:val="23"/>
                <w:color w:val="auto"/>
              </w:rPr>
            </w:pPr>
          </w:p>
        </w:tc>
        <w:tc>
          <w:tcPr>
            <w:tcW w:w="80" w:type="dxa"/>
            <w:vAlign w:val="bottom"/>
            <w:tcBorders>
              <w:bottom w:val="single" w:sz="8" w:color="CCEC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28,755,758</w:t>
            </w:r>
          </w:p>
        </w:tc>
        <w:tc>
          <w:tcPr>
            <w:tcW w:w="80" w:type="dxa"/>
            <w:vAlign w:val="bottom"/>
            <w:tcBorders>
              <w:bottom w:val="single" w:sz="8" w:color="CCECFF"/>
            </w:tcBorders>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4260" w:type="dxa"/>
            <w:vAlign w:val="bottom"/>
            <w:shd w:val="clear" w:color="auto" w:fill="CCECFF"/>
          </w:tcPr>
          <w:p>
            <w:pPr>
              <w:spacing w:after="0" w:line="196" w:lineRule="exact"/>
              <w:rPr>
                <w:sz w:val="20"/>
                <w:szCs w:val="20"/>
                <w:color w:val="auto"/>
              </w:rPr>
            </w:pPr>
            <w:r>
              <w:rPr>
                <w:rFonts w:ascii="Arial" w:cs="Arial" w:eastAsia="Arial" w:hAnsi="Arial"/>
                <w:sz w:val="18"/>
                <w:szCs w:val="18"/>
                <w:color w:val="auto"/>
                <w:w w:val="95"/>
              </w:rPr>
              <w:t>Net loss per share attributable to common stockholders,</w:t>
            </w:r>
          </w:p>
        </w:tc>
        <w:tc>
          <w:tcPr>
            <w:tcW w:w="82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96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94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92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260" w:type="dxa"/>
            <w:vAlign w:val="bottom"/>
            <w:shd w:val="clear" w:color="auto" w:fill="CCECFF"/>
          </w:tcPr>
          <w:p>
            <w:pPr>
              <w:ind w:left="120"/>
              <w:spacing w:after="0"/>
              <w:rPr>
                <w:sz w:val="20"/>
                <w:szCs w:val="20"/>
                <w:color w:val="auto"/>
              </w:rPr>
            </w:pPr>
            <w:r>
              <w:rPr>
                <w:rFonts w:ascii="Arial" w:cs="Arial" w:eastAsia="Arial" w:hAnsi="Arial"/>
                <w:sz w:val="18"/>
                <w:szCs w:val="18"/>
                <w:color w:val="auto"/>
              </w:rPr>
              <w:t>basic and diluted</w:t>
            </w:r>
          </w:p>
        </w:tc>
        <w:tc>
          <w:tcPr>
            <w:tcW w:w="1020" w:type="dxa"/>
            <w:vAlign w:val="bottom"/>
            <w:gridSpan w:val="2"/>
            <w:shd w:val="clear" w:color="auto" w:fill="CCEC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(6.21)</w:t>
            </w:r>
          </w:p>
        </w:tc>
        <w:tc>
          <w:tcPr>
            <w:tcW w:w="300" w:type="dxa"/>
            <w:vAlign w:val="bottom"/>
            <w:gridSpan w:val="2"/>
            <w:shd w:val="clear" w:color="auto" w:fill="CCECFF"/>
          </w:tcPr>
          <w:p>
            <w:pPr>
              <w:jc w:val="right"/>
              <w:ind w:right="4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(3.96)</w:t>
            </w:r>
          </w:p>
        </w:tc>
        <w:tc>
          <w:tcPr>
            <w:tcW w:w="340" w:type="dxa"/>
            <w:vAlign w:val="bottom"/>
            <w:gridSpan w:val="2"/>
            <w:shd w:val="clear" w:color="auto" w:fill="CCEC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(2.25)</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60" w:type="dxa"/>
            <w:vAlign w:val="bottom"/>
            <w:tcBorders>
              <w:top w:val="single" w:sz="8" w:color="CCECFF"/>
            </w:tcBorders>
          </w:tcPr>
          <w:p>
            <w:pPr>
              <w:spacing w:after="0" w:line="20" w:lineRule="exact"/>
              <w:rPr>
                <w:sz w:val="1"/>
                <w:szCs w:val="1"/>
                <w:color w:val="auto"/>
              </w:rPr>
            </w:pPr>
          </w:p>
        </w:tc>
        <w:tc>
          <w:tcPr>
            <w:tcW w:w="820" w:type="dxa"/>
            <w:vAlign w:val="bottom"/>
            <w:tcBorders>
              <w:top w:val="single" w:sz="8" w:color="CCEC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11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020" w:type="dxa"/>
            <w:vAlign w:val="bottom"/>
            <w:gridSpan w:val="2"/>
          </w:tcPr>
          <w:p>
            <w:pPr>
              <w:jc w:val="right"/>
              <w:ind w:right="470"/>
              <w:spacing w:after="0"/>
              <w:rPr>
                <w:sz w:val="20"/>
                <w:szCs w:val="20"/>
                <w:color w:val="auto"/>
              </w:rPr>
            </w:pPr>
            <w:r>
              <w:rPr>
                <w:rFonts w:ascii="Arial" w:cs="Arial" w:eastAsia="Arial" w:hAnsi="Arial"/>
                <w:sz w:val="18"/>
                <w:szCs w:val="18"/>
                <w:color w:val="auto"/>
              </w:rPr>
              <w:t>F-22</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5" w:name="page96"/>
    <w:bookmarkEnd w:id="95"/>
    <w:p>
      <w:pPr>
        <w:jc w:val="center"/>
        <w:ind w:right="-119"/>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6"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following weighted-average outstanding common stock equivalents were excluded from the computation of diluted net loss per share attributable to common stockholders for the periods presented because including them would have been antidilutive:</w:t>
      </w:r>
    </w:p>
    <w:p>
      <w:pPr>
        <w:spacing w:after="0" w:line="4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3040" w:type="dxa"/>
            <w:vAlign w:val="bottom"/>
            <w:tcBorders>
              <w:bottom w:val="single" w:sz="8" w:color="auto"/>
            </w:tcBorders>
            <w:gridSpan w:val="5"/>
          </w:tcPr>
          <w:p>
            <w:pPr>
              <w:ind w:left="940"/>
              <w:spacing w:after="0"/>
              <w:rPr>
                <w:sz w:val="20"/>
                <w:szCs w:val="20"/>
                <w:color w:val="auto"/>
              </w:rPr>
            </w:pPr>
            <w:r>
              <w:rPr>
                <w:rFonts w:ascii="Arial" w:cs="Arial" w:eastAsia="Arial" w:hAnsi="Arial"/>
                <w:sz w:val="18"/>
                <w:szCs w:val="18"/>
                <w:b w:val="1"/>
                <w:bCs w:val="1"/>
                <w:color w:val="auto"/>
                <w:w w:val="94"/>
              </w:rPr>
              <w:t>Year Ended December 31,</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120" w:type="dxa"/>
            <w:vAlign w:val="bottom"/>
            <w:tcBorders>
              <w:bottom w:val="single" w:sz="8" w:color="CCECFF"/>
            </w:tcBorders>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bottom w:val="single" w:sz="8" w:color="CCECFF"/>
            </w:tcBorders>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bottom w:val="single" w:sz="8" w:color="CCEC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80" w:type="dxa"/>
            <w:vAlign w:val="bottom"/>
            <w:tcBorders>
              <w:bottom w:val="single" w:sz="8" w:color="CCEC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20" w:type="dxa"/>
            <w:vAlign w:val="bottom"/>
            <w:shd w:val="clear" w:color="auto" w:fill="CCECFF"/>
          </w:tcPr>
          <w:p>
            <w:pPr>
              <w:spacing w:after="0"/>
              <w:rPr>
                <w:sz w:val="20"/>
                <w:szCs w:val="20"/>
                <w:color w:val="auto"/>
              </w:rPr>
            </w:pPr>
            <w:r>
              <w:rPr>
                <w:rFonts w:ascii="Arial" w:cs="Arial" w:eastAsia="Arial" w:hAnsi="Arial"/>
                <w:sz w:val="18"/>
                <w:szCs w:val="18"/>
                <w:color w:val="auto"/>
              </w:rPr>
              <w:t>Convertible preferred stock</w:t>
            </w:r>
          </w:p>
        </w:tc>
        <w:tc>
          <w:tcPr>
            <w:tcW w:w="11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CFF"/>
          </w:tcPr>
          <w:p>
            <w:pPr>
              <w:spacing w:after="0"/>
              <w:rPr>
                <w:sz w:val="19"/>
                <w:szCs w:val="19"/>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1,610,834</w:t>
            </w:r>
          </w:p>
        </w:tc>
        <w:tc>
          <w:tcPr>
            <w:tcW w:w="80" w:type="dxa"/>
            <w:vAlign w:val="bottom"/>
            <w:shd w:val="clear" w:color="auto" w:fill="CCEC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Options to purchase common stock and RSUs</w:t>
            </w:r>
          </w:p>
        </w:tc>
        <w:tc>
          <w:tcPr>
            <w:tcW w:w="1140" w:type="dxa"/>
            <w:vAlign w:val="bottom"/>
          </w:tcPr>
          <w:p>
            <w:pPr>
              <w:jc w:val="right"/>
              <w:spacing w:after="0"/>
              <w:rPr>
                <w:sz w:val="20"/>
                <w:szCs w:val="20"/>
                <w:color w:val="auto"/>
              </w:rPr>
            </w:pPr>
            <w:r>
              <w:rPr>
                <w:rFonts w:ascii="Arial" w:cs="Arial" w:eastAsia="Arial" w:hAnsi="Arial"/>
                <w:sz w:val="18"/>
                <w:szCs w:val="18"/>
                <w:color w:val="auto"/>
              </w:rPr>
              <w:t>4,699,111</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3,368,507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2,582,444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CECFF"/>
          </w:tcPr>
          <w:p>
            <w:pPr>
              <w:spacing w:after="0"/>
              <w:rPr>
                <w:sz w:val="20"/>
                <w:szCs w:val="20"/>
                <w:color w:val="auto"/>
              </w:rPr>
            </w:pPr>
            <w:r>
              <w:rPr>
                <w:rFonts w:ascii="Arial" w:cs="Arial" w:eastAsia="Arial" w:hAnsi="Arial"/>
                <w:sz w:val="18"/>
                <w:szCs w:val="18"/>
                <w:color w:val="auto"/>
              </w:rPr>
              <w:t>Convertible preferred stock warrants</w:t>
            </w:r>
          </w:p>
        </w:tc>
        <w:tc>
          <w:tcPr>
            <w:tcW w:w="1380" w:type="dxa"/>
            <w:vAlign w:val="bottom"/>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CFF"/>
          </w:tcPr>
          <w:p>
            <w:pPr>
              <w:jc w:val="right"/>
              <w:ind w:right="5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29,051</w:t>
            </w:r>
          </w:p>
        </w:tc>
        <w:tc>
          <w:tcPr>
            <w:tcW w:w="80" w:type="dxa"/>
            <w:vAlign w:val="bottom"/>
            <w:shd w:val="clear" w:color="auto" w:fill="CCEC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140" w:type="dxa"/>
            <w:vAlign w:val="bottom"/>
          </w:tcPr>
          <w:p>
            <w:pPr>
              <w:jc w:val="right"/>
              <w:spacing w:after="0"/>
              <w:rPr>
                <w:sz w:val="20"/>
                <w:szCs w:val="20"/>
                <w:color w:val="auto"/>
              </w:rPr>
            </w:pPr>
            <w:r>
              <w:rPr>
                <w:rFonts w:ascii="Arial" w:cs="Arial" w:eastAsia="Arial" w:hAnsi="Arial"/>
                <w:sz w:val="18"/>
                <w:szCs w:val="18"/>
                <w:color w:val="auto"/>
              </w:rPr>
              <w:t>7,933</w:t>
            </w:r>
          </w:p>
        </w:tc>
        <w:tc>
          <w:tcPr>
            <w:tcW w:w="240" w:type="dxa"/>
            <w:vAlign w:val="bottom"/>
          </w:tcPr>
          <w:p>
            <w:pPr>
              <w:spacing w:after="0"/>
              <w:rPr>
                <w:sz w:val="19"/>
                <w:szCs w:val="19"/>
                <w:color w:val="auto"/>
              </w:rPr>
            </w:pPr>
          </w:p>
        </w:tc>
        <w:tc>
          <w:tcPr>
            <w:tcW w:w="16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120" w:type="dxa"/>
            <w:vAlign w:val="bottom"/>
            <w:shd w:val="clear" w:color="auto" w:fill="CCECFF"/>
          </w:tcPr>
          <w:p>
            <w:pPr>
              <w:spacing w:after="0"/>
              <w:rPr>
                <w:sz w:val="20"/>
                <w:szCs w:val="20"/>
                <w:color w:val="auto"/>
              </w:rPr>
            </w:pPr>
            <w:r>
              <w:rPr>
                <w:rFonts w:ascii="Arial" w:cs="Arial" w:eastAsia="Arial" w:hAnsi="Arial"/>
                <w:sz w:val="18"/>
                <w:szCs w:val="18"/>
                <w:color w:val="auto"/>
              </w:rPr>
              <w:t>Common stock warrants</w:t>
            </w:r>
          </w:p>
        </w:tc>
        <w:tc>
          <w:tcPr>
            <w:tcW w:w="1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149,700</w:t>
            </w:r>
          </w:p>
        </w:tc>
        <w:tc>
          <w:tcPr>
            <w:tcW w:w="240" w:type="dxa"/>
            <w:vAlign w:val="bottom"/>
            <w:shd w:val="clear" w:color="auto" w:fill="CCECFF"/>
          </w:tcPr>
          <w:p>
            <w:pPr>
              <w:spacing w:after="0"/>
              <w:rPr>
                <w:sz w:val="19"/>
                <w:szCs w:val="19"/>
                <w:color w:val="auto"/>
              </w:rPr>
            </w:pPr>
          </w:p>
        </w:tc>
        <w:tc>
          <w:tcPr>
            <w:tcW w:w="1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195,762</w:t>
            </w:r>
          </w:p>
        </w:tc>
        <w:tc>
          <w:tcPr>
            <w:tcW w:w="240" w:type="dxa"/>
            <w:vAlign w:val="bottom"/>
            <w:shd w:val="clear" w:color="auto" w:fill="CCECFF"/>
          </w:tcPr>
          <w:p>
            <w:pPr>
              <w:spacing w:after="0"/>
              <w:rPr>
                <w:sz w:val="19"/>
                <w:szCs w:val="19"/>
                <w:color w:val="auto"/>
              </w:rPr>
            </w:pPr>
          </w:p>
        </w:tc>
        <w:tc>
          <w:tcPr>
            <w:tcW w:w="280" w:type="dxa"/>
            <w:vAlign w:val="bottom"/>
            <w:tcBorders>
              <w:bottom w:val="single" w:sz="8" w:color="auto"/>
            </w:tcBorders>
            <w:shd w:val="clear" w:color="auto" w:fill="CCECFF"/>
          </w:tcPr>
          <w:p>
            <w:pPr>
              <w:spacing w:after="0"/>
              <w:rPr>
                <w:sz w:val="19"/>
                <w:szCs w:val="19"/>
                <w:color w:val="auto"/>
              </w:rPr>
            </w:pPr>
          </w:p>
        </w:tc>
        <w:tc>
          <w:tcPr>
            <w:tcW w:w="8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318,666</w:t>
            </w:r>
          </w:p>
        </w:tc>
        <w:tc>
          <w:tcPr>
            <w:tcW w:w="80" w:type="dxa"/>
            <w:vAlign w:val="bottom"/>
            <w:shd w:val="clear" w:color="auto" w:fill="CCEC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4,856,744</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3,564,269</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4,540,995</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left="440" w:hanging="432"/>
        <w:spacing w:after="0"/>
        <w:tabs>
          <w:tab w:leader="none" w:pos="4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accumulated other comprehensive income (loss) consisted of the following (in thousands):</w:t>
      </w:r>
    </w:p>
    <w:p>
      <w:pPr>
        <w:spacing w:after="0" w:line="10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Unrealized Gain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(Loss) on</w:t>
            </w:r>
          </w:p>
        </w:tc>
        <w:tc>
          <w:tcPr>
            <w:tcW w:w="12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Foreign Currency</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Securities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Translation</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Comprehensive</w:t>
            </w:r>
          </w:p>
        </w:tc>
      </w:t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Available-for-Sale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Adjustments</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Income (Loss)</w:t>
            </w:r>
          </w:p>
        </w:tc>
      </w:tr>
      <w:tr>
        <w:trPr>
          <w:trHeight w:val="223"/>
        </w:trPr>
        <w:tc>
          <w:tcPr>
            <w:tcW w:w="20" w:type="dxa"/>
            <w:vAlign w:val="bottom"/>
          </w:tcPr>
          <w:p>
            <w:pPr>
              <w:spacing w:after="0"/>
              <w:rPr>
                <w:sz w:val="19"/>
                <w:szCs w:val="19"/>
                <w:color w:val="auto"/>
              </w:rPr>
            </w:pPr>
          </w:p>
        </w:tc>
        <w:tc>
          <w:tcPr>
            <w:tcW w:w="340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December 31, 2013</w:t>
            </w:r>
          </w:p>
        </w:tc>
        <w:tc>
          <w:tcPr>
            <w:tcW w:w="480" w:type="dxa"/>
            <w:vAlign w:val="bottom"/>
            <w:tcBorders>
              <w:top w:val="single" w:sz="8" w:color="CCECFF"/>
            </w:tcBorders>
            <w:shd w:val="clear" w:color="auto" w:fill="CCECFF"/>
          </w:tcPr>
          <w:p>
            <w:pPr>
              <w:spacing w:after="0"/>
              <w:rPr>
                <w:sz w:val="19"/>
                <w:szCs w:val="19"/>
                <w:color w:val="auto"/>
              </w:rPr>
            </w:pPr>
          </w:p>
        </w:tc>
        <w:tc>
          <w:tcPr>
            <w:tcW w:w="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top w:val="single" w:sz="8" w:color="CCECFF"/>
            </w:tcBorders>
            <w:shd w:val="clear" w:color="auto" w:fill="CCECFF"/>
          </w:tcPr>
          <w:p>
            <w:pPr>
              <w:spacing w:after="0"/>
              <w:rPr>
                <w:sz w:val="19"/>
                <w:szCs w:val="19"/>
                <w:color w:val="auto"/>
              </w:rPr>
            </w:pPr>
          </w:p>
        </w:tc>
        <w:tc>
          <w:tcPr>
            <w:tcW w:w="120" w:type="dxa"/>
            <w:vAlign w:val="bottom"/>
            <w:tcBorders>
              <w:top w:val="single" w:sz="8" w:color="CCECFF"/>
            </w:tcBorders>
            <w:shd w:val="clear" w:color="auto" w:fill="CCECFF"/>
          </w:tcPr>
          <w:p>
            <w:pPr>
              <w:spacing w:after="0"/>
              <w:rPr>
                <w:sz w:val="19"/>
                <w:szCs w:val="19"/>
                <w:color w:val="auto"/>
              </w:rPr>
            </w:pPr>
          </w:p>
        </w:tc>
        <w:tc>
          <w:tcPr>
            <w:tcW w:w="1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CFF"/>
            </w:tcBorders>
            <w:shd w:val="clear" w:color="auto" w:fill="CCECFF"/>
          </w:tcPr>
          <w:p>
            <w:pPr>
              <w:spacing w:after="0"/>
              <w:rPr>
                <w:sz w:val="19"/>
                <w:szCs w:val="19"/>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top w:val="single" w:sz="8" w:color="CCECFF"/>
            </w:tcBorders>
            <w:shd w:val="clear" w:color="auto" w:fill="CCEC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Current period other comprehensive loss</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r>
      <w:tr>
        <w:trPr>
          <w:trHeight w:val="223"/>
        </w:trPr>
        <w:tc>
          <w:tcPr>
            <w:tcW w:w="20" w:type="dxa"/>
            <w:vAlign w:val="bottom"/>
          </w:tcPr>
          <w:p>
            <w:pPr>
              <w:spacing w:after="0"/>
              <w:rPr>
                <w:sz w:val="19"/>
                <w:szCs w:val="19"/>
                <w:color w:val="auto"/>
              </w:rPr>
            </w:pPr>
          </w:p>
        </w:tc>
        <w:tc>
          <w:tcPr>
            <w:tcW w:w="340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December 31, 2014</w:t>
            </w:r>
          </w:p>
        </w:tc>
        <w:tc>
          <w:tcPr>
            <w:tcW w:w="480" w:type="dxa"/>
            <w:vAlign w:val="bottom"/>
            <w:tcBorders>
              <w:top w:val="single" w:sz="8" w:color="CCECFF"/>
            </w:tcBorders>
            <w:shd w:val="clear" w:color="auto" w:fill="CCECFF"/>
          </w:tcPr>
          <w:p>
            <w:pPr>
              <w:spacing w:after="0"/>
              <w:rPr>
                <w:sz w:val="19"/>
                <w:szCs w:val="19"/>
                <w:color w:val="auto"/>
              </w:rPr>
            </w:pPr>
          </w:p>
        </w:tc>
        <w:tc>
          <w:tcPr>
            <w:tcW w:w="80" w:type="dxa"/>
            <w:vAlign w:val="bottom"/>
            <w:tcBorders>
              <w:top w:val="single" w:sz="8" w:color="auto"/>
            </w:tcBorders>
            <w:shd w:val="clear" w:color="auto" w:fill="CCECFF"/>
          </w:tcPr>
          <w:p>
            <w:pPr>
              <w:spacing w:after="0"/>
              <w:rPr>
                <w:sz w:val="19"/>
                <w:szCs w:val="19"/>
                <w:color w:val="auto"/>
              </w:rPr>
            </w:pPr>
          </w:p>
        </w:tc>
        <w:tc>
          <w:tcPr>
            <w:tcW w:w="14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(174)</w:t>
            </w:r>
          </w:p>
        </w:tc>
        <w:tc>
          <w:tcPr>
            <w:tcW w:w="160" w:type="dxa"/>
            <w:vAlign w:val="bottom"/>
            <w:tcBorders>
              <w:top w:val="single" w:sz="8" w:color="CCECFF"/>
            </w:tcBorders>
            <w:shd w:val="clear" w:color="auto" w:fill="CCECFF"/>
          </w:tcPr>
          <w:p>
            <w:pPr>
              <w:spacing w:after="0"/>
              <w:rPr>
                <w:sz w:val="19"/>
                <w:szCs w:val="19"/>
                <w:color w:val="auto"/>
              </w:rPr>
            </w:pPr>
          </w:p>
        </w:tc>
        <w:tc>
          <w:tcPr>
            <w:tcW w:w="120" w:type="dxa"/>
            <w:vAlign w:val="bottom"/>
            <w:tcBorders>
              <w:top w:val="single" w:sz="8" w:color="CCECFF"/>
            </w:tcBorders>
            <w:shd w:val="clear" w:color="auto" w:fill="CCECFF"/>
          </w:tcPr>
          <w:p>
            <w:pPr>
              <w:spacing w:after="0"/>
              <w:rPr>
                <w:sz w:val="19"/>
                <w:szCs w:val="19"/>
                <w:color w:val="auto"/>
              </w:rPr>
            </w:pPr>
          </w:p>
        </w:tc>
        <w:tc>
          <w:tcPr>
            <w:tcW w:w="180" w:type="dxa"/>
            <w:vAlign w:val="bottom"/>
            <w:tcBorders>
              <w:top w:val="single" w:sz="8" w:color="auto"/>
            </w:tcBorders>
            <w:shd w:val="clear" w:color="auto" w:fill="CCECFF"/>
          </w:tcPr>
          <w:p>
            <w:pPr>
              <w:spacing w:after="0"/>
              <w:rPr>
                <w:sz w:val="19"/>
                <w:szCs w:val="19"/>
                <w:color w:val="auto"/>
              </w:rPr>
            </w:pPr>
          </w:p>
        </w:tc>
        <w:tc>
          <w:tcPr>
            <w:tcW w:w="13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CFF"/>
            </w:tcBorders>
            <w:shd w:val="clear" w:color="auto" w:fill="CCECFF"/>
          </w:tcPr>
          <w:p>
            <w:pPr>
              <w:spacing w:after="0"/>
              <w:rPr>
                <w:sz w:val="19"/>
                <w:szCs w:val="19"/>
                <w:color w:val="auto"/>
              </w:rPr>
            </w:pPr>
          </w:p>
        </w:tc>
        <w:tc>
          <w:tcPr>
            <w:tcW w:w="120" w:type="dxa"/>
            <w:vAlign w:val="bottom"/>
            <w:tcBorders>
              <w:top w:val="single" w:sz="8" w:color="auto"/>
            </w:tcBorders>
            <w:shd w:val="clear" w:color="auto" w:fill="CCECFF"/>
          </w:tcPr>
          <w:p>
            <w:pPr>
              <w:spacing w:after="0"/>
              <w:rPr>
                <w:sz w:val="19"/>
                <w:szCs w:val="19"/>
                <w:color w:val="auto"/>
              </w:rPr>
            </w:pPr>
          </w:p>
        </w:tc>
        <w:tc>
          <w:tcPr>
            <w:tcW w:w="14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(174)</w:t>
            </w:r>
          </w:p>
        </w:tc>
        <w:tc>
          <w:tcPr>
            <w:tcW w:w="80" w:type="dxa"/>
            <w:vAlign w:val="bottom"/>
            <w:tcBorders>
              <w:top w:val="single" w:sz="8" w:color="CCECFF"/>
            </w:tcBorders>
            <w:shd w:val="clear" w:color="auto" w:fill="CCEC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Current period other comprehensive loss</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(694)</w:t>
            </w:r>
          </w:p>
        </w:tc>
      </w:tr>
      <w:tr>
        <w:trPr>
          <w:trHeight w:val="223"/>
        </w:trPr>
        <w:tc>
          <w:tcPr>
            <w:tcW w:w="20" w:type="dxa"/>
            <w:vAlign w:val="bottom"/>
          </w:tcPr>
          <w:p>
            <w:pPr>
              <w:spacing w:after="0"/>
              <w:rPr>
                <w:sz w:val="19"/>
                <w:szCs w:val="19"/>
                <w:color w:val="auto"/>
              </w:rPr>
            </w:pPr>
          </w:p>
        </w:tc>
        <w:tc>
          <w:tcPr>
            <w:tcW w:w="340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December 31, 2015</w:t>
            </w:r>
          </w:p>
        </w:tc>
        <w:tc>
          <w:tcPr>
            <w:tcW w:w="480" w:type="dxa"/>
            <w:vAlign w:val="bottom"/>
            <w:tcBorders>
              <w:top w:val="single" w:sz="8" w:color="CCECFF"/>
            </w:tcBorders>
            <w:shd w:val="clear" w:color="auto" w:fill="CCECFF"/>
          </w:tcPr>
          <w:p>
            <w:pPr>
              <w:spacing w:after="0"/>
              <w:rPr>
                <w:sz w:val="19"/>
                <w:szCs w:val="19"/>
                <w:color w:val="auto"/>
              </w:rPr>
            </w:pPr>
          </w:p>
        </w:tc>
        <w:tc>
          <w:tcPr>
            <w:tcW w:w="80" w:type="dxa"/>
            <w:vAlign w:val="bottom"/>
            <w:tcBorders>
              <w:top w:val="single" w:sz="8" w:color="auto"/>
            </w:tcBorders>
            <w:shd w:val="clear" w:color="auto" w:fill="CCECFF"/>
          </w:tcPr>
          <w:p>
            <w:pPr>
              <w:spacing w:after="0"/>
              <w:rPr>
                <w:sz w:val="19"/>
                <w:szCs w:val="19"/>
                <w:color w:val="auto"/>
              </w:rPr>
            </w:pPr>
          </w:p>
        </w:tc>
        <w:tc>
          <w:tcPr>
            <w:tcW w:w="14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(868)</w:t>
            </w:r>
          </w:p>
        </w:tc>
        <w:tc>
          <w:tcPr>
            <w:tcW w:w="160" w:type="dxa"/>
            <w:vAlign w:val="bottom"/>
            <w:tcBorders>
              <w:top w:val="single" w:sz="8" w:color="CCECFF"/>
            </w:tcBorders>
            <w:shd w:val="clear" w:color="auto" w:fill="CCECFF"/>
          </w:tcPr>
          <w:p>
            <w:pPr>
              <w:spacing w:after="0"/>
              <w:rPr>
                <w:sz w:val="19"/>
                <w:szCs w:val="19"/>
                <w:color w:val="auto"/>
              </w:rPr>
            </w:pPr>
          </w:p>
        </w:tc>
        <w:tc>
          <w:tcPr>
            <w:tcW w:w="120" w:type="dxa"/>
            <w:vAlign w:val="bottom"/>
            <w:tcBorders>
              <w:top w:val="single" w:sz="8" w:color="CCECFF"/>
            </w:tcBorders>
            <w:shd w:val="clear" w:color="auto" w:fill="CCECFF"/>
          </w:tcPr>
          <w:p>
            <w:pPr>
              <w:spacing w:after="0"/>
              <w:rPr>
                <w:sz w:val="19"/>
                <w:szCs w:val="19"/>
                <w:color w:val="auto"/>
              </w:rPr>
            </w:pPr>
          </w:p>
        </w:tc>
        <w:tc>
          <w:tcPr>
            <w:tcW w:w="180" w:type="dxa"/>
            <w:vAlign w:val="bottom"/>
            <w:tcBorders>
              <w:top w:val="single" w:sz="8" w:color="auto"/>
            </w:tcBorders>
            <w:shd w:val="clear" w:color="auto" w:fill="CCECFF"/>
          </w:tcPr>
          <w:p>
            <w:pPr>
              <w:spacing w:after="0"/>
              <w:rPr>
                <w:sz w:val="19"/>
                <w:szCs w:val="19"/>
                <w:color w:val="auto"/>
              </w:rPr>
            </w:pPr>
          </w:p>
        </w:tc>
        <w:tc>
          <w:tcPr>
            <w:tcW w:w="13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CFF"/>
            </w:tcBorders>
            <w:shd w:val="clear" w:color="auto" w:fill="CCECFF"/>
          </w:tcPr>
          <w:p>
            <w:pPr>
              <w:spacing w:after="0"/>
              <w:rPr>
                <w:sz w:val="19"/>
                <w:szCs w:val="19"/>
                <w:color w:val="auto"/>
              </w:rPr>
            </w:pPr>
          </w:p>
        </w:tc>
        <w:tc>
          <w:tcPr>
            <w:tcW w:w="120" w:type="dxa"/>
            <w:vAlign w:val="bottom"/>
            <w:tcBorders>
              <w:top w:val="single" w:sz="8" w:color="auto"/>
            </w:tcBorders>
            <w:shd w:val="clear" w:color="auto" w:fill="CCECFF"/>
          </w:tcPr>
          <w:p>
            <w:pPr>
              <w:spacing w:after="0"/>
              <w:rPr>
                <w:sz w:val="19"/>
                <w:szCs w:val="19"/>
                <w:color w:val="auto"/>
              </w:rPr>
            </w:pPr>
          </w:p>
        </w:tc>
        <w:tc>
          <w:tcPr>
            <w:tcW w:w="14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(868)</w:t>
            </w:r>
          </w:p>
        </w:tc>
        <w:tc>
          <w:tcPr>
            <w:tcW w:w="80" w:type="dxa"/>
            <w:vAlign w:val="bottom"/>
            <w:tcBorders>
              <w:top w:val="single" w:sz="8" w:color="CCECFF"/>
            </w:tcBorders>
            <w:shd w:val="clear" w:color="auto" w:fill="CCECFF"/>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Current period other comprehensive</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00" w:type="dxa"/>
            <w:vAlign w:val="bottom"/>
            <w:tcBorders>
              <w:bottom w:val="single" w:sz="8" w:color="CCECFF"/>
            </w:tcBorders>
          </w:tcPr>
          <w:p>
            <w:pPr>
              <w:ind w:left="120"/>
              <w:spacing w:after="0"/>
              <w:rPr>
                <w:sz w:val="20"/>
                <w:szCs w:val="20"/>
                <w:color w:val="auto"/>
              </w:rPr>
            </w:pPr>
            <w:r>
              <w:rPr>
                <w:rFonts w:ascii="Arial" w:cs="Arial" w:eastAsia="Arial" w:hAnsi="Arial"/>
                <w:sz w:val="18"/>
                <w:szCs w:val="18"/>
                <w:color w:val="auto"/>
              </w:rPr>
              <w:t>income</w:t>
            </w:r>
          </w:p>
        </w:tc>
        <w:tc>
          <w:tcPr>
            <w:tcW w:w="480" w:type="dxa"/>
            <w:vAlign w:val="bottom"/>
            <w:tcBorders>
              <w:bottom w:val="single" w:sz="8" w:color="CCEC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60" w:type="dxa"/>
            <w:vAlign w:val="bottom"/>
            <w:tcBorders>
              <w:bottom w:val="single" w:sz="8" w:color="CCECFF"/>
            </w:tcBorders>
          </w:tcPr>
          <w:p>
            <w:pPr>
              <w:spacing w:after="0"/>
              <w:rPr>
                <w:sz w:val="20"/>
                <w:szCs w:val="20"/>
                <w:color w:val="auto"/>
              </w:rPr>
            </w:pPr>
          </w:p>
        </w:tc>
        <w:tc>
          <w:tcPr>
            <w:tcW w:w="120" w:type="dxa"/>
            <w:vAlign w:val="bottom"/>
            <w:tcBorders>
              <w:bottom w:val="single" w:sz="8" w:color="CCEC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w:t>
            </w:r>
          </w:p>
        </w:tc>
        <w:tc>
          <w:tcPr>
            <w:tcW w:w="360" w:type="dxa"/>
            <w:vAlign w:val="bottom"/>
            <w:tcBorders>
              <w:bottom w:val="single" w:sz="8" w:color="CCEC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w:t>
            </w:r>
          </w:p>
        </w:tc>
        <w:tc>
          <w:tcPr>
            <w:tcW w:w="80" w:type="dxa"/>
            <w:vAlign w:val="bottom"/>
            <w:tcBorders>
              <w:bottom w:val="single" w:sz="8" w:color="CCECFF"/>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40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December 31, 2016</w:t>
            </w:r>
          </w:p>
        </w:tc>
        <w:tc>
          <w:tcPr>
            <w:tcW w:w="480" w:type="dxa"/>
            <w:vAlign w:val="bottom"/>
            <w:tcBorders>
              <w:bottom w:val="single" w:sz="8" w:color="CCECFF"/>
            </w:tcBorders>
            <w:shd w:val="clear" w:color="auto" w:fill="CCECFF"/>
          </w:tcPr>
          <w:p>
            <w:pPr>
              <w:spacing w:after="0"/>
              <w:rPr>
                <w:sz w:val="19"/>
                <w:szCs w:val="19"/>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(417)</w:t>
            </w:r>
          </w:p>
        </w:tc>
        <w:tc>
          <w:tcPr>
            <w:tcW w:w="160" w:type="dxa"/>
            <w:vAlign w:val="bottom"/>
            <w:tcBorders>
              <w:bottom w:val="single" w:sz="8" w:color="CCECFF"/>
            </w:tcBorders>
            <w:shd w:val="clear" w:color="auto" w:fill="CCECFF"/>
          </w:tcPr>
          <w:p>
            <w:pPr>
              <w:spacing w:after="0"/>
              <w:rPr>
                <w:sz w:val="19"/>
                <w:szCs w:val="19"/>
                <w:color w:val="auto"/>
              </w:rPr>
            </w:pPr>
          </w:p>
        </w:tc>
        <w:tc>
          <w:tcPr>
            <w:tcW w:w="120" w:type="dxa"/>
            <w:vAlign w:val="bottom"/>
            <w:tcBorders>
              <w:bottom w:val="single" w:sz="8" w:color="CCECFF"/>
            </w:tcBorders>
            <w:shd w:val="clear" w:color="auto" w:fill="CCECFF"/>
          </w:tcPr>
          <w:p>
            <w:pPr>
              <w:spacing w:after="0"/>
              <w:rPr>
                <w:sz w:val="19"/>
                <w:szCs w:val="19"/>
                <w:color w:val="auto"/>
              </w:rPr>
            </w:pPr>
          </w:p>
        </w:tc>
        <w:tc>
          <w:tcPr>
            <w:tcW w:w="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1,322</w:t>
            </w:r>
          </w:p>
        </w:tc>
        <w:tc>
          <w:tcPr>
            <w:tcW w:w="360" w:type="dxa"/>
            <w:vAlign w:val="bottom"/>
            <w:tcBorders>
              <w:bottom w:val="single" w:sz="8" w:color="CCECFF"/>
            </w:tcBorders>
            <w:shd w:val="clear" w:color="auto" w:fill="CCECFF"/>
          </w:tcPr>
          <w:p>
            <w:pPr>
              <w:spacing w:after="0"/>
              <w:rPr>
                <w:sz w:val="19"/>
                <w:szCs w:val="19"/>
                <w:color w:val="auto"/>
              </w:rPr>
            </w:pPr>
          </w:p>
        </w:tc>
        <w:tc>
          <w:tcPr>
            <w:tcW w:w="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905</w:t>
            </w:r>
          </w:p>
        </w:tc>
        <w:tc>
          <w:tcPr>
            <w:tcW w:w="80" w:type="dxa"/>
            <w:vAlign w:val="bottom"/>
            <w:tcBorders>
              <w:bottom w:val="single" w:sz="8" w:color="CCECFF"/>
            </w:tcBorders>
            <w:shd w:val="clear" w:color="auto" w:fill="CCEC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Data (unaudited)</w:t>
      </w:r>
    </w:p>
    <w:p>
      <w:pPr>
        <w:spacing w:after="0" w:line="81"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The following table presents certain unaudited quarterly financial information. This information has been prepared on the same basis as the audited financial statements and includes all adjustments (consisting only of normal recurring adjustments) necessary to present fairly the unaudited quarterly results of operations set forth herein (in thousands, except share and per share data):</w:t>
      </w:r>
    </w:p>
    <w:p>
      <w:pPr>
        <w:spacing w:after="0" w:line="5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165"/>
              <w:spacing w:after="0"/>
              <w:rPr>
                <w:sz w:val="20"/>
                <w:szCs w:val="20"/>
                <w:color w:val="auto"/>
              </w:rPr>
            </w:pPr>
            <w:r>
              <w:rPr>
                <w:rFonts w:ascii="Arial" w:cs="Arial" w:eastAsia="Arial" w:hAnsi="Arial"/>
                <w:sz w:val="18"/>
                <w:szCs w:val="18"/>
                <w:b w:val="1"/>
                <w:bCs w:val="1"/>
                <w:color w:val="auto"/>
              </w:rPr>
              <w:t>2016</w:t>
            </w: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June 30,</w:t>
            </w:r>
          </w:p>
        </w:tc>
        <w:tc>
          <w:tcPr>
            <w:tcW w:w="138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5"/>
              </w:rPr>
              <w:t>September 30,</w:t>
            </w:r>
          </w:p>
        </w:tc>
        <w:tc>
          <w:tcPr>
            <w:tcW w:w="1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9"/>
                <w:szCs w:val="19"/>
                <w:color w:val="auto"/>
              </w:rPr>
            </w:pPr>
          </w:p>
        </w:tc>
      </w:tr>
      <w:tr>
        <w:trPr>
          <w:trHeight w:val="223"/>
        </w:trPr>
        <w:tc>
          <w:tcPr>
            <w:tcW w:w="450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Revenue</w:t>
            </w:r>
          </w:p>
        </w:tc>
        <w:tc>
          <w:tcPr>
            <w:tcW w:w="500" w:type="dxa"/>
            <w:vAlign w:val="bottom"/>
            <w:tcBorders>
              <w:top w:val="single" w:sz="8" w:color="CCECFF"/>
            </w:tcBorders>
            <w:shd w:val="clear" w:color="auto" w:fill="CCECFF"/>
          </w:tcPr>
          <w:p>
            <w:pPr>
              <w:spacing w:after="0"/>
              <w:rPr>
                <w:sz w:val="19"/>
                <w:szCs w:val="19"/>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CFF"/>
            </w:tcBorders>
            <w:shd w:val="clear" w:color="auto" w:fill="CCECFF"/>
          </w:tcPr>
          <w:p>
            <w:pPr>
              <w:spacing w:after="0"/>
              <w:rPr>
                <w:sz w:val="19"/>
                <w:szCs w:val="19"/>
                <w:color w:val="auto"/>
              </w:rPr>
            </w:pPr>
          </w:p>
        </w:tc>
        <w:tc>
          <w:tcPr>
            <w:tcW w:w="100" w:type="dxa"/>
            <w:vAlign w:val="bottom"/>
            <w:tcBorders>
              <w:top w:val="single" w:sz="8" w:color="CCECFF"/>
            </w:tcBorders>
            <w:shd w:val="clear" w:color="auto" w:fill="CCECFF"/>
          </w:tcPr>
          <w:p>
            <w:pPr>
              <w:spacing w:after="0"/>
              <w:rPr>
                <w:sz w:val="19"/>
                <w:szCs w:val="19"/>
                <w:color w:val="auto"/>
              </w:rPr>
            </w:pPr>
          </w:p>
        </w:tc>
        <w:tc>
          <w:tcPr>
            <w:tcW w:w="160" w:type="dxa"/>
            <w:vAlign w:val="bottom"/>
            <w:tcBorders>
              <w:top w:val="single" w:sz="8" w:color="auto"/>
            </w:tcBorders>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top w:val="single" w:sz="8" w:color="CCECFF"/>
            </w:tcBorders>
            <w:shd w:val="clear" w:color="auto" w:fill="CCECFF"/>
          </w:tcPr>
          <w:p>
            <w:pPr>
              <w:spacing w:after="0"/>
              <w:rPr>
                <w:sz w:val="19"/>
                <w:szCs w:val="19"/>
                <w:color w:val="auto"/>
              </w:rPr>
            </w:pPr>
          </w:p>
        </w:tc>
        <w:tc>
          <w:tcPr>
            <w:tcW w:w="120" w:type="dxa"/>
            <w:vAlign w:val="bottom"/>
            <w:tcBorders>
              <w:top w:val="single" w:sz="8" w:color="CCECFF"/>
            </w:tcBorders>
            <w:shd w:val="clear" w:color="auto" w:fill="CCECFF"/>
          </w:tcPr>
          <w:p>
            <w:pPr>
              <w:spacing w:after="0"/>
              <w:rPr>
                <w:sz w:val="19"/>
                <w:szCs w:val="19"/>
                <w:color w:val="auto"/>
              </w:rPr>
            </w:pPr>
          </w:p>
        </w:tc>
        <w:tc>
          <w:tcPr>
            <w:tcW w:w="300" w:type="dxa"/>
            <w:vAlign w:val="bottom"/>
            <w:tcBorders>
              <w:top w:val="single" w:sz="8" w:color="auto"/>
            </w:tcBorders>
            <w:shd w:val="clear" w:color="auto" w:fill="CCECFF"/>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Borders>
              <w:top w:val="single" w:sz="8" w:color="CCECFF"/>
            </w:tcBorders>
            <w:shd w:val="clear" w:color="auto" w:fill="CCECFF"/>
          </w:tcPr>
          <w:p>
            <w:pPr>
              <w:spacing w:after="0"/>
              <w:rPr>
                <w:sz w:val="19"/>
                <w:szCs w:val="19"/>
                <w:color w:val="auto"/>
              </w:rPr>
            </w:pPr>
          </w:p>
        </w:tc>
        <w:tc>
          <w:tcPr>
            <w:tcW w:w="120" w:type="dxa"/>
            <w:vAlign w:val="bottom"/>
            <w:tcBorders>
              <w:top w:val="single" w:sz="8" w:color="CCECFF"/>
            </w:tcBorders>
            <w:shd w:val="clear" w:color="auto" w:fill="CCECFF"/>
          </w:tcPr>
          <w:p>
            <w:pPr>
              <w:spacing w:after="0"/>
              <w:rPr>
                <w:sz w:val="19"/>
                <w:szCs w:val="19"/>
                <w:color w:val="auto"/>
              </w:rPr>
            </w:pPr>
          </w:p>
        </w:tc>
        <w:tc>
          <w:tcPr>
            <w:tcW w:w="300" w:type="dxa"/>
            <w:vAlign w:val="bottom"/>
            <w:tcBorders>
              <w:top w:val="single" w:sz="8" w:color="auto"/>
            </w:tcBorders>
            <w:shd w:val="clear" w:color="auto" w:fill="CCECFF"/>
          </w:tcPr>
          <w:p>
            <w:pPr>
              <w:jc w:val="right"/>
              <w:ind w:right="13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CFF"/>
            </w:tcBorders>
            <w:shd w:val="clear" w:color="auto" w:fill="CCECFF"/>
          </w:tcPr>
          <w:p>
            <w:pPr>
              <w:spacing w:after="0"/>
              <w:rPr>
                <w:sz w:val="19"/>
                <w:szCs w:val="19"/>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53,622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58,070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65,894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70,554</w:t>
            </w:r>
          </w:p>
        </w:tc>
        <w:tc>
          <w:tcPr>
            <w:tcW w:w="100" w:type="dxa"/>
            <w:vAlign w:val="bottom"/>
          </w:tcPr>
          <w:p>
            <w:pPr>
              <w:spacing w:after="0"/>
              <w:rPr>
                <w:sz w:val="19"/>
                <w:szCs w:val="19"/>
                <w:color w:val="auto"/>
              </w:rPr>
            </w:pPr>
          </w:p>
        </w:tc>
      </w:tr>
      <w:tr>
        <w:trPr>
          <w:trHeight w:val="230"/>
        </w:trPr>
        <w:tc>
          <w:tcPr>
            <w:tcW w:w="4500" w:type="dxa"/>
            <w:vAlign w:val="bottom"/>
            <w:shd w:val="clear" w:color="auto" w:fill="CCECFF"/>
          </w:tcPr>
          <w:p>
            <w:pPr>
              <w:spacing w:after="0"/>
              <w:rPr>
                <w:sz w:val="20"/>
                <w:szCs w:val="20"/>
                <w:color w:val="auto"/>
              </w:rPr>
            </w:pPr>
            <w:r>
              <w:rPr>
                <w:rFonts w:ascii="Arial" w:cs="Arial" w:eastAsia="Arial" w:hAnsi="Arial"/>
                <w:sz w:val="18"/>
                <w:szCs w:val="18"/>
                <w:color w:val="auto"/>
              </w:rPr>
              <w:t>Net loss attributable to common stockholders</w:t>
            </w:r>
          </w:p>
        </w:tc>
        <w:tc>
          <w:tcPr>
            <w:tcW w:w="50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114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(52,757)</w:t>
            </w:r>
          </w:p>
        </w:tc>
        <w:tc>
          <w:tcPr>
            <w:tcW w:w="10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08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(56,923)</w:t>
            </w:r>
          </w:p>
        </w:tc>
        <w:tc>
          <w:tcPr>
            <w:tcW w:w="12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96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(64,907)</w:t>
            </w:r>
          </w:p>
        </w:tc>
        <w:tc>
          <w:tcPr>
            <w:tcW w:w="12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90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(71,287)</w:t>
            </w:r>
          </w:p>
        </w:tc>
      </w:tr>
      <w:tr>
        <w:trPr>
          <w:trHeight w:val="215"/>
        </w:trPr>
        <w:tc>
          <w:tcPr>
            <w:tcW w:w="4500" w:type="dxa"/>
            <w:vAlign w:val="bottom"/>
          </w:tcPr>
          <w:p>
            <w:pPr>
              <w:spacing w:after="0"/>
              <w:rPr>
                <w:sz w:val="20"/>
                <w:szCs w:val="20"/>
                <w:color w:val="auto"/>
              </w:rPr>
            </w:pPr>
            <w:r>
              <w:rPr>
                <w:rFonts w:ascii="Arial" w:cs="Arial" w:eastAsia="Arial" w:hAnsi="Arial"/>
                <w:sz w:val="18"/>
                <w:szCs w:val="18"/>
                <w:color w:val="auto"/>
              </w:rPr>
              <w:t>Net loss per share attributable to common stockholders,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50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c>
          <w:tcPr>
            <w:tcW w:w="420" w:type="dxa"/>
            <w:vAlign w:val="bottom"/>
            <w:gridSpan w:val="2"/>
          </w:tcPr>
          <w:p>
            <w:pPr>
              <w:jc w:val="right"/>
              <w:ind w:right="13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r>
    </w:tbl>
    <w:p>
      <w:pPr>
        <w:spacing w:after="0" w:line="7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165"/>
              <w:spacing w:after="0"/>
              <w:rPr>
                <w:sz w:val="20"/>
                <w:szCs w:val="20"/>
                <w:color w:val="auto"/>
              </w:rPr>
            </w:pPr>
            <w:r>
              <w:rPr>
                <w:rFonts w:ascii="Arial" w:cs="Arial" w:eastAsia="Arial" w:hAnsi="Arial"/>
                <w:sz w:val="18"/>
                <w:szCs w:val="18"/>
                <w:b w:val="1"/>
                <w:bCs w:val="1"/>
                <w:color w:val="auto"/>
              </w:rPr>
              <w:t>2015</w:t>
            </w: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June 30,</w:t>
            </w:r>
          </w:p>
        </w:tc>
        <w:tc>
          <w:tcPr>
            <w:tcW w:w="138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5"/>
              </w:rPr>
              <w:t>September 30,</w:t>
            </w:r>
          </w:p>
        </w:tc>
        <w:tc>
          <w:tcPr>
            <w:tcW w:w="1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9"/>
                <w:szCs w:val="19"/>
                <w:color w:val="auto"/>
              </w:rPr>
            </w:pPr>
          </w:p>
        </w:tc>
      </w:tr>
      <w:tr>
        <w:trPr>
          <w:trHeight w:val="223"/>
        </w:trPr>
        <w:tc>
          <w:tcPr>
            <w:tcW w:w="450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Operating expenses</w:t>
            </w:r>
          </w:p>
        </w:tc>
        <w:tc>
          <w:tcPr>
            <w:tcW w:w="500" w:type="dxa"/>
            <w:vAlign w:val="bottom"/>
            <w:tcBorders>
              <w:top w:val="single" w:sz="8" w:color="CCECFF"/>
            </w:tcBorders>
            <w:shd w:val="clear" w:color="auto" w:fill="CCECFF"/>
          </w:tcPr>
          <w:p>
            <w:pPr>
              <w:spacing w:after="0"/>
              <w:rPr>
                <w:sz w:val="19"/>
                <w:szCs w:val="19"/>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21,502</w:t>
            </w:r>
          </w:p>
        </w:tc>
        <w:tc>
          <w:tcPr>
            <w:tcW w:w="160" w:type="dxa"/>
            <w:vAlign w:val="bottom"/>
            <w:tcBorders>
              <w:top w:val="single" w:sz="8" w:color="CCECFF"/>
            </w:tcBorders>
            <w:shd w:val="clear" w:color="auto" w:fill="CCECFF"/>
          </w:tcPr>
          <w:p>
            <w:pPr>
              <w:spacing w:after="0"/>
              <w:rPr>
                <w:sz w:val="19"/>
                <w:szCs w:val="19"/>
                <w:color w:val="auto"/>
              </w:rPr>
            </w:pPr>
          </w:p>
        </w:tc>
        <w:tc>
          <w:tcPr>
            <w:tcW w:w="100" w:type="dxa"/>
            <w:vAlign w:val="bottom"/>
            <w:tcBorders>
              <w:top w:val="single" w:sz="8" w:color="CCECFF"/>
            </w:tcBorders>
            <w:shd w:val="clear" w:color="auto" w:fill="CCECFF"/>
          </w:tcPr>
          <w:p>
            <w:pPr>
              <w:spacing w:after="0"/>
              <w:rPr>
                <w:sz w:val="19"/>
                <w:szCs w:val="19"/>
                <w:color w:val="auto"/>
              </w:rPr>
            </w:pPr>
          </w:p>
        </w:tc>
        <w:tc>
          <w:tcPr>
            <w:tcW w:w="160" w:type="dxa"/>
            <w:vAlign w:val="bottom"/>
            <w:tcBorders>
              <w:top w:val="single" w:sz="8" w:color="auto"/>
            </w:tcBorders>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30,142</w:t>
            </w:r>
          </w:p>
        </w:tc>
        <w:tc>
          <w:tcPr>
            <w:tcW w:w="140" w:type="dxa"/>
            <w:vAlign w:val="bottom"/>
            <w:tcBorders>
              <w:top w:val="single" w:sz="8" w:color="CCECFF"/>
            </w:tcBorders>
            <w:shd w:val="clear" w:color="auto" w:fill="CCECFF"/>
          </w:tcPr>
          <w:p>
            <w:pPr>
              <w:spacing w:after="0"/>
              <w:rPr>
                <w:sz w:val="19"/>
                <w:szCs w:val="19"/>
                <w:color w:val="auto"/>
              </w:rPr>
            </w:pPr>
          </w:p>
        </w:tc>
        <w:tc>
          <w:tcPr>
            <w:tcW w:w="120" w:type="dxa"/>
            <w:vAlign w:val="bottom"/>
            <w:tcBorders>
              <w:top w:val="single" w:sz="8" w:color="CCECFF"/>
            </w:tcBorders>
            <w:shd w:val="clear" w:color="auto" w:fill="CCECFF"/>
          </w:tcPr>
          <w:p>
            <w:pPr>
              <w:spacing w:after="0"/>
              <w:rPr>
                <w:sz w:val="19"/>
                <w:szCs w:val="19"/>
                <w:color w:val="auto"/>
              </w:rPr>
            </w:pPr>
          </w:p>
        </w:tc>
        <w:tc>
          <w:tcPr>
            <w:tcW w:w="300" w:type="dxa"/>
            <w:vAlign w:val="bottom"/>
            <w:tcBorders>
              <w:top w:val="single" w:sz="8" w:color="auto"/>
            </w:tcBorders>
            <w:shd w:val="clear" w:color="auto" w:fill="CCECFF"/>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39,936</w:t>
            </w:r>
          </w:p>
        </w:tc>
        <w:tc>
          <w:tcPr>
            <w:tcW w:w="140" w:type="dxa"/>
            <w:vAlign w:val="bottom"/>
            <w:tcBorders>
              <w:top w:val="single" w:sz="8" w:color="CCECFF"/>
            </w:tcBorders>
            <w:shd w:val="clear" w:color="auto" w:fill="CCECFF"/>
          </w:tcPr>
          <w:p>
            <w:pPr>
              <w:spacing w:after="0"/>
              <w:rPr>
                <w:sz w:val="19"/>
                <w:szCs w:val="19"/>
                <w:color w:val="auto"/>
              </w:rPr>
            </w:pPr>
          </w:p>
        </w:tc>
        <w:tc>
          <w:tcPr>
            <w:tcW w:w="120" w:type="dxa"/>
            <w:vAlign w:val="bottom"/>
            <w:tcBorders>
              <w:top w:val="single" w:sz="8" w:color="CCECFF"/>
            </w:tcBorders>
            <w:shd w:val="clear" w:color="auto" w:fill="CCECFF"/>
          </w:tcPr>
          <w:p>
            <w:pPr>
              <w:spacing w:after="0"/>
              <w:rPr>
                <w:sz w:val="19"/>
                <w:szCs w:val="19"/>
                <w:color w:val="auto"/>
              </w:rPr>
            </w:pPr>
          </w:p>
        </w:tc>
        <w:tc>
          <w:tcPr>
            <w:tcW w:w="300" w:type="dxa"/>
            <w:vAlign w:val="bottom"/>
            <w:tcBorders>
              <w:top w:val="single" w:sz="8" w:color="auto"/>
            </w:tcBorders>
            <w:shd w:val="clear" w:color="auto" w:fill="CCECFF"/>
          </w:tcPr>
          <w:p>
            <w:pPr>
              <w:jc w:val="right"/>
              <w:ind w:right="13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56,158</w:t>
            </w:r>
          </w:p>
        </w:tc>
        <w:tc>
          <w:tcPr>
            <w:tcW w:w="100" w:type="dxa"/>
            <w:vAlign w:val="bottom"/>
            <w:tcBorders>
              <w:top w:val="single" w:sz="8" w:color="CCECFF"/>
            </w:tcBorders>
            <w:shd w:val="clear" w:color="auto" w:fill="CCECFF"/>
          </w:tcPr>
          <w:p>
            <w:pPr>
              <w:spacing w:after="0"/>
              <w:rPr>
                <w:sz w:val="19"/>
                <w:szCs w:val="19"/>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(21,379)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(29,787)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(39,232)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(55,220)</w:t>
            </w:r>
          </w:p>
        </w:tc>
      </w:tr>
      <w:tr>
        <w:trPr>
          <w:trHeight w:val="215"/>
        </w:trPr>
        <w:tc>
          <w:tcPr>
            <w:tcW w:w="4500" w:type="dxa"/>
            <w:vAlign w:val="bottom"/>
            <w:shd w:val="clear" w:color="auto" w:fill="CCECFF"/>
          </w:tcPr>
          <w:p>
            <w:pPr>
              <w:spacing w:after="0"/>
              <w:rPr>
                <w:sz w:val="20"/>
                <w:szCs w:val="20"/>
                <w:color w:val="auto"/>
              </w:rPr>
            </w:pPr>
            <w:r>
              <w:rPr>
                <w:rFonts w:ascii="Arial" w:cs="Arial" w:eastAsia="Arial" w:hAnsi="Arial"/>
                <w:sz w:val="18"/>
                <w:szCs w:val="18"/>
                <w:color w:val="auto"/>
              </w:rPr>
              <w:t>Net loss per share attributable to common stockholders,</w:t>
            </w:r>
          </w:p>
        </w:tc>
        <w:tc>
          <w:tcPr>
            <w:tcW w:w="5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98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94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82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8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30"/>
        </w:trPr>
        <w:tc>
          <w:tcPr>
            <w:tcW w:w="4500" w:type="dxa"/>
            <w:vAlign w:val="bottom"/>
            <w:shd w:val="clear" w:color="auto" w:fill="CCECFF"/>
          </w:tcPr>
          <w:p>
            <w:pPr>
              <w:ind w:left="140"/>
              <w:spacing w:after="0"/>
              <w:rPr>
                <w:sz w:val="20"/>
                <w:szCs w:val="20"/>
                <w:color w:val="auto"/>
              </w:rPr>
            </w:pPr>
            <w:r>
              <w:rPr>
                <w:rFonts w:ascii="Arial" w:cs="Arial" w:eastAsia="Arial" w:hAnsi="Arial"/>
                <w:sz w:val="18"/>
                <w:szCs w:val="18"/>
                <w:color w:val="auto"/>
              </w:rPr>
              <w:t>basic and diluted</w:t>
            </w:r>
          </w:p>
        </w:tc>
        <w:tc>
          <w:tcPr>
            <w:tcW w:w="6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(0.63)</w:t>
            </w:r>
          </w:p>
        </w:tc>
        <w:tc>
          <w:tcPr>
            <w:tcW w:w="260" w:type="dxa"/>
            <w:vAlign w:val="bottom"/>
            <w:gridSpan w:val="2"/>
            <w:shd w:val="clear" w:color="auto" w:fill="CCEC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(0.83)</w:t>
            </w:r>
          </w:p>
        </w:tc>
        <w:tc>
          <w:tcPr>
            <w:tcW w:w="420" w:type="dxa"/>
            <w:vAlign w:val="bottom"/>
            <w:gridSpan w:val="2"/>
            <w:shd w:val="clear" w:color="auto" w:fill="CCECFF"/>
          </w:tcPr>
          <w:p>
            <w:pPr>
              <w:jc w:val="right"/>
              <w:ind w:right="14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(1.03)</w:t>
            </w:r>
          </w:p>
        </w:tc>
        <w:tc>
          <w:tcPr>
            <w:tcW w:w="420" w:type="dxa"/>
            <w:vAlign w:val="bottom"/>
            <w:gridSpan w:val="2"/>
            <w:shd w:val="clear" w:color="auto" w:fill="CCECFF"/>
          </w:tcPr>
          <w:p>
            <w:pPr>
              <w:jc w:val="right"/>
              <w:ind w:right="13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(1.42)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96" w:name="page97"/>
    <w:bookmarkEnd w:id="96"/>
    <w:p>
      <w:pPr>
        <w:ind w:left="5180"/>
        <w:spacing w:after="0"/>
        <w:rPr>
          <w:sz w:val="20"/>
          <w:szCs w:val="20"/>
          <w:color w:val="auto"/>
        </w:rPr>
      </w:pPr>
      <w:r>
        <w:rPr>
          <w:rFonts w:ascii="Arial" w:cs="Arial" w:eastAsia="Arial" w:hAnsi="Arial"/>
          <w:sz w:val="18"/>
          <w:szCs w:val="18"/>
          <w:b w:val="1"/>
          <w:bCs w:val="1"/>
          <w:color w:val="auto"/>
        </w:rPr>
        <w:t>Exhibit Index</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5480" w:type="dxa"/>
            <w:vAlign w:val="bottom"/>
            <w:vMerge w:val="restart"/>
          </w:tcPr>
          <w:p>
            <w:pPr>
              <w:ind w:left="21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54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00" w:type="dxa"/>
            <w:vAlign w:val="bottom"/>
          </w:tcPr>
          <w:p>
            <w:pPr>
              <w:spacing w:after="0"/>
              <w:rPr>
                <w:sz w:val="20"/>
                <w:szCs w:val="20"/>
                <w:color w:val="auto"/>
              </w:rPr>
            </w:pPr>
            <w:r>
              <w:rPr>
                <w:rFonts w:ascii="Arial" w:cs="Arial" w:eastAsia="Arial" w:hAnsi="Arial"/>
                <w:sz w:val="18"/>
                <w:szCs w:val="18"/>
                <w:color w:val="auto"/>
              </w:rPr>
              <w:t>3.1</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Amended and Restated Certificate of Incorporation</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rPr>
              <w:t>3.2</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Amended and Restated Bylaws</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rPr>
              <w:t>4.1</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Reference is made to Exhibits 3.1 and 3.2</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rPr>
              <w:t>4.2</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Form of Common Stock Certificate</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rPr>
              <w:t>4.3</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2"/>
              </w:rPr>
              <w:t>Warrant, dated as of June 30, 2010, issued to Emil D. Kakkis, M.D., Ph.D.</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rPr>
              <w:t>4.4</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2"/>
              </w:rPr>
              <w:t>Warrant, dated as of June 14, 2011, issued to Emil D. Kakkis, M.D., Ph.D.</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rPr>
              <w:t>4.5</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2"/>
              </w:rPr>
              <w:t>Warrant, dated as of June 14, 2011, issued to Emil D. Kakkis, M.D., Ph.D.</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10.1†</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Collaboration and License Agreement, dated as of August 29, 2013,</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3"/>
              </w:rPr>
              <w:t>between Ultragenyx Pharmaceutical Inc. and Kyowa Hakko Kirin Co., Ltd.</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10.2</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5"/>
              </w:rPr>
              <w:t>Amendment No. 1 to Collaboration and License Agreement, dated as of</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7"/>
              </w:rPr>
              <w:t>August 24, 2015, between Ultragenyx Pharmaceutical Inc. and Kyowa</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Hakko Kirin Co., Ltd.</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10.3†</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License Agreement, dated as of March 1, 2011, between Ultragenyx</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Pharmaceutical Inc. and Alcami Corporation (formerly known as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AAIPharma Services Corp.)</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10.4†</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2"/>
              </w:rPr>
              <w:t>License Agreement, dated as of September 20, 2012, between Ultragenyx</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Pharmaceutical Inc. and Baylor Research Institute</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10.5†</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Amendment to the License Agreement, dated as of March 22, 2013,</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6"/>
              </w:rPr>
              <w:t>between Ultragenyx Pharmaceutical Inc. and Baylor Research Institute</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10.6†</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Exclusive License Agreement, dated as of April 23, 2012, between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Ultragenyx Pharmaceutical Inc. and HIBM Research Group</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10.7†</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5"/>
              </w:rPr>
              <w:t>Collaboration and License Agreement, dated as of September 30, 2010,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between Ultragenyx Pharmaceutical Inc. and Nobelpharma Co., Ltd.</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10.8†</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9"/>
              </w:rPr>
              <w:t>First Amendment to the Collaboration and License Agreement, dated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August 10, 2015, between Ultragenyx Pharmaceutical Inc.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Nobelpharma Co., Ltd.</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10.9†</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3"/>
              </w:rPr>
              <w:t>License Agreement, dated as of September 1, 2012, between Ultragenyx</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Pharmaceutical Inc. and St. Jude Children’s Research Hospital</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10.10</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First Amendment to License Agreement, dated as of March 1, 2014,</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1"/>
              </w:rPr>
              <w:t>between Ultragenyx Pharmaceutical Inc. and St. Jude Children’s Research</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Hospital</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10.11†</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4"/>
              </w:rPr>
              <w:t>Exclusive License Agreement, dated as of November 22, 2010, between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Ultragenyx Pharmaceutical Inc. and Saint Louis University</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10.12†</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4"/>
              </w:rPr>
              <w:t>Supply Agreement, dated as of November 19, 2012, between Ultragenyx</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Pharmaceutical Inc. and CREMER OLEO GmbH &amp; Co KG</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10.13†</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1"/>
              </w:rPr>
              <w:t>Development and Clinical Supply Agreement, dated as of August 31, 2012,</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5"/>
              </w:rPr>
              <w:t>between Ultragenyx Pharmaceutical Inc. and Rentschler Biotechnologie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GmbH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22809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tcPr>
          <w:p>
            <w:pPr>
              <w:spacing w:after="0"/>
              <w:rPr>
                <w:sz w:val="14"/>
                <w:szCs w:val="14"/>
                <w:color w:val="auto"/>
              </w:rPr>
            </w:pPr>
          </w:p>
        </w:tc>
        <w:tc>
          <w:tcPr>
            <w:tcW w:w="13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4"/>
                <w:szCs w:val="14"/>
                <w:color w:val="auto"/>
              </w:rPr>
            </w:pPr>
          </w:p>
        </w:tc>
        <w:tc>
          <w:tcPr>
            <w:tcW w:w="12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Number</w:t>
            </w:r>
          </w:p>
        </w:tc>
      </w:tr>
      <w:tr>
        <w:trPr>
          <w:trHeight w:val="291"/>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2/5/2014</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3.1</w:t>
            </w:r>
          </w:p>
        </w:tc>
      </w:tr>
      <w:tr>
        <w:trPr>
          <w:trHeight w:val="297"/>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2/5/2014</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3.2</w:t>
            </w:r>
          </w:p>
        </w:tc>
      </w:tr>
      <w:tr>
        <w:trPr>
          <w:trHeight w:val="594"/>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11/8/2013</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4.2</w:t>
            </w:r>
          </w:p>
        </w:tc>
      </w:tr>
      <w:tr>
        <w:trPr>
          <w:trHeight w:val="297"/>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11/8/2013</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4.3</w:t>
            </w:r>
          </w:p>
        </w:tc>
      </w:tr>
      <w:tr>
        <w:trPr>
          <w:trHeight w:val="297"/>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11/8/2013</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4.6</w:t>
            </w:r>
          </w:p>
        </w:tc>
      </w:tr>
      <w:tr>
        <w:trPr>
          <w:trHeight w:val="297"/>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11/8/2013</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4.7</w:t>
            </w:r>
          </w:p>
        </w:tc>
      </w:tr>
      <w:tr>
        <w:trPr>
          <w:trHeight w:val="297"/>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12/23/2013</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10.1</w:t>
            </w:r>
          </w:p>
        </w:tc>
      </w:tr>
      <w:tr>
        <w:trPr>
          <w:trHeight w:val="513"/>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11/10/2015</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10.2</w:t>
            </w:r>
          </w:p>
        </w:tc>
      </w:tr>
      <w:tr>
        <w:trPr>
          <w:trHeight w:val="729"/>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12/23/2013</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10.2</w:t>
            </w:r>
          </w:p>
        </w:tc>
      </w:tr>
      <w:tr>
        <w:trPr>
          <w:trHeight w:val="729"/>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12/23/2013</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10.3</w:t>
            </w:r>
          </w:p>
        </w:tc>
      </w:tr>
      <w:tr>
        <w:trPr>
          <w:trHeight w:val="513"/>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11/8/2013</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10.4</w:t>
            </w:r>
          </w:p>
        </w:tc>
      </w:tr>
      <w:tr>
        <w:trPr>
          <w:trHeight w:val="513"/>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11/8/2013</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10.5</w:t>
            </w:r>
          </w:p>
        </w:tc>
      </w:tr>
      <w:tr>
        <w:trPr>
          <w:trHeight w:val="513"/>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12/23/2013</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10.6</w:t>
            </w:r>
          </w:p>
        </w:tc>
      </w:tr>
      <w:tr>
        <w:trPr>
          <w:trHeight w:val="513"/>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11/10/2015</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10.1</w:t>
            </w:r>
          </w:p>
        </w:tc>
      </w:tr>
      <w:tr>
        <w:trPr>
          <w:trHeight w:val="729"/>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12/23/2013</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10.7</w:t>
            </w:r>
          </w:p>
        </w:tc>
      </w:tr>
      <w:tr>
        <w:trPr>
          <w:trHeight w:val="513"/>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8/11/2014</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10.1</w:t>
            </w:r>
          </w:p>
        </w:tc>
      </w:tr>
      <w:tr>
        <w:trPr>
          <w:trHeight w:val="729"/>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12/23/2013</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10.8</w:t>
            </w:r>
          </w:p>
        </w:tc>
      </w:tr>
      <w:tr>
        <w:trPr>
          <w:trHeight w:val="513"/>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12/23/2013</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10.9</w:t>
            </w:r>
          </w:p>
        </w:tc>
      </w:tr>
      <w:tr>
        <w:trPr>
          <w:trHeight w:val="513"/>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11/8/2013</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10.10</w:t>
            </w:r>
          </w:p>
        </w:tc>
      </w:tr>
    </w:tbl>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13970</wp:posOffset>
            </wp:positionV>
            <wp:extent cx="7289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3">
            <w:col w:w="6480" w:space="100"/>
            <w:col w:w="3600" w:space="380"/>
            <w:col w:w="580"/>
          </w:cols>
          <w:pgMar w:left="240" w:top="202" w:right="519" w:bottom="1440" w:gutter="0" w:footer="0" w:header="0"/>
        </w:sectPr>
      </w:pPr>
    </w:p>
    <w:bookmarkStart w:id="97" w:name="page98"/>
    <w:bookmarkEnd w:id="97"/>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5480" w:type="dxa"/>
            <w:vAlign w:val="bottom"/>
            <w:vMerge w:val="restart"/>
          </w:tcPr>
          <w:p>
            <w:pPr>
              <w:ind w:left="21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5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10.14</w:t>
            </w:r>
          </w:p>
        </w:tc>
        <w:tc>
          <w:tcPr>
            <w:tcW w:w="100" w:type="dxa"/>
            <w:vAlign w:val="bottom"/>
          </w:tcPr>
          <w:p>
            <w:pPr>
              <w:spacing w:after="0"/>
              <w:rPr>
                <w:sz w:val="16"/>
                <w:szCs w:val="16"/>
                <w:color w:val="auto"/>
              </w:rPr>
            </w:pPr>
          </w:p>
        </w:tc>
        <w:tc>
          <w:tcPr>
            <w:tcW w:w="5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Amendment 1 to the Development and Clinical Supply Agreement,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effective as of November 4, 2014, by and between Ultragenyx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Pharmaceutical Inc. and Rentschler Biotechnologie GmbH</w:t>
            </w:r>
          </w:p>
        </w:tc>
        <w:tc>
          <w:tcPr>
            <w:tcW w:w="0" w:type="dxa"/>
            <w:vAlign w:val="bottom"/>
          </w:tcPr>
          <w:p>
            <w:pPr>
              <w:spacing w:after="0"/>
              <w:rPr>
                <w:sz w:val="1"/>
                <w:szCs w:val="1"/>
                <w:color w:val="auto"/>
              </w:rPr>
            </w:pPr>
          </w:p>
        </w:tc>
      </w:tr>
      <w:tr>
        <w:trPr>
          <w:trHeight w:val="283"/>
        </w:trPr>
        <w:tc>
          <w:tcPr>
            <w:tcW w:w="900" w:type="dxa"/>
            <w:vAlign w:val="bottom"/>
            <w:gridSpan w:val="2"/>
          </w:tcPr>
          <w:p>
            <w:pPr>
              <w:spacing w:after="0"/>
              <w:rPr>
                <w:sz w:val="20"/>
                <w:szCs w:val="20"/>
                <w:color w:val="auto"/>
              </w:rPr>
            </w:pPr>
            <w:r>
              <w:rPr>
                <w:rFonts w:ascii="Arial" w:cs="Arial" w:eastAsia="Arial" w:hAnsi="Arial"/>
                <w:sz w:val="18"/>
                <w:szCs w:val="18"/>
                <w:color w:val="auto"/>
              </w:rPr>
              <w:t>10.15†</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0"/>
              </w:rPr>
              <w:t>License and Collaboration Agreement, dated June 6, 2016, by and between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7"/>
              </w:rPr>
              <w:t>Ultragenyx Pharmaceutical Inc. and Takeda Pharmaceutical Company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Limited</w:t>
            </w:r>
          </w:p>
        </w:tc>
        <w:tc>
          <w:tcPr>
            <w:tcW w:w="0" w:type="dxa"/>
            <w:vAlign w:val="bottom"/>
          </w:tcPr>
          <w:p>
            <w:pPr>
              <w:spacing w:after="0"/>
              <w:rPr>
                <w:sz w:val="1"/>
                <w:szCs w:val="1"/>
                <w:color w:val="auto"/>
              </w:rPr>
            </w:pPr>
          </w:p>
        </w:tc>
      </w:tr>
      <w:tr>
        <w:trPr>
          <w:trHeight w:val="283"/>
        </w:trPr>
        <w:tc>
          <w:tcPr>
            <w:tcW w:w="900" w:type="dxa"/>
            <w:vAlign w:val="bottom"/>
            <w:gridSpan w:val="2"/>
          </w:tcPr>
          <w:p>
            <w:pPr>
              <w:spacing w:after="0"/>
              <w:rPr>
                <w:sz w:val="20"/>
                <w:szCs w:val="20"/>
                <w:color w:val="auto"/>
              </w:rPr>
            </w:pPr>
            <w:r>
              <w:rPr>
                <w:rFonts w:ascii="Arial" w:cs="Arial" w:eastAsia="Arial" w:hAnsi="Arial"/>
                <w:sz w:val="18"/>
                <w:szCs w:val="18"/>
                <w:color w:val="auto"/>
              </w:rPr>
              <w:t>10.16†</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3"/>
              </w:rPr>
              <w:t>Common Stock Purchase Agreement, dated as of June 6, 2016, between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7"/>
              </w:rPr>
              <w:t>Ultragenyx Pharmaceutical Inc. and Takeda Pharmaceutical Company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limited</w:t>
            </w:r>
          </w:p>
        </w:tc>
        <w:tc>
          <w:tcPr>
            <w:tcW w:w="0" w:type="dxa"/>
            <w:vAlign w:val="bottom"/>
          </w:tcPr>
          <w:p>
            <w:pPr>
              <w:spacing w:after="0"/>
              <w:rPr>
                <w:sz w:val="1"/>
                <w:szCs w:val="1"/>
                <w:color w:val="auto"/>
              </w:rPr>
            </w:pPr>
          </w:p>
        </w:tc>
      </w:tr>
      <w:tr>
        <w:trPr>
          <w:trHeight w:val="283"/>
        </w:trPr>
        <w:tc>
          <w:tcPr>
            <w:tcW w:w="900" w:type="dxa"/>
            <w:vAlign w:val="bottom"/>
            <w:gridSpan w:val="2"/>
          </w:tcPr>
          <w:p>
            <w:pPr>
              <w:spacing w:after="0"/>
              <w:rPr>
                <w:sz w:val="20"/>
                <w:szCs w:val="20"/>
                <w:color w:val="auto"/>
              </w:rPr>
            </w:pPr>
            <w:r>
              <w:rPr>
                <w:rFonts w:ascii="Arial" w:cs="Arial" w:eastAsia="Arial" w:hAnsi="Arial"/>
                <w:sz w:val="18"/>
                <w:szCs w:val="18"/>
                <w:color w:val="auto"/>
              </w:rPr>
              <w:t>10.17</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Sales Agreement, dated as of July 1, 2016, between Ultragenyx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Pharmaceutical Inc. and Cowen and Company, LLC</w:t>
            </w:r>
          </w:p>
        </w:tc>
        <w:tc>
          <w:tcPr>
            <w:tcW w:w="0" w:type="dxa"/>
            <w:vAlign w:val="bottom"/>
          </w:tcPr>
          <w:p>
            <w:pPr>
              <w:spacing w:after="0"/>
              <w:rPr>
                <w:sz w:val="1"/>
                <w:szCs w:val="1"/>
                <w:color w:val="auto"/>
              </w:rPr>
            </w:pPr>
          </w:p>
        </w:tc>
      </w:tr>
      <w:tr>
        <w:trPr>
          <w:trHeight w:val="283"/>
        </w:trPr>
        <w:tc>
          <w:tcPr>
            <w:tcW w:w="900" w:type="dxa"/>
            <w:vAlign w:val="bottom"/>
            <w:gridSpan w:val="2"/>
          </w:tcPr>
          <w:p>
            <w:pPr>
              <w:spacing w:after="0"/>
              <w:rPr>
                <w:sz w:val="20"/>
                <w:szCs w:val="20"/>
                <w:color w:val="auto"/>
              </w:rPr>
            </w:pPr>
            <w:r>
              <w:rPr>
                <w:rFonts w:ascii="Arial" w:cs="Arial" w:eastAsia="Arial" w:hAnsi="Arial"/>
                <w:sz w:val="18"/>
                <w:szCs w:val="18"/>
                <w:color w:val="auto"/>
              </w:rPr>
              <w:t>10.18#</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4"/>
              </w:rPr>
              <w:t>2011 Equity Incentive Plan (including forms of Stock Option Grant Notice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and Stock Option Agreement thereunder)</w:t>
            </w:r>
          </w:p>
        </w:tc>
        <w:tc>
          <w:tcPr>
            <w:tcW w:w="0" w:type="dxa"/>
            <w:vAlign w:val="bottom"/>
          </w:tcPr>
          <w:p>
            <w:pPr>
              <w:spacing w:after="0"/>
              <w:rPr>
                <w:sz w:val="1"/>
                <w:szCs w:val="1"/>
                <w:color w:val="auto"/>
              </w:rPr>
            </w:pPr>
          </w:p>
        </w:tc>
      </w:tr>
      <w:tr>
        <w:trPr>
          <w:trHeight w:val="297"/>
        </w:trPr>
        <w:tc>
          <w:tcPr>
            <w:tcW w:w="900" w:type="dxa"/>
            <w:vAlign w:val="bottom"/>
            <w:gridSpan w:val="2"/>
          </w:tcPr>
          <w:p>
            <w:pPr>
              <w:spacing w:after="0"/>
              <w:rPr>
                <w:sz w:val="20"/>
                <w:szCs w:val="20"/>
                <w:color w:val="auto"/>
              </w:rPr>
            </w:pPr>
            <w:r>
              <w:rPr>
                <w:rFonts w:ascii="Arial" w:cs="Arial" w:eastAsia="Arial" w:hAnsi="Arial"/>
                <w:sz w:val="18"/>
                <w:szCs w:val="18"/>
                <w:color w:val="auto"/>
              </w:rPr>
              <w:t>10.19#</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Amendment to the 2011 Equity Incentive Plan</w:t>
            </w:r>
          </w:p>
        </w:tc>
        <w:tc>
          <w:tcPr>
            <w:tcW w:w="0" w:type="dxa"/>
            <w:vAlign w:val="bottom"/>
          </w:tcPr>
          <w:p>
            <w:pPr>
              <w:spacing w:after="0"/>
              <w:rPr>
                <w:sz w:val="1"/>
                <w:szCs w:val="1"/>
                <w:color w:val="auto"/>
              </w:rPr>
            </w:pPr>
          </w:p>
        </w:tc>
      </w:tr>
      <w:tr>
        <w:trPr>
          <w:trHeight w:val="297"/>
        </w:trPr>
        <w:tc>
          <w:tcPr>
            <w:tcW w:w="900" w:type="dxa"/>
            <w:vAlign w:val="bottom"/>
            <w:gridSpan w:val="2"/>
          </w:tcPr>
          <w:p>
            <w:pPr>
              <w:spacing w:after="0"/>
              <w:rPr>
                <w:sz w:val="20"/>
                <w:szCs w:val="20"/>
                <w:color w:val="auto"/>
              </w:rPr>
            </w:pPr>
            <w:r>
              <w:rPr>
                <w:rFonts w:ascii="Arial" w:cs="Arial" w:eastAsia="Arial" w:hAnsi="Arial"/>
                <w:sz w:val="18"/>
                <w:szCs w:val="18"/>
                <w:color w:val="auto"/>
              </w:rPr>
              <w:t>10.20#</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2014 Incentive Plan (as amended)</w:t>
            </w:r>
          </w:p>
        </w:tc>
        <w:tc>
          <w:tcPr>
            <w:tcW w:w="0" w:type="dxa"/>
            <w:vAlign w:val="bottom"/>
          </w:tcPr>
          <w:p>
            <w:pPr>
              <w:spacing w:after="0"/>
              <w:rPr>
                <w:sz w:val="1"/>
                <w:szCs w:val="1"/>
                <w:color w:val="auto"/>
              </w:rPr>
            </w:pPr>
          </w:p>
        </w:tc>
      </w:tr>
      <w:tr>
        <w:trPr>
          <w:trHeight w:val="297"/>
        </w:trPr>
        <w:tc>
          <w:tcPr>
            <w:tcW w:w="900" w:type="dxa"/>
            <w:vAlign w:val="bottom"/>
            <w:gridSpan w:val="2"/>
          </w:tcPr>
          <w:p>
            <w:pPr>
              <w:spacing w:after="0"/>
              <w:rPr>
                <w:sz w:val="20"/>
                <w:szCs w:val="20"/>
                <w:color w:val="auto"/>
              </w:rPr>
            </w:pPr>
            <w:r>
              <w:rPr>
                <w:rFonts w:ascii="Arial" w:cs="Arial" w:eastAsia="Arial" w:hAnsi="Arial"/>
                <w:sz w:val="18"/>
                <w:szCs w:val="18"/>
                <w:color w:val="auto"/>
              </w:rPr>
              <w:t>10.21#</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Form of Incentive Stock Option Agreement</w:t>
            </w:r>
          </w:p>
        </w:tc>
        <w:tc>
          <w:tcPr>
            <w:tcW w:w="0" w:type="dxa"/>
            <w:vAlign w:val="bottom"/>
          </w:tcPr>
          <w:p>
            <w:pPr>
              <w:spacing w:after="0"/>
              <w:rPr>
                <w:sz w:val="1"/>
                <w:szCs w:val="1"/>
                <w:color w:val="auto"/>
              </w:rPr>
            </w:pPr>
          </w:p>
        </w:tc>
      </w:tr>
      <w:tr>
        <w:trPr>
          <w:trHeight w:val="297"/>
        </w:trPr>
        <w:tc>
          <w:tcPr>
            <w:tcW w:w="900" w:type="dxa"/>
            <w:vAlign w:val="bottom"/>
            <w:gridSpan w:val="2"/>
          </w:tcPr>
          <w:p>
            <w:pPr>
              <w:spacing w:after="0"/>
              <w:rPr>
                <w:sz w:val="20"/>
                <w:szCs w:val="20"/>
                <w:color w:val="auto"/>
              </w:rPr>
            </w:pPr>
            <w:r>
              <w:rPr>
                <w:rFonts w:ascii="Arial" w:cs="Arial" w:eastAsia="Arial" w:hAnsi="Arial"/>
                <w:sz w:val="18"/>
                <w:szCs w:val="18"/>
                <w:color w:val="auto"/>
              </w:rPr>
              <w:t>10.22#</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Form of Non Statutory Stock Option Agreement (Employees)</w:t>
            </w:r>
          </w:p>
        </w:tc>
        <w:tc>
          <w:tcPr>
            <w:tcW w:w="0" w:type="dxa"/>
            <w:vAlign w:val="bottom"/>
          </w:tcPr>
          <w:p>
            <w:pPr>
              <w:spacing w:after="0"/>
              <w:rPr>
                <w:sz w:val="1"/>
                <w:szCs w:val="1"/>
                <w:color w:val="auto"/>
              </w:rPr>
            </w:pPr>
          </w:p>
        </w:tc>
      </w:tr>
      <w:tr>
        <w:trPr>
          <w:trHeight w:val="297"/>
        </w:trPr>
        <w:tc>
          <w:tcPr>
            <w:tcW w:w="900" w:type="dxa"/>
            <w:vAlign w:val="bottom"/>
            <w:gridSpan w:val="2"/>
          </w:tcPr>
          <w:p>
            <w:pPr>
              <w:spacing w:after="0"/>
              <w:rPr>
                <w:sz w:val="20"/>
                <w:szCs w:val="20"/>
                <w:color w:val="auto"/>
              </w:rPr>
            </w:pPr>
            <w:r>
              <w:rPr>
                <w:rFonts w:ascii="Arial" w:cs="Arial" w:eastAsia="Arial" w:hAnsi="Arial"/>
                <w:sz w:val="18"/>
                <w:szCs w:val="18"/>
                <w:color w:val="auto"/>
              </w:rPr>
              <w:t>10.23#</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8"/>
              </w:rPr>
              <w:t>Form of Non Statutory Stock Option Agreement (Employees)(ex-U.S.)</w:t>
            </w:r>
          </w:p>
        </w:tc>
        <w:tc>
          <w:tcPr>
            <w:tcW w:w="0" w:type="dxa"/>
            <w:vAlign w:val="bottom"/>
          </w:tcPr>
          <w:p>
            <w:pPr>
              <w:spacing w:after="0"/>
              <w:rPr>
                <w:sz w:val="1"/>
                <w:szCs w:val="1"/>
                <w:color w:val="auto"/>
              </w:rPr>
            </w:pPr>
          </w:p>
        </w:tc>
      </w:tr>
      <w:tr>
        <w:trPr>
          <w:trHeight w:val="297"/>
        </w:trPr>
        <w:tc>
          <w:tcPr>
            <w:tcW w:w="900" w:type="dxa"/>
            <w:vAlign w:val="bottom"/>
            <w:gridSpan w:val="2"/>
          </w:tcPr>
          <w:p>
            <w:pPr>
              <w:spacing w:after="0"/>
              <w:rPr>
                <w:sz w:val="20"/>
                <w:szCs w:val="20"/>
                <w:color w:val="auto"/>
              </w:rPr>
            </w:pPr>
            <w:r>
              <w:rPr>
                <w:rFonts w:ascii="Arial" w:cs="Arial" w:eastAsia="Arial" w:hAnsi="Arial"/>
                <w:sz w:val="18"/>
                <w:szCs w:val="18"/>
                <w:color w:val="auto"/>
              </w:rPr>
              <w:t>10.24#</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Form of Non-Statutory Stock Option Agreement (Directors)</w:t>
            </w:r>
          </w:p>
        </w:tc>
        <w:tc>
          <w:tcPr>
            <w:tcW w:w="0" w:type="dxa"/>
            <w:vAlign w:val="bottom"/>
          </w:tcPr>
          <w:p>
            <w:pPr>
              <w:spacing w:after="0"/>
              <w:rPr>
                <w:sz w:val="1"/>
                <w:szCs w:val="1"/>
                <w:color w:val="auto"/>
              </w:rPr>
            </w:pPr>
          </w:p>
        </w:tc>
      </w:tr>
      <w:tr>
        <w:trPr>
          <w:trHeight w:val="297"/>
        </w:trPr>
        <w:tc>
          <w:tcPr>
            <w:tcW w:w="900" w:type="dxa"/>
            <w:vAlign w:val="bottom"/>
            <w:gridSpan w:val="2"/>
          </w:tcPr>
          <w:p>
            <w:pPr>
              <w:spacing w:after="0"/>
              <w:rPr>
                <w:sz w:val="20"/>
                <w:szCs w:val="20"/>
                <w:color w:val="auto"/>
              </w:rPr>
            </w:pPr>
            <w:r>
              <w:rPr>
                <w:rFonts w:ascii="Arial" w:cs="Arial" w:eastAsia="Arial" w:hAnsi="Arial"/>
                <w:sz w:val="18"/>
                <w:szCs w:val="18"/>
                <w:color w:val="auto"/>
              </w:rPr>
              <w:t>10.25#</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Form of Restricted Stock Unit Agreement (Employees)</w:t>
            </w:r>
          </w:p>
        </w:tc>
        <w:tc>
          <w:tcPr>
            <w:tcW w:w="0" w:type="dxa"/>
            <w:vAlign w:val="bottom"/>
          </w:tcPr>
          <w:p>
            <w:pPr>
              <w:spacing w:after="0"/>
              <w:rPr>
                <w:sz w:val="1"/>
                <w:szCs w:val="1"/>
                <w:color w:val="auto"/>
              </w:rPr>
            </w:pPr>
          </w:p>
        </w:tc>
      </w:tr>
      <w:tr>
        <w:trPr>
          <w:trHeight w:val="297"/>
        </w:trPr>
        <w:tc>
          <w:tcPr>
            <w:tcW w:w="900" w:type="dxa"/>
            <w:vAlign w:val="bottom"/>
            <w:gridSpan w:val="2"/>
          </w:tcPr>
          <w:p>
            <w:pPr>
              <w:spacing w:after="0"/>
              <w:rPr>
                <w:sz w:val="20"/>
                <w:szCs w:val="20"/>
                <w:color w:val="auto"/>
              </w:rPr>
            </w:pPr>
            <w:r>
              <w:rPr>
                <w:rFonts w:ascii="Arial" w:cs="Arial" w:eastAsia="Arial" w:hAnsi="Arial"/>
                <w:sz w:val="18"/>
                <w:szCs w:val="18"/>
                <w:color w:val="auto"/>
              </w:rPr>
              <w:t>10.26#</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Form of Restricted Stock Unit Agreement (Employees)(ex-U.S.)</w:t>
            </w:r>
          </w:p>
        </w:tc>
        <w:tc>
          <w:tcPr>
            <w:tcW w:w="0" w:type="dxa"/>
            <w:vAlign w:val="bottom"/>
          </w:tcPr>
          <w:p>
            <w:pPr>
              <w:spacing w:after="0"/>
              <w:rPr>
                <w:sz w:val="1"/>
                <w:szCs w:val="1"/>
                <w:color w:val="auto"/>
              </w:rPr>
            </w:pPr>
          </w:p>
        </w:tc>
      </w:tr>
      <w:tr>
        <w:trPr>
          <w:trHeight w:val="297"/>
        </w:trPr>
        <w:tc>
          <w:tcPr>
            <w:tcW w:w="900" w:type="dxa"/>
            <w:vAlign w:val="bottom"/>
            <w:gridSpan w:val="2"/>
          </w:tcPr>
          <w:p>
            <w:pPr>
              <w:spacing w:after="0"/>
              <w:rPr>
                <w:sz w:val="20"/>
                <w:szCs w:val="20"/>
                <w:color w:val="auto"/>
              </w:rPr>
            </w:pPr>
            <w:r>
              <w:rPr>
                <w:rFonts w:ascii="Arial" w:cs="Arial" w:eastAsia="Arial" w:hAnsi="Arial"/>
                <w:sz w:val="18"/>
                <w:szCs w:val="18"/>
                <w:color w:val="auto"/>
              </w:rPr>
              <w:t>10.27#</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Form of Restricted Stock Unit Agreement (Directors)</w:t>
            </w:r>
          </w:p>
        </w:tc>
        <w:tc>
          <w:tcPr>
            <w:tcW w:w="0" w:type="dxa"/>
            <w:vAlign w:val="bottom"/>
          </w:tcPr>
          <w:p>
            <w:pPr>
              <w:spacing w:after="0"/>
              <w:rPr>
                <w:sz w:val="1"/>
                <w:szCs w:val="1"/>
                <w:color w:val="auto"/>
              </w:rPr>
            </w:pPr>
          </w:p>
        </w:tc>
      </w:tr>
      <w:tr>
        <w:trPr>
          <w:trHeight w:val="297"/>
        </w:trPr>
        <w:tc>
          <w:tcPr>
            <w:tcW w:w="900" w:type="dxa"/>
            <w:vAlign w:val="bottom"/>
            <w:gridSpan w:val="2"/>
          </w:tcPr>
          <w:p>
            <w:pPr>
              <w:spacing w:after="0"/>
              <w:rPr>
                <w:sz w:val="20"/>
                <w:szCs w:val="20"/>
                <w:color w:val="auto"/>
              </w:rPr>
            </w:pPr>
            <w:r>
              <w:rPr>
                <w:rFonts w:ascii="Arial" w:cs="Arial" w:eastAsia="Arial" w:hAnsi="Arial"/>
                <w:sz w:val="18"/>
                <w:szCs w:val="18"/>
                <w:color w:val="auto"/>
              </w:rPr>
              <w:t>10.28#</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2014 Employee Stock Purchase Plan (as amended)</w:t>
            </w:r>
          </w:p>
        </w:tc>
        <w:tc>
          <w:tcPr>
            <w:tcW w:w="0" w:type="dxa"/>
            <w:vAlign w:val="bottom"/>
          </w:tcPr>
          <w:p>
            <w:pPr>
              <w:spacing w:after="0"/>
              <w:rPr>
                <w:sz w:val="1"/>
                <w:szCs w:val="1"/>
                <w:color w:val="auto"/>
              </w:rPr>
            </w:pPr>
          </w:p>
        </w:tc>
      </w:tr>
      <w:tr>
        <w:trPr>
          <w:trHeight w:val="283"/>
        </w:trPr>
        <w:tc>
          <w:tcPr>
            <w:tcW w:w="900" w:type="dxa"/>
            <w:vAlign w:val="bottom"/>
            <w:gridSpan w:val="2"/>
          </w:tcPr>
          <w:p>
            <w:pPr>
              <w:spacing w:after="0"/>
              <w:rPr>
                <w:sz w:val="20"/>
                <w:szCs w:val="20"/>
                <w:color w:val="auto"/>
              </w:rPr>
            </w:pPr>
            <w:r>
              <w:rPr>
                <w:rFonts w:ascii="Arial" w:cs="Arial" w:eastAsia="Arial" w:hAnsi="Arial"/>
                <w:sz w:val="18"/>
                <w:szCs w:val="18"/>
                <w:color w:val="auto"/>
              </w:rPr>
              <w:t>10.29#</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5"/>
              </w:rPr>
              <w:t>Executive Employment Agreement, dated as of June 15, 2011, between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Ultragenyx Pharmaceutical Inc. and Emil D. Kakkis, M.D., Ph.D.</w:t>
            </w:r>
          </w:p>
        </w:tc>
        <w:tc>
          <w:tcPr>
            <w:tcW w:w="0" w:type="dxa"/>
            <w:vAlign w:val="bottom"/>
          </w:tcPr>
          <w:p>
            <w:pPr>
              <w:spacing w:after="0"/>
              <w:rPr>
                <w:sz w:val="1"/>
                <w:szCs w:val="1"/>
                <w:color w:val="auto"/>
              </w:rPr>
            </w:pPr>
          </w:p>
        </w:tc>
      </w:tr>
      <w:tr>
        <w:trPr>
          <w:trHeight w:val="283"/>
        </w:trPr>
        <w:tc>
          <w:tcPr>
            <w:tcW w:w="900" w:type="dxa"/>
            <w:vAlign w:val="bottom"/>
            <w:gridSpan w:val="2"/>
          </w:tcPr>
          <w:p>
            <w:pPr>
              <w:spacing w:after="0"/>
              <w:rPr>
                <w:sz w:val="20"/>
                <w:szCs w:val="20"/>
                <w:color w:val="auto"/>
              </w:rPr>
            </w:pPr>
            <w:r>
              <w:rPr>
                <w:rFonts w:ascii="Arial" w:cs="Arial" w:eastAsia="Arial" w:hAnsi="Arial"/>
                <w:sz w:val="18"/>
                <w:szCs w:val="18"/>
                <w:color w:val="auto"/>
              </w:rPr>
              <w:t>10.30#</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3"/>
              </w:rPr>
              <w:t>Amendment No. 1 to Executive Employment Agreement, dated August 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2"/>
              </w:rPr>
              <w:t>2014, by and between Ultragenyx Pharmaceutical Inc. and Emil D. Kakkis,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M.D., Ph.D.</w:t>
            </w:r>
          </w:p>
        </w:tc>
        <w:tc>
          <w:tcPr>
            <w:tcW w:w="0" w:type="dxa"/>
            <w:vAlign w:val="bottom"/>
          </w:tcPr>
          <w:p>
            <w:pPr>
              <w:spacing w:after="0"/>
              <w:rPr>
                <w:sz w:val="1"/>
                <w:szCs w:val="1"/>
                <w:color w:val="auto"/>
              </w:rPr>
            </w:pPr>
          </w:p>
        </w:tc>
      </w:tr>
      <w:tr>
        <w:trPr>
          <w:trHeight w:val="283"/>
        </w:trPr>
        <w:tc>
          <w:tcPr>
            <w:tcW w:w="900" w:type="dxa"/>
            <w:vAlign w:val="bottom"/>
            <w:gridSpan w:val="2"/>
          </w:tcPr>
          <w:p>
            <w:pPr>
              <w:spacing w:after="0"/>
              <w:rPr>
                <w:sz w:val="20"/>
                <w:szCs w:val="20"/>
                <w:color w:val="auto"/>
              </w:rPr>
            </w:pPr>
            <w:r>
              <w:rPr>
                <w:rFonts w:ascii="Arial" w:cs="Arial" w:eastAsia="Arial" w:hAnsi="Arial"/>
                <w:sz w:val="18"/>
                <w:szCs w:val="18"/>
                <w:color w:val="auto"/>
              </w:rPr>
              <w:t>10.31#</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Offer Letter, dated as of October 31, 2011, between Ultragenyx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Pharmaceutical Inc. and Thomas Kassberg</w:t>
            </w:r>
          </w:p>
        </w:tc>
        <w:tc>
          <w:tcPr>
            <w:tcW w:w="0" w:type="dxa"/>
            <w:vAlign w:val="bottom"/>
          </w:tcPr>
          <w:p>
            <w:pPr>
              <w:spacing w:after="0"/>
              <w:rPr>
                <w:sz w:val="1"/>
                <w:szCs w:val="1"/>
                <w:color w:val="auto"/>
              </w:rPr>
            </w:pPr>
          </w:p>
        </w:tc>
      </w:tr>
      <w:tr>
        <w:trPr>
          <w:trHeight w:val="283"/>
        </w:trPr>
        <w:tc>
          <w:tcPr>
            <w:tcW w:w="900" w:type="dxa"/>
            <w:vAlign w:val="bottom"/>
            <w:gridSpan w:val="2"/>
          </w:tcPr>
          <w:p>
            <w:pPr>
              <w:spacing w:after="0"/>
              <w:rPr>
                <w:sz w:val="20"/>
                <w:szCs w:val="20"/>
                <w:color w:val="auto"/>
              </w:rPr>
            </w:pPr>
            <w:r>
              <w:rPr>
                <w:rFonts w:ascii="Arial" w:cs="Arial" w:eastAsia="Arial" w:hAnsi="Arial"/>
                <w:sz w:val="18"/>
                <w:szCs w:val="18"/>
                <w:color w:val="auto"/>
              </w:rPr>
              <w:t>10.32#</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2"/>
              </w:rPr>
              <w:t>Amendment No. 1 to Offer of Employment, dated as of August 8, 2014, by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and between Ultragenyx Pharmaceutical Inc. and Thomas Kassberg</w:t>
            </w:r>
          </w:p>
        </w:tc>
        <w:tc>
          <w:tcPr>
            <w:tcW w:w="0" w:type="dxa"/>
            <w:vAlign w:val="bottom"/>
          </w:tcPr>
          <w:p>
            <w:pPr>
              <w:spacing w:after="0"/>
              <w:rPr>
                <w:sz w:val="1"/>
                <w:szCs w:val="1"/>
                <w:color w:val="auto"/>
              </w:rPr>
            </w:pPr>
          </w:p>
        </w:tc>
      </w:tr>
      <w:tr>
        <w:trPr>
          <w:trHeight w:val="283"/>
        </w:trPr>
        <w:tc>
          <w:tcPr>
            <w:tcW w:w="900" w:type="dxa"/>
            <w:vAlign w:val="bottom"/>
            <w:gridSpan w:val="2"/>
          </w:tcPr>
          <w:p>
            <w:pPr>
              <w:spacing w:after="0"/>
              <w:rPr>
                <w:sz w:val="20"/>
                <w:szCs w:val="20"/>
                <w:color w:val="auto"/>
              </w:rPr>
            </w:pPr>
            <w:r>
              <w:rPr>
                <w:rFonts w:ascii="Arial" w:cs="Arial" w:eastAsia="Arial" w:hAnsi="Arial"/>
                <w:sz w:val="18"/>
                <w:szCs w:val="18"/>
                <w:color w:val="auto"/>
              </w:rPr>
              <w:t>10.33#</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Offer Letter, dated as of March 12, 2012, between Ultragenyx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Pharmaceutical Inc. and Shalini Sharp</w:t>
            </w:r>
          </w:p>
        </w:tc>
        <w:tc>
          <w:tcPr>
            <w:tcW w:w="0" w:type="dxa"/>
            <w:vAlign w:val="bottom"/>
          </w:tcPr>
          <w:p>
            <w:pPr>
              <w:spacing w:after="0"/>
              <w:rPr>
                <w:sz w:val="1"/>
                <w:szCs w:val="1"/>
                <w:color w:val="auto"/>
              </w:rPr>
            </w:pPr>
          </w:p>
        </w:tc>
      </w:tr>
      <w:tr>
        <w:trPr>
          <w:trHeight w:val="283"/>
        </w:trPr>
        <w:tc>
          <w:tcPr>
            <w:tcW w:w="900" w:type="dxa"/>
            <w:vAlign w:val="bottom"/>
            <w:gridSpan w:val="2"/>
          </w:tcPr>
          <w:p>
            <w:pPr>
              <w:spacing w:after="0"/>
              <w:rPr>
                <w:sz w:val="20"/>
                <w:szCs w:val="20"/>
                <w:color w:val="auto"/>
              </w:rPr>
            </w:pPr>
            <w:r>
              <w:rPr>
                <w:rFonts w:ascii="Arial" w:cs="Arial" w:eastAsia="Arial" w:hAnsi="Arial"/>
                <w:sz w:val="18"/>
                <w:szCs w:val="18"/>
                <w:color w:val="auto"/>
              </w:rPr>
              <w:t>10.34#</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2"/>
              </w:rPr>
              <w:t>Amendment No. 1 to Offer of Employment, dated as of August 8, 2014, by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and between Ultragenyx Pharmaceutical Inc. and Shalini Sharp</w:t>
            </w:r>
          </w:p>
        </w:tc>
        <w:tc>
          <w:tcPr>
            <w:tcW w:w="0" w:type="dxa"/>
            <w:vAlign w:val="bottom"/>
          </w:tcPr>
          <w:p>
            <w:pPr>
              <w:spacing w:after="0"/>
              <w:rPr>
                <w:sz w:val="1"/>
                <w:szCs w:val="1"/>
                <w:color w:val="auto"/>
              </w:rPr>
            </w:pPr>
          </w:p>
        </w:tc>
      </w:tr>
      <w:tr>
        <w:trPr>
          <w:trHeight w:val="323"/>
        </w:trPr>
        <w:tc>
          <w:tcPr>
            <w:tcW w:w="900" w:type="dxa"/>
            <w:vAlign w:val="bottom"/>
            <w:gridSpan w:val="2"/>
          </w:tcPr>
          <w:p>
            <w:pPr>
              <w:spacing w:after="0"/>
              <w:rPr>
                <w:sz w:val="20"/>
                <w:szCs w:val="20"/>
                <w:color w:val="auto"/>
              </w:rPr>
            </w:pPr>
            <w:r>
              <w:rPr>
                <w:rFonts w:ascii="Arial" w:cs="Arial" w:eastAsia="Arial" w:hAnsi="Arial"/>
                <w:sz w:val="18"/>
                <w:szCs w:val="18"/>
                <w:color w:val="auto"/>
              </w:rPr>
              <w:t>10.35#</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Offer Letter, dated as of April 26, 2016, between Ultragenyx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Pharmaceutical Inc. and Karah Parschauer</w:t>
            </w:r>
          </w:p>
        </w:tc>
        <w:tc>
          <w:tcPr>
            <w:tcW w:w="0" w:type="dxa"/>
            <w:vAlign w:val="bottom"/>
          </w:tcPr>
          <w:p>
            <w:pPr>
              <w:spacing w:after="0"/>
              <w:rPr>
                <w:sz w:val="1"/>
                <w:szCs w:val="1"/>
                <w:color w:val="auto"/>
              </w:rPr>
            </w:pPr>
          </w:p>
        </w:tc>
      </w:tr>
      <w:tr>
        <w:trPr>
          <w:trHeight w:val="296"/>
        </w:trPr>
        <w:tc>
          <w:tcPr>
            <w:tcW w:w="900" w:type="dxa"/>
            <w:vAlign w:val="bottom"/>
            <w:gridSpan w:val="2"/>
          </w:tcPr>
          <w:p>
            <w:pPr>
              <w:spacing w:after="0"/>
              <w:rPr>
                <w:sz w:val="20"/>
                <w:szCs w:val="20"/>
                <w:color w:val="auto"/>
              </w:rPr>
            </w:pPr>
            <w:r>
              <w:rPr>
                <w:rFonts w:ascii="Arial" w:cs="Arial" w:eastAsia="Arial" w:hAnsi="Arial"/>
                <w:sz w:val="18"/>
                <w:szCs w:val="18"/>
                <w:color w:val="auto"/>
              </w:rPr>
              <w:t>10.36#</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Offer Letter, dated as of February 20, 2015, between Ultragenyx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Pharmaceutical Inc. and Dennis Huang</w:t>
            </w:r>
          </w:p>
        </w:tc>
        <w:tc>
          <w:tcPr>
            <w:tcW w:w="0" w:type="dxa"/>
            <w:vAlign w:val="bottom"/>
          </w:tcPr>
          <w:p>
            <w:pPr>
              <w:spacing w:after="0"/>
              <w:rPr>
                <w:sz w:val="1"/>
                <w:szCs w:val="1"/>
                <w:color w:val="auto"/>
              </w:rPr>
            </w:pPr>
          </w:p>
        </w:tc>
      </w:tr>
      <w:tr>
        <w:trPr>
          <w:trHeight w:val="283"/>
        </w:trPr>
        <w:tc>
          <w:tcPr>
            <w:tcW w:w="900" w:type="dxa"/>
            <w:vAlign w:val="bottom"/>
            <w:gridSpan w:val="2"/>
          </w:tcPr>
          <w:p>
            <w:pPr>
              <w:spacing w:after="0"/>
              <w:rPr>
                <w:sz w:val="20"/>
                <w:szCs w:val="20"/>
                <w:color w:val="auto"/>
              </w:rPr>
            </w:pPr>
            <w:r>
              <w:rPr>
                <w:rFonts w:ascii="Arial" w:cs="Arial" w:eastAsia="Arial" w:hAnsi="Arial"/>
                <w:sz w:val="18"/>
                <w:szCs w:val="18"/>
                <w:color w:val="auto"/>
              </w:rPr>
              <w:t>10.37#</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89"/>
              </w:rPr>
              <w:t>Offer Letter, dated as of June 11, 2015, between Ultragenyx Pharmaceutical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Inc. and John R. Pinion II</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22809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Form</w:t>
            </w:r>
          </w:p>
        </w:tc>
        <w:tc>
          <w:tcPr>
            <w:tcW w:w="1420" w:type="dxa"/>
            <w:vAlign w:val="bottom"/>
            <w:gridSpan w:val="2"/>
          </w:tcPr>
          <w:p>
            <w:pPr>
              <w:ind w:left="52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360"/>
              <w:spacing w:after="0"/>
              <w:rPr>
                <w:sz w:val="20"/>
                <w:szCs w:val="20"/>
                <w:color w:val="auto"/>
              </w:rPr>
            </w:pPr>
            <w:r>
              <w:rPr>
                <w:rFonts w:ascii="Arial" w:cs="Arial" w:eastAsia="Arial" w:hAnsi="Arial"/>
                <w:sz w:val="14"/>
                <w:szCs w:val="14"/>
                <w:b w:val="1"/>
                <w:bCs w:val="1"/>
                <w:color w:val="auto"/>
              </w:rPr>
              <w:t>Number</w:t>
            </w:r>
          </w:p>
        </w:tc>
      </w:tr>
      <w:tr>
        <w:trPr>
          <w:trHeight w:val="224"/>
        </w:trPr>
        <w:tc>
          <w:tcPr>
            <w:tcW w:w="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10-K</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3/27/2015</w:t>
            </w:r>
          </w:p>
        </w:tc>
        <w:tc>
          <w:tcPr>
            <w:tcW w:w="100" w:type="dxa"/>
            <w:vAlign w:val="bottom"/>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10.34</w:t>
            </w:r>
          </w:p>
        </w:tc>
      </w:tr>
      <w:tr>
        <w:trPr>
          <w:trHeight w:val="931"/>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10-Q/A</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12/12/2016</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10.1</w:t>
            </w:r>
          </w:p>
        </w:tc>
      </w:tr>
      <w:tr>
        <w:trPr>
          <w:trHeight w:val="729"/>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10-Q/A</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12/12/2016</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10.2</w:t>
            </w:r>
          </w:p>
        </w:tc>
      </w:tr>
      <w:tr>
        <w:trPr>
          <w:trHeight w:val="581"/>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7/5/2016</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1.1</w:t>
            </w:r>
          </w:p>
        </w:tc>
      </w:tr>
      <w:tr>
        <w:trPr>
          <w:trHeight w:val="446"/>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11/8/2013</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10.11</w:t>
            </w:r>
          </w:p>
        </w:tc>
      </w:tr>
      <w:tr>
        <w:trPr>
          <w:trHeight w:val="513"/>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11/8/2013</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10.12</w:t>
            </w:r>
          </w:p>
        </w:tc>
      </w:tr>
      <w:tr>
        <w:trPr>
          <w:trHeight w:val="594"/>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1/17/2014</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10.14</w:t>
            </w:r>
          </w:p>
        </w:tc>
      </w:tr>
      <w:tr>
        <w:trPr>
          <w:trHeight w:val="297"/>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1/17/2014</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10.15</w:t>
            </w:r>
          </w:p>
        </w:tc>
      </w:tr>
      <w:tr>
        <w:trPr>
          <w:trHeight w:val="297"/>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5/10/2016</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10.3</w:t>
            </w:r>
          </w:p>
        </w:tc>
      </w:tr>
      <w:tr>
        <w:trPr>
          <w:trHeight w:val="297"/>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1/17/2014</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10.16</w:t>
            </w:r>
          </w:p>
        </w:tc>
      </w:tr>
      <w:tr>
        <w:trPr>
          <w:trHeight w:val="297"/>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5/10/2016</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10.1</w:t>
            </w:r>
          </w:p>
        </w:tc>
      </w:tr>
      <w:tr>
        <w:trPr>
          <w:trHeight w:val="297"/>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5/10/2016</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10.2</w:t>
            </w:r>
          </w:p>
        </w:tc>
      </w:tr>
      <w:tr>
        <w:trPr>
          <w:trHeight w:val="297"/>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1/17/2014</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10.18</w:t>
            </w:r>
          </w:p>
        </w:tc>
      </w:tr>
      <w:tr>
        <w:trPr>
          <w:trHeight w:val="594"/>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11/8/2013</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10.18</w:t>
            </w:r>
          </w:p>
        </w:tc>
      </w:tr>
      <w:tr>
        <w:trPr>
          <w:trHeight w:val="513"/>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8/11/2014</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10.2</w:t>
            </w:r>
          </w:p>
        </w:tc>
      </w:tr>
      <w:tr>
        <w:trPr>
          <w:trHeight w:val="729"/>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11/8/2013</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10.19</w:t>
            </w:r>
          </w:p>
        </w:tc>
      </w:tr>
      <w:tr>
        <w:trPr>
          <w:trHeight w:val="513"/>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8/11/2014</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10.3</w:t>
            </w:r>
          </w:p>
        </w:tc>
      </w:tr>
      <w:tr>
        <w:trPr>
          <w:trHeight w:val="513"/>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11/8/2013</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10.20</w:t>
            </w:r>
          </w:p>
        </w:tc>
      </w:tr>
      <w:tr>
        <w:trPr>
          <w:trHeight w:val="513"/>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8/11/2014</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10.4</w:t>
            </w:r>
          </w:p>
        </w:tc>
      </w:tr>
      <w:tr>
        <w:trPr>
          <w:trHeight w:val="554"/>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8/9/2016</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10.3</w:t>
            </w: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Filed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13970</wp:posOffset>
            </wp:positionV>
            <wp:extent cx="7289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30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ectPr>
          <w:pgSz w:w="11900" w:h="16838" w:orient="portrait"/>
          <w:cols w:equalWidth="0" w:num="3">
            <w:col w:w="6480" w:space="100"/>
            <w:col w:w="3600" w:space="380"/>
            <w:col w:w="580"/>
          </w:cols>
          <w:pgMar w:left="240" w:top="198" w:right="519" w:bottom="1440" w:gutter="0" w:footer="0" w:header="0"/>
        </w:sectPr>
      </w:pPr>
    </w:p>
    <w:bookmarkStart w:id="98" w:name="page99"/>
    <w:bookmarkEnd w:id="98"/>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5480" w:type="dxa"/>
            <w:vAlign w:val="bottom"/>
            <w:vMerge w:val="restart"/>
          </w:tcPr>
          <w:p>
            <w:pPr>
              <w:ind w:left="21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5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10.38#</w:t>
            </w:r>
          </w:p>
        </w:tc>
        <w:tc>
          <w:tcPr>
            <w:tcW w:w="100" w:type="dxa"/>
            <w:vAlign w:val="bottom"/>
          </w:tcPr>
          <w:p>
            <w:pPr>
              <w:spacing w:after="0"/>
              <w:rPr>
                <w:sz w:val="16"/>
                <w:szCs w:val="16"/>
                <w:color w:val="auto"/>
              </w:rPr>
            </w:pPr>
          </w:p>
        </w:tc>
        <w:tc>
          <w:tcPr>
            <w:tcW w:w="5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Offer Letter, dated as of April 27, 2015, between Ultragenyx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Pharmaceutical Inc. and Jayson Dallas, M.D.</w:t>
            </w:r>
          </w:p>
        </w:tc>
        <w:tc>
          <w:tcPr>
            <w:tcW w:w="0" w:type="dxa"/>
            <w:vAlign w:val="bottom"/>
          </w:tcPr>
          <w:p>
            <w:pPr>
              <w:spacing w:after="0"/>
              <w:rPr>
                <w:sz w:val="1"/>
                <w:szCs w:val="1"/>
                <w:color w:val="auto"/>
              </w:rPr>
            </w:pPr>
          </w:p>
        </w:tc>
      </w:tr>
      <w:tr>
        <w:trPr>
          <w:trHeight w:val="283"/>
        </w:trPr>
        <w:tc>
          <w:tcPr>
            <w:tcW w:w="900" w:type="dxa"/>
            <w:vAlign w:val="bottom"/>
            <w:gridSpan w:val="2"/>
          </w:tcPr>
          <w:p>
            <w:pPr>
              <w:spacing w:after="0"/>
              <w:rPr>
                <w:sz w:val="20"/>
                <w:szCs w:val="20"/>
                <w:color w:val="auto"/>
              </w:rPr>
            </w:pPr>
            <w:r>
              <w:rPr>
                <w:rFonts w:ascii="Arial" w:cs="Arial" w:eastAsia="Arial" w:hAnsi="Arial"/>
                <w:sz w:val="18"/>
                <w:szCs w:val="18"/>
                <w:color w:val="auto"/>
              </w:rPr>
              <w:t>10.39#</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4"/>
              </w:rPr>
              <w:t>Addendum No. 1 to Offer of Employment, dated as of August 3, 2015, by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7"/>
              </w:rPr>
              <w:t>and between Ultragenyx Pharmaceutical Inc. and Jayson Dallas, M.D.</w:t>
            </w:r>
          </w:p>
        </w:tc>
        <w:tc>
          <w:tcPr>
            <w:tcW w:w="0" w:type="dxa"/>
            <w:vAlign w:val="bottom"/>
          </w:tcPr>
          <w:p>
            <w:pPr>
              <w:spacing w:after="0"/>
              <w:rPr>
                <w:sz w:val="1"/>
                <w:szCs w:val="1"/>
                <w:color w:val="auto"/>
              </w:rPr>
            </w:pPr>
          </w:p>
        </w:tc>
      </w:tr>
      <w:tr>
        <w:trPr>
          <w:trHeight w:val="297"/>
        </w:trPr>
        <w:tc>
          <w:tcPr>
            <w:tcW w:w="900" w:type="dxa"/>
            <w:vAlign w:val="bottom"/>
            <w:gridSpan w:val="2"/>
          </w:tcPr>
          <w:p>
            <w:pPr>
              <w:spacing w:after="0"/>
              <w:rPr>
                <w:sz w:val="20"/>
                <w:szCs w:val="20"/>
                <w:color w:val="auto"/>
              </w:rPr>
            </w:pPr>
            <w:r>
              <w:rPr>
                <w:rFonts w:ascii="Arial" w:cs="Arial" w:eastAsia="Arial" w:hAnsi="Arial"/>
                <w:sz w:val="18"/>
                <w:szCs w:val="18"/>
                <w:color w:val="auto"/>
              </w:rPr>
              <w:t>10.40#</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Form of Indemnification Agreement</w:t>
            </w:r>
          </w:p>
        </w:tc>
        <w:tc>
          <w:tcPr>
            <w:tcW w:w="0" w:type="dxa"/>
            <w:vAlign w:val="bottom"/>
          </w:tcPr>
          <w:p>
            <w:pPr>
              <w:spacing w:after="0"/>
              <w:rPr>
                <w:sz w:val="1"/>
                <w:szCs w:val="1"/>
                <w:color w:val="auto"/>
              </w:rPr>
            </w:pPr>
          </w:p>
        </w:tc>
      </w:tr>
      <w:tr>
        <w:trPr>
          <w:trHeight w:val="283"/>
        </w:trPr>
        <w:tc>
          <w:tcPr>
            <w:tcW w:w="900" w:type="dxa"/>
            <w:vAlign w:val="bottom"/>
            <w:gridSpan w:val="2"/>
          </w:tcPr>
          <w:p>
            <w:pPr>
              <w:spacing w:after="0"/>
              <w:rPr>
                <w:sz w:val="20"/>
                <w:szCs w:val="20"/>
                <w:color w:val="auto"/>
              </w:rPr>
            </w:pPr>
            <w:r>
              <w:rPr>
                <w:rFonts w:ascii="Arial" w:cs="Arial" w:eastAsia="Arial" w:hAnsi="Arial"/>
                <w:sz w:val="18"/>
                <w:szCs w:val="18"/>
                <w:color w:val="auto"/>
              </w:rPr>
              <w:t>10.41</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Standard Lease, dated as of July 5, 2011, between Ultragenyx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Pharmaceutical Inc. and Condiotti Enterprises, Inc.</w:t>
            </w:r>
          </w:p>
        </w:tc>
        <w:tc>
          <w:tcPr>
            <w:tcW w:w="0" w:type="dxa"/>
            <w:vAlign w:val="bottom"/>
          </w:tcPr>
          <w:p>
            <w:pPr>
              <w:spacing w:after="0"/>
              <w:rPr>
                <w:sz w:val="1"/>
                <w:szCs w:val="1"/>
                <w:color w:val="auto"/>
              </w:rPr>
            </w:pPr>
          </w:p>
        </w:tc>
      </w:tr>
      <w:tr>
        <w:trPr>
          <w:trHeight w:val="283"/>
        </w:trPr>
        <w:tc>
          <w:tcPr>
            <w:tcW w:w="900" w:type="dxa"/>
            <w:vAlign w:val="bottom"/>
            <w:gridSpan w:val="2"/>
          </w:tcPr>
          <w:p>
            <w:pPr>
              <w:spacing w:after="0"/>
              <w:rPr>
                <w:sz w:val="20"/>
                <w:szCs w:val="20"/>
                <w:color w:val="auto"/>
              </w:rPr>
            </w:pPr>
            <w:r>
              <w:rPr>
                <w:rFonts w:ascii="Arial" w:cs="Arial" w:eastAsia="Arial" w:hAnsi="Arial"/>
                <w:sz w:val="18"/>
                <w:szCs w:val="18"/>
                <w:color w:val="auto"/>
              </w:rPr>
              <w:t>10.42</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7"/>
              </w:rPr>
              <w:t>Addendum One to Standard Lease, dated as of July 5, 2011, between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Ultragenyx Pharmaceutical Inc. and Condiotti Enterprises, Inc.</w:t>
            </w:r>
          </w:p>
        </w:tc>
        <w:tc>
          <w:tcPr>
            <w:tcW w:w="0" w:type="dxa"/>
            <w:vAlign w:val="bottom"/>
          </w:tcPr>
          <w:p>
            <w:pPr>
              <w:spacing w:after="0"/>
              <w:rPr>
                <w:sz w:val="1"/>
                <w:szCs w:val="1"/>
                <w:color w:val="auto"/>
              </w:rPr>
            </w:pPr>
          </w:p>
        </w:tc>
      </w:tr>
      <w:tr>
        <w:trPr>
          <w:trHeight w:val="283"/>
        </w:trPr>
        <w:tc>
          <w:tcPr>
            <w:tcW w:w="900" w:type="dxa"/>
            <w:vAlign w:val="bottom"/>
            <w:gridSpan w:val="2"/>
          </w:tcPr>
          <w:p>
            <w:pPr>
              <w:spacing w:after="0"/>
              <w:rPr>
                <w:sz w:val="20"/>
                <w:szCs w:val="20"/>
                <w:color w:val="auto"/>
              </w:rPr>
            </w:pPr>
            <w:r>
              <w:rPr>
                <w:rFonts w:ascii="Arial" w:cs="Arial" w:eastAsia="Arial" w:hAnsi="Arial"/>
                <w:sz w:val="18"/>
                <w:szCs w:val="18"/>
                <w:color w:val="auto"/>
              </w:rPr>
              <w:t>10.43</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4"/>
              </w:rPr>
              <w:t>Addendum Two to Standard Lease, dated as of March 7, 2012, between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Ultragenyx Pharmaceutical Inc. and Condiotti Enterprises, Inc.</w:t>
            </w:r>
          </w:p>
        </w:tc>
        <w:tc>
          <w:tcPr>
            <w:tcW w:w="0" w:type="dxa"/>
            <w:vAlign w:val="bottom"/>
          </w:tcPr>
          <w:p>
            <w:pPr>
              <w:spacing w:after="0"/>
              <w:rPr>
                <w:sz w:val="1"/>
                <w:szCs w:val="1"/>
                <w:color w:val="auto"/>
              </w:rPr>
            </w:pPr>
          </w:p>
        </w:tc>
      </w:tr>
      <w:tr>
        <w:trPr>
          <w:trHeight w:val="283"/>
        </w:trPr>
        <w:tc>
          <w:tcPr>
            <w:tcW w:w="900" w:type="dxa"/>
            <w:vAlign w:val="bottom"/>
            <w:gridSpan w:val="2"/>
          </w:tcPr>
          <w:p>
            <w:pPr>
              <w:spacing w:after="0"/>
              <w:rPr>
                <w:sz w:val="20"/>
                <w:szCs w:val="20"/>
                <w:color w:val="auto"/>
              </w:rPr>
            </w:pPr>
            <w:r>
              <w:rPr>
                <w:rFonts w:ascii="Arial" w:cs="Arial" w:eastAsia="Arial" w:hAnsi="Arial"/>
                <w:sz w:val="18"/>
                <w:szCs w:val="18"/>
                <w:color w:val="auto"/>
              </w:rPr>
              <w:t>10.44</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0"/>
              </w:rPr>
              <w:t>Addendum #3 to Standard Lease, effective as of February 12, 2014, by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6"/>
              </w:rPr>
              <w:t>between Ultragenyx Pharmaceutical Inc. and Condiotti Enterprises, Inc.</w:t>
            </w:r>
          </w:p>
        </w:tc>
        <w:tc>
          <w:tcPr>
            <w:tcW w:w="0" w:type="dxa"/>
            <w:vAlign w:val="bottom"/>
          </w:tcPr>
          <w:p>
            <w:pPr>
              <w:spacing w:after="0"/>
              <w:rPr>
                <w:sz w:val="1"/>
                <w:szCs w:val="1"/>
                <w:color w:val="auto"/>
              </w:rPr>
            </w:pPr>
          </w:p>
        </w:tc>
      </w:tr>
      <w:tr>
        <w:trPr>
          <w:trHeight w:val="283"/>
        </w:trPr>
        <w:tc>
          <w:tcPr>
            <w:tcW w:w="900" w:type="dxa"/>
            <w:vAlign w:val="bottom"/>
            <w:gridSpan w:val="2"/>
          </w:tcPr>
          <w:p>
            <w:pPr>
              <w:spacing w:after="0"/>
              <w:rPr>
                <w:sz w:val="20"/>
                <w:szCs w:val="20"/>
                <w:color w:val="auto"/>
              </w:rPr>
            </w:pPr>
            <w:r>
              <w:rPr>
                <w:rFonts w:ascii="Arial" w:cs="Arial" w:eastAsia="Arial" w:hAnsi="Arial"/>
                <w:sz w:val="18"/>
                <w:szCs w:val="18"/>
                <w:color w:val="auto"/>
              </w:rPr>
              <w:t>10.45</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5"/>
              </w:rPr>
              <w:t>Addendum #4 to Standard Lease, effective as of March 9, 2015, by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6"/>
              </w:rPr>
              <w:t>between Ultragenyx Pharmaceutical Inc. and Condiotti Enterprises, Inc.</w:t>
            </w:r>
          </w:p>
        </w:tc>
        <w:tc>
          <w:tcPr>
            <w:tcW w:w="0" w:type="dxa"/>
            <w:vAlign w:val="bottom"/>
          </w:tcPr>
          <w:p>
            <w:pPr>
              <w:spacing w:after="0"/>
              <w:rPr>
                <w:sz w:val="1"/>
                <w:szCs w:val="1"/>
                <w:color w:val="auto"/>
              </w:rPr>
            </w:pPr>
          </w:p>
        </w:tc>
      </w:tr>
      <w:tr>
        <w:trPr>
          <w:trHeight w:val="283"/>
        </w:trPr>
        <w:tc>
          <w:tcPr>
            <w:tcW w:w="900" w:type="dxa"/>
            <w:vAlign w:val="bottom"/>
            <w:gridSpan w:val="2"/>
          </w:tcPr>
          <w:p>
            <w:pPr>
              <w:spacing w:after="0"/>
              <w:rPr>
                <w:sz w:val="20"/>
                <w:szCs w:val="20"/>
                <w:color w:val="auto"/>
              </w:rPr>
            </w:pPr>
            <w:r>
              <w:rPr>
                <w:rFonts w:ascii="Arial" w:cs="Arial" w:eastAsia="Arial" w:hAnsi="Arial"/>
                <w:sz w:val="18"/>
                <w:szCs w:val="18"/>
                <w:color w:val="auto"/>
              </w:rPr>
              <w:t>10.46</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8"/>
              </w:rPr>
              <w:t>Addendum #5 to Standard Lease, effective as of April 7, 2015, by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6"/>
              </w:rPr>
              <w:t>between Ultragenyx Pharmaceutical Inc. and Condiotti Enterprises, Inc.</w:t>
            </w:r>
          </w:p>
        </w:tc>
        <w:tc>
          <w:tcPr>
            <w:tcW w:w="0" w:type="dxa"/>
            <w:vAlign w:val="bottom"/>
          </w:tcPr>
          <w:p>
            <w:pPr>
              <w:spacing w:after="0"/>
              <w:rPr>
                <w:sz w:val="1"/>
                <w:szCs w:val="1"/>
                <w:color w:val="auto"/>
              </w:rPr>
            </w:pPr>
          </w:p>
        </w:tc>
      </w:tr>
      <w:tr>
        <w:trPr>
          <w:trHeight w:val="283"/>
        </w:trPr>
        <w:tc>
          <w:tcPr>
            <w:tcW w:w="900" w:type="dxa"/>
            <w:vAlign w:val="bottom"/>
            <w:gridSpan w:val="2"/>
          </w:tcPr>
          <w:p>
            <w:pPr>
              <w:spacing w:after="0"/>
              <w:rPr>
                <w:sz w:val="20"/>
                <w:szCs w:val="20"/>
                <w:color w:val="auto"/>
              </w:rPr>
            </w:pPr>
            <w:r>
              <w:rPr>
                <w:rFonts w:ascii="Arial" w:cs="Arial" w:eastAsia="Arial" w:hAnsi="Arial"/>
                <w:sz w:val="18"/>
                <w:szCs w:val="18"/>
                <w:color w:val="auto"/>
              </w:rPr>
              <w:t>10.47</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89"/>
              </w:rPr>
              <w:t>License and Services Agreement, dated as of September 24, 2010, between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4"/>
              </w:rPr>
              <w:t>Ultragenyx Pharmaceutical Inc. and The Buck Institute for Age Research</w:t>
            </w:r>
          </w:p>
        </w:tc>
        <w:tc>
          <w:tcPr>
            <w:tcW w:w="0" w:type="dxa"/>
            <w:vAlign w:val="bottom"/>
          </w:tcPr>
          <w:p>
            <w:pPr>
              <w:spacing w:after="0"/>
              <w:rPr>
                <w:sz w:val="1"/>
                <w:szCs w:val="1"/>
                <w:color w:val="auto"/>
              </w:rPr>
            </w:pPr>
          </w:p>
        </w:tc>
      </w:tr>
      <w:tr>
        <w:trPr>
          <w:trHeight w:val="283"/>
        </w:trPr>
        <w:tc>
          <w:tcPr>
            <w:tcW w:w="900" w:type="dxa"/>
            <w:vAlign w:val="bottom"/>
            <w:gridSpan w:val="2"/>
          </w:tcPr>
          <w:p>
            <w:pPr>
              <w:spacing w:after="0"/>
              <w:rPr>
                <w:sz w:val="20"/>
                <w:szCs w:val="20"/>
                <w:color w:val="auto"/>
              </w:rPr>
            </w:pPr>
            <w:r>
              <w:rPr>
                <w:rFonts w:ascii="Arial" w:cs="Arial" w:eastAsia="Arial" w:hAnsi="Arial"/>
                <w:sz w:val="18"/>
                <w:szCs w:val="18"/>
                <w:color w:val="auto"/>
              </w:rPr>
              <w:t>10.48</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Amendment No. 1 to License and Services Agreement, dated as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0"/>
              </w:rPr>
              <w:t>September 4, 2012, between Ultragenyx Pharmaceutical Inc. and The Buck</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Institute for Research on Aging</w:t>
            </w:r>
          </w:p>
        </w:tc>
        <w:tc>
          <w:tcPr>
            <w:tcW w:w="0" w:type="dxa"/>
            <w:vAlign w:val="bottom"/>
          </w:tcPr>
          <w:p>
            <w:pPr>
              <w:spacing w:after="0"/>
              <w:rPr>
                <w:sz w:val="1"/>
                <w:szCs w:val="1"/>
                <w:color w:val="auto"/>
              </w:rPr>
            </w:pPr>
          </w:p>
        </w:tc>
      </w:tr>
      <w:tr>
        <w:trPr>
          <w:trHeight w:val="283"/>
        </w:trPr>
        <w:tc>
          <w:tcPr>
            <w:tcW w:w="900" w:type="dxa"/>
            <w:vAlign w:val="bottom"/>
            <w:gridSpan w:val="2"/>
          </w:tcPr>
          <w:p>
            <w:pPr>
              <w:spacing w:after="0"/>
              <w:rPr>
                <w:sz w:val="20"/>
                <w:szCs w:val="20"/>
                <w:color w:val="auto"/>
              </w:rPr>
            </w:pPr>
            <w:r>
              <w:rPr>
                <w:rFonts w:ascii="Arial" w:cs="Arial" w:eastAsia="Arial" w:hAnsi="Arial"/>
                <w:sz w:val="18"/>
                <w:szCs w:val="18"/>
                <w:color w:val="auto"/>
              </w:rPr>
              <w:t>10.49</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8"/>
              </w:rPr>
              <w:t>Amendment No. 2 to License and Services Agreement, effective as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2"/>
              </w:rPr>
              <w:t>September 15, 2014, by and between Ultragenyx Pharmaceutical Inc.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The Buck Institute for Research on Aging</w:t>
            </w:r>
          </w:p>
        </w:tc>
        <w:tc>
          <w:tcPr>
            <w:tcW w:w="0" w:type="dxa"/>
            <w:vAlign w:val="bottom"/>
          </w:tcPr>
          <w:p>
            <w:pPr>
              <w:spacing w:after="0"/>
              <w:rPr>
                <w:sz w:val="1"/>
                <w:szCs w:val="1"/>
                <w:color w:val="auto"/>
              </w:rPr>
            </w:pPr>
          </w:p>
        </w:tc>
      </w:tr>
      <w:tr>
        <w:trPr>
          <w:trHeight w:val="283"/>
        </w:trPr>
        <w:tc>
          <w:tcPr>
            <w:tcW w:w="900" w:type="dxa"/>
            <w:vAlign w:val="bottom"/>
            <w:gridSpan w:val="2"/>
          </w:tcPr>
          <w:p>
            <w:pPr>
              <w:spacing w:after="0"/>
              <w:rPr>
                <w:sz w:val="20"/>
                <w:szCs w:val="20"/>
                <w:color w:val="auto"/>
              </w:rPr>
            </w:pPr>
            <w:r>
              <w:rPr>
                <w:rFonts w:ascii="Arial" w:cs="Arial" w:eastAsia="Arial" w:hAnsi="Arial"/>
                <w:sz w:val="18"/>
                <w:szCs w:val="18"/>
                <w:color w:val="auto"/>
              </w:rPr>
              <w:t>10.50</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0"/>
              </w:rPr>
              <w:t>Amendment No. 3 to License and Services Agreement, effective September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3"/>
              </w:rPr>
              <w:t>21, 2015, between Ultragenyx Pharmaceutical Inc. and The Buck Institute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for Research on Aging</w:t>
            </w:r>
          </w:p>
        </w:tc>
        <w:tc>
          <w:tcPr>
            <w:tcW w:w="0" w:type="dxa"/>
            <w:vAlign w:val="bottom"/>
          </w:tcPr>
          <w:p>
            <w:pPr>
              <w:spacing w:after="0"/>
              <w:rPr>
                <w:sz w:val="1"/>
                <w:szCs w:val="1"/>
                <w:color w:val="auto"/>
              </w:rPr>
            </w:pPr>
          </w:p>
        </w:tc>
      </w:tr>
      <w:tr>
        <w:trPr>
          <w:trHeight w:val="283"/>
        </w:trPr>
        <w:tc>
          <w:tcPr>
            <w:tcW w:w="900" w:type="dxa"/>
            <w:vAlign w:val="bottom"/>
            <w:gridSpan w:val="2"/>
          </w:tcPr>
          <w:p>
            <w:pPr>
              <w:spacing w:after="0"/>
              <w:rPr>
                <w:sz w:val="20"/>
                <w:szCs w:val="20"/>
                <w:color w:val="auto"/>
              </w:rPr>
            </w:pPr>
            <w:r>
              <w:rPr>
                <w:rFonts w:ascii="Arial" w:cs="Arial" w:eastAsia="Arial" w:hAnsi="Arial"/>
                <w:sz w:val="18"/>
                <w:szCs w:val="18"/>
                <w:color w:val="auto"/>
              </w:rPr>
              <w:t>10.51</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0"/>
              </w:rPr>
              <w:t>Amendment No. 4 to License and Services Agreement, effective September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3"/>
              </w:rPr>
              <w:t>28, 2016, between Ultragenyx Pharmaceutical Inc. and The Buck Institute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for Research on Aging</w:t>
            </w:r>
          </w:p>
        </w:tc>
        <w:tc>
          <w:tcPr>
            <w:tcW w:w="0" w:type="dxa"/>
            <w:vAlign w:val="bottom"/>
          </w:tcPr>
          <w:p>
            <w:pPr>
              <w:spacing w:after="0"/>
              <w:rPr>
                <w:sz w:val="1"/>
                <w:szCs w:val="1"/>
                <w:color w:val="auto"/>
              </w:rPr>
            </w:pPr>
          </w:p>
        </w:tc>
      </w:tr>
      <w:tr>
        <w:trPr>
          <w:trHeight w:val="283"/>
        </w:trPr>
        <w:tc>
          <w:tcPr>
            <w:tcW w:w="900" w:type="dxa"/>
            <w:vAlign w:val="bottom"/>
            <w:gridSpan w:val="2"/>
          </w:tcPr>
          <w:p>
            <w:pPr>
              <w:spacing w:after="0"/>
              <w:rPr>
                <w:sz w:val="20"/>
                <w:szCs w:val="20"/>
                <w:color w:val="auto"/>
              </w:rPr>
            </w:pPr>
            <w:r>
              <w:rPr>
                <w:rFonts w:ascii="Arial" w:cs="Arial" w:eastAsia="Arial" w:hAnsi="Arial"/>
                <w:sz w:val="18"/>
                <w:szCs w:val="18"/>
                <w:color w:val="auto"/>
              </w:rPr>
              <w:t>10.52</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Lease Agreement between Marina Boulevard Property, LLC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Ultragenyx Pharmaceutical Inc., dated as of December 8, 2015</w:t>
            </w:r>
          </w:p>
        </w:tc>
        <w:tc>
          <w:tcPr>
            <w:tcW w:w="0" w:type="dxa"/>
            <w:vAlign w:val="bottom"/>
          </w:tcPr>
          <w:p>
            <w:pPr>
              <w:spacing w:after="0"/>
              <w:rPr>
                <w:sz w:val="1"/>
                <w:szCs w:val="1"/>
                <w:color w:val="auto"/>
              </w:rPr>
            </w:pPr>
          </w:p>
        </w:tc>
      </w:tr>
      <w:tr>
        <w:trPr>
          <w:trHeight w:val="297"/>
        </w:trPr>
        <w:tc>
          <w:tcPr>
            <w:tcW w:w="900" w:type="dxa"/>
            <w:vAlign w:val="bottom"/>
            <w:gridSpan w:val="2"/>
          </w:tcPr>
          <w:p>
            <w:pPr>
              <w:spacing w:after="0"/>
              <w:rPr>
                <w:sz w:val="20"/>
                <w:szCs w:val="20"/>
                <w:color w:val="auto"/>
              </w:rPr>
            </w:pPr>
            <w:r>
              <w:rPr>
                <w:rFonts w:ascii="Arial" w:cs="Arial" w:eastAsia="Arial" w:hAnsi="Arial"/>
                <w:sz w:val="18"/>
                <w:szCs w:val="18"/>
                <w:color w:val="auto"/>
              </w:rPr>
              <w:t>10.53#</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Corporate Bonus Plan</w:t>
            </w:r>
          </w:p>
        </w:tc>
        <w:tc>
          <w:tcPr>
            <w:tcW w:w="0" w:type="dxa"/>
            <w:vAlign w:val="bottom"/>
          </w:tcPr>
          <w:p>
            <w:pPr>
              <w:spacing w:after="0"/>
              <w:rPr>
                <w:sz w:val="1"/>
                <w:szCs w:val="1"/>
                <w:color w:val="auto"/>
              </w:rPr>
            </w:pPr>
          </w:p>
        </w:tc>
      </w:tr>
      <w:tr>
        <w:trPr>
          <w:trHeight w:val="297"/>
        </w:trPr>
        <w:tc>
          <w:tcPr>
            <w:tcW w:w="900" w:type="dxa"/>
            <w:vAlign w:val="bottom"/>
            <w:gridSpan w:val="2"/>
          </w:tcPr>
          <w:p>
            <w:pPr>
              <w:spacing w:after="0"/>
              <w:rPr>
                <w:sz w:val="20"/>
                <w:szCs w:val="20"/>
                <w:color w:val="auto"/>
              </w:rPr>
            </w:pPr>
            <w:r>
              <w:rPr>
                <w:rFonts w:ascii="Arial" w:cs="Arial" w:eastAsia="Arial" w:hAnsi="Arial"/>
                <w:sz w:val="18"/>
                <w:szCs w:val="18"/>
                <w:color w:val="auto"/>
              </w:rPr>
              <w:t>21.1</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Subsidiaries of Ultragenyx Pharmaceutical Inc.</w:t>
            </w:r>
          </w:p>
        </w:tc>
        <w:tc>
          <w:tcPr>
            <w:tcW w:w="0" w:type="dxa"/>
            <w:vAlign w:val="bottom"/>
          </w:tcPr>
          <w:p>
            <w:pPr>
              <w:spacing w:after="0"/>
              <w:rPr>
                <w:sz w:val="1"/>
                <w:szCs w:val="1"/>
                <w:color w:val="auto"/>
              </w:rPr>
            </w:pPr>
          </w:p>
        </w:tc>
      </w:tr>
      <w:tr>
        <w:trPr>
          <w:trHeight w:val="297"/>
        </w:trPr>
        <w:tc>
          <w:tcPr>
            <w:tcW w:w="900" w:type="dxa"/>
            <w:vAlign w:val="bottom"/>
            <w:gridSpan w:val="2"/>
          </w:tcPr>
          <w:p>
            <w:pPr>
              <w:spacing w:after="0"/>
              <w:rPr>
                <w:sz w:val="20"/>
                <w:szCs w:val="20"/>
                <w:color w:val="auto"/>
              </w:rPr>
            </w:pPr>
            <w:r>
              <w:rPr>
                <w:rFonts w:ascii="Arial" w:cs="Arial" w:eastAsia="Arial" w:hAnsi="Arial"/>
                <w:sz w:val="18"/>
                <w:szCs w:val="18"/>
                <w:color w:val="auto"/>
              </w:rPr>
              <w:t>23.1</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297"/>
        </w:trPr>
        <w:tc>
          <w:tcPr>
            <w:tcW w:w="900" w:type="dxa"/>
            <w:vAlign w:val="bottom"/>
            <w:gridSpan w:val="2"/>
          </w:tcPr>
          <w:p>
            <w:pPr>
              <w:spacing w:after="0"/>
              <w:rPr>
                <w:sz w:val="20"/>
                <w:szCs w:val="20"/>
                <w:color w:val="auto"/>
              </w:rPr>
            </w:pPr>
            <w:r>
              <w:rPr>
                <w:rFonts w:ascii="Arial" w:cs="Arial" w:eastAsia="Arial" w:hAnsi="Arial"/>
                <w:sz w:val="18"/>
                <w:szCs w:val="18"/>
                <w:color w:val="auto"/>
              </w:rPr>
              <w:t>24.1</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4"/>
              </w:rPr>
              <w:t>Power of Attorney (included on the signature page of this Annual Report)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6350</wp:posOffset>
            </wp:positionV>
            <wp:extent cx="22809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49" w:lineRule="exact"/>
        <w:rPr>
          <w:sz w:val="20"/>
          <w:szCs w:val="20"/>
          <w:color w:val="auto"/>
        </w:rPr>
      </w:pPr>
    </w:p>
    <w:p>
      <w:pPr>
        <w:ind w:left="60"/>
        <w:spacing w:after="0"/>
        <w:tabs>
          <w:tab w:leader="none" w:pos="1240" w:val="left"/>
          <w:tab w:leader="none" w:pos="2500" w:val="left"/>
        </w:tabs>
        <w:rPr>
          <w:sz w:val="20"/>
          <w:szCs w:val="20"/>
          <w:color w:val="auto"/>
        </w:rPr>
      </w:pPr>
      <w:r>
        <w:rPr>
          <w:rFonts w:ascii="Arial" w:cs="Arial" w:eastAsia="Arial" w:hAnsi="Arial"/>
          <w:sz w:val="14"/>
          <w:szCs w:val="14"/>
          <w:b w:val="1"/>
          <w:bCs w:val="1"/>
          <w:color w:val="auto"/>
        </w:rPr>
        <w:t>Form</w:t>
      </w:r>
      <w:r>
        <w:rPr>
          <w:sz w:val="20"/>
          <w:szCs w:val="20"/>
          <w:color w:val="auto"/>
        </w:rPr>
        <w:tab/>
      </w:r>
      <w:r>
        <w:rPr>
          <w:rFonts w:ascii="Arial" w:cs="Arial" w:eastAsia="Arial" w:hAnsi="Arial"/>
          <w:sz w:val="14"/>
          <w:szCs w:val="14"/>
          <w:b w:val="1"/>
          <w:bCs w:val="1"/>
          <w:color w:val="auto"/>
        </w:rPr>
        <w:t>Date</w:t>
      </w:r>
      <w:r>
        <w:rPr>
          <w:sz w:val="20"/>
          <w:szCs w:val="20"/>
          <w:color w:val="auto"/>
        </w:rPr>
        <w:tab/>
      </w: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6350</wp:posOffset>
            </wp:positionV>
            <wp:extent cx="22809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94"/>
              </w:rPr>
              <w:t>10-K</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3/24/2014</w:t>
            </w:r>
          </w:p>
        </w:tc>
        <w:tc>
          <w:tcPr>
            <w:tcW w:w="800" w:type="dxa"/>
            <w:vAlign w:val="bottom"/>
          </w:tcPr>
          <w:p>
            <w:pPr>
              <w:jc w:val="center"/>
              <w:ind w:left="310"/>
              <w:spacing w:after="0"/>
              <w:rPr>
                <w:sz w:val="20"/>
                <w:szCs w:val="20"/>
                <w:color w:val="auto"/>
              </w:rPr>
            </w:pPr>
            <w:r>
              <w:rPr>
                <w:rFonts w:ascii="Arial" w:cs="Arial" w:eastAsia="Arial" w:hAnsi="Arial"/>
                <w:sz w:val="18"/>
                <w:szCs w:val="18"/>
                <w:color w:val="auto"/>
                <w:w w:val="88"/>
              </w:rPr>
              <w:t>10.23</w:t>
            </w:r>
          </w:p>
        </w:tc>
      </w:tr>
      <w:tr>
        <w:trPr>
          <w:trHeight w:val="378"/>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85"/>
              </w:rPr>
              <w:t>S-1</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11/8/2013</w:t>
            </w:r>
          </w:p>
        </w:tc>
        <w:tc>
          <w:tcPr>
            <w:tcW w:w="800" w:type="dxa"/>
            <w:vAlign w:val="bottom"/>
          </w:tcPr>
          <w:p>
            <w:pPr>
              <w:jc w:val="center"/>
              <w:ind w:left="310"/>
              <w:spacing w:after="0"/>
              <w:rPr>
                <w:sz w:val="20"/>
                <w:szCs w:val="20"/>
                <w:color w:val="auto"/>
              </w:rPr>
            </w:pPr>
            <w:r>
              <w:rPr>
                <w:rFonts w:ascii="Arial" w:cs="Arial" w:eastAsia="Arial" w:hAnsi="Arial"/>
                <w:sz w:val="18"/>
                <w:szCs w:val="18"/>
                <w:color w:val="auto"/>
                <w:w w:val="88"/>
              </w:rPr>
              <w:t>10.22</w:t>
            </w:r>
          </w:p>
        </w:tc>
      </w:tr>
      <w:tr>
        <w:trPr>
          <w:trHeight w:val="513"/>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94"/>
              </w:rPr>
              <w:t>10-K</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2/26/2016</w:t>
            </w:r>
          </w:p>
        </w:tc>
        <w:tc>
          <w:tcPr>
            <w:tcW w:w="800" w:type="dxa"/>
            <w:vAlign w:val="bottom"/>
          </w:tcPr>
          <w:p>
            <w:pPr>
              <w:jc w:val="center"/>
              <w:ind w:left="310"/>
              <w:spacing w:after="0"/>
              <w:rPr>
                <w:sz w:val="20"/>
                <w:szCs w:val="20"/>
                <w:color w:val="auto"/>
              </w:rPr>
            </w:pPr>
            <w:r>
              <w:rPr>
                <w:rFonts w:ascii="Arial" w:cs="Arial" w:eastAsia="Arial" w:hAnsi="Arial"/>
                <w:sz w:val="18"/>
                <w:szCs w:val="18"/>
                <w:color w:val="auto"/>
                <w:w w:val="88"/>
              </w:rPr>
              <w:t>10.34</w:t>
            </w:r>
          </w:p>
        </w:tc>
      </w:tr>
      <w:tr>
        <w:trPr>
          <w:trHeight w:val="513"/>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94"/>
              </w:rPr>
              <w:t>10-K</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2/26/2016</w:t>
            </w:r>
          </w:p>
        </w:tc>
        <w:tc>
          <w:tcPr>
            <w:tcW w:w="800" w:type="dxa"/>
            <w:vAlign w:val="bottom"/>
          </w:tcPr>
          <w:p>
            <w:pPr>
              <w:jc w:val="center"/>
              <w:ind w:left="310"/>
              <w:spacing w:after="0"/>
              <w:rPr>
                <w:sz w:val="20"/>
                <w:szCs w:val="20"/>
                <w:color w:val="auto"/>
              </w:rPr>
            </w:pPr>
            <w:r>
              <w:rPr>
                <w:rFonts w:ascii="Arial" w:cs="Arial" w:eastAsia="Arial" w:hAnsi="Arial"/>
                <w:sz w:val="18"/>
                <w:szCs w:val="18"/>
                <w:color w:val="auto"/>
                <w:w w:val="88"/>
              </w:rPr>
              <w:t>10.35</w:t>
            </w:r>
          </w:p>
        </w:tc>
      </w:tr>
      <w:tr>
        <w:trPr>
          <w:trHeight w:val="594"/>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2/25/2014</w:t>
            </w:r>
          </w:p>
        </w:tc>
        <w:tc>
          <w:tcPr>
            <w:tcW w:w="800" w:type="dxa"/>
            <w:vAlign w:val="bottom"/>
          </w:tcPr>
          <w:p>
            <w:pPr>
              <w:jc w:val="center"/>
              <w:ind w:left="310"/>
              <w:spacing w:after="0"/>
              <w:rPr>
                <w:sz w:val="20"/>
                <w:szCs w:val="20"/>
                <w:color w:val="auto"/>
              </w:rPr>
            </w:pPr>
            <w:r>
              <w:rPr>
                <w:rFonts w:ascii="Arial" w:cs="Arial" w:eastAsia="Arial" w:hAnsi="Arial"/>
                <w:sz w:val="18"/>
                <w:szCs w:val="18"/>
                <w:color w:val="auto"/>
                <w:w w:val="91"/>
              </w:rPr>
              <w:t>10.1</w:t>
            </w:r>
          </w:p>
        </w:tc>
      </w:tr>
      <w:tr>
        <w:trPr>
          <w:trHeight w:val="432"/>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3/13/2015</w:t>
            </w:r>
          </w:p>
        </w:tc>
        <w:tc>
          <w:tcPr>
            <w:tcW w:w="800" w:type="dxa"/>
            <w:vAlign w:val="bottom"/>
          </w:tcPr>
          <w:p>
            <w:pPr>
              <w:jc w:val="center"/>
              <w:ind w:left="310"/>
              <w:spacing w:after="0"/>
              <w:rPr>
                <w:sz w:val="20"/>
                <w:szCs w:val="20"/>
                <w:color w:val="auto"/>
              </w:rPr>
            </w:pPr>
            <w:r>
              <w:rPr>
                <w:rFonts w:ascii="Arial" w:cs="Arial" w:eastAsia="Arial" w:hAnsi="Arial"/>
                <w:sz w:val="18"/>
                <w:szCs w:val="18"/>
                <w:color w:val="auto"/>
                <w:w w:val="91"/>
              </w:rPr>
              <w:t>10.1</w:t>
            </w:r>
          </w:p>
        </w:tc>
      </w:tr>
      <w:tr>
        <w:trPr>
          <w:trHeight w:val="513"/>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94"/>
              </w:rPr>
              <w:t>10-K</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2/26/2016</w:t>
            </w:r>
          </w:p>
        </w:tc>
        <w:tc>
          <w:tcPr>
            <w:tcW w:w="800" w:type="dxa"/>
            <w:vAlign w:val="bottom"/>
          </w:tcPr>
          <w:p>
            <w:pPr>
              <w:jc w:val="center"/>
              <w:ind w:left="310"/>
              <w:spacing w:after="0"/>
              <w:rPr>
                <w:sz w:val="20"/>
                <w:szCs w:val="20"/>
                <w:color w:val="auto"/>
              </w:rPr>
            </w:pPr>
            <w:r>
              <w:rPr>
                <w:rFonts w:ascii="Arial" w:cs="Arial" w:eastAsia="Arial" w:hAnsi="Arial"/>
                <w:sz w:val="18"/>
                <w:szCs w:val="18"/>
                <w:color w:val="auto"/>
                <w:w w:val="88"/>
              </w:rPr>
              <w:t>10.38</w:t>
            </w:r>
          </w:p>
        </w:tc>
      </w:tr>
      <w:tr>
        <w:trPr>
          <w:trHeight w:val="513"/>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85"/>
              </w:rPr>
              <w:t>S-1</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11/8/2013</w:t>
            </w:r>
          </w:p>
        </w:tc>
        <w:tc>
          <w:tcPr>
            <w:tcW w:w="800" w:type="dxa"/>
            <w:vAlign w:val="bottom"/>
          </w:tcPr>
          <w:p>
            <w:pPr>
              <w:jc w:val="center"/>
              <w:ind w:left="310"/>
              <w:spacing w:after="0"/>
              <w:rPr>
                <w:sz w:val="20"/>
                <w:szCs w:val="20"/>
                <w:color w:val="auto"/>
              </w:rPr>
            </w:pPr>
            <w:r>
              <w:rPr>
                <w:rFonts w:ascii="Arial" w:cs="Arial" w:eastAsia="Arial" w:hAnsi="Arial"/>
                <w:sz w:val="18"/>
                <w:szCs w:val="18"/>
                <w:color w:val="auto"/>
                <w:w w:val="88"/>
              </w:rPr>
              <w:t>10.23</w:t>
            </w:r>
          </w:p>
        </w:tc>
      </w:tr>
      <w:tr>
        <w:trPr>
          <w:trHeight w:val="513"/>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85"/>
              </w:rPr>
              <w:t>S-1</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11/8/2013</w:t>
            </w:r>
          </w:p>
        </w:tc>
        <w:tc>
          <w:tcPr>
            <w:tcW w:w="800" w:type="dxa"/>
            <w:vAlign w:val="bottom"/>
          </w:tcPr>
          <w:p>
            <w:pPr>
              <w:jc w:val="center"/>
              <w:ind w:left="310"/>
              <w:spacing w:after="0"/>
              <w:rPr>
                <w:sz w:val="20"/>
                <w:szCs w:val="20"/>
                <w:color w:val="auto"/>
              </w:rPr>
            </w:pPr>
            <w:r>
              <w:rPr>
                <w:rFonts w:ascii="Arial" w:cs="Arial" w:eastAsia="Arial" w:hAnsi="Arial"/>
                <w:sz w:val="18"/>
                <w:szCs w:val="18"/>
                <w:color w:val="auto"/>
                <w:w w:val="88"/>
              </w:rPr>
              <w:t>10.24</w:t>
            </w:r>
          </w:p>
        </w:tc>
      </w:tr>
      <w:tr>
        <w:trPr>
          <w:trHeight w:val="729"/>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89"/>
              </w:rPr>
              <w:t>10-Q</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11/10/2014</w:t>
            </w:r>
          </w:p>
        </w:tc>
        <w:tc>
          <w:tcPr>
            <w:tcW w:w="800" w:type="dxa"/>
            <w:vAlign w:val="bottom"/>
          </w:tcPr>
          <w:p>
            <w:pPr>
              <w:jc w:val="center"/>
              <w:ind w:left="310"/>
              <w:spacing w:after="0"/>
              <w:rPr>
                <w:sz w:val="20"/>
                <w:szCs w:val="20"/>
                <w:color w:val="auto"/>
              </w:rPr>
            </w:pPr>
            <w:r>
              <w:rPr>
                <w:rFonts w:ascii="Arial" w:cs="Arial" w:eastAsia="Arial" w:hAnsi="Arial"/>
                <w:sz w:val="18"/>
                <w:szCs w:val="18"/>
                <w:color w:val="auto"/>
                <w:w w:val="91"/>
              </w:rPr>
              <w:t>10.1</w:t>
            </w:r>
          </w:p>
        </w:tc>
      </w:tr>
      <w:tr>
        <w:trPr>
          <w:trHeight w:val="729"/>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89"/>
              </w:rPr>
              <w:t>10-Q</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11/10/2015</w:t>
            </w:r>
          </w:p>
        </w:tc>
        <w:tc>
          <w:tcPr>
            <w:tcW w:w="800" w:type="dxa"/>
            <w:vAlign w:val="bottom"/>
          </w:tcPr>
          <w:p>
            <w:pPr>
              <w:jc w:val="center"/>
              <w:ind w:left="310"/>
              <w:spacing w:after="0"/>
              <w:rPr>
                <w:sz w:val="20"/>
                <w:szCs w:val="20"/>
                <w:color w:val="auto"/>
              </w:rPr>
            </w:pPr>
            <w:r>
              <w:rPr>
                <w:rFonts w:ascii="Arial" w:cs="Arial" w:eastAsia="Arial" w:hAnsi="Arial"/>
                <w:sz w:val="18"/>
                <w:szCs w:val="18"/>
                <w:color w:val="auto"/>
                <w:w w:val="91"/>
              </w:rPr>
              <w:t>10.3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94"/>
              </w:rPr>
              <w:t>10-K</w:t>
            </w:r>
          </w:p>
        </w:tc>
        <w:tc>
          <w:tcPr>
            <w:tcW w:w="1420" w:type="dxa"/>
            <w:vAlign w:val="bottom"/>
          </w:tcPr>
          <w:p>
            <w:pPr>
              <w:jc w:val="right"/>
              <w:ind w:right="310"/>
              <w:spacing w:after="0"/>
              <w:rPr>
                <w:sz w:val="20"/>
                <w:szCs w:val="20"/>
                <w:color w:val="auto"/>
              </w:rPr>
            </w:pPr>
            <w:r>
              <w:rPr>
                <w:rFonts w:ascii="Arial" w:cs="Arial" w:eastAsia="Arial" w:hAnsi="Arial"/>
                <w:sz w:val="18"/>
                <w:szCs w:val="18"/>
                <w:color w:val="auto"/>
              </w:rPr>
              <w:t>2/26/2016</w:t>
            </w:r>
          </w:p>
        </w:tc>
        <w:tc>
          <w:tcPr>
            <w:tcW w:w="820" w:type="dxa"/>
            <w:vAlign w:val="bottom"/>
          </w:tcPr>
          <w:p>
            <w:pPr>
              <w:jc w:val="right"/>
              <w:spacing w:after="0"/>
              <w:rPr>
                <w:sz w:val="20"/>
                <w:szCs w:val="20"/>
                <w:color w:val="auto"/>
              </w:rPr>
            </w:pPr>
            <w:r>
              <w:rPr>
                <w:rFonts w:ascii="Arial" w:cs="Arial" w:eastAsia="Arial" w:hAnsi="Arial"/>
                <w:sz w:val="18"/>
                <w:szCs w:val="18"/>
                <w:color w:val="auto"/>
              </w:rPr>
              <w:t>10.43</w:t>
            </w:r>
          </w:p>
        </w:tc>
      </w:tr>
      <w:tr>
        <w:trPr>
          <w:trHeight w:val="513"/>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97"/>
              </w:rPr>
              <w:t>S-1/A</w:t>
            </w:r>
          </w:p>
        </w:tc>
        <w:tc>
          <w:tcPr>
            <w:tcW w:w="1420" w:type="dxa"/>
            <w:vAlign w:val="bottom"/>
          </w:tcPr>
          <w:p>
            <w:pPr>
              <w:jc w:val="right"/>
              <w:ind w:right="310"/>
              <w:spacing w:after="0"/>
              <w:rPr>
                <w:sz w:val="20"/>
                <w:szCs w:val="20"/>
                <w:color w:val="auto"/>
              </w:rPr>
            </w:pPr>
            <w:r>
              <w:rPr>
                <w:rFonts w:ascii="Arial" w:cs="Arial" w:eastAsia="Arial" w:hAnsi="Arial"/>
                <w:sz w:val="18"/>
                <w:szCs w:val="18"/>
                <w:color w:val="auto"/>
              </w:rPr>
              <w:t>1/17/2014</w:t>
            </w:r>
          </w:p>
        </w:tc>
        <w:tc>
          <w:tcPr>
            <w:tcW w:w="820" w:type="dxa"/>
            <w:vAlign w:val="bottom"/>
          </w:tcPr>
          <w:p>
            <w:pPr>
              <w:jc w:val="right"/>
              <w:spacing w:after="0"/>
              <w:rPr>
                <w:sz w:val="20"/>
                <w:szCs w:val="20"/>
                <w:color w:val="auto"/>
              </w:rPr>
            </w:pPr>
            <w:r>
              <w:rPr>
                <w:rFonts w:ascii="Arial" w:cs="Arial" w:eastAsia="Arial" w:hAnsi="Arial"/>
                <w:sz w:val="18"/>
                <w:szCs w:val="18"/>
                <w:color w:val="auto"/>
              </w:rPr>
              <w:t>10.27</w:t>
            </w: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Filed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13970</wp:posOffset>
            </wp:positionV>
            <wp:extent cx="7289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ectPr>
          <w:pgSz w:w="11900" w:h="16838" w:orient="portrait"/>
          <w:cols w:equalWidth="0" w:num="3">
            <w:col w:w="6480" w:space="300"/>
            <w:col w:w="3060" w:space="720"/>
            <w:col w:w="580"/>
          </w:cols>
          <w:pgMar w:left="240" w:top="198" w:right="51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86"/>
        </w:trPr>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4"/>
              </w:rPr>
              <w:t>Incorporated by Reference</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53"/>
        </w:trPr>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gridSpan w:val="3"/>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9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5480" w:type="dxa"/>
            <w:vAlign w:val="bottom"/>
            <w:vMerge w:val="restart"/>
          </w:tcPr>
          <w:p>
            <w:pPr>
              <w:ind w:left="214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3"/>
                <w:szCs w:val="3"/>
                <w:color w:val="auto"/>
              </w:rPr>
            </w:pPr>
          </w:p>
        </w:tc>
        <w:tc>
          <w:tcPr>
            <w:tcW w:w="8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Form</w:t>
            </w:r>
          </w:p>
        </w:tc>
        <w:tc>
          <w:tcPr>
            <w:tcW w:w="100" w:type="dxa"/>
            <w:vAlign w:val="bottom"/>
            <w:vMerge w:val="restart"/>
          </w:tcPr>
          <w:p>
            <w:pPr>
              <w:spacing w:after="0"/>
              <w:rPr>
                <w:sz w:val="3"/>
                <w:szCs w:val="3"/>
                <w:color w:val="auto"/>
              </w:rPr>
            </w:pPr>
          </w:p>
        </w:tc>
        <w:tc>
          <w:tcPr>
            <w:tcW w:w="13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Date</w:t>
            </w:r>
          </w:p>
        </w:tc>
        <w:tc>
          <w:tcPr>
            <w:tcW w:w="100" w:type="dxa"/>
            <w:vAlign w:val="bottom"/>
            <w:vMerge w:val="restart"/>
          </w:tcPr>
          <w:p>
            <w:pPr>
              <w:spacing w:after="0"/>
              <w:rPr>
                <w:sz w:val="3"/>
                <w:szCs w:val="3"/>
                <w:color w:val="auto"/>
              </w:rPr>
            </w:pPr>
          </w:p>
        </w:tc>
        <w:tc>
          <w:tcPr>
            <w:tcW w:w="320" w:type="dxa"/>
            <w:vAlign w:val="bottom"/>
            <w:vMerge w:val="restart"/>
          </w:tcPr>
          <w:p>
            <w:pPr>
              <w:spacing w:after="0"/>
              <w:rPr>
                <w:sz w:val="3"/>
                <w:szCs w:val="3"/>
                <w:color w:val="auto"/>
              </w:rPr>
            </w:pPr>
          </w:p>
        </w:tc>
        <w:tc>
          <w:tcPr>
            <w:tcW w:w="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Number</w:t>
            </w:r>
          </w:p>
        </w:tc>
        <w:tc>
          <w:tcPr>
            <w:tcW w:w="100" w:type="dxa"/>
            <w:vAlign w:val="bottom"/>
            <w:vMerge w:val="restart"/>
          </w:tcPr>
          <w:p>
            <w:pPr>
              <w:spacing w:after="0"/>
              <w:rPr>
                <w:sz w:val="3"/>
                <w:szCs w:val="3"/>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line="20" w:lineRule="exact"/>
              <w:rPr>
                <w:sz w:val="1"/>
                <w:szCs w:val="1"/>
                <w:color w:val="auto"/>
              </w:rPr>
            </w:pPr>
          </w:p>
        </w:tc>
      </w:tr>
      <w:tr>
        <w:trPr>
          <w:trHeight w:val="171"/>
        </w:trPr>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54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w w:val="95"/>
              </w:rPr>
              <w:t>Certification of Chief Executive Officer of Ultragenyx Pharmaceutical Inc.,</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w w:val="92"/>
              </w:rPr>
              <w:t>as required by Rule 13a-14(a) or Rule 15d-14(a) of the Securities Exchange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Act of 1934, as amended, as adopted pursuant to Section 302 of the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Sarbanes-Oxley Act of 2002</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w w:val="96"/>
              </w:rPr>
              <w:t>Certification of Chief Financial Officer of Ultragenyx Pharmaceutical Inc.,</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w w:val="92"/>
              </w:rPr>
              <w:t>as required by Rule 13a-14(a) or Rule 15d-14(a) of the Securities Exchange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Act of 1934, as amended, as adopted pursuant to Section 302 of the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Sarbanes-Oxley Act of 2002</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w w:val="95"/>
              </w:rPr>
              <w:t>Certification by the Chief Executive Officer and Chief Financial Officer, as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w w:val="93"/>
              </w:rPr>
              <w:t>required by Rule 13a-14(b) or Rule 15d-14(b) and Section 1350 of Chapter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36 of Title 18 of the United States Code (18 U.S.C. §1350)</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XBRL Instance Document</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Schema Document</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Definition Linkbase Document</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Labels Linkbase Document</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20" w:right="520" w:hanging="512"/>
        <w:spacing w:after="0" w:line="277" w:lineRule="auto"/>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(indicated by asterisks) of this exhibit. Omitted portions have been filed separately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96075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 w:lineRule="exact"/>
        <w:rPr>
          <w:sz w:val="20"/>
          <w:szCs w:val="20"/>
          <w:color w:val="auto"/>
        </w:rPr>
      </w:pPr>
    </w:p>
    <w:p>
      <w:pPr>
        <w:ind w:left="520" w:hanging="512"/>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77" w:lineRule="exact"/>
        <w:rPr>
          <w:sz w:val="20"/>
          <w:szCs w:val="20"/>
          <w:color w:val="auto"/>
        </w:rPr>
      </w:pPr>
    </w:p>
    <w:p>
      <w:pPr>
        <w:ind w:left="520" w:right="60" w:hanging="512"/>
        <w:spacing w:after="0" w:line="264" w:lineRule="auto"/>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certification attached as Exhibit 32.1 that accompanies this Annual Report is not deemed filed with the SEC and is not to be incorporated by reference into any filing of Ultragenyx Pharmaceutical Inc. under the Securities Act or the Exchange Act, whether made before or after the date of this Annual Report, irrespective of any general incorporation language contained in such filing.</w:t>
      </w:r>
    </w:p>
    <w:p>
      <w:pPr>
        <w:sectPr>
          <w:pgSz w:w="11900" w:h="16838" w:orient="portrait"/>
          <w:cols w:equalWidth="0" w:num="1">
            <w:col w:w="11420"/>
          </w:cols>
          <w:pgMar w:left="240" w:top="198"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22"/>
          <w:szCs w:val="22"/>
          <w:b w:val="1"/>
          <w:bCs w:val="1"/>
          <w:color w:val="auto"/>
        </w:rPr>
        <w:t>Exhibit 10.20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ULTRAGENYX PHARMACEUTICAL INC.</w:t>
      </w:r>
    </w:p>
    <w:p>
      <w:pPr>
        <w:jc w:val="center"/>
        <w:spacing w:after="0"/>
        <w:rPr>
          <w:sz w:val="20"/>
          <w:szCs w:val="20"/>
          <w:color w:val="auto"/>
        </w:rPr>
      </w:pPr>
      <w:r>
        <w:rPr>
          <w:rFonts w:ascii="Arial" w:cs="Arial" w:eastAsia="Arial" w:hAnsi="Arial"/>
          <w:sz w:val="22"/>
          <w:szCs w:val="22"/>
          <w:b w:val="1"/>
          <w:bCs w:val="1"/>
          <w:color w:val="auto"/>
        </w:rPr>
        <w:t>2014 INCENTIVE PLAN</w:t>
      </w:r>
    </w:p>
    <w:p>
      <w:pPr>
        <w:spacing w:after="0" w:line="182" w:lineRule="exact"/>
        <w:rPr>
          <w:sz w:val="20"/>
          <w:szCs w:val="20"/>
          <w:color w:val="auto"/>
        </w:rPr>
      </w:pPr>
    </w:p>
    <w:p>
      <w:pPr>
        <w:ind w:left="820" w:hanging="812"/>
        <w:spacing w:after="0"/>
        <w:tabs>
          <w:tab w:leader="none" w:pos="820"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color w:val="auto"/>
        </w:rPr>
        <w:t>DEFINED TERMS</w:t>
      </w:r>
    </w:p>
    <w:p>
      <w:pPr>
        <w:spacing w:after="0" w:line="212" w:lineRule="exact"/>
        <w:rPr>
          <w:sz w:val="20"/>
          <w:szCs w:val="20"/>
          <w:color w:val="auto"/>
        </w:rPr>
      </w:pPr>
    </w:p>
    <w:p>
      <w:pPr>
        <w:ind w:right="200" w:firstLine="877"/>
        <w:spacing w:after="0" w:line="251" w:lineRule="auto"/>
        <w:rPr>
          <w:sz w:val="20"/>
          <w:szCs w:val="20"/>
          <w:color w:val="auto"/>
        </w:rPr>
      </w:pPr>
      <w:r>
        <w:rPr>
          <w:rFonts w:ascii="Arial" w:cs="Arial" w:eastAsia="Arial" w:hAnsi="Arial"/>
          <w:sz w:val="22"/>
          <w:szCs w:val="22"/>
          <w:u w:val="single" w:color="auto"/>
          <w:color w:val="auto"/>
        </w:rPr>
        <w:t>Exhibit A</w:t>
      </w:r>
      <w:r>
        <w:rPr>
          <w:rFonts w:ascii="Arial" w:cs="Arial" w:eastAsia="Arial" w:hAnsi="Arial"/>
          <w:sz w:val="22"/>
          <w:szCs w:val="22"/>
          <w:color w:val="auto"/>
        </w:rPr>
        <w:t>, which is incorporated by reference, defines the terms used in the Plan and sets forth certain operational rules related to those terms.</w:t>
      </w:r>
    </w:p>
    <w:p>
      <w:pPr>
        <w:spacing w:after="0" w:line="167" w:lineRule="exact"/>
        <w:rPr>
          <w:sz w:val="20"/>
          <w:szCs w:val="20"/>
          <w:color w:val="auto"/>
        </w:rPr>
      </w:pPr>
    </w:p>
    <w:p>
      <w:pPr>
        <w:ind w:left="820" w:hanging="812"/>
        <w:spacing w:after="0"/>
        <w:tabs>
          <w:tab w:leader="none" w:pos="820"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PURPOSE</w:t>
      </w:r>
    </w:p>
    <w:p>
      <w:pPr>
        <w:spacing w:after="0" w:line="212" w:lineRule="exact"/>
        <w:rPr>
          <w:sz w:val="20"/>
          <w:szCs w:val="20"/>
          <w:color w:val="auto"/>
        </w:rPr>
      </w:pPr>
    </w:p>
    <w:p>
      <w:pPr>
        <w:ind w:right="600" w:firstLine="877"/>
        <w:spacing w:after="0" w:line="251" w:lineRule="auto"/>
        <w:rPr>
          <w:sz w:val="20"/>
          <w:szCs w:val="20"/>
          <w:color w:val="auto"/>
        </w:rPr>
      </w:pPr>
      <w:r>
        <w:rPr>
          <w:rFonts w:ascii="Arial" w:cs="Arial" w:eastAsia="Arial" w:hAnsi="Arial"/>
          <w:sz w:val="22"/>
          <w:szCs w:val="22"/>
          <w:color w:val="auto"/>
        </w:rPr>
        <w:t>The Plan has been established to advance the interests of the Company by providing for the grant to Participants of Stock-based and other incentive Awards.</w:t>
      </w:r>
    </w:p>
    <w:p>
      <w:pPr>
        <w:spacing w:after="0" w:line="167" w:lineRule="exact"/>
        <w:rPr>
          <w:sz w:val="20"/>
          <w:szCs w:val="20"/>
          <w:color w:val="auto"/>
        </w:rPr>
      </w:pPr>
    </w:p>
    <w:p>
      <w:pPr>
        <w:ind w:left="820" w:hanging="812"/>
        <w:spacing w:after="0"/>
        <w:tabs>
          <w:tab w:leader="none" w:pos="820"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ADMINISTRATION</w:t>
      </w:r>
    </w:p>
    <w:p>
      <w:pPr>
        <w:spacing w:after="0" w:line="212" w:lineRule="exact"/>
        <w:rPr>
          <w:sz w:val="20"/>
          <w:szCs w:val="20"/>
          <w:color w:val="auto"/>
        </w:rPr>
      </w:pPr>
    </w:p>
    <w:p>
      <w:pPr>
        <w:ind w:right="360" w:firstLine="877"/>
        <w:spacing w:after="0" w:line="287" w:lineRule="auto"/>
        <w:rPr>
          <w:sz w:val="20"/>
          <w:szCs w:val="20"/>
          <w:color w:val="auto"/>
        </w:rPr>
      </w:pPr>
      <w:r>
        <w:rPr>
          <w:rFonts w:ascii="Arial" w:cs="Arial" w:eastAsia="Arial" w:hAnsi="Arial"/>
          <w:sz w:val="19"/>
          <w:szCs w:val="19"/>
          <w:color w:val="auto"/>
        </w:rPr>
        <w:t>The Administrator has discretionary authority, subject only to the express provisions of the Plan, to interpret the Plan; determine eligibility for and grant Awards; determine, modify or waive the terms and conditions of any Award; prescribe forms, rules and procedures relating to the Plan; and otherwise do all things necessary or appropriate to carry out the purposes of the Plan. Determinations of the Administrator made under the Plan will be conclusive and will bind all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01" w:name="page102"/>
    <w:bookmarkEnd w:id="101"/>
    <w:p>
      <w:pPr>
        <w:ind w:left="812" w:hanging="812"/>
        <w:spacing w:after="0"/>
        <w:tabs>
          <w:tab w:leader="none" w:pos="812"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LIMITS ON AWARDS UNDER THE PLAN</w:t>
      </w:r>
    </w:p>
    <w:p>
      <w:pPr>
        <w:spacing w:after="0" w:line="206" w:lineRule="exact"/>
        <w:rPr>
          <w:rFonts w:ascii="Arial" w:cs="Arial" w:eastAsia="Arial" w:hAnsi="Arial"/>
          <w:sz w:val="22"/>
          <w:szCs w:val="22"/>
          <w:b w:val="1"/>
          <w:bCs w:val="1"/>
          <w:color w:val="auto"/>
        </w:rPr>
      </w:pPr>
    </w:p>
    <w:p>
      <w:pPr>
        <w:ind w:left="-8" w:firstLine="885"/>
        <w:spacing w:after="0" w:line="270" w:lineRule="auto"/>
        <w:tabs>
          <w:tab w:leader="none" w:pos="1770" w:val="left"/>
        </w:tabs>
        <w:numPr>
          <w:ilvl w:val="1"/>
          <w:numId w:val="6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Number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The maximum number of shares of Stock that may be delivered in satisfaction of Awards</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the Plan is 2,250,000, which includes the number of shares of Stock that were available for grant under the Ultragenyx Pharmaceutical Inc. 2011 Equity Incentive Plan as of the Date of Adoption that are hereby transferred to the Plan or become available for grant under the Ultragenyx Pharmaceutical Inc. 2011 Equity Incentive Plan following the Date of Adoption as a result of the termination, cancellation or forfeiture of awards, plus an annual increase to be added on January 1 of each year, beginning January 1, 2015 through January 1, 2024, equal to the least of (i) 2,500,000 shares of Stock, (ii) 4 percent (4%) of the number of shares of Stock outstanding on a fully diluted basis as of the close of business on the immediately preceding day (calculated by adding to the number of shares of Stock outstanding, all outstanding securities convertible into Stock on such date on an as converted basis), and (iii) a lesser amount determined by the Administrator on or prior to January 1 of a given year. Up to the total number of shares set forth in this Section 4(a) as increased by the provisions of this Section 4(a) above may be issued in satisfaction of ISOs, but nothing in this Section 4(a) will be construed as requiring that any, or any fixed number of, ISOs be awarded under the Plan. The limits set forth in this Section 4(a) shall be construed to comply with Section 422 of the Code. For purposes of this Section 4(a), the number of shares of Stock delivered in satisfaction of Awards will be determined (i) net of shares of Stock underlying the portion of any Award that is settled in cash or the portion of any Stock Option or SAR that expires, terminates or is forfeited prior to the issuance of Stock thereunder, and (ii) by treating as having been delivered the full number of shares covered by any portion of a SAR that is settled in Stock (and not only the number of shares of Stock delivered in settlement). If Awards are forfeited or are terminated for any reason before being exercised or becoming vested, then the shares of Stock underlying such Awards shall again become available for issuance under the Plan. Any shares withheld from an Award to satisfy the tax withholding obligations with respect to such Award or in payment of the exercise price of an Award requiring exercise shall not again be available for issuance under the Plan.</w:t>
      </w:r>
    </w:p>
    <w:p>
      <w:pPr>
        <w:spacing w:after="0" w:line="200" w:lineRule="exact"/>
        <w:rPr>
          <w:rFonts w:ascii="Arial" w:cs="Arial" w:eastAsia="Arial" w:hAnsi="Arial"/>
          <w:sz w:val="19"/>
          <w:szCs w:val="19"/>
          <w:b w:val="1"/>
          <w:bCs w:val="1"/>
          <w:color w:val="auto"/>
        </w:rPr>
      </w:pPr>
    </w:p>
    <w:p>
      <w:pPr>
        <w:spacing w:after="0" w:line="207" w:lineRule="exact"/>
        <w:rPr>
          <w:rFonts w:ascii="Arial" w:cs="Arial" w:eastAsia="Arial" w:hAnsi="Arial"/>
          <w:sz w:val="19"/>
          <w:szCs w:val="19"/>
          <w:b w:val="1"/>
          <w:bCs w:val="1"/>
          <w:color w:val="auto"/>
        </w:rPr>
      </w:pPr>
    </w:p>
    <w:p>
      <w:pPr>
        <w:ind w:left="-8" w:right="400" w:firstLine="885"/>
        <w:spacing w:after="0" w:line="335" w:lineRule="auto"/>
        <w:tabs>
          <w:tab w:leader="none" w:pos="1782" w:val="left"/>
        </w:tabs>
        <w:numPr>
          <w:ilvl w:val="1"/>
          <w:numId w:val="6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Type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Stock delivered by the Company under the Plan may be authorized but unissued Stock or</w:t>
      </w:r>
      <w:r>
        <w:rPr>
          <w:rFonts w:ascii="Arial" w:cs="Arial" w:eastAsia="Arial" w:hAnsi="Arial"/>
          <w:sz w:val="19"/>
          <w:szCs w:val="19"/>
          <w:b w:val="1"/>
          <w:bCs w:val="1"/>
          <w:color w:val="auto"/>
        </w:rPr>
        <w:t xml:space="preserve"> </w:t>
      </w:r>
      <w:r>
        <w:rPr>
          <w:rFonts w:ascii="Arial" w:cs="Arial" w:eastAsia="Arial" w:hAnsi="Arial"/>
          <w:sz w:val="19"/>
          <w:szCs w:val="19"/>
          <w:color w:val="auto"/>
        </w:rPr>
        <w:t>previously issued Stock acquired by the Company. No fractional shares of Stock will be delivered under the Plan.</w:t>
      </w:r>
    </w:p>
    <w:p>
      <w:pPr>
        <w:spacing w:after="0" w:line="92" w:lineRule="exact"/>
        <w:rPr>
          <w:rFonts w:ascii="Arial" w:cs="Arial" w:eastAsia="Arial" w:hAnsi="Arial"/>
          <w:sz w:val="19"/>
          <w:szCs w:val="19"/>
          <w:b w:val="1"/>
          <w:bCs w:val="1"/>
          <w:color w:val="auto"/>
        </w:rPr>
      </w:pPr>
    </w:p>
    <w:p>
      <w:pPr>
        <w:ind w:left="-8" w:right="120" w:firstLine="885"/>
        <w:spacing w:after="0" w:line="243" w:lineRule="auto"/>
        <w:tabs>
          <w:tab w:leader="none" w:pos="1757" w:val="left"/>
        </w:tabs>
        <w:numPr>
          <w:ilvl w:val="1"/>
          <w:numId w:val="6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Section 162(m) Limits</w:t>
      </w:r>
      <w:r>
        <w:rPr>
          <w:rFonts w:ascii="Arial" w:cs="Arial" w:eastAsia="Arial" w:hAnsi="Arial"/>
          <w:sz w:val="22"/>
          <w:szCs w:val="22"/>
          <w:b w:val="1"/>
          <w:bCs w:val="1"/>
          <w:color w:val="auto"/>
        </w:rPr>
        <w:t xml:space="preserve">. </w:t>
      </w:r>
      <w:r>
        <w:rPr>
          <w:rFonts w:ascii="Arial" w:cs="Arial" w:eastAsia="Arial" w:hAnsi="Arial"/>
          <w:sz w:val="22"/>
          <w:szCs w:val="22"/>
          <w:color w:val="auto"/>
        </w:rPr>
        <w:t>The following additional limits will apply to Awards of the specified type granted, or</w:t>
      </w:r>
      <w:r>
        <w:rPr>
          <w:rFonts w:ascii="Arial" w:cs="Arial" w:eastAsia="Arial" w:hAnsi="Arial"/>
          <w:sz w:val="22"/>
          <w:szCs w:val="22"/>
          <w:b w:val="1"/>
          <w:bCs w:val="1"/>
          <w:color w:val="auto"/>
        </w:rPr>
        <w:t xml:space="preserve"> </w:t>
      </w:r>
      <w:r>
        <w:rPr>
          <w:rFonts w:ascii="Arial" w:cs="Arial" w:eastAsia="Arial" w:hAnsi="Arial"/>
          <w:sz w:val="22"/>
          <w:szCs w:val="22"/>
          <w:color w:val="auto"/>
        </w:rPr>
        <w:t>in the case of Cash Awards, payable to any person in any calendar year, to the extent that such Awards are to be treated as performance-based compensation under Section 162(m) of the Code:</w:t>
      </w:r>
    </w:p>
    <w:p>
      <w:pPr>
        <w:spacing w:after="0" w:line="182" w:lineRule="exact"/>
        <w:rPr>
          <w:rFonts w:ascii="Arial" w:cs="Arial" w:eastAsia="Arial" w:hAnsi="Arial"/>
          <w:sz w:val="22"/>
          <w:szCs w:val="22"/>
          <w:b w:val="1"/>
          <w:bCs w:val="1"/>
          <w:color w:val="auto"/>
        </w:rPr>
      </w:pPr>
    </w:p>
    <w:p>
      <w:pPr>
        <w:ind w:left="2652" w:hanging="897"/>
        <w:spacing w:after="0"/>
        <w:tabs>
          <w:tab w:leader="none" w:pos="2652" w:val="left"/>
        </w:tabs>
        <w:numPr>
          <w:ilvl w:val="2"/>
          <w:numId w:val="60"/>
        </w:numPr>
        <w:rPr>
          <w:rFonts w:ascii="Arial" w:cs="Arial" w:eastAsia="Arial" w:hAnsi="Arial"/>
          <w:sz w:val="22"/>
          <w:szCs w:val="22"/>
          <w:b w:val="1"/>
          <w:bCs w:val="1"/>
          <w:color w:val="auto"/>
        </w:rPr>
      </w:pPr>
      <w:r>
        <w:rPr>
          <w:rFonts w:ascii="Arial" w:cs="Arial" w:eastAsia="Arial" w:hAnsi="Arial"/>
          <w:sz w:val="22"/>
          <w:szCs w:val="22"/>
          <w:color w:val="auto"/>
        </w:rPr>
        <w:t>Stock Options: 1,000,000 shares of Stock.</w:t>
      </w:r>
    </w:p>
    <w:p>
      <w:pPr>
        <w:spacing w:after="0" w:line="206" w:lineRule="exact"/>
        <w:rPr>
          <w:rFonts w:ascii="Arial" w:cs="Arial" w:eastAsia="Arial" w:hAnsi="Arial"/>
          <w:sz w:val="22"/>
          <w:szCs w:val="22"/>
          <w:b w:val="1"/>
          <w:bCs w:val="1"/>
          <w:color w:val="auto"/>
        </w:rPr>
      </w:pPr>
    </w:p>
    <w:p>
      <w:pPr>
        <w:ind w:left="2652" w:hanging="897"/>
        <w:spacing w:after="0"/>
        <w:tabs>
          <w:tab w:leader="none" w:pos="2652" w:val="left"/>
        </w:tabs>
        <w:numPr>
          <w:ilvl w:val="2"/>
          <w:numId w:val="60"/>
        </w:numPr>
        <w:rPr>
          <w:rFonts w:ascii="Arial" w:cs="Arial" w:eastAsia="Arial" w:hAnsi="Arial"/>
          <w:sz w:val="22"/>
          <w:szCs w:val="22"/>
          <w:b w:val="1"/>
          <w:bCs w:val="1"/>
          <w:color w:val="auto"/>
        </w:rPr>
      </w:pPr>
      <w:r>
        <w:rPr>
          <w:rFonts w:ascii="Arial" w:cs="Arial" w:eastAsia="Arial" w:hAnsi="Arial"/>
          <w:sz w:val="22"/>
          <w:szCs w:val="22"/>
          <w:color w:val="auto"/>
        </w:rPr>
        <w:t>SARs: 1,000,000 shares of Stock.</w:t>
      </w:r>
    </w:p>
    <w:p>
      <w:pPr>
        <w:spacing w:after="0" w:line="206" w:lineRule="exact"/>
        <w:rPr>
          <w:rFonts w:ascii="Arial" w:cs="Arial" w:eastAsia="Arial" w:hAnsi="Arial"/>
          <w:sz w:val="22"/>
          <w:szCs w:val="22"/>
          <w:b w:val="1"/>
          <w:bCs w:val="1"/>
          <w:color w:val="auto"/>
        </w:rPr>
      </w:pPr>
    </w:p>
    <w:p>
      <w:pPr>
        <w:ind w:left="2652" w:hanging="897"/>
        <w:spacing w:after="0"/>
        <w:tabs>
          <w:tab w:leader="none" w:pos="2652" w:val="left"/>
        </w:tabs>
        <w:numPr>
          <w:ilvl w:val="2"/>
          <w:numId w:val="60"/>
        </w:numPr>
        <w:rPr>
          <w:rFonts w:ascii="Arial" w:cs="Arial" w:eastAsia="Arial" w:hAnsi="Arial"/>
          <w:sz w:val="22"/>
          <w:szCs w:val="22"/>
          <w:b w:val="1"/>
          <w:bCs w:val="1"/>
          <w:color w:val="auto"/>
        </w:rPr>
      </w:pPr>
      <w:r>
        <w:rPr>
          <w:rFonts w:ascii="Arial" w:cs="Arial" w:eastAsia="Arial" w:hAnsi="Arial"/>
          <w:sz w:val="22"/>
          <w:szCs w:val="22"/>
          <w:color w:val="auto"/>
        </w:rPr>
        <w:t>Awards other than Stock Options, SARs or Cash Awards: 1,000,000 shares of Stock.</w:t>
      </w:r>
    </w:p>
    <w:p>
      <w:pPr>
        <w:spacing w:after="0" w:line="206" w:lineRule="exact"/>
        <w:rPr>
          <w:rFonts w:ascii="Arial" w:cs="Arial" w:eastAsia="Arial" w:hAnsi="Arial"/>
          <w:sz w:val="22"/>
          <w:szCs w:val="22"/>
          <w:b w:val="1"/>
          <w:bCs w:val="1"/>
          <w:color w:val="auto"/>
        </w:rPr>
      </w:pPr>
    </w:p>
    <w:p>
      <w:pPr>
        <w:ind w:left="2652" w:hanging="897"/>
        <w:spacing w:after="0"/>
        <w:tabs>
          <w:tab w:leader="none" w:pos="2652" w:val="left"/>
        </w:tabs>
        <w:numPr>
          <w:ilvl w:val="2"/>
          <w:numId w:val="60"/>
        </w:numPr>
        <w:rPr>
          <w:rFonts w:ascii="Arial" w:cs="Arial" w:eastAsia="Arial" w:hAnsi="Arial"/>
          <w:sz w:val="22"/>
          <w:szCs w:val="22"/>
          <w:b w:val="1"/>
          <w:bCs w:val="1"/>
          <w:color w:val="auto"/>
        </w:rPr>
      </w:pPr>
      <w:r>
        <w:rPr>
          <w:rFonts w:ascii="Arial" w:cs="Arial" w:eastAsia="Arial" w:hAnsi="Arial"/>
          <w:sz w:val="22"/>
          <w:szCs w:val="22"/>
          <w:color w:val="auto"/>
        </w:rPr>
        <w:t>Cash Awards: $430,000.</w:t>
      </w:r>
    </w:p>
    <w:p>
      <w:pPr>
        <w:spacing w:after="0" w:line="206"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157480</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42" w:right="239" w:bottom="1440" w:gutter="0" w:footer="0" w:header="0"/>
        </w:sectPr>
      </w:pPr>
    </w:p>
    <w:bookmarkStart w:id="102" w:name="page103"/>
    <w:bookmarkEnd w:id="102"/>
    <w:p>
      <w:pPr>
        <w:jc w:val="both"/>
        <w:ind w:firstLine="877"/>
        <w:spacing w:after="0" w:line="271" w:lineRule="auto"/>
        <w:rPr>
          <w:sz w:val="20"/>
          <w:szCs w:val="20"/>
          <w:color w:val="auto"/>
        </w:rPr>
      </w:pPr>
      <w:r>
        <w:rPr>
          <w:rFonts w:ascii="Arial" w:cs="Arial" w:eastAsia="Arial" w:hAnsi="Arial"/>
          <w:sz w:val="19"/>
          <w:szCs w:val="19"/>
          <w:color w:val="auto"/>
        </w:rPr>
        <w:t>In applying the foregoing limits, (i) all Awards of the specified type granted to the same person in the same calendar year will be aggregated and made subject to one limit; (ii) the limits applicable to Stock Options and SARs refer to the number of shares of Stock subject to those Awards; (iii) the share limit under clause (3) refers to the maximum number of shares of Stock that may be delivered, or the value of which could be paid in cash or other property, under an Award or Awards of the type specified in clause</w:t>
      </w:r>
    </w:p>
    <w:p>
      <w:pPr>
        <w:spacing w:after="0" w:line="4" w:lineRule="exact"/>
        <w:rPr>
          <w:sz w:val="20"/>
          <w:szCs w:val="20"/>
          <w:color w:val="auto"/>
        </w:rPr>
      </w:pPr>
    </w:p>
    <w:p>
      <w:pPr>
        <w:jc w:val="both"/>
        <w:ind w:right="80" w:firstLine="8"/>
        <w:spacing w:after="0" w:line="277" w:lineRule="auto"/>
        <w:tabs>
          <w:tab w:leader="none" w:pos="306" w:val="left"/>
        </w:tabs>
        <w:numPr>
          <w:ilvl w:val="0"/>
          <w:numId w:val="61"/>
        </w:numPr>
        <w:rPr>
          <w:rFonts w:ascii="Arial" w:cs="Arial" w:eastAsia="Arial" w:hAnsi="Arial"/>
          <w:sz w:val="19"/>
          <w:szCs w:val="19"/>
          <w:color w:val="auto"/>
        </w:rPr>
      </w:pPr>
      <w:r>
        <w:rPr>
          <w:rFonts w:ascii="Arial" w:cs="Arial" w:eastAsia="Arial" w:hAnsi="Arial"/>
          <w:sz w:val="19"/>
          <w:szCs w:val="19"/>
          <w:color w:val="auto"/>
        </w:rPr>
        <w:t>assuming a maximum payout; and (iv) the dollar limit under clause (4) refers to the maximum dollar amount payable under an Award or Awards of the type specified in clause (4) assuming a maximum payout. The foregoing provisions will be construed in a manner consistent with Section 162(m), including, without limitation, where applicable, the rules under Section 162(m) pertaining to permissible deferrals of exempt awards. Any Awards granted to a person in any calendar year that are in excess of the foregoing limits shall not be deemed to be performance-based compensation under Section 162(m).</w:t>
      </w:r>
    </w:p>
    <w:p>
      <w:pPr>
        <w:spacing w:after="0" w:line="147" w:lineRule="exact"/>
        <w:rPr>
          <w:sz w:val="20"/>
          <w:szCs w:val="20"/>
          <w:color w:val="auto"/>
        </w:rPr>
      </w:pPr>
    </w:p>
    <w:p>
      <w:pPr>
        <w:ind w:left="820" w:hanging="812"/>
        <w:spacing w:after="0"/>
        <w:tabs>
          <w:tab w:leader="none" w:pos="820"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color w:val="auto"/>
        </w:rPr>
        <w:t>ELIGIBILITY AND PARTICIPATION</w:t>
      </w:r>
    </w:p>
    <w:p>
      <w:pPr>
        <w:spacing w:after="0" w:line="212" w:lineRule="exact"/>
        <w:rPr>
          <w:sz w:val="20"/>
          <w:szCs w:val="20"/>
          <w:color w:val="auto"/>
        </w:rPr>
      </w:pPr>
    </w:p>
    <w:p>
      <w:pPr>
        <w:ind w:firstLine="877"/>
        <w:spacing w:after="0" w:line="279" w:lineRule="auto"/>
        <w:rPr>
          <w:sz w:val="20"/>
          <w:szCs w:val="20"/>
          <w:color w:val="auto"/>
        </w:rPr>
      </w:pPr>
      <w:r>
        <w:rPr>
          <w:rFonts w:ascii="Arial" w:cs="Arial" w:eastAsia="Arial" w:hAnsi="Arial"/>
          <w:sz w:val="19"/>
          <w:szCs w:val="19"/>
          <w:color w:val="auto"/>
        </w:rPr>
        <w:t>The Administrator will select Participants from among key Employees and directors of, and consultants and advisors to, the Company and its Affiliates. Eligibility for ISOs is limited to individuals described in the first sentence of this Section 5 who are employees of the Company or of a “parent corporation” or “subsidiary corporation” of the Company as those terms are defined in Section 424 of the Code. Eligibility for Stock Options other than ISOs is limited to individuals described in the first sentence of this Section 5 who are providing direct services on the date of grant of the Stock Option to the Company or to a subsidiary of the Company that would be described in the first sentence of Treas. Regs. §1.409A-1(b)(5)(iii)(E).</w:t>
      </w:r>
    </w:p>
    <w:p>
      <w:pPr>
        <w:spacing w:after="0" w:line="145" w:lineRule="exact"/>
        <w:rPr>
          <w:sz w:val="20"/>
          <w:szCs w:val="20"/>
          <w:color w:val="auto"/>
        </w:rPr>
      </w:pPr>
    </w:p>
    <w:p>
      <w:pPr>
        <w:ind w:left="820" w:hanging="812"/>
        <w:spacing w:after="0"/>
        <w:tabs>
          <w:tab w:leader="none" w:pos="820"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RULES APPLICABLE TO AWARDS</w:t>
      </w:r>
    </w:p>
    <w:p>
      <w:pPr>
        <w:spacing w:after="0" w:line="206" w:lineRule="exact"/>
        <w:rPr>
          <w:rFonts w:ascii="Arial" w:cs="Arial" w:eastAsia="Arial" w:hAnsi="Arial"/>
          <w:sz w:val="22"/>
          <w:szCs w:val="22"/>
          <w:b w:val="1"/>
          <w:bCs w:val="1"/>
          <w:color w:val="auto"/>
        </w:rPr>
      </w:pPr>
    </w:p>
    <w:p>
      <w:pPr>
        <w:ind w:left="1780" w:hanging="895"/>
        <w:spacing w:after="0"/>
        <w:tabs>
          <w:tab w:leader="none" w:pos="1780" w:val="left"/>
        </w:tabs>
        <w:numPr>
          <w:ilvl w:val="1"/>
          <w:numId w:val="6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All Awards</w:t>
      </w:r>
      <w:r>
        <w:rPr>
          <w:rFonts w:ascii="Arial" w:cs="Arial" w:eastAsia="Arial" w:hAnsi="Arial"/>
          <w:sz w:val="22"/>
          <w:szCs w:val="22"/>
          <w:b w:val="1"/>
          <w:bCs w:val="1"/>
          <w:color w:val="auto"/>
        </w:rPr>
        <w:t>.</w:t>
      </w:r>
    </w:p>
    <w:p>
      <w:pPr>
        <w:spacing w:after="0" w:line="206" w:lineRule="exact"/>
        <w:rPr>
          <w:rFonts w:ascii="Arial" w:cs="Arial" w:eastAsia="Arial" w:hAnsi="Arial"/>
          <w:sz w:val="22"/>
          <w:szCs w:val="22"/>
          <w:b w:val="1"/>
          <w:bCs w:val="1"/>
          <w:color w:val="auto"/>
        </w:rPr>
      </w:pPr>
    </w:p>
    <w:p>
      <w:pPr>
        <w:ind w:right="40" w:firstLine="1763"/>
        <w:spacing w:after="0" w:line="236" w:lineRule="auto"/>
        <w:tabs>
          <w:tab w:leader="none" w:pos="2655" w:val="left"/>
        </w:tabs>
        <w:numPr>
          <w:ilvl w:val="2"/>
          <w:numId w:val="6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Award Provisions</w:t>
      </w:r>
      <w:r>
        <w:rPr>
          <w:rFonts w:ascii="Arial" w:cs="Arial" w:eastAsia="Arial" w:hAnsi="Arial"/>
          <w:sz w:val="22"/>
          <w:szCs w:val="22"/>
          <w:b w:val="1"/>
          <w:bCs w:val="1"/>
          <w:color w:val="auto"/>
        </w:rPr>
        <w:t xml:space="preserve">. </w:t>
      </w:r>
      <w:r>
        <w:rPr>
          <w:rFonts w:ascii="Arial" w:cs="Arial" w:eastAsia="Arial" w:hAnsi="Arial"/>
          <w:sz w:val="22"/>
          <w:szCs w:val="22"/>
          <w:color w:val="auto"/>
        </w:rPr>
        <w:t>The Administrator will determine the terms of all Awards, subject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limitations provided herein. By accepting (or, under such rules as the Administrator may prescribe, being deemed to have accepted) an Award, the Participant will be deemed to have agreed to the terms of the Award and the Plan. Notwithstanding any provision of this Plan to the contrary, awards of an acquired company that are converted, replaced or adjusted in connection with the acquisition may contain terms and conditions that are inconsistent with the terms and conditions specified herein, as determined by the Administrator.</w:t>
      </w:r>
    </w:p>
    <w:p>
      <w:pPr>
        <w:spacing w:after="0" w:line="182" w:lineRule="exact"/>
        <w:rPr>
          <w:rFonts w:ascii="Arial" w:cs="Arial" w:eastAsia="Arial" w:hAnsi="Arial"/>
          <w:sz w:val="22"/>
          <w:szCs w:val="22"/>
          <w:b w:val="1"/>
          <w:bCs w:val="1"/>
          <w:color w:val="auto"/>
        </w:rPr>
      </w:pPr>
    </w:p>
    <w:p>
      <w:pPr>
        <w:ind w:right="220" w:firstLine="1763"/>
        <w:spacing w:after="0" w:line="256" w:lineRule="auto"/>
        <w:tabs>
          <w:tab w:leader="none" w:pos="2655" w:val="left"/>
        </w:tabs>
        <w:numPr>
          <w:ilvl w:val="2"/>
          <w:numId w:val="6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 of Plan</w:t>
      </w:r>
      <w:r>
        <w:rPr>
          <w:rFonts w:ascii="Arial" w:cs="Arial" w:eastAsia="Arial" w:hAnsi="Arial"/>
          <w:sz w:val="22"/>
          <w:szCs w:val="22"/>
          <w:b w:val="1"/>
          <w:bCs w:val="1"/>
          <w:color w:val="auto"/>
        </w:rPr>
        <w:t xml:space="preserve">. </w:t>
      </w:r>
      <w:r>
        <w:rPr>
          <w:rFonts w:ascii="Arial" w:cs="Arial" w:eastAsia="Arial" w:hAnsi="Arial"/>
          <w:sz w:val="22"/>
          <w:szCs w:val="22"/>
          <w:color w:val="auto"/>
        </w:rPr>
        <w:t>No Awards may be made after ten years from the Date of Adoption, but previously</w:t>
      </w:r>
      <w:r>
        <w:rPr>
          <w:rFonts w:ascii="Arial" w:cs="Arial" w:eastAsia="Arial" w:hAnsi="Arial"/>
          <w:sz w:val="22"/>
          <w:szCs w:val="22"/>
          <w:b w:val="1"/>
          <w:bCs w:val="1"/>
          <w:color w:val="auto"/>
        </w:rPr>
        <w:t xml:space="preserve"> </w:t>
      </w:r>
      <w:r>
        <w:rPr>
          <w:rFonts w:ascii="Arial" w:cs="Arial" w:eastAsia="Arial" w:hAnsi="Arial"/>
          <w:sz w:val="22"/>
          <w:szCs w:val="22"/>
          <w:color w:val="auto"/>
        </w:rPr>
        <w:t>granted Awards may continue beyond that date in accordance with their terms.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103" w:name="page104"/>
    <w:bookmarkEnd w:id="103"/>
    <w:p>
      <w:pPr>
        <w:ind w:left="-40" w:right="20" w:firstLine="1763"/>
        <w:spacing w:after="0" w:line="235" w:lineRule="auto"/>
        <w:tabs>
          <w:tab w:leader="none" w:pos="2615" w:val="left"/>
        </w:tabs>
        <w:numPr>
          <w:ilvl w:val="1"/>
          <w:numId w:val="6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Transferability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Neither ISOs nor, except as the Administrator otherwise expressly provides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second sentence of this Section 6(a)(3), other Awards may be transferred other than by will or by the laws of descent and distribution. During a Participant’s lifetime, ISOs (and, except as the Administrator otherwise expressly provides in accordance with the second sentence of this Section 6(a)(3), SARs and NSOs) may be exercised only by the Participant. The Administrator may permit the gratuitous transfer (</w:t>
      </w:r>
      <w:r>
        <w:rPr>
          <w:rFonts w:ascii="Arial" w:cs="Arial" w:eastAsia="Arial" w:hAnsi="Arial"/>
          <w:sz w:val="22"/>
          <w:szCs w:val="22"/>
          <w:i w:val="1"/>
          <w:iCs w:val="1"/>
          <w:color w:val="auto"/>
        </w:rPr>
        <w:t>i.e.</w:t>
      </w:r>
      <w:r>
        <w:rPr>
          <w:rFonts w:ascii="Arial" w:cs="Arial" w:eastAsia="Arial" w:hAnsi="Arial"/>
          <w:sz w:val="22"/>
          <w:szCs w:val="22"/>
          <w:color w:val="auto"/>
        </w:rPr>
        <w:t>, transfer not for value) of Awards other than ISOs to any transferee eligible to be covered by the provisions of Form S-8 (under the Securities Act of 1933), subject to such limitations as the Administrator may impose.</w:t>
      </w:r>
    </w:p>
    <w:p>
      <w:pPr>
        <w:spacing w:after="0" w:line="183" w:lineRule="exact"/>
        <w:rPr>
          <w:rFonts w:ascii="Arial" w:cs="Arial" w:eastAsia="Arial" w:hAnsi="Arial"/>
          <w:sz w:val="22"/>
          <w:szCs w:val="22"/>
          <w:b w:val="1"/>
          <w:bCs w:val="1"/>
          <w:color w:val="auto"/>
        </w:rPr>
      </w:pPr>
    </w:p>
    <w:p>
      <w:pPr>
        <w:ind w:left="-40" w:right="40" w:firstLine="1763"/>
        <w:spacing w:after="0" w:line="251" w:lineRule="auto"/>
        <w:tabs>
          <w:tab w:leader="none" w:pos="2615" w:val="left"/>
        </w:tabs>
        <w:numPr>
          <w:ilvl w:val="1"/>
          <w:numId w:val="6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Vesting, etc</w:t>
      </w:r>
      <w:r>
        <w:rPr>
          <w:rFonts w:ascii="Arial" w:cs="Arial" w:eastAsia="Arial" w:hAnsi="Arial"/>
          <w:sz w:val="21"/>
          <w:szCs w:val="21"/>
          <w:b w:val="1"/>
          <w:bCs w:val="1"/>
          <w:color w:val="auto"/>
        </w:rPr>
        <w:t xml:space="preserve">. </w:t>
      </w:r>
      <w:r>
        <w:rPr>
          <w:rFonts w:ascii="Arial" w:cs="Arial" w:eastAsia="Arial" w:hAnsi="Arial"/>
          <w:sz w:val="21"/>
          <w:szCs w:val="21"/>
          <w:color w:val="auto"/>
        </w:rPr>
        <w:t>The Administrator will determine the time or times at which an Award will vest or</w:t>
      </w:r>
      <w:r>
        <w:rPr>
          <w:rFonts w:ascii="Arial" w:cs="Arial" w:eastAsia="Arial" w:hAnsi="Arial"/>
          <w:sz w:val="21"/>
          <w:szCs w:val="21"/>
          <w:b w:val="1"/>
          <w:bCs w:val="1"/>
          <w:color w:val="auto"/>
        </w:rPr>
        <w:t xml:space="preserve"> </w:t>
      </w:r>
      <w:r>
        <w:rPr>
          <w:rFonts w:ascii="Arial" w:cs="Arial" w:eastAsia="Arial" w:hAnsi="Arial"/>
          <w:sz w:val="21"/>
          <w:szCs w:val="21"/>
          <w:color w:val="auto"/>
        </w:rPr>
        <w:t>become exercisable and the terms on which a Stock Option or SAR will remain exercisable. Without limiting the foregoing, the Administrator may at any time accelerate the vesting or exercisability of an Award, regardless of any adverse or potentially adverse tax or other consequences resulting from such acceleration. Unless the Administrator expressly provides otherwise, however, the following rules will apply if a Participant’s Employment ceases:</w:t>
      </w:r>
    </w:p>
    <w:p>
      <w:pPr>
        <w:spacing w:after="0" w:line="174" w:lineRule="exact"/>
        <w:rPr>
          <w:rFonts w:ascii="Arial" w:cs="Arial" w:eastAsia="Arial" w:hAnsi="Arial"/>
          <w:sz w:val="21"/>
          <w:szCs w:val="21"/>
          <w:b w:val="1"/>
          <w:bCs w:val="1"/>
          <w:color w:val="auto"/>
        </w:rPr>
      </w:pPr>
    </w:p>
    <w:p>
      <w:pPr>
        <w:ind w:left="3420" w:hanging="954"/>
        <w:spacing w:after="0"/>
        <w:tabs>
          <w:tab w:leader="none" w:pos="3420" w:val="left"/>
        </w:tabs>
        <w:numPr>
          <w:ilvl w:val="2"/>
          <w:numId w:val="64"/>
        </w:numPr>
        <w:rPr>
          <w:rFonts w:ascii="Arial" w:cs="Arial" w:eastAsia="Arial" w:hAnsi="Arial"/>
          <w:sz w:val="19"/>
          <w:szCs w:val="19"/>
          <w:b w:val="1"/>
          <w:bCs w:val="1"/>
          <w:color w:val="auto"/>
        </w:rPr>
      </w:pPr>
      <w:r>
        <w:rPr>
          <w:rFonts w:ascii="Arial" w:cs="Arial" w:eastAsia="Arial" w:hAnsi="Arial"/>
          <w:sz w:val="19"/>
          <w:szCs w:val="19"/>
          <w:color w:val="auto"/>
        </w:rPr>
        <w:t>Immediately upon the cessation of the Participant’s Employment and except as provided in</w:t>
      </w:r>
    </w:p>
    <w:p>
      <w:pPr>
        <w:spacing w:after="0" w:line="42" w:lineRule="exact"/>
        <w:rPr>
          <w:rFonts w:ascii="Arial" w:cs="Arial" w:eastAsia="Arial" w:hAnsi="Arial"/>
          <w:sz w:val="19"/>
          <w:szCs w:val="19"/>
          <w:b w:val="1"/>
          <w:bCs w:val="1"/>
          <w:color w:val="auto"/>
        </w:rPr>
      </w:pPr>
    </w:p>
    <w:p>
      <w:pPr>
        <w:ind w:left="840" w:right="560" w:firstLine="5"/>
        <w:spacing w:after="0" w:line="287" w:lineRule="auto"/>
        <w:tabs>
          <w:tab w:leader="none" w:pos="1182" w:val="left"/>
        </w:tabs>
        <w:numPr>
          <w:ilvl w:val="0"/>
          <w:numId w:val="65"/>
        </w:numPr>
        <w:rPr>
          <w:rFonts w:ascii="Arial" w:cs="Arial" w:eastAsia="Arial" w:hAnsi="Arial"/>
          <w:sz w:val="19"/>
          <w:szCs w:val="19"/>
          <w:color w:val="auto"/>
        </w:rPr>
      </w:pPr>
      <w:r>
        <w:rPr>
          <w:rFonts w:ascii="Arial" w:cs="Arial" w:eastAsia="Arial" w:hAnsi="Arial"/>
          <w:sz w:val="19"/>
          <w:szCs w:val="19"/>
          <w:color w:val="auto"/>
        </w:rPr>
        <w:t>and (C) below, each Stock Option and SAR that is then held by the Participant or by the Participant’s permitted transferees, if any, will cease to be exercisable and will terminate and all other Awards that are then held by the Participant or by the Participant’s permitted transferees, if any, to the extent not already vested will be forfeited.</w:t>
      </w:r>
    </w:p>
    <w:p>
      <w:pPr>
        <w:spacing w:after="0" w:line="143" w:lineRule="exact"/>
        <w:rPr>
          <w:rFonts w:ascii="Arial" w:cs="Arial" w:eastAsia="Arial" w:hAnsi="Arial"/>
          <w:sz w:val="19"/>
          <w:szCs w:val="19"/>
          <w:color w:val="auto"/>
        </w:rPr>
      </w:pPr>
    </w:p>
    <w:p>
      <w:pPr>
        <w:ind w:left="840" w:right="100" w:firstLine="1626"/>
        <w:spacing w:after="0" w:line="236" w:lineRule="auto"/>
        <w:tabs>
          <w:tab w:leader="none" w:pos="3397" w:val="left"/>
        </w:tabs>
        <w:numPr>
          <w:ilvl w:val="2"/>
          <w:numId w:val="65"/>
        </w:numPr>
        <w:rPr>
          <w:rFonts w:ascii="Arial" w:cs="Arial" w:eastAsia="Arial" w:hAnsi="Arial"/>
          <w:sz w:val="22"/>
          <w:szCs w:val="22"/>
          <w:b w:val="1"/>
          <w:bCs w:val="1"/>
          <w:color w:val="auto"/>
        </w:rPr>
      </w:pPr>
      <w:r>
        <w:rPr>
          <w:rFonts w:ascii="Arial" w:cs="Arial" w:eastAsia="Arial" w:hAnsi="Arial"/>
          <w:sz w:val="22"/>
          <w:szCs w:val="22"/>
          <w:color w:val="auto"/>
        </w:rPr>
        <w:t>Subject to (C) and (D) below, all Stock Options and SARs held by the Participant or the Participant’s permitted transferees, if any, immediately prior to the cessation of the Participant’s Employment, to the extent then exercisable, will remain exercisable for the lesser of (i) a period of three months or (ii) the period ending on the latest date on which such Stock Option or SAR could have been exercised without regard to this Section 6(a)(4), and will thereupon immediately terminate.</w:t>
      </w:r>
    </w:p>
    <w:p>
      <w:pPr>
        <w:spacing w:after="0" w:line="187" w:lineRule="exact"/>
        <w:rPr>
          <w:rFonts w:ascii="Arial" w:cs="Arial" w:eastAsia="Arial" w:hAnsi="Arial"/>
          <w:sz w:val="22"/>
          <w:szCs w:val="22"/>
          <w:b w:val="1"/>
          <w:bCs w:val="1"/>
          <w:color w:val="auto"/>
        </w:rPr>
      </w:pPr>
    </w:p>
    <w:p>
      <w:pPr>
        <w:jc w:val="both"/>
        <w:ind w:left="840" w:right="20" w:firstLine="1626"/>
        <w:spacing w:after="0" w:line="276" w:lineRule="auto"/>
        <w:tabs>
          <w:tab w:leader="none" w:pos="3408" w:val="left"/>
        </w:tabs>
        <w:numPr>
          <w:ilvl w:val="2"/>
          <w:numId w:val="65"/>
        </w:numPr>
        <w:rPr>
          <w:rFonts w:ascii="Arial" w:cs="Arial" w:eastAsia="Arial" w:hAnsi="Arial"/>
          <w:sz w:val="19"/>
          <w:szCs w:val="19"/>
          <w:b w:val="1"/>
          <w:bCs w:val="1"/>
          <w:color w:val="auto"/>
        </w:rPr>
      </w:pPr>
      <w:r>
        <w:rPr>
          <w:rFonts w:ascii="Arial" w:cs="Arial" w:eastAsia="Arial" w:hAnsi="Arial"/>
          <w:sz w:val="19"/>
          <w:szCs w:val="19"/>
          <w:color w:val="auto"/>
        </w:rPr>
        <w:t>All Stock Options and SARs held by a Participant or the Participant’s permitted transferees, if any, immediately prior to the Participant’s death, to the extent then exercisable, will remain exercisable for the lesser of</w:t>
      </w:r>
    </w:p>
    <w:p>
      <w:pPr>
        <w:spacing w:after="0" w:line="1" w:lineRule="exact"/>
        <w:rPr>
          <w:rFonts w:ascii="Arial" w:cs="Arial" w:eastAsia="Arial" w:hAnsi="Arial"/>
          <w:sz w:val="19"/>
          <w:szCs w:val="19"/>
          <w:b w:val="1"/>
          <w:bCs w:val="1"/>
          <w:color w:val="auto"/>
        </w:rPr>
      </w:pPr>
    </w:p>
    <w:p>
      <w:pPr>
        <w:ind w:left="840" w:right="300"/>
        <w:spacing w:after="0" w:line="234" w:lineRule="auto"/>
        <w:rPr>
          <w:rFonts w:ascii="Arial" w:cs="Arial" w:eastAsia="Arial" w:hAnsi="Arial"/>
          <w:sz w:val="19"/>
          <w:szCs w:val="19"/>
          <w:b w:val="1"/>
          <w:bCs w:val="1"/>
          <w:color w:val="auto"/>
        </w:rPr>
      </w:pPr>
      <w:r>
        <w:rPr>
          <w:rFonts w:ascii="Arial" w:cs="Arial" w:eastAsia="Arial" w:hAnsi="Arial"/>
          <w:sz w:val="22"/>
          <w:szCs w:val="22"/>
          <w:color w:val="auto"/>
        </w:rPr>
        <w:t>(i) the one year period ending with the first anniversary of the Participant’s death or (ii) the period ending on the latest date on which such Stock Option or SAR could have been exercised without regard to this Section 6(a)(4), and will thereupon immediately terminate.</w:t>
      </w:r>
    </w:p>
    <w:p>
      <w:pPr>
        <w:spacing w:after="0" w:line="187" w:lineRule="exact"/>
        <w:rPr>
          <w:rFonts w:ascii="Arial" w:cs="Arial" w:eastAsia="Arial" w:hAnsi="Arial"/>
          <w:sz w:val="19"/>
          <w:szCs w:val="19"/>
          <w:b w:val="1"/>
          <w:bCs w:val="1"/>
          <w:color w:val="auto"/>
        </w:rPr>
      </w:pPr>
    </w:p>
    <w:p>
      <w:pPr>
        <w:ind w:left="840" w:firstLine="1626"/>
        <w:spacing w:after="0" w:line="236" w:lineRule="auto"/>
        <w:tabs>
          <w:tab w:leader="none" w:pos="3408" w:val="left"/>
        </w:tabs>
        <w:numPr>
          <w:ilvl w:val="2"/>
          <w:numId w:val="65"/>
        </w:numPr>
        <w:rPr>
          <w:rFonts w:ascii="Arial" w:cs="Arial" w:eastAsia="Arial" w:hAnsi="Arial"/>
          <w:sz w:val="22"/>
          <w:szCs w:val="22"/>
          <w:b w:val="1"/>
          <w:bCs w:val="1"/>
          <w:color w:val="auto"/>
        </w:rPr>
      </w:pPr>
      <w:r>
        <w:rPr>
          <w:rFonts w:ascii="Arial" w:cs="Arial" w:eastAsia="Arial" w:hAnsi="Arial"/>
          <w:sz w:val="22"/>
          <w:szCs w:val="22"/>
          <w:color w:val="auto"/>
        </w:rPr>
        <w:t>All Stock Options and SARs (whether or not exercisable) held by a Participant or the Participant’s permitted transferees, if any, immediately prior to the cessation of the Participant’s Employment will immediately terminate upon such cessation of Employment if the termination is for Cause or occurs in circumstances that in the sole determination of the Administrator would have constituted grounds for the Participant’s Employment to be terminated for Cause.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157480</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80" w:top="342" w:right="259" w:bottom="1440" w:gutter="0" w:footer="0" w:header="0"/>
        </w:sectPr>
      </w:pPr>
    </w:p>
    <w:bookmarkStart w:id="104" w:name="page105"/>
    <w:bookmarkEnd w:id="104"/>
    <w:p>
      <w:pPr>
        <w:ind w:left="-60" w:right="40" w:firstLine="1763"/>
        <w:spacing w:after="0" w:line="280" w:lineRule="auto"/>
        <w:tabs>
          <w:tab w:leader="none" w:pos="2595" w:val="left"/>
        </w:tabs>
        <w:numPr>
          <w:ilvl w:val="0"/>
          <w:numId w:val="6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Additional Restrictions</w:t>
      </w:r>
      <w:r>
        <w:rPr>
          <w:rFonts w:ascii="Arial" w:cs="Arial" w:eastAsia="Arial" w:hAnsi="Arial"/>
          <w:sz w:val="19"/>
          <w:szCs w:val="19"/>
          <w:b w:val="1"/>
          <w:bCs w:val="1"/>
          <w:color w:val="auto"/>
        </w:rPr>
        <w:t xml:space="preserve">. </w:t>
      </w:r>
      <w:r>
        <w:rPr>
          <w:rFonts w:ascii="Arial" w:cs="Arial" w:eastAsia="Arial" w:hAnsi="Arial"/>
          <w:sz w:val="19"/>
          <w:szCs w:val="19"/>
          <w:color w:val="auto"/>
        </w:rPr>
        <w:t>The Administrator may cancel, rescind, withhold or otherwise limit or</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 any Award at any time if the Participant is not in compliance with all applicable provisions of the Award agreement and the Plan, or if the Participant breaches any agreement with the Company or its Affiliates with respect to confidentiality. Without limiting the generality of the foregoing, the Administrator may recover Awards made under the Plan and payments under or gain in respect of any Award to the extent required to comply with Company policy, with Section 10D of the Securities Exchange Act of 1934, as amended, or any stock exchange or similar rule adopted under said Section.</w:t>
      </w:r>
    </w:p>
    <w:p>
      <w:pPr>
        <w:spacing w:after="0" w:line="145" w:lineRule="exact"/>
        <w:rPr>
          <w:rFonts w:ascii="Arial" w:cs="Arial" w:eastAsia="Arial" w:hAnsi="Arial"/>
          <w:sz w:val="19"/>
          <w:szCs w:val="19"/>
          <w:b w:val="1"/>
          <w:bCs w:val="1"/>
          <w:color w:val="auto"/>
        </w:rPr>
      </w:pPr>
    </w:p>
    <w:p>
      <w:pPr>
        <w:ind w:left="-60" w:right="200" w:firstLine="1763"/>
        <w:spacing w:after="0" w:line="251" w:lineRule="auto"/>
        <w:tabs>
          <w:tab w:leader="none" w:pos="2595" w:val="left"/>
        </w:tabs>
        <w:numPr>
          <w:ilvl w:val="0"/>
          <w:numId w:val="6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Taxes</w:t>
      </w:r>
      <w:r>
        <w:rPr>
          <w:rFonts w:ascii="Arial" w:cs="Arial" w:eastAsia="Arial" w:hAnsi="Arial"/>
          <w:sz w:val="21"/>
          <w:szCs w:val="21"/>
          <w:b w:val="1"/>
          <w:bCs w:val="1"/>
          <w:color w:val="auto"/>
        </w:rPr>
        <w:t xml:space="preserve">. </w:t>
      </w:r>
      <w:r>
        <w:rPr>
          <w:rFonts w:ascii="Arial" w:cs="Arial" w:eastAsia="Arial" w:hAnsi="Arial"/>
          <w:sz w:val="21"/>
          <w:szCs w:val="21"/>
          <w:color w:val="auto"/>
        </w:rPr>
        <w:t>The delivery, vesting and retention of Stock, cash or other property under an Award are</w:t>
      </w:r>
      <w:r>
        <w:rPr>
          <w:rFonts w:ascii="Arial" w:cs="Arial" w:eastAsia="Arial" w:hAnsi="Arial"/>
          <w:sz w:val="21"/>
          <w:szCs w:val="21"/>
          <w:b w:val="1"/>
          <w:bCs w:val="1"/>
          <w:color w:val="auto"/>
        </w:rPr>
        <w:t xml:space="preserve"> </w:t>
      </w:r>
      <w:r>
        <w:rPr>
          <w:rFonts w:ascii="Arial" w:cs="Arial" w:eastAsia="Arial" w:hAnsi="Arial"/>
          <w:sz w:val="21"/>
          <w:szCs w:val="21"/>
          <w:color w:val="auto"/>
        </w:rPr>
        <w:t>conditioned upon full satisfaction by the Participant of all tax withholding requirements with respect to the Award. The Administrator will prescribe such rules for the withholding of taxes as it deems necessary. The Administrator may, but need not, hold back shares of Stock from an Award or permit a Participant to tender previously owned shares of Stock in satisfaction of tax withholding requirements (but not in excess of the minimum withholding required by law).</w:t>
      </w:r>
    </w:p>
    <w:p>
      <w:pPr>
        <w:spacing w:after="0" w:line="168" w:lineRule="exact"/>
        <w:rPr>
          <w:rFonts w:ascii="Arial" w:cs="Arial" w:eastAsia="Arial" w:hAnsi="Arial"/>
          <w:sz w:val="21"/>
          <w:szCs w:val="21"/>
          <w:b w:val="1"/>
          <w:bCs w:val="1"/>
          <w:color w:val="auto"/>
        </w:rPr>
      </w:pPr>
    </w:p>
    <w:p>
      <w:pPr>
        <w:ind w:left="-60" w:right="80" w:firstLine="1763"/>
        <w:spacing w:after="0" w:line="235" w:lineRule="auto"/>
        <w:tabs>
          <w:tab w:leader="none" w:pos="2595"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Dividend Equivalents, Etc</w:t>
      </w:r>
      <w:r>
        <w:rPr>
          <w:rFonts w:ascii="Arial" w:cs="Arial" w:eastAsia="Arial" w:hAnsi="Arial"/>
          <w:sz w:val="22"/>
          <w:szCs w:val="22"/>
          <w:b w:val="1"/>
          <w:bCs w:val="1"/>
          <w:color w:val="auto"/>
        </w:rPr>
        <w:t xml:space="preserve">. </w:t>
      </w:r>
      <w:r>
        <w:rPr>
          <w:rFonts w:ascii="Arial" w:cs="Arial" w:eastAsia="Arial" w:hAnsi="Arial"/>
          <w:sz w:val="22"/>
          <w:szCs w:val="22"/>
          <w:color w:val="auto"/>
        </w:rPr>
        <w:t>The Administrator may provide for the payment of amounts (on terms</w:t>
      </w:r>
      <w:r>
        <w:rPr>
          <w:rFonts w:ascii="Arial" w:cs="Arial" w:eastAsia="Arial" w:hAnsi="Arial"/>
          <w:sz w:val="22"/>
          <w:szCs w:val="22"/>
          <w:b w:val="1"/>
          <w:bCs w:val="1"/>
          <w:color w:val="auto"/>
        </w:rPr>
        <w:t xml:space="preserve"> </w:t>
      </w:r>
      <w:r>
        <w:rPr>
          <w:rFonts w:ascii="Arial" w:cs="Arial" w:eastAsia="Arial" w:hAnsi="Arial"/>
          <w:sz w:val="22"/>
          <w:szCs w:val="22"/>
          <w:color w:val="auto"/>
        </w:rPr>
        <w:t>and subject to conditions established by the Administrator) in lieu of cash dividends or other cash distributions with respect to Stock subject to an Award whether or not the holder of such Award is otherwise entitled to share in the actual dividend or distribution in respect of such Award. Any entitlement to dividend equivalents or similar entitlements will be established and administered either consistent with an exemption from, or in compliance with, the requirements of Section 409A. Dividends or dividend equivalent amounts payable in respect of Awards that are subject to restrictions may be subject to such limits or restrictions as the Administrator may impose.</w:t>
      </w:r>
    </w:p>
    <w:p>
      <w:pPr>
        <w:spacing w:after="0" w:line="183" w:lineRule="exact"/>
        <w:rPr>
          <w:rFonts w:ascii="Arial" w:cs="Arial" w:eastAsia="Arial" w:hAnsi="Arial"/>
          <w:sz w:val="22"/>
          <w:szCs w:val="22"/>
          <w:b w:val="1"/>
          <w:bCs w:val="1"/>
          <w:color w:val="auto"/>
        </w:rPr>
      </w:pPr>
    </w:p>
    <w:p>
      <w:pPr>
        <w:ind w:left="-60" w:right="120" w:firstLine="1763"/>
        <w:spacing w:after="0" w:line="237" w:lineRule="auto"/>
        <w:tabs>
          <w:tab w:leader="none" w:pos="2595"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Rights Limited</w:t>
      </w:r>
      <w:r>
        <w:rPr>
          <w:rFonts w:ascii="Arial" w:cs="Arial" w:eastAsia="Arial" w:hAnsi="Arial"/>
          <w:sz w:val="22"/>
          <w:szCs w:val="22"/>
          <w:b w:val="1"/>
          <w:bCs w:val="1"/>
          <w:color w:val="auto"/>
        </w:rPr>
        <w:t xml:space="preserve">. </w:t>
      </w:r>
      <w:r>
        <w:rPr>
          <w:rFonts w:ascii="Arial" w:cs="Arial" w:eastAsia="Arial" w:hAnsi="Arial"/>
          <w:sz w:val="22"/>
          <w:szCs w:val="22"/>
          <w:color w:val="auto"/>
        </w:rPr>
        <w:t>Nothing in the Plan will be construed as giving any person the right to continued</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or service with the Company or its Affiliates, or any rights as a stockholder except as to shares of Stock actually issued under the Plan. The loss of existing or potential profit in Awards will not constitute an element of damages in the event of termination of Employment for any reason, even if the termination is in violation of an obligation of the Company or any Affiliate to the Participant.</w:t>
      </w:r>
    </w:p>
    <w:p>
      <w:pPr>
        <w:spacing w:after="0" w:line="182" w:lineRule="exact"/>
        <w:rPr>
          <w:rFonts w:ascii="Arial" w:cs="Arial" w:eastAsia="Arial" w:hAnsi="Arial"/>
          <w:sz w:val="22"/>
          <w:szCs w:val="22"/>
          <w:b w:val="1"/>
          <w:bCs w:val="1"/>
          <w:color w:val="auto"/>
        </w:rPr>
      </w:pPr>
    </w:p>
    <w:p>
      <w:pPr>
        <w:ind w:left="-60" w:firstLine="1763"/>
        <w:spacing w:after="0" w:line="276" w:lineRule="auto"/>
        <w:tabs>
          <w:tab w:leader="none" w:pos="2595" w:val="left"/>
        </w:tabs>
        <w:numPr>
          <w:ilvl w:val="0"/>
          <w:numId w:val="6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Section 162(m)</w:t>
      </w:r>
      <w:r>
        <w:rPr>
          <w:rFonts w:ascii="Arial" w:cs="Arial" w:eastAsia="Arial" w:hAnsi="Arial"/>
          <w:sz w:val="19"/>
          <w:szCs w:val="19"/>
          <w:b w:val="1"/>
          <w:bCs w:val="1"/>
          <w:color w:val="auto"/>
        </w:rPr>
        <w:t xml:space="preserve">. </w:t>
      </w:r>
      <w:r>
        <w:rPr>
          <w:rFonts w:ascii="Arial" w:cs="Arial" w:eastAsia="Arial" w:hAnsi="Arial"/>
          <w:sz w:val="19"/>
          <w:szCs w:val="19"/>
          <w:color w:val="auto"/>
        </w:rPr>
        <w:t>In the case of any Performance Award (other than a Stock Option or SAR) intended</w:t>
      </w:r>
      <w:r>
        <w:rPr>
          <w:rFonts w:ascii="Arial" w:cs="Arial" w:eastAsia="Arial" w:hAnsi="Arial"/>
          <w:sz w:val="19"/>
          <w:szCs w:val="19"/>
          <w:b w:val="1"/>
          <w:bCs w:val="1"/>
          <w:color w:val="auto"/>
        </w:rPr>
        <w:t xml:space="preserve"> </w:t>
      </w:r>
      <w:r>
        <w:rPr>
          <w:rFonts w:ascii="Arial" w:cs="Arial" w:eastAsia="Arial" w:hAnsi="Arial"/>
          <w:sz w:val="19"/>
          <w:szCs w:val="19"/>
          <w:color w:val="auto"/>
        </w:rPr>
        <w:t>to qualify for the performance-based compensation exception under Section 162(m), the Administrator will establish the applicable Performance Criterion or Criteria in writing no later than ninety (90) days after the commencement of the period of service to which the performance relates (or at such earlier time as is required to qualify the Award as performance-based under Section 162(m)) and, prior to the event or occurrence (grant, vesting or payment, as the case may be) that is conditioned on the attainment of such Performance Criterion or Criteria, will certify whether it or they have been attained. The preceding sentence will not apply to an Award eligible (as determined by the Administrator) for exemption from the limitations of Section 162(m) by reason of the post-initial public offering transition relief in Section 1.162-27(f) of the Treasury Regulations.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157480</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300" w:top="342" w:right="279" w:bottom="1440" w:gutter="0" w:footer="0" w:header="0"/>
        </w:sectPr>
      </w:pPr>
    </w:p>
    <w:bookmarkStart w:id="105" w:name="page106"/>
    <w:bookmarkEnd w:id="105"/>
    <w:p>
      <w:pPr>
        <w:ind w:left="-60" w:right="40" w:firstLine="1763"/>
        <w:spacing w:after="0" w:line="273" w:lineRule="auto"/>
        <w:tabs>
          <w:tab w:leader="none" w:pos="2703" w:val="left"/>
        </w:tabs>
        <w:numPr>
          <w:ilvl w:val="1"/>
          <w:numId w:val="6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Coordination with Other Plans</w:t>
      </w:r>
      <w:r>
        <w:rPr>
          <w:rFonts w:ascii="Arial" w:cs="Arial" w:eastAsia="Arial" w:hAnsi="Arial"/>
          <w:sz w:val="19"/>
          <w:szCs w:val="19"/>
          <w:b w:val="1"/>
          <w:bCs w:val="1"/>
          <w:color w:val="auto"/>
        </w:rPr>
        <w:t xml:space="preserve">. </w:t>
      </w:r>
      <w:r>
        <w:rPr>
          <w:rFonts w:ascii="Arial" w:cs="Arial" w:eastAsia="Arial" w:hAnsi="Arial"/>
          <w:sz w:val="19"/>
          <w:szCs w:val="19"/>
          <w:color w:val="auto"/>
        </w:rPr>
        <w:t>Awards under the Plan may be granted in tandem with, or in</w:t>
      </w:r>
      <w:r>
        <w:rPr>
          <w:rFonts w:ascii="Arial" w:cs="Arial" w:eastAsia="Arial" w:hAnsi="Arial"/>
          <w:sz w:val="19"/>
          <w:szCs w:val="19"/>
          <w:b w:val="1"/>
          <w:bCs w:val="1"/>
          <w:color w:val="auto"/>
        </w:rPr>
        <w:t xml:space="preserve"> </w:t>
      </w:r>
      <w:r>
        <w:rPr>
          <w:rFonts w:ascii="Arial" w:cs="Arial" w:eastAsia="Arial" w:hAnsi="Arial"/>
          <w:sz w:val="19"/>
          <w:szCs w:val="19"/>
          <w:color w:val="auto"/>
        </w:rPr>
        <w:t>satisfaction of or substitution for, other Awards under the Plan or awards made under other compensatory plans or programs of the Company or its Affiliates. For example, but without limiting the generality of the foregoing, awards under other compensatory plans or programs of the Company or its Affiliates may be settled in Stock (including, without limitation, Unrestricted Stock) if the Administrator so determines, in which case the shares delivered will be treated as awarded under the Plan (and will reduce the number of shares thereafter available under the Plan in accordance with the rules set forth in Section 4). In any case where an award is made under another plan or program of the Company or its Affiliates and such award is intended to qualify for the performance-based compensation exception under Section 162(m), and such award is settled by the delivery of Stock or another Award under the Plan, the applicable Section 162(m) limitations under both the other plan or program and under the Plan will be applied to the Plan as necessary (as determined by the Administrator) to preserve the availability of the Section 162(m) performance-based compensation exception with respect thereto.</w:t>
      </w:r>
    </w:p>
    <w:p>
      <w:pPr>
        <w:spacing w:after="0" w:line="156" w:lineRule="exact"/>
        <w:rPr>
          <w:rFonts w:ascii="Arial" w:cs="Arial" w:eastAsia="Arial" w:hAnsi="Arial"/>
          <w:sz w:val="19"/>
          <w:szCs w:val="19"/>
          <w:b w:val="1"/>
          <w:bCs w:val="1"/>
          <w:color w:val="auto"/>
        </w:rPr>
      </w:pPr>
    </w:p>
    <w:p>
      <w:pPr>
        <w:ind w:left="-60" w:right="240" w:firstLine="1763"/>
        <w:spacing w:after="0" w:line="243" w:lineRule="auto"/>
        <w:tabs>
          <w:tab w:leader="none" w:pos="2691" w:val="left"/>
        </w:tabs>
        <w:numPr>
          <w:ilvl w:val="1"/>
          <w:numId w:val="6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Section 409A</w:t>
      </w:r>
      <w:r>
        <w:rPr>
          <w:rFonts w:ascii="Arial" w:cs="Arial" w:eastAsia="Arial" w:hAnsi="Arial"/>
          <w:sz w:val="22"/>
          <w:szCs w:val="22"/>
          <w:b w:val="1"/>
          <w:bCs w:val="1"/>
          <w:color w:val="auto"/>
        </w:rPr>
        <w:t xml:space="preserve">. </w:t>
      </w:r>
      <w:r>
        <w:rPr>
          <w:rFonts w:ascii="Arial" w:cs="Arial" w:eastAsia="Arial" w:hAnsi="Arial"/>
          <w:sz w:val="22"/>
          <w:szCs w:val="22"/>
          <w:color w:val="auto"/>
        </w:rPr>
        <w:t>Each Award will contain such terms as the Administrator determines, and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construed and administered, such that the Award either qualifies for an exemption from the requirements of Section 409A or satisfies such requirements.</w:t>
      </w:r>
    </w:p>
    <w:p>
      <w:pPr>
        <w:spacing w:after="0" w:line="176" w:lineRule="exact"/>
        <w:rPr>
          <w:rFonts w:ascii="Arial" w:cs="Arial" w:eastAsia="Arial" w:hAnsi="Arial"/>
          <w:sz w:val="22"/>
          <w:szCs w:val="22"/>
          <w:b w:val="1"/>
          <w:bCs w:val="1"/>
          <w:color w:val="auto"/>
        </w:rPr>
      </w:pPr>
    </w:p>
    <w:p>
      <w:pPr>
        <w:ind w:left="-60" w:right="80" w:firstLine="1763"/>
        <w:spacing w:after="0" w:line="243" w:lineRule="auto"/>
        <w:tabs>
          <w:tab w:leader="none" w:pos="2703" w:val="left"/>
        </w:tabs>
        <w:numPr>
          <w:ilvl w:val="1"/>
          <w:numId w:val="6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Fair Market Value</w:t>
      </w:r>
      <w:r>
        <w:rPr>
          <w:rFonts w:ascii="Arial" w:cs="Arial" w:eastAsia="Arial" w:hAnsi="Arial"/>
          <w:sz w:val="22"/>
          <w:szCs w:val="22"/>
          <w:b w:val="1"/>
          <w:bCs w:val="1"/>
          <w:color w:val="auto"/>
        </w:rPr>
        <w:t xml:space="preserve">. </w:t>
      </w:r>
      <w:r>
        <w:rPr>
          <w:rFonts w:ascii="Arial" w:cs="Arial" w:eastAsia="Arial" w:hAnsi="Arial"/>
          <w:sz w:val="22"/>
          <w:szCs w:val="22"/>
          <w:color w:val="auto"/>
        </w:rPr>
        <w:t>In determining the fair market value of any share of Stock under the Plan, the</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Administrator will make the determination in good faith consistent with the rules of Section 422 and Section 409A to the extent applicable.</w:t>
      </w:r>
    </w:p>
    <w:p>
      <w:pPr>
        <w:spacing w:after="0" w:line="176" w:lineRule="exact"/>
        <w:rPr>
          <w:rFonts w:ascii="Arial" w:cs="Arial" w:eastAsia="Arial" w:hAnsi="Arial"/>
          <w:sz w:val="22"/>
          <w:szCs w:val="22"/>
          <w:b w:val="1"/>
          <w:bCs w:val="1"/>
          <w:color w:val="auto"/>
        </w:rPr>
      </w:pPr>
    </w:p>
    <w:p>
      <w:pPr>
        <w:ind w:left="1740" w:hanging="915"/>
        <w:spacing w:after="0"/>
        <w:tabs>
          <w:tab w:leader="none" w:pos="1740"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Stock Options and SARs</w:t>
      </w:r>
      <w:r>
        <w:rPr>
          <w:rFonts w:ascii="Arial" w:cs="Arial" w:eastAsia="Arial" w:hAnsi="Arial"/>
          <w:sz w:val="22"/>
          <w:szCs w:val="22"/>
          <w:b w:val="1"/>
          <w:bCs w:val="1"/>
          <w:color w:val="auto"/>
        </w:rPr>
        <w:t>.</w:t>
      </w:r>
    </w:p>
    <w:p>
      <w:pPr>
        <w:spacing w:after="0" w:line="206" w:lineRule="exact"/>
        <w:rPr>
          <w:rFonts w:ascii="Arial" w:cs="Arial" w:eastAsia="Arial" w:hAnsi="Arial"/>
          <w:sz w:val="22"/>
          <w:szCs w:val="22"/>
          <w:b w:val="1"/>
          <w:bCs w:val="1"/>
          <w:color w:val="auto"/>
        </w:rPr>
      </w:pPr>
    </w:p>
    <w:p>
      <w:pPr>
        <w:ind w:left="-60" w:right="180" w:firstLine="1763"/>
        <w:spacing w:after="0" w:line="280" w:lineRule="auto"/>
        <w:tabs>
          <w:tab w:leader="none" w:pos="2595" w:val="left"/>
        </w:tabs>
        <w:numPr>
          <w:ilvl w:val="1"/>
          <w:numId w:val="6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Time and Manner of Exercise</w:t>
      </w:r>
      <w:r>
        <w:rPr>
          <w:rFonts w:ascii="Arial" w:cs="Arial" w:eastAsia="Arial" w:hAnsi="Arial"/>
          <w:sz w:val="19"/>
          <w:szCs w:val="19"/>
          <w:b w:val="1"/>
          <w:bCs w:val="1"/>
          <w:color w:val="auto"/>
        </w:rPr>
        <w:t xml:space="preserve">. </w:t>
      </w:r>
      <w:r>
        <w:rPr>
          <w:rFonts w:ascii="Arial" w:cs="Arial" w:eastAsia="Arial" w:hAnsi="Arial"/>
          <w:sz w:val="19"/>
          <w:szCs w:val="19"/>
          <w:color w:val="auto"/>
        </w:rPr>
        <w:t>Unless the Administrator expressly provides otherwise, no Stock</w:t>
      </w:r>
      <w:r>
        <w:rPr>
          <w:rFonts w:ascii="Arial" w:cs="Arial" w:eastAsia="Arial" w:hAnsi="Arial"/>
          <w:sz w:val="19"/>
          <w:szCs w:val="19"/>
          <w:b w:val="1"/>
          <w:bCs w:val="1"/>
          <w:color w:val="auto"/>
        </w:rPr>
        <w:t xml:space="preserve"> </w:t>
      </w:r>
      <w:r>
        <w:rPr>
          <w:rFonts w:ascii="Arial" w:cs="Arial" w:eastAsia="Arial" w:hAnsi="Arial"/>
          <w:sz w:val="19"/>
          <w:szCs w:val="19"/>
          <w:color w:val="auto"/>
        </w:rPr>
        <w:t>Option or SAR will be deemed to have been exercised until the Administrator receives a notice of exercise (in form acceptable to the Administrator), which may be an electronic notice, signed (including electronic signature in form acceptable to the Administrator) by the appropriate person and accompanied by any payment required under the Award. A Stock Option or SAR exercised by any person other than the Participant will not be deemed to have been exercised until the Administrator has received such evidence as it may require that the person exercising the Award has the right to do so.</w:t>
      </w:r>
    </w:p>
    <w:p>
      <w:pPr>
        <w:spacing w:after="0" w:line="145" w:lineRule="exact"/>
        <w:rPr>
          <w:rFonts w:ascii="Arial" w:cs="Arial" w:eastAsia="Arial" w:hAnsi="Arial"/>
          <w:sz w:val="19"/>
          <w:szCs w:val="19"/>
          <w:b w:val="1"/>
          <w:bCs w:val="1"/>
          <w:color w:val="auto"/>
        </w:rPr>
      </w:pPr>
    </w:p>
    <w:p>
      <w:pPr>
        <w:ind w:left="-60" w:firstLine="1763"/>
        <w:spacing w:after="0" w:line="284" w:lineRule="auto"/>
        <w:tabs>
          <w:tab w:leader="none" w:pos="2595" w:val="left"/>
        </w:tabs>
        <w:numPr>
          <w:ilvl w:val="1"/>
          <w:numId w:val="6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Exercise Price</w:t>
      </w:r>
      <w:r>
        <w:rPr>
          <w:rFonts w:ascii="Arial" w:cs="Arial" w:eastAsia="Arial" w:hAnsi="Arial"/>
          <w:sz w:val="19"/>
          <w:szCs w:val="19"/>
          <w:b w:val="1"/>
          <w:bCs w:val="1"/>
          <w:color w:val="auto"/>
        </w:rPr>
        <w:t xml:space="preserve">. </w:t>
      </w:r>
      <w:r>
        <w:rPr>
          <w:rFonts w:ascii="Arial" w:cs="Arial" w:eastAsia="Arial" w:hAnsi="Arial"/>
          <w:sz w:val="19"/>
          <w:szCs w:val="19"/>
          <w:color w:val="auto"/>
        </w:rPr>
        <w:t>The exercise price (or the base value from which appreciation is to be measured) of</w:t>
      </w:r>
      <w:r>
        <w:rPr>
          <w:rFonts w:ascii="Arial" w:cs="Arial" w:eastAsia="Arial" w:hAnsi="Arial"/>
          <w:sz w:val="19"/>
          <w:szCs w:val="19"/>
          <w:b w:val="1"/>
          <w:bCs w:val="1"/>
          <w:color w:val="auto"/>
        </w:rPr>
        <w:t xml:space="preserve"> </w:t>
      </w:r>
      <w:r>
        <w:rPr>
          <w:rFonts w:ascii="Arial" w:cs="Arial" w:eastAsia="Arial" w:hAnsi="Arial"/>
          <w:sz w:val="19"/>
          <w:szCs w:val="19"/>
          <w:color w:val="auto"/>
        </w:rPr>
        <w:t>each Award requiring exercise will be no less than 100% (or in the case of an ISO granted to a ten-percent shareholder within the meaning of subsection (b)(6) of Section 422, 110%) of the fair market value of the Stock subject to the Award, determined as of the date of grant, or such higher amount as the Administrator may determine in connection with the grant. Fair market value will be determined by the Administrator consistent with the applicable requirements of Section 422 and Section 409A.</w:t>
      </w:r>
    </w:p>
    <w:p>
      <w:pPr>
        <w:spacing w:after="0" w:line="138" w:lineRule="exact"/>
        <w:rPr>
          <w:rFonts w:ascii="Arial" w:cs="Arial" w:eastAsia="Arial" w:hAnsi="Arial"/>
          <w:sz w:val="19"/>
          <w:szCs w:val="19"/>
          <w:b w:val="1"/>
          <w:bCs w:val="1"/>
          <w:color w:val="auto"/>
        </w:rPr>
      </w:pPr>
    </w:p>
    <w:p>
      <w:pPr>
        <w:ind w:left="-60" w:right="100" w:firstLine="1763"/>
        <w:spacing w:after="0" w:line="243" w:lineRule="auto"/>
        <w:tabs>
          <w:tab w:leader="none" w:pos="2595" w:val="left"/>
        </w:tabs>
        <w:numPr>
          <w:ilvl w:val="1"/>
          <w:numId w:val="6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Payment of Exercise Price</w:t>
      </w:r>
      <w:r>
        <w:rPr>
          <w:rFonts w:ascii="Arial" w:cs="Arial" w:eastAsia="Arial" w:hAnsi="Arial"/>
          <w:sz w:val="22"/>
          <w:szCs w:val="22"/>
          <w:b w:val="1"/>
          <w:bCs w:val="1"/>
          <w:color w:val="auto"/>
        </w:rPr>
        <w:t xml:space="preserve">. </w:t>
      </w:r>
      <w:r>
        <w:rPr>
          <w:rFonts w:ascii="Arial" w:cs="Arial" w:eastAsia="Arial" w:hAnsi="Arial"/>
          <w:sz w:val="22"/>
          <w:szCs w:val="22"/>
          <w:color w:val="auto"/>
        </w:rPr>
        <w:t>Where the exercise of an Award is to be accompanied by payment,</w:t>
      </w:r>
      <w:r>
        <w:rPr>
          <w:rFonts w:ascii="Arial" w:cs="Arial" w:eastAsia="Arial" w:hAnsi="Arial"/>
          <w:sz w:val="22"/>
          <w:szCs w:val="22"/>
          <w:b w:val="1"/>
          <w:bCs w:val="1"/>
          <w:color w:val="auto"/>
        </w:rPr>
        <w:t xml:space="preserve"> </w:t>
      </w:r>
      <w:r>
        <w:rPr>
          <w:rFonts w:ascii="Arial" w:cs="Arial" w:eastAsia="Arial" w:hAnsi="Arial"/>
          <w:sz w:val="22"/>
          <w:szCs w:val="22"/>
          <w:color w:val="auto"/>
        </w:rPr>
        <w:t>payment of the exercise price will be by cash or check acceptable to the Administrator or by such other legally permissible means, if any, as may be acceptable to the Administrator.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157480</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300" w:top="342" w:right="279" w:bottom="1440" w:gutter="0" w:footer="0" w:header="0"/>
        </w:sectPr>
      </w:pPr>
    </w:p>
    <w:bookmarkStart w:id="106" w:name="page107"/>
    <w:bookmarkEnd w:id="106"/>
    <w:p>
      <w:pPr>
        <w:jc w:val="both"/>
        <w:ind w:left="-8" w:right="80" w:firstLine="1763"/>
        <w:spacing w:after="0" w:line="275" w:lineRule="auto"/>
        <w:tabs>
          <w:tab w:leader="none" w:pos="2647" w:val="left"/>
        </w:tabs>
        <w:numPr>
          <w:ilvl w:val="1"/>
          <w:numId w:val="6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Maximum Term</w:t>
      </w:r>
      <w:r>
        <w:rPr>
          <w:rFonts w:ascii="Arial" w:cs="Arial" w:eastAsia="Arial" w:hAnsi="Arial"/>
          <w:sz w:val="19"/>
          <w:szCs w:val="19"/>
          <w:b w:val="1"/>
          <w:bCs w:val="1"/>
          <w:color w:val="auto"/>
        </w:rPr>
        <w:t xml:space="preserve">. </w:t>
      </w:r>
      <w:r>
        <w:rPr>
          <w:rFonts w:ascii="Arial" w:cs="Arial" w:eastAsia="Arial" w:hAnsi="Arial"/>
          <w:sz w:val="19"/>
          <w:szCs w:val="19"/>
          <w:color w:val="auto"/>
        </w:rPr>
        <w:t>Stock Options and SARs will have a maximum term not to exceed ten (10) years</w:t>
      </w:r>
      <w:r>
        <w:rPr>
          <w:rFonts w:ascii="Arial" w:cs="Arial" w:eastAsia="Arial" w:hAnsi="Arial"/>
          <w:sz w:val="19"/>
          <w:szCs w:val="19"/>
          <w:b w:val="1"/>
          <w:bCs w:val="1"/>
          <w:color w:val="auto"/>
        </w:rPr>
        <w:t xml:space="preserve"> </w:t>
      </w:r>
      <w:r>
        <w:rPr>
          <w:rFonts w:ascii="Arial" w:cs="Arial" w:eastAsia="Arial" w:hAnsi="Arial"/>
          <w:sz w:val="19"/>
          <w:szCs w:val="19"/>
          <w:color w:val="auto"/>
        </w:rPr>
        <w:t>from the date of grant (or five (5) years from the date of grant in the case of an ISO granted to a ten-percent shareholder described in Section 6(b)(2) above); provided, however, that, if a Participant still holding an outstanding but unexercised NSO or SAR ten</w:t>
      </w:r>
    </w:p>
    <w:p>
      <w:pPr>
        <w:spacing w:after="0" w:line="2" w:lineRule="exact"/>
        <w:rPr>
          <w:rFonts w:ascii="Arial" w:cs="Arial" w:eastAsia="Arial" w:hAnsi="Arial"/>
          <w:sz w:val="19"/>
          <w:szCs w:val="19"/>
          <w:b w:val="1"/>
          <w:bCs w:val="1"/>
          <w:color w:val="auto"/>
        </w:rPr>
      </w:pPr>
    </w:p>
    <w:p>
      <w:pPr>
        <w:ind w:left="-8" w:right="20" w:firstLine="8"/>
        <w:spacing w:after="0" w:line="233" w:lineRule="auto"/>
        <w:tabs>
          <w:tab w:leader="none" w:pos="406" w:val="left"/>
        </w:tabs>
        <w:numPr>
          <w:ilvl w:val="0"/>
          <w:numId w:val="70"/>
        </w:numPr>
        <w:rPr>
          <w:rFonts w:ascii="Arial" w:cs="Arial" w:eastAsia="Arial" w:hAnsi="Arial"/>
          <w:sz w:val="22"/>
          <w:szCs w:val="22"/>
          <w:color w:val="auto"/>
        </w:rPr>
      </w:pPr>
      <w:r>
        <w:rPr>
          <w:rFonts w:ascii="Arial" w:cs="Arial" w:eastAsia="Arial" w:hAnsi="Arial"/>
          <w:sz w:val="22"/>
          <w:szCs w:val="22"/>
          <w:color w:val="auto"/>
        </w:rPr>
        <w:t>years from the date of grant (or, in the case of an NSO or SAR with a maximum term of less than ten (10) years, such maximum term) is prohibited by applicable law or a written policy of the Company applicable to similarly situated employees from engaging in any open-market sales of Stock, and if at such time the Stock is publicly traded (as determined by the Administrator), the maximum term of such Award will instead be deemed to expire on the thirtieth (30</w:t>
      </w:r>
      <w:r>
        <w:rPr>
          <w:rFonts w:ascii="Arial" w:cs="Arial" w:eastAsia="Arial" w:hAnsi="Arial"/>
          <w:sz w:val="18"/>
          <w:szCs w:val="18"/>
          <w:color w:val="auto"/>
        </w:rPr>
        <w:t>th</w:t>
      </w:r>
      <w:r>
        <w:rPr>
          <w:rFonts w:ascii="Arial" w:cs="Arial" w:eastAsia="Arial" w:hAnsi="Arial"/>
          <w:sz w:val="22"/>
          <w:szCs w:val="22"/>
          <w:color w:val="auto"/>
        </w:rPr>
        <w:t>) day following the date the Participant is no longer prohibited from engaging in such open market sales.</w:t>
      </w:r>
    </w:p>
    <w:p>
      <w:pPr>
        <w:spacing w:after="0" w:line="179" w:lineRule="exact"/>
        <w:rPr>
          <w:rFonts w:ascii="Arial" w:cs="Arial" w:eastAsia="Arial" w:hAnsi="Arial"/>
          <w:sz w:val="22"/>
          <w:szCs w:val="22"/>
          <w:color w:val="auto"/>
        </w:rPr>
      </w:pPr>
    </w:p>
    <w:p>
      <w:pPr>
        <w:ind w:left="-8" w:firstLine="1763"/>
        <w:spacing w:after="0" w:line="251" w:lineRule="auto"/>
        <w:tabs>
          <w:tab w:leader="none" w:pos="2647" w:val="left"/>
        </w:tabs>
        <w:numPr>
          <w:ilvl w:val="1"/>
          <w:numId w:val="7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Repricing without Stockholder Approval</w:t>
      </w:r>
      <w:r>
        <w:rPr>
          <w:rFonts w:ascii="Arial" w:cs="Arial" w:eastAsia="Arial" w:hAnsi="Arial"/>
          <w:sz w:val="21"/>
          <w:szCs w:val="21"/>
          <w:b w:val="1"/>
          <w:bCs w:val="1"/>
          <w:color w:val="auto"/>
        </w:rPr>
        <w:t xml:space="preserve">. </w:t>
      </w:r>
      <w:r>
        <w:rPr>
          <w:rFonts w:ascii="Arial" w:cs="Arial" w:eastAsia="Arial" w:hAnsi="Arial"/>
          <w:sz w:val="21"/>
          <w:szCs w:val="21"/>
          <w:color w:val="auto"/>
        </w:rPr>
        <w:t>Other than in connection with a change in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Company’s capitalization (as described in Section 7(b)), the Company shall not, without stockholder approval, reduce the exercise price of a Stock Option or SAR and, at any time when the exercise price of a Stock Option or SAR is above the fair market value of a share of Stock, the Company shall not, without stockholder approval (except in the case of a Covered Transaction), cancel and re-grant or exchange such Stock Option or SAR for cash or a new Award.</w:t>
      </w:r>
    </w:p>
    <w:p>
      <w:pPr>
        <w:spacing w:after="0" w:line="169" w:lineRule="exact"/>
        <w:rPr>
          <w:sz w:val="20"/>
          <w:szCs w:val="20"/>
          <w:color w:val="auto"/>
        </w:rPr>
      </w:pPr>
    </w:p>
    <w:p>
      <w:pPr>
        <w:ind w:left="812" w:hanging="812"/>
        <w:spacing w:after="0"/>
        <w:tabs>
          <w:tab w:leader="none" w:pos="812"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color w:val="auto"/>
        </w:rPr>
        <w:t>EFFECT OF CERTAIN TRANSACTIONS</w:t>
      </w:r>
    </w:p>
    <w:p>
      <w:pPr>
        <w:spacing w:after="0" w:line="206" w:lineRule="exact"/>
        <w:rPr>
          <w:rFonts w:ascii="Arial" w:cs="Arial" w:eastAsia="Arial" w:hAnsi="Arial"/>
          <w:sz w:val="22"/>
          <w:szCs w:val="22"/>
          <w:b w:val="1"/>
          <w:bCs w:val="1"/>
          <w:color w:val="auto"/>
        </w:rPr>
      </w:pPr>
    </w:p>
    <w:p>
      <w:pPr>
        <w:ind w:left="-8" w:right="20" w:firstLine="885"/>
        <w:spacing w:after="0" w:line="256" w:lineRule="auto"/>
        <w:tabs>
          <w:tab w:leader="none" w:pos="1770" w:val="left"/>
        </w:tabs>
        <w:numPr>
          <w:ilvl w:val="1"/>
          <w:numId w:val="7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Mergers,</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u w:val="single" w:color="auto"/>
          <w:color w:val="auto"/>
        </w:rPr>
        <w:t>etc</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otherwise provided in an Award agreement, the following provisions will apply in the</w:t>
      </w:r>
      <w:r>
        <w:rPr>
          <w:rFonts w:ascii="Arial" w:cs="Arial" w:eastAsia="Arial" w:hAnsi="Arial"/>
          <w:sz w:val="22"/>
          <w:szCs w:val="22"/>
          <w:b w:val="1"/>
          <w:bCs w:val="1"/>
          <w:color w:val="auto"/>
        </w:rPr>
        <w:t xml:space="preserve"> </w:t>
      </w:r>
      <w:r>
        <w:rPr>
          <w:rFonts w:ascii="Arial" w:cs="Arial" w:eastAsia="Arial" w:hAnsi="Arial"/>
          <w:sz w:val="22"/>
          <w:szCs w:val="22"/>
          <w:color w:val="auto"/>
        </w:rPr>
        <w:t>event of a Covered Transaction:</w:t>
      </w:r>
    </w:p>
    <w:p>
      <w:pPr>
        <w:spacing w:after="0" w:line="162" w:lineRule="exact"/>
        <w:rPr>
          <w:rFonts w:ascii="Arial" w:cs="Arial" w:eastAsia="Arial" w:hAnsi="Arial"/>
          <w:sz w:val="22"/>
          <w:szCs w:val="22"/>
          <w:b w:val="1"/>
          <w:bCs w:val="1"/>
          <w:color w:val="auto"/>
        </w:rPr>
      </w:pPr>
    </w:p>
    <w:p>
      <w:pPr>
        <w:ind w:left="-8" w:right="40" w:firstLine="1763"/>
        <w:spacing w:after="0" w:line="239" w:lineRule="auto"/>
        <w:tabs>
          <w:tab w:leader="none" w:pos="2647" w:val="left"/>
        </w:tabs>
        <w:numPr>
          <w:ilvl w:val="2"/>
          <w:numId w:val="7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Assumption or Substitution</w:t>
      </w:r>
      <w:r>
        <w:rPr>
          <w:rFonts w:ascii="Arial" w:cs="Arial" w:eastAsia="Arial" w:hAnsi="Arial"/>
          <w:sz w:val="22"/>
          <w:szCs w:val="22"/>
          <w:b w:val="1"/>
          <w:bCs w:val="1"/>
          <w:color w:val="auto"/>
        </w:rPr>
        <w:t xml:space="preserve">. </w:t>
      </w:r>
      <w:r>
        <w:rPr>
          <w:rFonts w:ascii="Arial" w:cs="Arial" w:eastAsia="Arial" w:hAnsi="Arial"/>
          <w:sz w:val="22"/>
          <w:szCs w:val="22"/>
          <w:color w:val="auto"/>
        </w:rPr>
        <w:t>If the Covered Transaction is one in which there is an acquiring or</w:t>
      </w:r>
      <w:r>
        <w:rPr>
          <w:rFonts w:ascii="Arial" w:cs="Arial" w:eastAsia="Arial" w:hAnsi="Arial"/>
          <w:sz w:val="22"/>
          <w:szCs w:val="22"/>
          <w:b w:val="1"/>
          <w:bCs w:val="1"/>
          <w:color w:val="auto"/>
        </w:rPr>
        <w:t xml:space="preserve"> </w:t>
      </w:r>
      <w:r>
        <w:rPr>
          <w:rFonts w:ascii="Arial" w:cs="Arial" w:eastAsia="Arial" w:hAnsi="Arial"/>
          <w:sz w:val="22"/>
          <w:szCs w:val="22"/>
          <w:color w:val="auto"/>
        </w:rPr>
        <w:t>surviving entity, the Administrator may (but, for the avoidance of doubt, need not) provide (i) for the assumption or continuation of some or all outstanding Awards or any portion thereof or (ii) for the grant of new awards in substitution therefor by the acquiror or survivor or an affiliate of the acquiror or survivor.</w:t>
      </w:r>
    </w:p>
    <w:p>
      <w:pPr>
        <w:spacing w:after="0" w:line="180" w:lineRule="exact"/>
        <w:rPr>
          <w:rFonts w:ascii="Arial" w:cs="Arial" w:eastAsia="Arial" w:hAnsi="Arial"/>
          <w:sz w:val="22"/>
          <w:szCs w:val="22"/>
          <w:b w:val="1"/>
          <w:bCs w:val="1"/>
          <w:color w:val="auto"/>
        </w:rPr>
      </w:pPr>
    </w:p>
    <w:p>
      <w:pPr>
        <w:ind w:left="-8" w:right="100" w:firstLine="1763"/>
        <w:spacing w:after="0" w:line="278" w:lineRule="auto"/>
        <w:tabs>
          <w:tab w:leader="none" w:pos="2647" w:val="left"/>
        </w:tabs>
        <w:numPr>
          <w:ilvl w:val="2"/>
          <w:numId w:val="7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Cash-Out of Awards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Section 7(a)(5) below the Administrator may (but,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avoidance of doubt, need not) provide for payment (a “cash-out”), with respect to some or all Awards or any portion thereof, equal in the case of each affected Award or portion thereof to the excess, if any, of (A) the fair market value of one share of Stock (as determined by the Administrator in its reasonable discretion) times the number of shares of Stock subject to the Award or such portion, over (B) the aggregate exercise or purchase price, if any, under the Award or such portion (in the case of an SAR, the aggregate base value above which appreciation is measured), in each case on such payment terms (which need not be the same as the terms of payment to holders of Stock) and other terms, and subject to such conditions, as the Administrator determines.</w:t>
      </w:r>
    </w:p>
    <w:p>
      <w:pPr>
        <w:spacing w:after="0" w:line="152"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157480</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342" w:right="259" w:bottom="1440" w:gutter="0" w:footer="0" w:header="0"/>
        </w:sectPr>
      </w:pPr>
    </w:p>
    <w:bookmarkStart w:id="107" w:name="page108"/>
    <w:bookmarkEnd w:id="107"/>
    <w:p>
      <w:pPr>
        <w:ind w:right="20" w:firstLine="1763"/>
        <w:spacing w:after="0" w:line="280" w:lineRule="auto"/>
        <w:tabs>
          <w:tab w:leader="none" w:pos="2655" w:val="left"/>
        </w:tabs>
        <w:numPr>
          <w:ilvl w:val="1"/>
          <w:numId w:val="7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Acceleration of Certain Awards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Section 7(a)(5) below, the Administrator may (but, for</w:t>
      </w:r>
      <w:r>
        <w:rPr>
          <w:rFonts w:ascii="Arial" w:cs="Arial" w:eastAsia="Arial" w:hAnsi="Arial"/>
          <w:sz w:val="19"/>
          <w:szCs w:val="19"/>
          <w:b w:val="1"/>
          <w:bCs w:val="1"/>
          <w:color w:val="auto"/>
        </w:rPr>
        <w:t xml:space="preserve"> </w:t>
      </w:r>
      <w:r>
        <w:rPr>
          <w:rFonts w:ascii="Arial" w:cs="Arial" w:eastAsia="Arial" w:hAnsi="Arial"/>
          <w:sz w:val="19"/>
          <w:szCs w:val="19"/>
          <w:color w:val="auto"/>
        </w:rPr>
        <w:t>the avoidance of doubt, need not) provide that any Award requiring exercise will become exercisable, in full or in part and/or that the delivery of any shares of Stock remaining deliverable under any outstanding Award of Stock Units (including Restricted Stock Units and Performance Awards to the extent consisting of Stock Units) will be accelerated in full or in part, in each case on a basis that gives the holder of the Award a reasonable opportunity, as determined by the Administrator, following exercise of the Award or the delivery of the shares, as the case may be, to participate as a stockholder in the Covered Transaction.</w:t>
      </w:r>
    </w:p>
    <w:p>
      <w:pPr>
        <w:spacing w:after="0" w:line="145" w:lineRule="exact"/>
        <w:rPr>
          <w:rFonts w:ascii="Arial" w:cs="Arial" w:eastAsia="Arial" w:hAnsi="Arial"/>
          <w:sz w:val="19"/>
          <w:szCs w:val="19"/>
          <w:b w:val="1"/>
          <w:bCs w:val="1"/>
          <w:color w:val="auto"/>
        </w:rPr>
      </w:pPr>
    </w:p>
    <w:p>
      <w:pPr>
        <w:ind w:right="20" w:firstLine="1763"/>
        <w:spacing w:after="0" w:line="239" w:lineRule="auto"/>
        <w:tabs>
          <w:tab w:leader="none" w:pos="2655" w:val="left"/>
        </w:tabs>
        <w:numPr>
          <w:ilvl w:val="1"/>
          <w:numId w:val="7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 of Awards Upon Consummation of Covered Transaction</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the</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Administrator may otherwise determine in any case, each Award will automatically terminate (and in the case of outstanding shares of Restricted Stock, will automatically be forfeited) upon consummation of the Covered Transaction, other than Awards assumed or continued pursuant to Section 7(a)(1) above.</w:t>
      </w:r>
    </w:p>
    <w:p>
      <w:pPr>
        <w:spacing w:after="0" w:line="180" w:lineRule="exact"/>
        <w:rPr>
          <w:rFonts w:ascii="Arial" w:cs="Arial" w:eastAsia="Arial" w:hAnsi="Arial"/>
          <w:sz w:val="22"/>
          <w:szCs w:val="22"/>
          <w:b w:val="1"/>
          <w:bCs w:val="1"/>
          <w:color w:val="auto"/>
        </w:rPr>
      </w:pPr>
    </w:p>
    <w:p>
      <w:pPr>
        <w:ind w:firstLine="1763"/>
        <w:spacing w:after="0" w:line="275" w:lineRule="auto"/>
        <w:tabs>
          <w:tab w:leader="none" w:pos="2655" w:val="left"/>
        </w:tabs>
        <w:numPr>
          <w:ilvl w:val="1"/>
          <w:numId w:val="7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Additional Limitations</w:t>
      </w:r>
      <w:r>
        <w:rPr>
          <w:rFonts w:ascii="Arial" w:cs="Arial" w:eastAsia="Arial" w:hAnsi="Arial"/>
          <w:sz w:val="19"/>
          <w:szCs w:val="19"/>
          <w:b w:val="1"/>
          <w:bCs w:val="1"/>
          <w:color w:val="auto"/>
        </w:rPr>
        <w:t xml:space="preserve">. </w:t>
      </w:r>
      <w:r>
        <w:rPr>
          <w:rFonts w:ascii="Arial" w:cs="Arial" w:eastAsia="Arial" w:hAnsi="Arial"/>
          <w:sz w:val="19"/>
          <w:szCs w:val="19"/>
          <w:color w:val="auto"/>
        </w:rPr>
        <w:t>Any share of Stock and any cash or other property delivered pursuant to</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7(a)(2) or Section 7(a)(3) above with respect to an Award may, in the discretion of the Administrator, contain such restrictions, if any, as the Administrator deems appropriate to reflect any performance or other vesting conditions to which the Award was subject and that did not lapse (and were not satisfied) in connection with the Covered Transaction. For purposes of the immediately preceding sentence, a cash-out under Section 7(a)(2) above or acceleration under Section 7(a)(3) above will not, in and of itself, be treated as the lapsing (or satisfaction) of a performance or other vesting condition. In the case of Restricted Stock that does not vest and is not forfeited in connection with the Covered Transaction, the Administrator may require that any amounts delivered, exchanged or otherwise paid in respect of such Stock in connection with the Covered Transaction be placed in escrow or otherwise made subject to such restrictions as the Administrator deems appropriate to carry out the intent of the Plan.</w:t>
      </w:r>
    </w:p>
    <w:p>
      <w:pPr>
        <w:spacing w:after="0" w:line="150" w:lineRule="exact"/>
        <w:rPr>
          <w:rFonts w:ascii="Arial" w:cs="Arial" w:eastAsia="Arial" w:hAnsi="Arial"/>
          <w:sz w:val="19"/>
          <w:szCs w:val="19"/>
          <w:b w:val="1"/>
          <w:bCs w:val="1"/>
          <w:color w:val="auto"/>
        </w:rPr>
      </w:pPr>
    </w:p>
    <w:p>
      <w:pPr>
        <w:ind w:left="1800" w:hanging="915"/>
        <w:spacing w:after="0"/>
        <w:tabs>
          <w:tab w:leader="none" w:pos="1800"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Changes in and Distributions With Respect to Stock</w:t>
      </w:r>
      <w:r>
        <w:rPr>
          <w:rFonts w:ascii="Arial" w:cs="Arial" w:eastAsia="Arial" w:hAnsi="Arial"/>
          <w:sz w:val="22"/>
          <w:szCs w:val="22"/>
          <w:b w:val="1"/>
          <w:bCs w:val="1"/>
          <w:color w:val="auto"/>
        </w:rPr>
        <w:t>.</w:t>
      </w:r>
    </w:p>
    <w:p>
      <w:pPr>
        <w:spacing w:after="0" w:line="206" w:lineRule="exact"/>
        <w:rPr>
          <w:rFonts w:ascii="Arial" w:cs="Arial" w:eastAsia="Arial" w:hAnsi="Arial"/>
          <w:sz w:val="22"/>
          <w:szCs w:val="22"/>
          <w:b w:val="1"/>
          <w:bCs w:val="1"/>
          <w:color w:val="auto"/>
        </w:rPr>
      </w:pPr>
    </w:p>
    <w:p>
      <w:pPr>
        <w:ind w:right="40" w:firstLine="1763"/>
        <w:spacing w:after="0" w:line="235" w:lineRule="auto"/>
        <w:tabs>
          <w:tab w:leader="none" w:pos="2655" w:val="left"/>
        </w:tabs>
        <w:numPr>
          <w:ilvl w:val="1"/>
          <w:numId w:val="7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Basic Adjustment Provisions</w:t>
      </w:r>
      <w:r>
        <w:rPr>
          <w:rFonts w:ascii="Arial" w:cs="Arial" w:eastAsia="Arial" w:hAnsi="Arial"/>
          <w:sz w:val="22"/>
          <w:szCs w:val="22"/>
          <w:b w:val="1"/>
          <w:bCs w:val="1"/>
          <w:color w:val="auto"/>
        </w:rPr>
        <w:t xml:space="preserve">. </w:t>
      </w:r>
      <w:r>
        <w:rPr>
          <w:rFonts w:ascii="Arial" w:cs="Arial" w:eastAsia="Arial" w:hAnsi="Arial"/>
          <w:sz w:val="22"/>
          <w:szCs w:val="22"/>
          <w:color w:val="auto"/>
        </w:rPr>
        <w:t>In the event of a stock dividend, stock split or combination of shares</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a reverse stock split), recapitalization or other change in the Company’s capital structure that constitutes an equity restructuring within the meaning of FASB ASC 718, the Administrator will make appropriate adjustments to the maximum number of shares specified in Section 4(a) that may be delivered under the Plan and to the maximum share limits described in Section 4(c), and will also make appropriate adjustments to the number and kind of shares of stock or securities subject to Awards then outstanding or subsequently granted, any exercise prices relating to Awards and any other provision of Awards affected by such change.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08" w:name="page109"/>
    <w:bookmarkEnd w:id="108"/>
    <w:p>
      <w:pPr>
        <w:ind w:firstLine="1763"/>
        <w:spacing w:after="0" w:line="251" w:lineRule="auto"/>
        <w:tabs>
          <w:tab w:leader="none" w:pos="2655" w:val="left"/>
        </w:tabs>
        <w:numPr>
          <w:ilvl w:val="1"/>
          <w:numId w:val="7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Certain Other Adjustments</w:t>
      </w:r>
      <w:r>
        <w:rPr>
          <w:rFonts w:ascii="Arial" w:cs="Arial" w:eastAsia="Arial" w:hAnsi="Arial"/>
          <w:sz w:val="21"/>
          <w:szCs w:val="21"/>
          <w:b w:val="1"/>
          <w:bCs w:val="1"/>
          <w:color w:val="auto"/>
        </w:rPr>
        <w:t xml:space="preserve">. </w:t>
      </w:r>
      <w:r>
        <w:rPr>
          <w:rFonts w:ascii="Arial" w:cs="Arial" w:eastAsia="Arial" w:hAnsi="Arial"/>
          <w:sz w:val="21"/>
          <w:szCs w:val="21"/>
          <w:color w:val="auto"/>
        </w:rPr>
        <w:t>The Administrator may also make adjustments of the type described</w:t>
      </w:r>
      <w:r>
        <w:rPr>
          <w:rFonts w:ascii="Arial" w:cs="Arial" w:eastAsia="Arial" w:hAnsi="Arial"/>
          <w:sz w:val="21"/>
          <w:szCs w:val="21"/>
          <w:b w:val="1"/>
          <w:bCs w:val="1"/>
          <w:color w:val="auto"/>
        </w:rPr>
        <w:t xml:space="preserve"> </w:t>
      </w:r>
      <w:r>
        <w:rPr>
          <w:rFonts w:ascii="Arial" w:cs="Arial" w:eastAsia="Arial" w:hAnsi="Arial"/>
          <w:sz w:val="21"/>
          <w:szCs w:val="21"/>
          <w:color w:val="auto"/>
        </w:rPr>
        <w:t>in Section 7(b)(1) above to take into account distributions to stockholders other than those provided for in Section 7(a) and 7(b)(1), or any other event, if the Administrator determines that adjustments are appropriate to avoid distortion in the operation of the Plan, having due regard for the qualification of ISOs under Section 422, the requirements of Section 409A, and for the performance-based compensation rules of Section 162(m), where applicable.</w:t>
      </w:r>
    </w:p>
    <w:p>
      <w:pPr>
        <w:spacing w:after="0" w:line="168" w:lineRule="exact"/>
        <w:rPr>
          <w:rFonts w:ascii="Arial" w:cs="Arial" w:eastAsia="Arial" w:hAnsi="Arial"/>
          <w:sz w:val="21"/>
          <w:szCs w:val="21"/>
          <w:b w:val="1"/>
          <w:bCs w:val="1"/>
          <w:color w:val="auto"/>
        </w:rPr>
      </w:pPr>
    </w:p>
    <w:p>
      <w:pPr>
        <w:ind w:right="800" w:firstLine="1763"/>
        <w:spacing w:after="0" w:line="280" w:lineRule="auto"/>
        <w:tabs>
          <w:tab w:leader="none" w:pos="2655" w:val="left"/>
        </w:tabs>
        <w:numPr>
          <w:ilvl w:val="1"/>
          <w:numId w:val="7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Continuing Application of Plan Terms</w:t>
      </w:r>
      <w:r>
        <w:rPr>
          <w:rFonts w:ascii="Arial" w:cs="Arial" w:eastAsia="Arial" w:hAnsi="Arial"/>
          <w:sz w:val="21"/>
          <w:szCs w:val="21"/>
          <w:b w:val="1"/>
          <w:bCs w:val="1"/>
          <w:color w:val="auto"/>
        </w:rPr>
        <w:t xml:space="preserve">. </w:t>
      </w:r>
      <w:r>
        <w:rPr>
          <w:rFonts w:ascii="Arial" w:cs="Arial" w:eastAsia="Arial" w:hAnsi="Arial"/>
          <w:sz w:val="21"/>
          <w:szCs w:val="21"/>
          <w:color w:val="auto"/>
        </w:rPr>
        <w:t>References in the Plan to shares of Stock will be</w:t>
      </w:r>
      <w:r>
        <w:rPr>
          <w:rFonts w:ascii="Arial" w:cs="Arial" w:eastAsia="Arial" w:hAnsi="Arial"/>
          <w:sz w:val="21"/>
          <w:szCs w:val="21"/>
          <w:b w:val="1"/>
          <w:bCs w:val="1"/>
          <w:color w:val="auto"/>
        </w:rPr>
        <w:t xml:space="preserve"> </w:t>
      </w:r>
      <w:r>
        <w:rPr>
          <w:rFonts w:ascii="Arial" w:cs="Arial" w:eastAsia="Arial" w:hAnsi="Arial"/>
          <w:sz w:val="21"/>
          <w:szCs w:val="21"/>
          <w:color w:val="auto"/>
        </w:rPr>
        <w:t>construed to include any stock or securities resulting from an adjustment pursuant to this Section 7.</w:t>
      </w:r>
    </w:p>
    <w:p>
      <w:pPr>
        <w:spacing w:after="0" w:line="138" w:lineRule="exact"/>
        <w:rPr>
          <w:rFonts w:ascii="Arial" w:cs="Arial" w:eastAsia="Arial" w:hAnsi="Arial"/>
          <w:sz w:val="21"/>
          <w:szCs w:val="21"/>
          <w:b w:val="1"/>
          <w:bCs w:val="1"/>
          <w:color w:val="auto"/>
        </w:rPr>
      </w:pPr>
    </w:p>
    <w:p>
      <w:pPr>
        <w:ind w:left="820" w:hanging="812"/>
        <w:spacing w:after="0"/>
        <w:tabs>
          <w:tab w:leader="none" w:pos="820"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color w:val="auto"/>
        </w:rPr>
        <w:t>LEGAL CONDITIONS ON DELIVERY OF STOCK</w:t>
      </w:r>
    </w:p>
    <w:p>
      <w:pPr>
        <w:spacing w:after="0" w:line="212" w:lineRule="exact"/>
        <w:rPr>
          <w:sz w:val="20"/>
          <w:szCs w:val="20"/>
          <w:color w:val="auto"/>
        </w:rPr>
      </w:pPr>
    </w:p>
    <w:p>
      <w:pPr>
        <w:ind w:right="40" w:firstLine="877"/>
        <w:spacing w:after="0" w:line="272" w:lineRule="auto"/>
        <w:rPr>
          <w:sz w:val="20"/>
          <w:szCs w:val="20"/>
          <w:color w:val="auto"/>
        </w:rPr>
      </w:pPr>
      <w:r>
        <w:rPr>
          <w:rFonts w:ascii="Arial" w:cs="Arial" w:eastAsia="Arial" w:hAnsi="Arial"/>
          <w:sz w:val="19"/>
          <w:szCs w:val="19"/>
          <w:color w:val="auto"/>
        </w:rPr>
        <w:t>The Company will not be obligated to deliver any shares of Stock pursuant to the Plan or to remove any restriction from shares of Stock previously delivered under the Plan until: (i) the Company is satisfied that all legal matters in connection with the issuance and delivery of such shares have been addressed and resolved; (ii) if the outstanding Stock is at the time of delivery listed on any stock exchange or national market system, the shares to be delivered have been listed or authorized to be listed on such exchange or system upon official notice of issuance; and (iii) all conditions of the Award have been satisfied or waived. The Company may require, as a condition to exercise of the Award, such representations or agreements as counsel for the Company may consider appropriate to avoid violation of the Securities Act of 1933 or any applicable state or non-U.S. securities law. Any Stock required to be issued to Participants under the Plan will be evidenced in such manner as the Administrator may deem appropriate, including book-entry registration or delivery of stock certificates. In the event that the Administrator determines that Stock certificates will be issued to Participants under the Plan, the Administrator may require that certificates evidencing Stock issued under the Plan bear an appropriate legend reflecting any restriction on transfer applicable to such Stock, and the Company may hold the certificates pending lapse of the applicable restrictions.</w:t>
      </w:r>
    </w:p>
    <w:p>
      <w:pPr>
        <w:spacing w:after="0" w:line="156" w:lineRule="exact"/>
        <w:rPr>
          <w:sz w:val="20"/>
          <w:szCs w:val="20"/>
          <w:color w:val="auto"/>
        </w:rPr>
      </w:pPr>
    </w:p>
    <w:p>
      <w:pPr>
        <w:ind w:left="820" w:hanging="812"/>
        <w:spacing w:after="0"/>
        <w:tabs>
          <w:tab w:leader="none" w:pos="820"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color w:val="auto"/>
        </w:rPr>
        <w:t>AMENDMENT AND TERMINATION</w:t>
      </w:r>
    </w:p>
    <w:p>
      <w:pPr>
        <w:spacing w:after="0" w:line="212" w:lineRule="exact"/>
        <w:rPr>
          <w:sz w:val="20"/>
          <w:szCs w:val="20"/>
          <w:color w:val="auto"/>
        </w:rPr>
      </w:pPr>
    </w:p>
    <w:p>
      <w:pPr>
        <w:ind w:right="20" w:firstLine="877"/>
        <w:spacing w:after="0" w:line="247" w:lineRule="auto"/>
        <w:rPr>
          <w:sz w:val="20"/>
          <w:szCs w:val="20"/>
          <w:color w:val="auto"/>
        </w:rPr>
      </w:pPr>
      <w:r>
        <w:rPr>
          <w:rFonts w:ascii="Arial" w:cs="Arial" w:eastAsia="Arial" w:hAnsi="Arial"/>
          <w:sz w:val="21"/>
          <w:szCs w:val="21"/>
          <w:color w:val="auto"/>
        </w:rPr>
        <w:t>The Administrator may at any time or times amend the Plan or any outstanding Award for any purpose which may at the time be permitted by law, and may at any time terminate the Plan as to any future grants of Awards; provided, that except as otherwise expressly provided in the Plan the Administrator may not, without the Participant’s consent, alter the terms of an Award so as to affect materially and adversely the Participant’s rights under the Award, unless the Administrator expressly reserved the right to do so at the time the Award was granted. Any amendments to the Plan will be conditioned upon stockholder approval only to the extent, if any, such approval is required by law (including the Code and applicable stock exchange requirements), as determined by the Administrator.</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2" w:right="319" w:bottom="1440" w:gutter="0" w:footer="0" w:header="0"/>
        </w:sectPr>
      </w:pPr>
    </w:p>
    <w:bookmarkStart w:id="109" w:name="page110"/>
    <w:bookmarkEnd w:id="109"/>
    <w:p>
      <w:pPr>
        <w:ind w:left="920" w:hanging="912"/>
        <w:spacing w:after="0"/>
        <w:tabs>
          <w:tab w:leader="none" w:pos="920" w:val="left"/>
        </w:tabs>
        <w:numPr>
          <w:ilvl w:val="0"/>
          <w:numId w:val="77"/>
        </w:numPr>
        <w:rPr>
          <w:rFonts w:ascii="Arial" w:cs="Arial" w:eastAsia="Arial" w:hAnsi="Arial"/>
          <w:sz w:val="22"/>
          <w:szCs w:val="22"/>
          <w:b w:val="1"/>
          <w:bCs w:val="1"/>
          <w:color w:val="auto"/>
        </w:rPr>
      </w:pPr>
      <w:r>
        <w:rPr>
          <w:rFonts w:ascii="Arial" w:cs="Arial" w:eastAsia="Arial" w:hAnsi="Arial"/>
          <w:sz w:val="22"/>
          <w:szCs w:val="22"/>
          <w:b w:val="1"/>
          <w:bCs w:val="1"/>
          <w:color w:val="auto"/>
        </w:rPr>
        <w:t>OTHER COMPENSATION ARRANGEMENTS</w:t>
      </w:r>
    </w:p>
    <w:p>
      <w:pPr>
        <w:spacing w:after="0" w:line="212" w:lineRule="exact"/>
        <w:rPr>
          <w:sz w:val="20"/>
          <w:szCs w:val="20"/>
          <w:color w:val="auto"/>
        </w:rPr>
      </w:pPr>
    </w:p>
    <w:p>
      <w:pPr>
        <w:ind w:right="340" w:firstLine="877"/>
        <w:spacing w:after="0" w:line="251" w:lineRule="auto"/>
        <w:rPr>
          <w:sz w:val="20"/>
          <w:szCs w:val="20"/>
          <w:color w:val="auto"/>
        </w:rPr>
      </w:pPr>
      <w:r>
        <w:rPr>
          <w:rFonts w:ascii="Arial" w:cs="Arial" w:eastAsia="Arial" w:hAnsi="Arial"/>
          <w:sz w:val="22"/>
          <w:szCs w:val="22"/>
          <w:color w:val="auto"/>
        </w:rPr>
        <w:t>The existence of the Plan or the grant of any Award will not in any way affect the Company’s right to Award a person bonuses or other compensation in addition to Awards under the Plan.</w:t>
      </w:r>
    </w:p>
    <w:p>
      <w:pPr>
        <w:spacing w:after="0" w:line="167" w:lineRule="exact"/>
        <w:rPr>
          <w:sz w:val="20"/>
          <w:szCs w:val="20"/>
          <w:color w:val="auto"/>
        </w:rPr>
      </w:pPr>
    </w:p>
    <w:p>
      <w:pPr>
        <w:ind w:left="920" w:hanging="912"/>
        <w:spacing w:after="0"/>
        <w:tabs>
          <w:tab w:leader="none" w:pos="920"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06" w:lineRule="exact"/>
        <w:rPr>
          <w:rFonts w:ascii="Arial" w:cs="Arial" w:eastAsia="Arial" w:hAnsi="Arial"/>
          <w:sz w:val="22"/>
          <w:szCs w:val="22"/>
          <w:b w:val="1"/>
          <w:bCs w:val="1"/>
          <w:color w:val="auto"/>
        </w:rPr>
      </w:pPr>
    </w:p>
    <w:p>
      <w:pPr>
        <w:ind w:firstLine="885"/>
        <w:spacing w:after="0" w:line="274" w:lineRule="auto"/>
        <w:tabs>
          <w:tab w:leader="none" w:pos="1778" w:val="left"/>
        </w:tabs>
        <w:numPr>
          <w:ilvl w:val="1"/>
          <w:numId w:val="7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Waiver of Jury Trial</w:t>
      </w:r>
      <w:r>
        <w:rPr>
          <w:rFonts w:ascii="Arial" w:cs="Arial" w:eastAsia="Arial" w:hAnsi="Arial"/>
          <w:sz w:val="19"/>
          <w:szCs w:val="19"/>
          <w:b w:val="1"/>
          <w:bCs w:val="1"/>
          <w:color w:val="auto"/>
        </w:rPr>
        <w:t xml:space="preserve">. </w:t>
      </w:r>
      <w:r>
        <w:rPr>
          <w:rFonts w:ascii="Arial" w:cs="Arial" w:eastAsia="Arial" w:hAnsi="Arial"/>
          <w:sz w:val="19"/>
          <w:szCs w:val="19"/>
          <w:color w:val="auto"/>
        </w:rPr>
        <w:t>By accepting an Award under the Plan and to the extent permitted under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law, each Participant waives any right to a trial by jury in any action, proceeding or counterclaim concerning any rights under the Plan and any Award, or under any amendment, waiver, consent, instrument, document or other agreement delivered or which in the future may be delivered in connection therewith, and agrees that any such action, proceedings or counterclaim will be tried before a court and not before a jury. By accepting an Award under the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the Plan, nothing herein is to be construed as limiting the ability of the Company and a Participant to agree to submit disputes arising under the terms of the Plan or any Award made hereunder to binding arbitration or as limiting the ability of the Company to require any eligible individual to agree to submit such disputes to binding arbitration as a condition of receiving an Award hereunder.</w:t>
      </w:r>
    </w:p>
    <w:p>
      <w:pPr>
        <w:spacing w:after="0" w:line="152" w:lineRule="exact"/>
        <w:rPr>
          <w:rFonts w:ascii="Arial" w:cs="Arial" w:eastAsia="Arial" w:hAnsi="Arial"/>
          <w:sz w:val="19"/>
          <w:szCs w:val="19"/>
          <w:b w:val="1"/>
          <w:bCs w:val="1"/>
          <w:color w:val="auto"/>
        </w:rPr>
      </w:pPr>
    </w:p>
    <w:p>
      <w:pPr>
        <w:ind w:right="60" w:firstLine="885"/>
        <w:spacing w:after="0" w:line="247" w:lineRule="auto"/>
        <w:tabs>
          <w:tab w:leader="none" w:pos="1790" w:val="left"/>
        </w:tabs>
        <w:numPr>
          <w:ilvl w:val="1"/>
          <w:numId w:val="7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Limitation of Liability</w:t>
      </w:r>
      <w:r>
        <w:rPr>
          <w:rFonts w:ascii="Arial" w:cs="Arial" w:eastAsia="Arial" w:hAnsi="Arial"/>
          <w:sz w:val="21"/>
          <w:szCs w:val="21"/>
          <w:b w:val="1"/>
          <w:bCs w:val="1"/>
          <w:color w:val="auto"/>
        </w:rPr>
        <w:t xml:space="preserve">. </w:t>
      </w:r>
      <w:r>
        <w:rPr>
          <w:rFonts w:ascii="Arial" w:cs="Arial" w:eastAsia="Arial" w:hAnsi="Arial"/>
          <w:sz w:val="21"/>
          <w:szCs w:val="21"/>
          <w:color w:val="auto"/>
        </w:rPr>
        <w:t>Notwithstanding anything to the contrary in the Plan, neither the Company, nor any</w:t>
      </w:r>
      <w:r>
        <w:rPr>
          <w:rFonts w:ascii="Arial" w:cs="Arial" w:eastAsia="Arial" w:hAnsi="Arial"/>
          <w:sz w:val="21"/>
          <w:szCs w:val="21"/>
          <w:b w:val="1"/>
          <w:bCs w:val="1"/>
          <w:color w:val="auto"/>
        </w:rPr>
        <w:t xml:space="preserve"> </w:t>
      </w:r>
      <w:r>
        <w:rPr>
          <w:rFonts w:ascii="Arial" w:cs="Arial" w:eastAsia="Arial" w:hAnsi="Arial"/>
          <w:sz w:val="21"/>
          <w:szCs w:val="21"/>
          <w:color w:val="auto"/>
        </w:rPr>
        <w:t>Affiliate, nor the Administrator, nor any person acting on behalf of the Company, any Affiliate, or the Administrator, will be liable to any Participant or to the estate or beneficiary of any Participant or to any other holder of an Award by reason of any acceleration of income, or any additional tax (including any interest and penalties), asserted by reason of the failure of an Award to satisfy the requirements of Section 422 or Section 409A or by reason of Section 4999 of the Code, or otherwise asserted with respect to the Award; provided, that nothing in this Section 11(b) will limit the ability of the Administrator or the Company, in its discretion, to provide by separate express written agreement with a Participant for any payment in connection with any such acceleration of income or additional tax.</w:t>
      </w:r>
    </w:p>
    <w:p>
      <w:pPr>
        <w:spacing w:after="0" w:line="172" w:lineRule="exact"/>
        <w:rPr>
          <w:rFonts w:ascii="Arial" w:cs="Arial" w:eastAsia="Arial" w:hAnsi="Arial"/>
          <w:sz w:val="21"/>
          <w:szCs w:val="21"/>
          <w:b w:val="1"/>
          <w:bCs w:val="1"/>
          <w:color w:val="auto"/>
        </w:rPr>
      </w:pPr>
    </w:p>
    <w:p>
      <w:pPr>
        <w:ind w:left="920" w:hanging="912"/>
        <w:spacing w:after="0"/>
        <w:tabs>
          <w:tab w:leader="none" w:pos="920"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color w:val="auto"/>
        </w:rPr>
        <w:t>ESTABLISHMENT OF SUB-PLANS</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The Administrator may from time to time establish one or more sub-plans under the Plan for purposes of satisfying</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applicable blue sky, securities or tax laws of various jurisdictions. The Administrator will establish such sub-plans by adopting</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supplements to the Plan setting forth (i) such limitations on the Administrator’s discretion under the Plan as it deems necessary or</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desirable and (ii) such additional terms and conditions not otherwise inconsistent with the Plan as it deems necessary or</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desirable. All supplements so established will be deemed to be part of the Plan, but each supplement will apply only to Participants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within the affected jurisdiction (as determined by the Administrator).</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110" w:name="page111"/>
    <w:bookmarkEnd w:id="110"/>
    <w:p>
      <w:pPr>
        <w:ind w:left="912" w:hanging="912"/>
        <w:spacing w:after="0"/>
        <w:tabs>
          <w:tab w:leader="none" w:pos="912" w:val="left"/>
        </w:tabs>
        <w:numPr>
          <w:ilvl w:val="0"/>
          <w:numId w:val="79"/>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w:t>
      </w:r>
    </w:p>
    <w:p>
      <w:pPr>
        <w:spacing w:after="0" w:line="206" w:lineRule="exact"/>
        <w:rPr>
          <w:rFonts w:ascii="Arial" w:cs="Arial" w:eastAsia="Arial" w:hAnsi="Arial"/>
          <w:sz w:val="22"/>
          <w:szCs w:val="22"/>
          <w:b w:val="1"/>
          <w:bCs w:val="1"/>
          <w:color w:val="auto"/>
        </w:rPr>
      </w:pPr>
    </w:p>
    <w:p>
      <w:pPr>
        <w:ind w:left="-8" w:firstLine="885"/>
        <w:spacing w:after="0" w:line="239" w:lineRule="auto"/>
        <w:tabs>
          <w:tab w:leader="none" w:pos="1770" w:val="left"/>
        </w:tabs>
        <w:numPr>
          <w:ilvl w:val="1"/>
          <w:numId w:val="7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Certain Requirements of Corporate Law</w:t>
      </w:r>
      <w:r>
        <w:rPr>
          <w:rFonts w:ascii="Arial" w:cs="Arial" w:eastAsia="Arial" w:hAnsi="Arial"/>
          <w:sz w:val="22"/>
          <w:szCs w:val="22"/>
          <w:b w:val="1"/>
          <w:bCs w:val="1"/>
          <w:color w:val="auto"/>
        </w:rPr>
        <w:t xml:space="preserve">. </w:t>
      </w:r>
      <w:r>
        <w:rPr>
          <w:rFonts w:ascii="Arial" w:cs="Arial" w:eastAsia="Arial" w:hAnsi="Arial"/>
          <w:sz w:val="22"/>
          <w:szCs w:val="22"/>
          <w:color w:val="auto"/>
        </w:rPr>
        <w:t>Awards will be granted and administered consistent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requirements of applicable Delaware law relating to the issuance of stock and the consideration to be received therefor, and with the applicable requirements of the stock exchanges or other trading systems on which the Stock is listed or entered for trading, in each case as determined by the Administrator.</w:t>
      </w:r>
    </w:p>
    <w:p>
      <w:pPr>
        <w:spacing w:after="0" w:line="180" w:lineRule="exact"/>
        <w:rPr>
          <w:rFonts w:ascii="Arial" w:cs="Arial" w:eastAsia="Arial" w:hAnsi="Arial"/>
          <w:sz w:val="22"/>
          <w:szCs w:val="22"/>
          <w:b w:val="1"/>
          <w:bCs w:val="1"/>
          <w:color w:val="auto"/>
        </w:rPr>
      </w:pPr>
    </w:p>
    <w:p>
      <w:pPr>
        <w:ind w:left="-8" w:right="40" w:firstLine="885"/>
        <w:spacing w:after="0" w:line="236" w:lineRule="auto"/>
        <w:tabs>
          <w:tab w:leader="none" w:pos="1782" w:val="left"/>
        </w:tabs>
        <w:numPr>
          <w:ilvl w:val="1"/>
          <w:numId w:val="7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Matters</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otherwise provided by the express terms of an Award agreement, under a sub-plan</w:t>
      </w:r>
      <w:r>
        <w:rPr>
          <w:rFonts w:ascii="Arial" w:cs="Arial" w:eastAsia="Arial" w:hAnsi="Arial"/>
          <w:sz w:val="22"/>
          <w:szCs w:val="22"/>
          <w:b w:val="1"/>
          <w:bCs w:val="1"/>
          <w:color w:val="auto"/>
        </w:rPr>
        <w:t xml:space="preserve"> </w:t>
      </w:r>
      <w:r>
        <w:rPr>
          <w:rFonts w:ascii="Arial" w:cs="Arial" w:eastAsia="Arial" w:hAnsi="Arial"/>
          <w:sz w:val="22"/>
          <w:szCs w:val="22"/>
          <w:color w:val="auto"/>
        </w:rPr>
        <w:t>described in Section 12 or as provided in Section 13(a) above, the provisions of the Plan and of Awards under the Plan and all claims or disputes arising out of or based upon the Plan or any Award under the Plan or relating to the subject matter hereof or thereof will be governed by and construed in accordance with the domestic substantive laws of the State of Delaware without giving effect to any choice or conflict of laws provision or rule that would cause the application of the domestic substantive laws of any other jurisdiction.</w:t>
      </w:r>
    </w:p>
    <w:p>
      <w:pPr>
        <w:spacing w:after="0" w:line="182" w:lineRule="exact"/>
        <w:rPr>
          <w:rFonts w:ascii="Arial" w:cs="Arial" w:eastAsia="Arial" w:hAnsi="Arial"/>
          <w:sz w:val="22"/>
          <w:szCs w:val="22"/>
          <w:b w:val="1"/>
          <w:bCs w:val="1"/>
          <w:color w:val="auto"/>
        </w:rPr>
      </w:pPr>
    </w:p>
    <w:p>
      <w:pPr>
        <w:ind w:left="-8" w:firstLine="885"/>
        <w:spacing w:after="0" w:line="245" w:lineRule="auto"/>
        <w:tabs>
          <w:tab w:leader="none" w:pos="1757" w:val="left"/>
        </w:tabs>
        <w:numPr>
          <w:ilvl w:val="1"/>
          <w:numId w:val="7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Jurisdiction</w:t>
      </w:r>
      <w:r>
        <w:rPr>
          <w:rFonts w:ascii="Arial" w:cs="Arial" w:eastAsia="Arial" w:hAnsi="Arial"/>
          <w:sz w:val="21"/>
          <w:szCs w:val="21"/>
          <w:b w:val="1"/>
          <w:bCs w:val="1"/>
          <w:color w:val="auto"/>
        </w:rPr>
        <w:t xml:space="preserve">. </w:t>
      </w:r>
      <w:r>
        <w:rPr>
          <w:rFonts w:ascii="Arial" w:cs="Arial" w:eastAsia="Arial" w:hAnsi="Arial"/>
          <w:sz w:val="21"/>
          <w:szCs w:val="21"/>
          <w:color w:val="auto"/>
        </w:rPr>
        <w:t>By accepting an Award, each Participant will be deemed to (a) have submitted irrevocably and</w:t>
      </w:r>
      <w:r>
        <w:rPr>
          <w:rFonts w:ascii="Arial" w:cs="Arial" w:eastAsia="Arial" w:hAnsi="Arial"/>
          <w:sz w:val="21"/>
          <w:szCs w:val="21"/>
          <w:b w:val="1"/>
          <w:bCs w:val="1"/>
          <w:color w:val="auto"/>
        </w:rPr>
        <w:t xml:space="preserve"> </w:t>
      </w:r>
      <w:r>
        <w:rPr>
          <w:rFonts w:ascii="Arial" w:cs="Arial" w:eastAsia="Arial" w:hAnsi="Arial"/>
          <w:sz w:val="21"/>
          <w:szCs w:val="21"/>
          <w:color w:val="auto"/>
        </w:rPr>
        <w:t>unconditionally to the jurisdiction of the federal and state courts located within the geographic boundaries of the United States District Court for the Northern District of California for the purpose of any suit, action or other proceeding arising out of or based upon the Plan or any Award; (b) agree not to commence any suit, action or other proceeding arising out of or based upon the Plan or an Award, except in the federal and state courts located within the geographic boundaries of the United States District Court for the Northern District of California; and (c)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the Plan or an Award or the subject matter thereof may not be enforced in or by such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157480</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42" w:right="239" w:bottom="1440" w:gutter="0" w:footer="0" w:header="0"/>
        </w:sectPr>
      </w:pPr>
    </w:p>
    <w:bookmarkStart w:id="111" w:name="page112"/>
    <w:bookmarkEnd w:id="111"/>
    <w:p>
      <w:pPr>
        <w:jc w:val="center"/>
        <w:ind w:right="-99"/>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u w:val="single" w:color="auto"/>
          <w:color w:val="auto"/>
        </w:rPr>
        <w:t>Definition of Terms</w:t>
      </w:r>
    </w:p>
    <w:p>
      <w:pPr>
        <w:spacing w:after="0" w:line="212" w:lineRule="exact"/>
        <w:rPr>
          <w:sz w:val="20"/>
          <w:szCs w:val="20"/>
          <w:color w:val="auto"/>
        </w:rPr>
      </w:pPr>
    </w:p>
    <w:p>
      <w:pPr>
        <w:jc w:val="center"/>
        <w:ind w:left="420"/>
        <w:spacing w:after="0"/>
        <w:rPr>
          <w:sz w:val="20"/>
          <w:szCs w:val="20"/>
          <w:color w:val="auto"/>
        </w:rPr>
      </w:pPr>
      <w:r>
        <w:rPr>
          <w:rFonts w:ascii="Arial" w:cs="Arial" w:eastAsia="Arial" w:hAnsi="Arial"/>
          <w:sz w:val="21"/>
          <w:szCs w:val="21"/>
          <w:color w:val="auto"/>
        </w:rPr>
        <w:t>The following terms, when used in the Plan, will have the meanings and be subject to the provisions set forth below:</w:t>
      </w:r>
    </w:p>
    <w:p>
      <w:pPr>
        <w:spacing w:after="0" w:line="212" w:lineRule="exact"/>
        <w:rPr>
          <w:sz w:val="20"/>
          <w:szCs w:val="20"/>
          <w:color w:val="auto"/>
        </w:rPr>
      </w:pPr>
    </w:p>
    <w:p>
      <w:pPr>
        <w:ind w:right="60" w:firstLine="877"/>
        <w:spacing w:after="0" w:line="280" w:lineRule="auto"/>
        <w:rPr>
          <w:sz w:val="20"/>
          <w:szCs w:val="20"/>
          <w:color w:val="auto"/>
        </w:rPr>
      </w:pPr>
      <w:r>
        <w:rPr>
          <w:rFonts w:ascii="Arial" w:cs="Arial" w:eastAsia="Arial" w:hAnsi="Arial"/>
          <w:sz w:val="19"/>
          <w:szCs w:val="19"/>
          <w:b w:val="1"/>
          <w:bCs w:val="1"/>
          <w:color w:val="auto"/>
        </w:rPr>
        <w:t xml:space="preserve">“Administrator”: </w:t>
      </w:r>
      <w:r>
        <w:rPr>
          <w:rFonts w:ascii="Arial" w:cs="Arial" w:eastAsia="Arial" w:hAnsi="Arial"/>
          <w:sz w:val="19"/>
          <w:szCs w:val="19"/>
          <w:color w:val="auto"/>
        </w:rPr>
        <w:t>The Compensation Committee, except that the Compensation Committee may delegate (i) to one or</w:t>
      </w:r>
      <w:r>
        <w:rPr>
          <w:rFonts w:ascii="Arial" w:cs="Arial" w:eastAsia="Arial" w:hAnsi="Arial"/>
          <w:sz w:val="19"/>
          <w:szCs w:val="19"/>
          <w:b w:val="1"/>
          <w:bCs w:val="1"/>
          <w:color w:val="auto"/>
        </w:rPr>
        <w:t xml:space="preserve"> </w:t>
      </w:r>
      <w:r>
        <w:rPr>
          <w:rFonts w:ascii="Arial" w:cs="Arial" w:eastAsia="Arial" w:hAnsi="Arial"/>
          <w:sz w:val="19"/>
          <w:szCs w:val="19"/>
          <w:color w:val="auto"/>
        </w:rPr>
        <w:t>more of its members (or one or more other members of the Board (including the full Board)) such of its duties, powers and responsibilities as it may determine; (ii) to one or more officers of the Company the power to grant Awards to the extent permitted by Section 157(c) of the Delaware General Corporation Law; and (iii) to such Employees or other persons as it determines such ministerial tasks as it deems appropriate. In the event of any delegation described in the preceding sentence, the term “Administrator” will include the person or persons so delegated to the extent of such delegation.</w:t>
      </w:r>
    </w:p>
    <w:p>
      <w:pPr>
        <w:spacing w:after="0" w:line="145" w:lineRule="exact"/>
        <w:rPr>
          <w:sz w:val="20"/>
          <w:szCs w:val="20"/>
          <w:color w:val="auto"/>
        </w:rPr>
      </w:pPr>
    </w:p>
    <w:p>
      <w:pPr>
        <w:ind w:firstLine="877"/>
        <w:spacing w:after="0" w:line="335" w:lineRule="auto"/>
        <w:rPr>
          <w:sz w:val="20"/>
          <w:szCs w:val="20"/>
          <w:color w:val="auto"/>
        </w:rPr>
      </w:pPr>
      <w:r>
        <w:rPr>
          <w:rFonts w:ascii="Arial" w:cs="Arial" w:eastAsia="Arial" w:hAnsi="Arial"/>
          <w:sz w:val="19"/>
          <w:szCs w:val="19"/>
          <w:b w:val="1"/>
          <w:bCs w:val="1"/>
          <w:color w:val="auto"/>
        </w:rPr>
        <w:t xml:space="preserve">“Affiliate”: </w:t>
      </w:r>
      <w:r>
        <w:rPr>
          <w:rFonts w:ascii="Arial" w:cs="Arial" w:eastAsia="Arial" w:hAnsi="Arial"/>
          <w:sz w:val="19"/>
          <w:szCs w:val="19"/>
          <w:color w:val="auto"/>
        </w:rPr>
        <w:t>Any corporation or other entity that stands in a relationship to the Company that would result in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and such corporation or other entity being treated as one employer under Section 414(b) and Section 414(c) of the Code.</w:t>
      </w:r>
    </w:p>
    <w:p>
      <w:pPr>
        <w:spacing w:after="0" w:line="92"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 xml:space="preserve">“Award”: </w:t>
      </w:r>
      <w:r>
        <w:rPr>
          <w:rFonts w:ascii="Arial" w:cs="Arial" w:eastAsia="Arial" w:hAnsi="Arial"/>
          <w:sz w:val="22"/>
          <w:szCs w:val="22"/>
          <w:color w:val="auto"/>
        </w:rPr>
        <w:t>Any or a combination of the following:</w:t>
      </w:r>
    </w:p>
    <w:p>
      <w:pPr>
        <w:spacing w:after="0" w:line="212" w:lineRule="exact"/>
        <w:rPr>
          <w:sz w:val="20"/>
          <w:szCs w:val="20"/>
          <w:color w:val="auto"/>
        </w:rPr>
      </w:pPr>
    </w:p>
    <w:p>
      <w:pPr>
        <w:ind w:left="1960" w:hanging="264"/>
        <w:spacing w:after="0"/>
        <w:tabs>
          <w:tab w:leader="none" w:pos="1960" w:val="left"/>
        </w:tabs>
        <w:numPr>
          <w:ilvl w:val="0"/>
          <w:numId w:val="80"/>
        </w:numPr>
        <w:rPr>
          <w:rFonts w:ascii="Arial" w:cs="Arial" w:eastAsia="Arial" w:hAnsi="Arial"/>
          <w:sz w:val="22"/>
          <w:szCs w:val="22"/>
          <w:color w:val="auto"/>
        </w:rPr>
      </w:pPr>
      <w:r>
        <w:rPr>
          <w:rFonts w:ascii="Arial" w:cs="Arial" w:eastAsia="Arial" w:hAnsi="Arial"/>
          <w:sz w:val="22"/>
          <w:szCs w:val="22"/>
          <w:color w:val="auto"/>
        </w:rPr>
        <w:t>Stock Options.</w:t>
      </w:r>
    </w:p>
    <w:p>
      <w:pPr>
        <w:spacing w:after="0" w:line="206" w:lineRule="exact"/>
        <w:rPr>
          <w:rFonts w:ascii="Arial" w:cs="Arial" w:eastAsia="Arial" w:hAnsi="Arial"/>
          <w:sz w:val="22"/>
          <w:szCs w:val="22"/>
          <w:color w:val="auto"/>
        </w:rPr>
      </w:pPr>
    </w:p>
    <w:p>
      <w:pPr>
        <w:ind w:left="2020" w:hanging="324"/>
        <w:spacing w:after="0"/>
        <w:tabs>
          <w:tab w:leader="none" w:pos="2020" w:val="left"/>
        </w:tabs>
        <w:numPr>
          <w:ilvl w:val="0"/>
          <w:numId w:val="80"/>
        </w:numPr>
        <w:rPr>
          <w:rFonts w:ascii="Arial" w:cs="Arial" w:eastAsia="Arial" w:hAnsi="Arial"/>
          <w:sz w:val="22"/>
          <w:szCs w:val="22"/>
          <w:color w:val="auto"/>
        </w:rPr>
      </w:pPr>
      <w:r>
        <w:rPr>
          <w:rFonts w:ascii="Arial" w:cs="Arial" w:eastAsia="Arial" w:hAnsi="Arial"/>
          <w:sz w:val="22"/>
          <w:szCs w:val="22"/>
          <w:color w:val="auto"/>
        </w:rPr>
        <w:t>SARs.</w:t>
      </w:r>
    </w:p>
    <w:p>
      <w:pPr>
        <w:spacing w:after="0" w:line="206" w:lineRule="exact"/>
        <w:rPr>
          <w:rFonts w:ascii="Arial" w:cs="Arial" w:eastAsia="Arial" w:hAnsi="Arial"/>
          <w:sz w:val="22"/>
          <w:szCs w:val="22"/>
          <w:color w:val="auto"/>
        </w:rPr>
      </w:pPr>
    </w:p>
    <w:p>
      <w:pPr>
        <w:ind w:left="2080" w:hanging="384"/>
        <w:spacing w:after="0"/>
        <w:tabs>
          <w:tab w:leader="none" w:pos="2080" w:val="left"/>
        </w:tabs>
        <w:numPr>
          <w:ilvl w:val="0"/>
          <w:numId w:val="80"/>
        </w:numPr>
        <w:rPr>
          <w:rFonts w:ascii="Arial" w:cs="Arial" w:eastAsia="Arial" w:hAnsi="Arial"/>
          <w:sz w:val="22"/>
          <w:szCs w:val="22"/>
          <w:color w:val="auto"/>
        </w:rPr>
      </w:pPr>
      <w:r>
        <w:rPr>
          <w:rFonts w:ascii="Arial" w:cs="Arial" w:eastAsia="Arial" w:hAnsi="Arial"/>
          <w:sz w:val="22"/>
          <w:szCs w:val="22"/>
          <w:color w:val="auto"/>
        </w:rPr>
        <w:t>Restricted Stock.</w:t>
      </w:r>
    </w:p>
    <w:p>
      <w:pPr>
        <w:spacing w:after="0" w:line="206" w:lineRule="exact"/>
        <w:rPr>
          <w:rFonts w:ascii="Arial" w:cs="Arial" w:eastAsia="Arial" w:hAnsi="Arial"/>
          <w:sz w:val="22"/>
          <w:szCs w:val="22"/>
          <w:color w:val="auto"/>
        </w:rPr>
      </w:pPr>
    </w:p>
    <w:p>
      <w:pPr>
        <w:ind w:left="2060" w:hanging="364"/>
        <w:spacing w:after="0"/>
        <w:tabs>
          <w:tab w:leader="none" w:pos="2060" w:val="left"/>
        </w:tabs>
        <w:numPr>
          <w:ilvl w:val="0"/>
          <w:numId w:val="80"/>
        </w:numPr>
        <w:rPr>
          <w:rFonts w:ascii="Arial" w:cs="Arial" w:eastAsia="Arial" w:hAnsi="Arial"/>
          <w:sz w:val="22"/>
          <w:szCs w:val="22"/>
          <w:color w:val="auto"/>
        </w:rPr>
      </w:pPr>
      <w:r>
        <w:rPr>
          <w:rFonts w:ascii="Arial" w:cs="Arial" w:eastAsia="Arial" w:hAnsi="Arial"/>
          <w:sz w:val="22"/>
          <w:szCs w:val="22"/>
          <w:color w:val="auto"/>
        </w:rPr>
        <w:t>Unrestricted Stock.</w:t>
      </w:r>
    </w:p>
    <w:p>
      <w:pPr>
        <w:spacing w:after="0" w:line="206" w:lineRule="exact"/>
        <w:rPr>
          <w:rFonts w:ascii="Arial" w:cs="Arial" w:eastAsia="Arial" w:hAnsi="Arial"/>
          <w:sz w:val="22"/>
          <w:szCs w:val="22"/>
          <w:color w:val="auto"/>
        </w:rPr>
      </w:pPr>
    </w:p>
    <w:p>
      <w:pPr>
        <w:ind w:left="2060" w:hanging="364"/>
        <w:spacing w:after="0"/>
        <w:tabs>
          <w:tab w:leader="none" w:pos="2060" w:val="left"/>
        </w:tabs>
        <w:numPr>
          <w:ilvl w:val="0"/>
          <w:numId w:val="80"/>
        </w:numPr>
        <w:rPr>
          <w:rFonts w:ascii="Arial" w:cs="Arial" w:eastAsia="Arial" w:hAnsi="Arial"/>
          <w:sz w:val="22"/>
          <w:szCs w:val="22"/>
          <w:color w:val="auto"/>
        </w:rPr>
      </w:pPr>
      <w:r>
        <w:rPr>
          <w:rFonts w:ascii="Arial" w:cs="Arial" w:eastAsia="Arial" w:hAnsi="Arial"/>
          <w:sz w:val="22"/>
          <w:szCs w:val="22"/>
          <w:color w:val="auto"/>
        </w:rPr>
        <w:t>Stock Units, including Restricted Stock Units.</w:t>
      </w:r>
    </w:p>
    <w:p>
      <w:pPr>
        <w:spacing w:after="0" w:line="206" w:lineRule="exact"/>
        <w:rPr>
          <w:rFonts w:ascii="Arial" w:cs="Arial" w:eastAsia="Arial" w:hAnsi="Arial"/>
          <w:sz w:val="22"/>
          <w:szCs w:val="22"/>
          <w:color w:val="auto"/>
        </w:rPr>
      </w:pPr>
    </w:p>
    <w:p>
      <w:pPr>
        <w:ind w:left="2060" w:hanging="364"/>
        <w:spacing w:after="0"/>
        <w:tabs>
          <w:tab w:leader="none" w:pos="2060" w:val="left"/>
        </w:tabs>
        <w:numPr>
          <w:ilvl w:val="0"/>
          <w:numId w:val="80"/>
        </w:numPr>
        <w:rPr>
          <w:rFonts w:ascii="Arial" w:cs="Arial" w:eastAsia="Arial" w:hAnsi="Arial"/>
          <w:sz w:val="22"/>
          <w:szCs w:val="22"/>
          <w:color w:val="auto"/>
        </w:rPr>
      </w:pPr>
      <w:r>
        <w:rPr>
          <w:rFonts w:ascii="Arial" w:cs="Arial" w:eastAsia="Arial" w:hAnsi="Arial"/>
          <w:sz w:val="22"/>
          <w:szCs w:val="22"/>
          <w:color w:val="auto"/>
        </w:rPr>
        <w:t>Performance Awards.</w:t>
      </w:r>
    </w:p>
    <w:p>
      <w:pPr>
        <w:spacing w:after="0" w:line="206" w:lineRule="exact"/>
        <w:rPr>
          <w:rFonts w:ascii="Arial" w:cs="Arial" w:eastAsia="Arial" w:hAnsi="Arial"/>
          <w:sz w:val="22"/>
          <w:szCs w:val="22"/>
          <w:color w:val="auto"/>
        </w:rPr>
      </w:pPr>
    </w:p>
    <w:p>
      <w:pPr>
        <w:ind w:left="2120" w:hanging="424"/>
        <w:spacing w:after="0"/>
        <w:tabs>
          <w:tab w:leader="none" w:pos="2120" w:val="left"/>
        </w:tabs>
        <w:numPr>
          <w:ilvl w:val="0"/>
          <w:numId w:val="80"/>
        </w:numPr>
        <w:rPr>
          <w:rFonts w:ascii="Arial" w:cs="Arial" w:eastAsia="Arial" w:hAnsi="Arial"/>
          <w:sz w:val="22"/>
          <w:szCs w:val="22"/>
          <w:color w:val="auto"/>
        </w:rPr>
      </w:pPr>
      <w:r>
        <w:rPr>
          <w:rFonts w:ascii="Arial" w:cs="Arial" w:eastAsia="Arial" w:hAnsi="Arial"/>
          <w:sz w:val="22"/>
          <w:szCs w:val="22"/>
          <w:color w:val="auto"/>
        </w:rPr>
        <w:t>Cash Awards.</w:t>
      </w:r>
    </w:p>
    <w:p>
      <w:pPr>
        <w:spacing w:after="0" w:line="206" w:lineRule="exact"/>
        <w:rPr>
          <w:rFonts w:ascii="Arial" w:cs="Arial" w:eastAsia="Arial" w:hAnsi="Arial"/>
          <w:sz w:val="22"/>
          <w:szCs w:val="22"/>
          <w:color w:val="auto"/>
        </w:rPr>
      </w:pPr>
    </w:p>
    <w:p>
      <w:pPr>
        <w:ind w:left="880" w:right="340" w:firstLine="816"/>
        <w:spacing w:after="0" w:line="251" w:lineRule="auto"/>
        <w:tabs>
          <w:tab w:leader="none" w:pos="2218" w:val="left"/>
        </w:tabs>
        <w:numPr>
          <w:ilvl w:val="0"/>
          <w:numId w:val="80"/>
        </w:numPr>
        <w:rPr>
          <w:rFonts w:ascii="Arial" w:cs="Arial" w:eastAsia="Arial" w:hAnsi="Arial"/>
          <w:sz w:val="22"/>
          <w:szCs w:val="22"/>
          <w:color w:val="auto"/>
        </w:rPr>
      </w:pPr>
      <w:r>
        <w:rPr>
          <w:rFonts w:ascii="Arial" w:cs="Arial" w:eastAsia="Arial" w:hAnsi="Arial"/>
          <w:sz w:val="22"/>
          <w:szCs w:val="22"/>
          <w:color w:val="auto"/>
        </w:rPr>
        <w:t>Awards (other than Awards described in (i) through (vii) above) that are convertible into or otherwise based on Stock.</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 xml:space="preserve">“Board”: </w:t>
      </w:r>
      <w:r>
        <w:rPr>
          <w:rFonts w:ascii="Arial" w:cs="Arial" w:eastAsia="Arial" w:hAnsi="Arial"/>
          <w:sz w:val="22"/>
          <w:szCs w:val="22"/>
          <w:color w:val="auto"/>
        </w:rPr>
        <w:t>The Board of Directors of the Company.</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 xml:space="preserve">“Cash Award”: </w:t>
      </w:r>
      <w:r>
        <w:rPr>
          <w:rFonts w:ascii="Arial" w:cs="Arial" w:eastAsia="Arial" w:hAnsi="Arial"/>
          <w:sz w:val="22"/>
          <w:szCs w:val="22"/>
          <w:color w:val="auto"/>
        </w:rPr>
        <w:t>An Award denominated in cash.</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37626494_8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42" w:right="339" w:bottom="1440" w:gutter="0" w:footer="0" w:header="0"/>
        </w:sectPr>
      </w:pPr>
    </w:p>
    <w:bookmarkStart w:id="112" w:name="page113"/>
    <w:bookmarkEnd w:id="112"/>
    <w:p>
      <w:pPr>
        <w:ind w:firstLine="877"/>
        <w:spacing w:after="0" w:line="273" w:lineRule="auto"/>
        <w:rPr>
          <w:sz w:val="20"/>
          <w:szCs w:val="20"/>
          <w:color w:val="auto"/>
        </w:rPr>
      </w:pPr>
      <w:r>
        <w:rPr>
          <w:rFonts w:ascii="Arial" w:cs="Arial" w:eastAsia="Arial" w:hAnsi="Arial"/>
          <w:sz w:val="19"/>
          <w:szCs w:val="19"/>
          <w:b w:val="1"/>
          <w:bCs w:val="1"/>
          <w:color w:val="auto"/>
        </w:rPr>
        <w:t xml:space="preserve">“Cause”: </w:t>
      </w:r>
      <w:r>
        <w:rPr>
          <w:rFonts w:ascii="Arial" w:cs="Arial" w:eastAsia="Arial" w:hAnsi="Arial"/>
          <w:sz w:val="19"/>
          <w:szCs w:val="19"/>
          <w:color w:val="auto"/>
        </w:rPr>
        <w:t>In the case of any Participant who is party to an employment or severance-benefit agreement that contains a</w:t>
      </w:r>
      <w:r>
        <w:rPr>
          <w:rFonts w:ascii="Arial" w:cs="Arial" w:eastAsia="Arial" w:hAnsi="Arial"/>
          <w:sz w:val="19"/>
          <w:szCs w:val="19"/>
          <w:b w:val="1"/>
          <w:bCs w:val="1"/>
          <w:color w:val="auto"/>
        </w:rPr>
        <w:t xml:space="preserve"> </w:t>
      </w:r>
      <w:r>
        <w:rPr>
          <w:rFonts w:ascii="Arial" w:cs="Arial" w:eastAsia="Arial" w:hAnsi="Arial"/>
          <w:sz w:val="19"/>
          <w:szCs w:val="19"/>
          <w:color w:val="auto"/>
        </w:rPr>
        <w:t>definition of “Cause,” the definition set forth in such agreement will apply with respect to such Participant under the Plan. In the case of any other Participant, “Cause” will mean, as determined by the Administrator in its reasonable judgment, (i) a substantial failure of the Participant to perform the Participant’s duties and responsibilities to the Company or subsidiaries or substantial negligence in the performance of such duties and responsibilities; (ii) the commission by the Participant of a felony or a crime involving moral turpitude; (iii) the commission by the Participant of theft, fraud, embezzlement, material breach of trust or any material act of dishonesty involving the Company or any of its subsidiaries; (iv) a significant violation by the Participant of the code of conduct of the Company or its subsidiaries of any material policy of the Company or its subsidiaries, or of any statutory or common law duty of loyalty to the Company or its subsidiaries; (v) material breach of any of the terms of the Plan or any Award made under the Plan, or of the terms of any other agreement between the Company or subsidiaries and the Participant; or (vi) other conduct by the Participant that could be expected to be harmful to the business, interests or reputation of the Company.</w:t>
      </w:r>
    </w:p>
    <w:p>
      <w:pPr>
        <w:spacing w:after="0" w:line="156" w:lineRule="exact"/>
        <w:rPr>
          <w:sz w:val="20"/>
          <w:szCs w:val="20"/>
          <w:color w:val="auto"/>
        </w:rPr>
      </w:pPr>
    </w:p>
    <w:p>
      <w:pPr>
        <w:ind w:right="160" w:firstLine="877"/>
        <w:spacing w:after="0" w:line="256" w:lineRule="auto"/>
        <w:rPr>
          <w:sz w:val="20"/>
          <w:szCs w:val="20"/>
          <w:color w:val="auto"/>
        </w:rPr>
      </w:pPr>
      <w:r>
        <w:rPr>
          <w:rFonts w:ascii="Arial" w:cs="Arial" w:eastAsia="Arial" w:hAnsi="Arial"/>
          <w:sz w:val="22"/>
          <w:szCs w:val="22"/>
          <w:b w:val="1"/>
          <w:bCs w:val="1"/>
          <w:color w:val="auto"/>
        </w:rPr>
        <w:t xml:space="preserve">“Code”: </w:t>
      </w:r>
      <w:r>
        <w:rPr>
          <w:rFonts w:ascii="Arial" w:cs="Arial" w:eastAsia="Arial" w:hAnsi="Arial"/>
          <w:sz w:val="22"/>
          <w:szCs w:val="22"/>
          <w:color w:val="auto"/>
        </w:rPr>
        <w:t>The U.S. Internal Revenue Code of 1986 as from time to time amended and in effect, or any successor statute</w:t>
      </w:r>
      <w:r>
        <w:rPr>
          <w:rFonts w:ascii="Arial" w:cs="Arial" w:eastAsia="Arial" w:hAnsi="Arial"/>
          <w:sz w:val="22"/>
          <w:szCs w:val="22"/>
          <w:b w:val="1"/>
          <w:bCs w:val="1"/>
          <w:color w:val="auto"/>
        </w:rPr>
        <w:t xml:space="preserve"> </w:t>
      </w:r>
      <w:r>
        <w:rPr>
          <w:rFonts w:ascii="Arial" w:cs="Arial" w:eastAsia="Arial" w:hAnsi="Arial"/>
          <w:sz w:val="22"/>
          <w:szCs w:val="22"/>
          <w:color w:val="auto"/>
        </w:rPr>
        <w:t>as from time to time in effect.</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 xml:space="preserve">“Compensation Committee”: </w:t>
      </w:r>
      <w:r>
        <w:rPr>
          <w:rFonts w:ascii="Arial" w:cs="Arial" w:eastAsia="Arial" w:hAnsi="Arial"/>
          <w:sz w:val="22"/>
          <w:szCs w:val="22"/>
          <w:color w:val="auto"/>
        </w:rPr>
        <w:t>The Compensation Committee of the Board.</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 xml:space="preserve">“Company”: </w:t>
      </w:r>
      <w:r>
        <w:rPr>
          <w:rFonts w:ascii="Arial" w:cs="Arial" w:eastAsia="Arial" w:hAnsi="Arial"/>
          <w:sz w:val="22"/>
          <w:szCs w:val="22"/>
          <w:color w:val="auto"/>
        </w:rPr>
        <w:t>Ultragenyx Pharmaceutical Inc.</w:t>
      </w:r>
    </w:p>
    <w:p>
      <w:pPr>
        <w:spacing w:after="0" w:line="206" w:lineRule="exact"/>
        <w:rPr>
          <w:sz w:val="20"/>
          <w:szCs w:val="20"/>
          <w:color w:val="auto"/>
        </w:rPr>
      </w:pPr>
    </w:p>
    <w:p>
      <w:pPr>
        <w:ind w:right="20" w:firstLine="877"/>
        <w:spacing w:after="0" w:line="235" w:lineRule="auto"/>
        <w:rPr>
          <w:sz w:val="20"/>
          <w:szCs w:val="20"/>
          <w:color w:val="auto"/>
        </w:rPr>
      </w:pPr>
      <w:r>
        <w:rPr>
          <w:rFonts w:ascii="Arial" w:cs="Arial" w:eastAsia="Arial" w:hAnsi="Arial"/>
          <w:sz w:val="22"/>
          <w:szCs w:val="22"/>
          <w:b w:val="1"/>
          <w:bCs w:val="1"/>
          <w:color w:val="auto"/>
        </w:rPr>
        <w:t xml:space="preserve">“Covered Transaction”: </w:t>
      </w:r>
      <w:r>
        <w:rPr>
          <w:rFonts w:ascii="Arial" w:cs="Arial" w:eastAsia="Arial" w:hAnsi="Arial"/>
          <w:sz w:val="22"/>
          <w:szCs w:val="22"/>
          <w:color w:val="auto"/>
        </w:rPr>
        <w:t>Any of (i) a consolidation, merger, or similar transaction or series of related transactions,</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a sale or other disposition of stock, in which the Company is not the surviving corporation or which results in the acquisition of all or substantially all of the Company’s then outstanding common stock by a single person or entity or by a group of persons and/or entities acting in concert, (ii) a sale or transfer of all or substantially all the Company’s assets, or (iii) a dissolution or liquidation of the Company. Where a Covered Transaction involves a tender offer that is reasonably expected to be followed by a merger described in clause (i) (as determined by the Administrator), the Covered Transaction will be deemed to have occurred upon consummation of the tender offer.</w:t>
      </w:r>
    </w:p>
    <w:p>
      <w:pPr>
        <w:spacing w:after="0" w:line="184" w:lineRule="exact"/>
        <w:rPr>
          <w:sz w:val="20"/>
          <w:szCs w:val="20"/>
          <w:color w:val="auto"/>
        </w:rPr>
      </w:pPr>
    </w:p>
    <w:p>
      <w:pPr>
        <w:ind w:right="280" w:firstLine="877"/>
        <w:spacing w:after="0" w:line="256" w:lineRule="auto"/>
        <w:rPr>
          <w:sz w:val="20"/>
          <w:szCs w:val="20"/>
          <w:color w:val="auto"/>
        </w:rPr>
      </w:pPr>
      <w:r>
        <w:rPr>
          <w:rFonts w:ascii="Arial" w:cs="Arial" w:eastAsia="Arial" w:hAnsi="Arial"/>
          <w:sz w:val="22"/>
          <w:szCs w:val="22"/>
          <w:b w:val="1"/>
          <w:bCs w:val="1"/>
          <w:color w:val="auto"/>
        </w:rPr>
        <w:t xml:space="preserve">“Date of Adoption”: </w:t>
      </w:r>
      <w:r>
        <w:rPr>
          <w:rFonts w:ascii="Arial" w:cs="Arial" w:eastAsia="Arial" w:hAnsi="Arial"/>
          <w:sz w:val="22"/>
          <w:szCs w:val="22"/>
          <w:color w:val="auto"/>
        </w:rPr>
        <w:t>The earlier of the date the Plan was approved by the Company’s stockholders or adopted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Board, as determined by the Compensation Committee.</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 xml:space="preserve">“Employee”: </w:t>
      </w:r>
      <w:r>
        <w:rPr>
          <w:rFonts w:ascii="Arial" w:cs="Arial" w:eastAsia="Arial" w:hAnsi="Arial"/>
          <w:sz w:val="22"/>
          <w:szCs w:val="22"/>
          <w:color w:val="auto"/>
        </w:rPr>
        <w:t>Any person who is employed by the Company or an Affiliate.</w:t>
      </w:r>
    </w:p>
    <w:p>
      <w:pPr>
        <w:spacing w:after="0" w:line="212"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37626494_8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113" w:name="page114"/>
    <w:bookmarkEnd w:id="113"/>
    <w:p>
      <w:pPr>
        <w:ind w:right="140" w:firstLine="877"/>
        <w:spacing w:after="0" w:line="271" w:lineRule="auto"/>
        <w:rPr>
          <w:sz w:val="20"/>
          <w:szCs w:val="20"/>
          <w:color w:val="auto"/>
        </w:rPr>
      </w:pPr>
      <w:r>
        <w:rPr>
          <w:rFonts w:ascii="Arial" w:cs="Arial" w:eastAsia="Arial" w:hAnsi="Arial"/>
          <w:sz w:val="19"/>
          <w:szCs w:val="19"/>
          <w:b w:val="1"/>
          <w:bCs w:val="1"/>
          <w:color w:val="auto"/>
        </w:rPr>
        <w:t xml:space="preserve">“Employment”: </w:t>
      </w:r>
      <w:r>
        <w:rPr>
          <w:rFonts w:ascii="Arial" w:cs="Arial" w:eastAsia="Arial" w:hAnsi="Arial"/>
          <w:sz w:val="19"/>
          <w:szCs w:val="19"/>
          <w:color w:val="auto"/>
        </w:rPr>
        <w:t>A Participant’s employment or other service relationship with the Company and its Affiliates, which</w:t>
      </w:r>
      <w:r>
        <w:rPr>
          <w:rFonts w:ascii="Arial" w:cs="Arial" w:eastAsia="Arial" w:hAnsi="Arial"/>
          <w:sz w:val="19"/>
          <w:szCs w:val="19"/>
          <w:b w:val="1"/>
          <w:bCs w:val="1"/>
          <w:color w:val="auto"/>
        </w:rPr>
        <w:t xml:space="preserve"> </w:t>
      </w:r>
      <w:r>
        <w:rPr>
          <w:rFonts w:ascii="Arial" w:cs="Arial" w:eastAsia="Arial" w:hAnsi="Arial"/>
          <w:sz w:val="19"/>
          <w:szCs w:val="19"/>
          <w:color w:val="auto"/>
        </w:rPr>
        <w:t>may include service as a director, consultant or independent contractor. Employment will be deemed to continue, unless the Administrator expressly provides otherwise, so long as the Participant is employed by, or otherwise is providing services in a capacity described in Section 5 to the Company or an Affiliate. If a Participant’s employment or other service relationship is with an Affiliate and that entity ceases to be an Affiliate, the Participant’s Employment will be deemed to have terminated when the entity ceases to be an Affiliate unless the Participant transfers Employment to the Company or its remaining</w:t>
      </w:r>
    </w:p>
    <w:p>
      <w:pPr>
        <w:spacing w:after="0" w:line="2"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Affiliates. Notwithstanding the foregoing and the definition of “Affiliate” above, in construing the provisions of any Award relating to the payment of “nonqualified deferred compensation” (subject to Section 409A) upon a termination or cessation of Employment, references to termination or cessation of employment, separation from service, retirement or similar or correlative terms will be construed to require a “separation from service” (as that term is defined in Section 1.409A-1(h) of the Treasury Regulations) from the Company and from all other corporations and trades or businesses, if any, that would be treated as a single “service recipient” with the Company under Section 1.409A-1(h)(3) of the Treasury Regulations. The Company may, but need not, elect in writing, subject to the applicable limitations under Section 409A, any of the special elective rules prescribed in Section</w:t>
      </w:r>
    </w:p>
    <w:p>
      <w:pPr>
        <w:ind w:right="80"/>
        <w:spacing w:after="0" w:line="237" w:lineRule="auto"/>
        <w:rPr>
          <w:sz w:val="20"/>
          <w:szCs w:val="20"/>
          <w:color w:val="auto"/>
        </w:rPr>
      </w:pPr>
      <w:r>
        <w:rPr>
          <w:rFonts w:ascii="Arial" w:cs="Arial" w:eastAsia="Arial" w:hAnsi="Arial"/>
          <w:sz w:val="22"/>
          <w:szCs w:val="22"/>
          <w:color w:val="auto"/>
        </w:rPr>
        <w:t>1.409A-1(h) of the Treasury Regulations for purposes of determining whether a “separation from service” has occurred. Any such written election will be deemed a part of the Plan.</w:t>
      </w:r>
    </w:p>
    <w:p>
      <w:pPr>
        <w:spacing w:after="0" w:line="179" w:lineRule="exact"/>
        <w:rPr>
          <w:sz w:val="20"/>
          <w:szCs w:val="20"/>
          <w:color w:val="auto"/>
        </w:rPr>
      </w:pPr>
    </w:p>
    <w:p>
      <w:pPr>
        <w:ind w:right="20" w:firstLine="877"/>
        <w:spacing w:after="0" w:line="243" w:lineRule="auto"/>
        <w:rPr>
          <w:sz w:val="20"/>
          <w:szCs w:val="20"/>
          <w:color w:val="auto"/>
        </w:rPr>
      </w:pPr>
      <w:r>
        <w:rPr>
          <w:rFonts w:ascii="Arial" w:cs="Arial" w:eastAsia="Arial" w:hAnsi="Arial"/>
          <w:sz w:val="22"/>
          <w:szCs w:val="22"/>
          <w:b w:val="1"/>
          <w:bCs w:val="1"/>
          <w:color w:val="auto"/>
        </w:rPr>
        <w:t xml:space="preserve">“ISO”: </w:t>
      </w:r>
      <w:r>
        <w:rPr>
          <w:rFonts w:ascii="Arial" w:cs="Arial" w:eastAsia="Arial" w:hAnsi="Arial"/>
          <w:sz w:val="22"/>
          <w:szCs w:val="22"/>
          <w:color w:val="auto"/>
        </w:rPr>
        <w:t>A Stock Option intended to be an “incentive stock option” within the meaning of Section 422. Each Stock</w:t>
      </w:r>
      <w:r>
        <w:rPr>
          <w:rFonts w:ascii="Arial" w:cs="Arial" w:eastAsia="Arial" w:hAnsi="Arial"/>
          <w:sz w:val="22"/>
          <w:szCs w:val="22"/>
          <w:b w:val="1"/>
          <w:bCs w:val="1"/>
          <w:color w:val="auto"/>
        </w:rPr>
        <w:t xml:space="preserve"> </w:t>
      </w:r>
      <w:r>
        <w:rPr>
          <w:rFonts w:ascii="Arial" w:cs="Arial" w:eastAsia="Arial" w:hAnsi="Arial"/>
          <w:sz w:val="22"/>
          <w:szCs w:val="22"/>
          <w:color w:val="auto"/>
        </w:rPr>
        <w:t>Option granted pursuant to the Plan will be treated as providing by its terms that it is to be an NSO unless, as of the date of grant, it is expressly designated as an ISO.</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 xml:space="preserve">“NSO”: </w:t>
      </w:r>
      <w:r>
        <w:rPr>
          <w:rFonts w:ascii="Arial" w:cs="Arial" w:eastAsia="Arial" w:hAnsi="Arial"/>
          <w:sz w:val="21"/>
          <w:szCs w:val="21"/>
          <w:color w:val="auto"/>
        </w:rPr>
        <w:t>A Stock Option that is not intended to be an “incentive stock option” within the meaning of Section 422.</w:t>
      </w:r>
    </w:p>
    <w:p>
      <w:pPr>
        <w:spacing w:after="0" w:line="218"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 xml:space="preserve">“Participant”: </w:t>
      </w:r>
      <w:r>
        <w:rPr>
          <w:rFonts w:ascii="Arial" w:cs="Arial" w:eastAsia="Arial" w:hAnsi="Arial"/>
          <w:sz w:val="22"/>
          <w:szCs w:val="22"/>
          <w:color w:val="auto"/>
        </w:rPr>
        <w:t>A person who is granted an Award under the Plan.</w:t>
      </w:r>
    </w:p>
    <w:p>
      <w:pPr>
        <w:spacing w:after="0" w:line="206" w:lineRule="exact"/>
        <w:rPr>
          <w:sz w:val="20"/>
          <w:szCs w:val="20"/>
          <w:color w:val="auto"/>
        </w:rPr>
      </w:pPr>
    </w:p>
    <w:p>
      <w:pPr>
        <w:ind w:right="400" w:firstLine="877"/>
        <w:spacing w:after="0" w:line="243" w:lineRule="auto"/>
        <w:rPr>
          <w:sz w:val="20"/>
          <w:szCs w:val="20"/>
          <w:color w:val="auto"/>
        </w:rPr>
      </w:pPr>
      <w:r>
        <w:rPr>
          <w:rFonts w:ascii="Arial" w:cs="Arial" w:eastAsia="Arial" w:hAnsi="Arial"/>
          <w:sz w:val="22"/>
          <w:szCs w:val="22"/>
          <w:b w:val="1"/>
          <w:bCs w:val="1"/>
          <w:color w:val="auto"/>
        </w:rPr>
        <w:t xml:space="preserve">“Performance Award”: </w:t>
      </w:r>
      <w:r>
        <w:rPr>
          <w:rFonts w:ascii="Arial" w:cs="Arial" w:eastAsia="Arial" w:hAnsi="Arial"/>
          <w:sz w:val="22"/>
          <w:szCs w:val="22"/>
          <w:color w:val="auto"/>
        </w:rPr>
        <w:t>An Award subject to Performance Criteria. The Administrator in its discretion may grant</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Awards that are intended to qualify for the performance-based compensation exception under Section 162(m) and Performance Awards that are not intended so to qualify.</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37626494_8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114" w:name="page115"/>
    <w:bookmarkEnd w:id="114"/>
    <w:p>
      <w:pPr>
        <w:ind w:firstLine="877"/>
        <w:spacing w:after="0" w:line="269" w:lineRule="auto"/>
        <w:rPr>
          <w:sz w:val="20"/>
          <w:szCs w:val="20"/>
          <w:color w:val="auto"/>
        </w:rPr>
      </w:pPr>
      <w:r>
        <w:rPr>
          <w:rFonts w:ascii="Arial" w:cs="Arial" w:eastAsia="Arial" w:hAnsi="Arial"/>
          <w:sz w:val="19"/>
          <w:szCs w:val="19"/>
          <w:b w:val="1"/>
          <w:bCs w:val="1"/>
          <w:color w:val="auto"/>
        </w:rPr>
        <w:t xml:space="preserve">“Performance Criteria”: </w:t>
      </w:r>
      <w:r>
        <w:rPr>
          <w:rFonts w:ascii="Arial" w:cs="Arial" w:eastAsia="Arial" w:hAnsi="Arial"/>
          <w:sz w:val="19"/>
          <w:szCs w:val="19"/>
          <w:color w:val="auto"/>
        </w:rPr>
        <w:t>Specified criteria, other than the mere continuation of Employment or the mere passage of</w:t>
      </w:r>
      <w:r>
        <w:rPr>
          <w:rFonts w:ascii="Arial" w:cs="Arial" w:eastAsia="Arial" w:hAnsi="Arial"/>
          <w:sz w:val="19"/>
          <w:szCs w:val="19"/>
          <w:b w:val="1"/>
          <w:bCs w:val="1"/>
          <w:color w:val="auto"/>
        </w:rPr>
        <w:t xml:space="preserve"> </w:t>
      </w:r>
      <w:r>
        <w:rPr>
          <w:rFonts w:ascii="Arial" w:cs="Arial" w:eastAsia="Arial" w:hAnsi="Arial"/>
          <w:sz w:val="19"/>
          <w:szCs w:val="19"/>
          <w:color w:val="auto"/>
        </w:rPr>
        <w:t>time, the satisfaction of which is a condition for the grant, exercisability, vesting or full enjoyment of an Award. For purposes of Awards that are intended to qualify for the performance-based compensation exception under Section 162(m), a Performance Criterion will mean an objectively determinable measure of performance relating to any, or any combination, of the following (measured either absolutely or by reference to an index or indices and determined either on a consolidated basis or, as the context permits, on a divisional, subsidiary, line of business, project or geographical basis or in combinations thereof): sales; revenues; assets; expenses; earnings from operations; earnings before or after deduction for all or any portion of interest, taxes, depreciation, amortization, incentives, service fees or extraordinary or special items, whether or not on a continuing operations or an aggregate or per share basis; net income or net income per common share (basic or diluted); return on equity, investment, capital or assets; one or more operating ratios; borrowing levels, leverage ratios or credit rating; market share; capital expenditures; cash flow, free cash flow, cash flow return on investment, or net cash provided by operations; stock price, dividends or total stockholder return; development of new technologies or products; sales of particular products or services; economic value created or added; operating margin or profit margin; customer acquisition or retention; raising or refinancing of capital; successful hiring of key individuals; resolution of significant litigation; acquisitions and divestitures (in whole or in part); joint ventures and strategic alliances; spin-offs, split-ups and the like; reorganizations; recapitalizations, restructurings, financings (issuance of debt or equity) or refinancings; or strategic business criteria, consisting of one or more objectives based on the following goals: meeting specified market penetration or value added, product development or introduction (including, without limitation, any clinical trial accomplishments, regulatory or other filings or approvals, or other product development milestones), geographic business expansion, cost targets, cost reductions or savings, customer satisfaction, operating efficiency, acquisition or retention, employee satisfaction, information technology, corporate development (including, without limitation, licenses, innovation, research or establishment of third party collaborations), manufacturing or process development, legal compliance or risk reduction, patent application or issuance goals, or goals relating to acquisitions or divestitures (in whole or in part), joint ventures or strategic alliances. A Performance Criterion and any targets with respect thereto determined by the Administrator need not be based upon an increase, a positive or improved result or avoidance of loss. To the extent consistent with the requirements for satisfying the performance-based compensation exception under Section 162(m), the Administrator may provide in the case of any Award intended to qualify for such exception that one or more of the Performance Criteria applicable to such Award will be adjusted in an objectively determinable manner to reflect events (for example, but without limitation, acquisitions or dispositions) occurring during the performance period that affect the applicable Performance Criterion or Criteria.</w:t>
      </w:r>
    </w:p>
    <w:p>
      <w:pPr>
        <w:spacing w:after="0" w:line="200" w:lineRule="exact"/>
        <w:rPr>
          <w:sz w:val="20"/>
          <w:szCs w:val="20"/>
          <w:color w:val="auto"/>
        </w:rPr>
      </w:pPr>
    </w:p>
    <w:p>
      <w:pPr>
        <w:spacing w:after="0" w:line="211"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 xml:space="preserve">“Plan”: </w:t>
      </w:r>
      <w:r>
        <w:rPr>
          <w:rFonts w:ascii="Arial" w:cs="Arial" w:eastAsia="Arial" w:hAnsi="Arial"/>
          <w:sz w:val="21"/>
          <w:szCs w:val="21"/>
          <w:color w:val="auto"/>
        </w:rPr>
        <w:t>The Ultragenyx Pharmaceutical Inc. 2014 Incentive Plan as from time to time amended and in effect.</w:t>
      </w:r>
    </w:p>
    <w:p>
      <w:pPr>
        <w:spacing w:after="0" w:line="218" w:lineRule="exact"/>
        <w:rPr>
          <w:sz w:val="20"/>
          <w:szCs w:val="20"/>
          <w:color w:val="auto"/>
        </w:rPr>
      </w:pPr>
    </w:p>
    <w:p>
      <w:pPr>
        <w:ind w:right="380" w:firstLine="877"/>
        <w:spacing w:after="0" w:line="256" w:lineRule="auto"/>
        <w:rPr>
          <w:sz w:val="20"/>
          <w:szCs w:val="20"/>
          <w:color w:val="auto"/>
        </w:rPr>
      </w:pPr>
      <w:r>
        <w:rPr>
          <w:rFonts w:ascii="Arial" w:cs="Arial" w:eastAsia="Arial" w:hAnsi="Arial"/>
          <w:sz w:val="22"/>
          <w:szCs w:val="22"/>
          <w:b w:val="1"/>
          <w:bCs w:val="1"/>
          <w:color w:val="auto"/>
        </w:rPr>
        <w:t xml:space="preserve">“Restricted Stock”: </w:t>
      </w:r>
      <w:r>
        <w:rPr>
          <w:rFonts w:ascii="Arial" w:cs="Arial" w:eastAsia="Arial" w:hAnsi="Arial"/>
          <w:sz w:val="22"/>
          <w:szCs w:val="22"/>
          <w:color w:val="auto"/>
        </w:rPr>
        <w:t>Stock subject to restrictions requiring that it be redelivered or offered for sale to the Company if</w:t>
      </w:r>
      <w:r>
        <w:rPr>
          <w:rFonts w:ascii="Arial" w:cs="Arial" w:eastAsia="Arial" w:hAnsi="Arial"/>
          <w:sz w:val="22"/>
          <w:szCs w:val="22"/>
          <w:b w:val="1"/>
          <w:bCs w:val="1"/>
          <w:color w:val="auto"/>
        </w:rPr>
        <w:t xml:space="preserve"> </w:t>
      </w:r>
      <w:r>
        <w:rPr>
          <w:rFonts w:ascii="Arial" w:cs="Arial" w:eastAsia="Arial" w:hAnsi="Arial"/>
          <w:sz w:val="22"/>
          <w:szCs w:val="22"/>
          <w:color w:val="auto"/>
        </w:rPr>
        <w:t>specified conditions are not satisfied.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37626494_8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15" w:name="page116"/>
    <w:bookmarkEnd w:id="115"/>
    <w:p>
      <w:pPr>
        <w:ind w:firstLine="877"/>
        <w:spacing w:after="0" w:line="256" w:lineRule="auto"/>
        <w:rPr>
          <w:sz w:val="20"/>
          <w:szCs w:val="20"/>
          <w:color w:val="auto"/>
        </w:rPr>
      </w:pPr>
      <w:r>
        <w:rPr>
          <w:rFonts w:ascii="Arial" w:cs="Arial" w:eastAsia="Arial" w:hAnsi="Arial"/>
          <w:sz w:val="22"/>
          <w:szCs w:val="22"/>
          <w:b w:val="1"/>
          <w:bCs w:val="1"/>
          <w:color w:val="auto"/>
        </w:rPr>
        <w:t xml:space="preserve">“Restricted Stock Unit”: </w:t>
      </w:r>
      <w:r>
        <w:rPr>
          <w:rFonts w:ascii="Arial" w:cs="Arial" w:eastAsia="Arial" w:hAnsi="Arial"/>
          <w:sz w:val="22"/>
          <w:szCs w:val="22"/>
          <w:color w:val="auto"/>
        </w:rPr>
        <w:t>A Stock Unit that is, or as to which the delivery of Stock or cash in lieu of Stock is, subject to</w:t>
      </w:r>
      <w:r>
        <w:rPr>
          <w:rFonts w:ascii="Arial" w:cs="Arial" w:eastAsia="Arial" w:hAnsi="Arial"/>
          <w:sz w:val="22"/>
          <w:szCs w:val="22"/>
          <w:b w:val="1"/>
          <w:bCs w:val="1"/>
          <w:color w:val="auto"/>
        </w:rPr>
        <w:t xml:space="preserve"> </w:t>
      </w:r>
      <w:r>
        <w:rPr>
          <w:rFonts w:ascii="Arial" w:cs="Arial" w:eastAsia="Arial" w:hAnsi="Arial"/>
          <w:sz w:val="22"/>
          <w:szCs w:val="22"/>
          <w:color w:val="auto"/>
        </w:rPr>
        <w:t>the satisfaction of specified performance or other vesting conditions.</w:t>
      </w:r>
    </w:p>
    <w:p>
      <w:pPr>
        <w:spacing w:after="0" w:line="163" w:lineRule="exact"/>
        <w:rPr>
          <w:sz w:val="20"/>
          <w:szCs w:val="20"/>
          <w:color w:val="auto"/>
        </w:rPr>
      </w:pPr>
    </w:p>
    <w:p>
      <w:pPr>
        <w:ind w:right="240" w:firstLine="877"/>
        <w:spacing w:after="0" w:line="243" w:lineRule="auto"/>
        <w:rPr>
          <w:sz w:val="20"/>
          <w:szCs w:val="20"/>
          <w:color w:val="auto"/>
        </w:rPr>
      </w:pPr>
      <w:r>
        <w:rPr>
          <w:rFonts w:ascii="Arial" w:cs="Arial" w:eastAsia="Arial" w:hAnsi="Arial"/>
          <w:sz w:val="22"/>
          <w:szCs w:val="22"/>
          <w:b w:val="1"/>
          <w:bCs w:val="1"/>
          <w:color w:val="auto"/>
        </w:rPr>
        <w:t xml:space="preserve">“SAR”: </w:t>
      </w:r>
      <w:r>
        <w:rPr>
          <w:rFonts w:ascii="Arial" w:cs="Arial" w:eastAsia="Arial" w:hAnsi="Arial"/>
          <w:sz w:val="22"/>
          <w:szCs w:val="22"/>
          <w:color w:val="auto"/>
        </w:rPr>
        <w:t>A right entitling the holder upon exercise to receive an amount (payable in cash or in shares of Stock of</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 value) equal to the excess of the fair market value of the shares of Stock subject to the right over the base value from which appreciation under the SAR is to be measured.</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 xml:space="preserve">“Section 409A”: </w:t>
      </w:r>
      <w:r>
        <w:rPr>
          <w:rFonts w:ascii="Arial" w:cs="Arial" w:eastAsia="Arial" w:hAnsi="Arial"/>
          <w:sz w:val="22"/>
          <w:szCs w:val="22"/>
          <w:color w:val="auto"/>
        </w:rPr>
        <w:t>Section 409A of the Code.</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 xml:space="preserve">“Section 422”: </w:t>
      </w:r>
      <w:r>
        <w:rPr>
          <w:rFonts w:ascii="Arial" w:cs="Arial" w:eastAsia="Arial" w:hAnsi="Arial"/>
          <w:sz w:val="22"/>
          <w:szCs w:val="22"/>
          <w:color w:val="auto"/>
        </w:rPr>
        <w:t>Section 422 of the Code.</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 xml:space="preserve">“Section 162(m)”: </w:t>
      </w:r>
      <w:r>
        <w:rPr>
          <w:rFonts w:ascii="Arial" w:cs="Arial" w:eastAsia="Arial" w:hAnsi="Arial"/>
          <w:sz w:val="22"/>
          <w:szCs w:val="22"/>
          <w:color w:val="auto"/>
        </w:rPr>
        <w:t>Section 162(m) of the Code.</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 xml:space="preserve">“Stock”: </w:t>
      </w:r>
      <w:r>
        <w:rPr>
          <w:rFonts w:ascii="Arial" w:cs="Arial" w:eastAsia="Arial" w:hAnsi="Arial"/>
          <w:sz w:val="22"/>
          <w:szCs w:val="22"/>
          <w:color w:val="auto"/>
        </w:rPr>
        <w:t>Common stock of the Company, par value $0.001 per share.</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 xml:space="preserve">“Stock Option”: </w:t>
      </w:r>
      <w:r>
        <w:rPr>
          <w:rFonts w:ascii="Arial" w:cs="Arial" w:eastAsia="Arial" w:hAnsi="Arial"/>
          <w:sz w:val="21"/>
          <w:szCs w:val="21"/>
          <w:color w:val="auto"/>
        </w:rPr>
        <w:t>An option entitling the holder to acquire shares of Stock upon payment of the exercise price.</w:t>
      </w:r>
    </w:p>
    <w:p>
      <w:pPr>
        <w:spacing w:after="0" w:line="218" w:lineRule="exact"/>
        <w:rPr>
          <w:sz w:val="20"/>
          <w:szCs w:val="20"/>
          <w:color w:val="auto"/>
        </w:rPr>
      </w:pPr>
    </w:p>
    <w:p>
      <w:pPr>
        <w:ind w:right="60" w:firstLine="877"/>
        <w:spacing w:after="0" w:line="256" w:lineRule="auto"/>
        <w:rPr>
          <w:sz w:val="20"/>
          <w:szCs w:val="20"/>
          <w:color w:val="auto"/>
        </w:rPr>
      </w:pPr>
      <w:r>
        <w:rPr>
          <w:rFonts w:ascii="Arial" w:cs="Arial" w:eastAsia="Arial" w:hAnsi="Arial"/>
          <w:sz w:val="22"/>
          <w:szCs w:val="22"/>
          <w:b w:val="1"/>
          <w:bCs w:val="1"/>
          <w:color w:val="auto"/>
        </w:rPr>
        <w:t xml:space="preserve">“Stock Unit”: </w:t>
      </w:r>
      <w:r>
        <w:rPr>
          <w:rFonts w:ascii="Arial" w:cs="Arial" w:eastAsia="Arial" w:hAnsi="Arial"/>
          <w:sz w:val="22"/>
          <w:szCs w:val="22"/>
          <w:color w:val="auto"/>
        </w:rPr>
        <w:t>An unfunded and unsecured promise, denominated in shares of Stock, to deliver Stock or cash measured</w:t>
      </w:r>
      <w:r>
        <w:rPr>
          <w:rFonts w:ascii="Arial" w:cs="Arial" w:eastAsia="Arial" w:hAnsi="Arial"/>
          <w:sz w:val="22"/>
          <w:szCs w:val="22"/>
          <w:b w:val="1"/>
          <w:bCs w:val="1"/>
          <w:color w:val="auto"/>
        </w:rPr>
        <w:t xml:space="preserve"> </w:t>
      </w:r>
      <w:r>
        <w:rPr>
          <w:rFonts w:ascii="Arial" w:cs="Arial" w:eastAsia="Arial" w:hAnsi="Arial"/>
          <w:sz w:val="22"/>
          <w:szCs w:val="22"/>
          <w:color w:val="auto"/>
        </w:rPr>
        <w:t>by the value of Stock in the future.</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 xml:space="preserve">“Unrestricted Stock”: </w:t>
      </w:r>
      <w:r>
        <w:rPr>
          <w:rFonts w:ascii="Arial" w:cs="Arial" w:eastAsia="Arial" w:hAnsi="Arial"/>
          <w:sz w:val="22"/>
          <w:szCs w:val="22"/>
          <w:color w:val="auto"/>
        </w:rPr>
        <w:t>Stock not subject to any restrictions under the terms of the Award.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37626494_8</w:t>
      </w:r>
    </w:p>
    <w:p>
      <w:pPr>
        <w:sectPr>
          <w:pgSz w:w="11900" w:h="16838" w:orient="portrait"/>
          <w:cols w:equalWidth="0" w:num="1">
            <w:col w:w="11300"/>
          </w:cols>
          <w:pgMar w:left="240" w:top="342" w:right="35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10.28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ULTRAGENYX PHARAMACEUTICAL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EMPLOYEE STOCK PURCHASE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(amended as of June 9,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Defined Terms</w:t>
      </w:r>
    </w:p>
    <w:p>
      <w:pPr>
        <w:spacing w:after="0" w:line="8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Exhibit A, which is incorporated by reference, defines the terms used in the Plan and sets forth certain operational rules related to those terms.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Purpose of Plan</w:t>
      </w:r>
    </w:p>
    <w:p>
      <w:pPr>
        <w:spacing w:after="0" w:line="94" w:lineRule="exact"/>
        <w:rPr>
          <w:sz w:val="20"/>
          <w:szCs w:val="20"/>
          <w:color w:val="auto"/>
        </w:rPr>
      </w:pPr>
    </w:p>
    <w:p>
      <w:pPr>
        <w:jc w:val="both"/>
        <w:ind w:right="180" w:firstLine="877"/>
        <w:spacing w:after="0" w:line="286" w:lineRule="auto"/>
        <w:rPr>
          <w:sz w:val="20"/>
          <w:szCs w:val="20"/>
          <w:color w:val="auto"/>
        </w:rPr>
      </w:pPr>
      <w:r>
        <w:rPr>
          <w:rFonts w:ascii="Arial" w:cs="Arial" w:eastAsia="Arial" w:hAnsi="Arial"/>
          <w:sz w:val="17"/>
          <w:szCs w:val="17"/>
          <w:color w:val="auto"/>
        </w:rPr>
        <w:t>The Plan is intended to enable Eligible Employees of the Company and its Designated Subsidiaries to use payroll deductions to purchase shares of Stock, and thereby acquire an interest in the future of the Company. The Plan is intended to qualify as an “employee stock purchase plan” under Section 423 and to be exempt from the application and requirements of Section 409A of the Code, and is to be construed accordingly.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Options to Purchase Stock</w:t>
      </w:r>
    </w:p>
    <w:p>
      <w:pPr>
        <w:spacing w:after="0" w:line="81" w:lineRule="exact"/>
        <w:rPr>
          <w:sz w:val="20"/>
          <w:szCs w:val="20"/>
          <w:color w:val="auto"/>
        </w:rPr>
      </w:pPr>
    </w:p>
    <w:p>
      <w:pPr>
        <w:ind w:right="20" w:firstLine="877"/>
        <w:spacing w:after="0" w:line="286" w:lineRule="auto"/>
        <w:rPr>
          <w:sz w:val="20"/>
          <w:szCs w:val="20"/>
          <w:color w:val="auto"/>
        </w:rPr>
      </w:pPr>
      <w:r>
        <w:rPr>
          <w:rFonts w:ascii="Arial" w:cs="Arial" w:eastAsia="Arial" w:hAnsi="Arial"/>
          <w:sz w:val="16"/>
          <w:szCs w:val="16"/>
          <w:color w:val="auto"/>
        </w:rPr>
        <w:t>Subject to adjustment pursuant to Section 16 of this Plan, the maximum aggregate number of shares of Stock available for purchase pursuant to the exercise of Options granted under the Plan to Eligible Employees will be 600,000 shares, increased on January 1 of each year, beginning January 1, 2015 through January 1, 2024, by the lesser of (a) 1,200,000 shares of Stock, (b) one percent (1%) of the number of shares of Stock outstanding on a fully diluted basis as of the close of business on the immediately preceding day (calculated by adding to the number of shares of Stock outstanding, all outstanding securities convertible into Stock on such date on an as converted basis), or (c) a lesser amount determined by the Administrator on or prior to January 1 of a given year. The shares of Stock to be delivered upon exercise of Options under the Plan may be either shares of authorized but unissued Stock, treasury Stock, or Stock acquired in an open-market transaction, all as the Board may determine. If any Option granted under the Plan expires or terminates for any reason without having been exercised in full or ceases for any reason to be exercisable in whole or in part, the unpurchased shares of Stock subject to such Option will again be available for purchase pursuant to the exercise of Options under the Plan. If, on an Exercise Date, the total number of shares of Stock that would otherwise be subject to Options granted under the Plan exceeds the number of shares then available under the Plan (after deduction of all shares for which Options have been exercised or are then outstanding), the Administrator shall make a pro rata allocation of the shares remaining available for the Option grant in as uniform a manner as shall be practicable and as it shall determine to be equitable. In such event, the Administrator shall give written notice to each Participant of such reduction of the number of Options affected thereby and shall similarly reduce the rate of payroll deductions, if necessary.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Eligibility</w:t>
      </w:r>
    </w:p>
    <w:p>
      <w:pPr>
        <w:spacing w:after="0" w:line="8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Subject to Section 13, and any exceptions and limitations set forth in Section 6, or as may be provided elsewhere in the Plan, each Employee who</w:t>
      </w:r>
    </w:p>
    <w:p>
      <w:pPr>
        <w:spacing w:after="0" w:line="46" w:lineRule="exact"/>
        <w:rPr>
          <w:sz w:val="20"/>
          <w:szCs w:val="20"/>
          <w:color w:val="auto"/>
        </w:rPr>
      </w:pPr>
    </w:p>
    <w:p>
      <w:pPr>
        <w:ind w:right="200" w:firstLine="8"/>
        <w:spacing w:after="0" w:line="252" w:lineRule="auto"/>
        <w:tabs>
          <w:tab w:leader="none" w:pos="245" w:val="left"/>
        </w:tabs>
        <w:numPr>
          <w:ilvl w:val="0"/>
          <w:numId w:val="81"/>
        </w:numPr>
        <w:rPr>
          <w:rFonts w:ascii="Arial" w:cs="Arial" w:eastAsia="Arial" w:hAnsi="Arial"/>
          <w:sz w:val="18"/>
          <w:szCs w:val="18"/>
          <w:color w:val="auto"/>
        </w:rPr>
      </w:pPr>
      <w:r>
        <w:rPr>
          <w:rFonts w:ascii="Arial" w:cs="Arial" w:eastAsia="Arial" w:hAnsi="Arial"/>
          <w:sz w:val="18"/>
          <w:szCs w:val="18"/>
          <w:color w:val="auto"/>
        </w:rPr>
        <w:t>has been continuously employed by the Company for at least six (6) months as of the first day of any Option Period, (b) customarily works twenty (20) hours or more per week,and (c) satisfies the requirements set forth in the Plan will be an Eligible Employee. In no event, however, may an Employee be granted an Option under the Plan if, immediately after the Option is granted, the Employee would own (or pursuant to Section 424(d) of the Code would be deemed to own) stock possessing five percent (5%) or more of the total combined voting power or value of all classes of stock of the Company or of its Parent or Subsidiaries, if any. The Administrator may, for Option Periods that have not yet commenced, establish additional eligibility requirements not inconsistent with Section 423.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Option Periods</w:t>
      </w:r>
    </w:p>
    <w:p>
      <w:pPr>
        <w:spacing w:after="0" w:line="94" w:lineRule="exact"/>
        <w:rPr>
          <w:sz w:val="20"/>
          <w:szCs w:val="20"/>
          <w:color w:val="auto"/>
        </w:rPr>
      </w:pPr>
    </w:p>
    <w:p>
      <w:pPr>
        <w:ind w:right="200" w:firstLine="877"/>
        <w:spacing w:after="0" w:line="259" w:lineRule="auto"/>
        <w:rPr>
          <w:sz w:val="20"/>
          <w:szCs w:val="20"/>
          <w:color w:val="auto"/>
        </w:rPr>
      </w:pPr>
      <w:r>
        <w:rPr>
          <w:rFonts w:ascii="Arial" w:cs="Arial" w:eastAsia="Arial" w:hAnsi="Arial"/>
          <w:sz w:val="18"/>
          <w:szCs w:val="18"/>
          <w:color w:val="auto"/>
        </w:rPr>
        <w:t>The Plan will generally be implemented by a series of “Option Periods”. Unless otherwise determined by the Administrator, the Option Periods will be the six-month periods commencing May 1 and ending October 31 and commencing November 1 and ending April 30 of each year. Each October 31 and April 30 will be an “Exercise Date”. The Administrator may change the Exercise Date and the commencement date, ending date and duration of the Option Periods to the extent permitted by Section 423.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Section 6. Option Grant</w:t>
      </w:r>
    </w:p>
    <w:p>
      <w:pPr>
        <w:spacing w:after="0" w:line="81" w:lineRule="exact"/>
        <w:rPr>
          <w:sz w:val="20"/>
          <w:szCs w:val="20"/>
          <w:color w:val="auto"/>
        </w:rPr>
      </w:pPr>
    </w:p>
    <w:p>
      <w:pPr>
        <w:ind w:right="140" w:firstLine="877"/>
        <w:spacing w:after="0" w:line="255" w:lineRule="auto"/>
        <w:rPr>
          <w:sz w:val="20"/>
          <w:szCs w:val="20"/>
          <w:color w:val="auto"/>
        </w:rPr>
      </w:pPr>
      <w:r>
        <w:rPr>
          <w:rFonts w:ascii="Arial" w:cs="Arial" w:eastAsia="Arial" w:hAnsi="Arial"/>
          <w:sz w:val="18"/>
          <w:szCs w:val="18"/>
          <w:color w:val="auto"/>
        </w:rPr>
        <w:t xml:space="preserve">Subject to the limitations set forth in Section 4 and Section 10 and the Maximum Share Limit, on the first day of an Option Period, each Participant automatically will be granted an Option to purchase shares of Stock on the Exercise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Participant will be granted an Option under the Plan that permits the Participant’s right to purchase shares of Stock under the Plan and under all other employee stock purchase plans of the Company and its Parent and Subsidiaries, if any, to accrue at a rate that exceeds $25,000 in Fair Market Value (or such other maximum as may be prescribed from time to time by the Code) for each calendar year during which any Option granted to such Participant is outstanding at any time, as determined in accordance with Section 423(b)(8) of the Code.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Method of Participation</w:t>
      </w:r>
    </w:p>
    <w:p>
      <w:pPr>
        <w:spacing w:after="0" w:line="94" w:lineRule="exact"/>
        <w:rPr>
          <w:sz w:val="20"/>
          <w:szCs w:val="20"/>
          <w:color w:val="auto"/>
        </w:rPr>
      </w:pPr>
    </w:p>
    <w:p>
      <w:pPr>
        <w:ind w:firstLine="877"/>
        <w:spacing w:after="0" w:line="297" w:lineRule="auto"/>
        <w:rPr>
          <w:sz w:val="20"/>
          <w:szCs w:val="20"/>
          <w:color w:val="auto"/>
        </w:rPr>
      </w:pPr>
      <w:r>
        <w:rPr>
          <w:rFonts w:ascii="Arial" w:cs="Arial" w:eastAsia="Arial" w:hAnsi="Arial"/>
          <w:sz w:val="16"/>
          <w:szCs w:val="16"/>
          <w:color w:val="auto"/>
        </w:rPr>
        <w:t>To participate in an Option Period, an Eligible Employee must execute and deliver to the Administrator a payroll deduction and participation authorization form in accordance with the procedures prescribed by and in a form acceptable to the Administrator and, in so doing, the Eligible Employee will thereby become a Participant as of the first day of such Option Period. Such an Eligible Employee will remain a Participant with respect to subsequent Option Periods until his or her participation in the Plan is terminated as provided herein. Such payroll deduction and participation authorization must be delivered no later than ten (10) business days prior to the first day of an Option Period, or such other time as specified by the Administrator.</w:t>
      </w:r>
    </w:p>
    <w:p>
      <w:pPr>
        <w:spacing w:after="0" w:line="10" w:lineRule="exact"/>
        <w:rPr>
          <w:sz w:val="20"/>
          <w:szCs w:val="20"/>
          <w:color w:val="auto"/>
        </w:rPr>
      </w:pPr>
    </w:p>
    <w:p>
      <w:pPr>
        <w:ind w:right="60" w:firstLine="877"/>
        <w:spacing w:after="0" w:line="279" w:lineRule="auto"/>
        <w:rPr>
          <w:sz w:val="20"/>
          <w:szCs w:val="20"/>
          <w:color w:val="auto"/>
        </w:rPr>
      </w:pPr>
      <w:r>
        <w:rPr>
          <w:rFonts w:ascii="Arial" w:cs="Arial" w:eastAsia="Arial" w:hAnsi="Arial"/>
          <w:sz w:val="17"/>
          <w:szCs w:val="17"/>
          <w:color w:val="auto"/>
        </w:rPr>
        <w:t>A Participant’s authorization will remain in effect for subsequent Option Periods unless the Participant files a new authorization within ten (10) business days prior to the first day of an Option Period (or such other time as specified by the Administrator) or the Participant’s Option is cancelled pursuant to Section 13 or Section 14. During an Option Period, payroll deduction authorizations may not be increased or decreased, except that a Participant may terminate his or her payroll deduction authorization by canceling his or her Option in accordance with Section 13.</w:t>
      </w:r>
    </w:p>
    <w:p>
      <w:pPr>
        <w:spacing w:after="0" w:line="23" w:lineRule="exact"/>
        <w:rPr>
          <w:sz w:val="20"/>
          <w:szCs w:val="20"/>
          <w:color w:val="auto"/>
        </w:rPr>
      </w:pPr>
    </w:p>
    <w:p>
      <w:pPr>
        <w:ind w:right="180" w:firstLine="877"/>
        <w:spacing w:after="0" w:line="277" w:lineRule="auto"/>
        <w:rPr>
          <w:sz w:val="20"/>
          <w:szCs w:val="20"/>
          <w:color w:val="auto"/>
        </w:rPr>
      </w:pPr>
      <w:r>
        <w:rPr>
          <w:rFonts w:ascii="Arial" w:cs="Arial" w:eastAsia="Arial" w:hAnsi="Arial"/>
          <w:sz w:val="18"/>
          <w:szCs w:val="18"/>
          <w:color w:val="auto"/>
        </w:rPr>
        <w:t>Each payroll deduction authorization will request payroll deductions in an amount (expressed as a whole percentage) between one percent (1%) and fifteen percent (15%) of the employee’s total compensation, including base pay or salary per payroll period.</w:t>
      </w:r>
    </w:p>
    <w:p>
      <w:pPr>
        <w:spacing w:after="0" w:line="35" w:lineRule="exact"/>
        <w:rPr>
          <w:sz w:val="20"/>
          <w:szCs w:val="20"/>
          <w:color w:val="auto"/>
        </w:rPr>
      </w:pPr>
    </w:p>
    <w:p>
      <w:pPr>
        <w:ind w:right="120" w:firstLine="877"/>
        <w:spacing w:after="0" w:line="277" w:lineRule="auto"/>
        <w:rPr>
          <w:sz w:val="20"/>
          <w:szCs w:val="20"/>
          <w:color w:val="auto"/>
        </w:rPr>
      </w:pPr>
      <w:r>
        <w:rPr>
          <w:rFonts w:ascii="Arial" w:cs="Arial" w:eastAsia="Arial" w:hAnsi="Arial"/>
          <w:sz w:val="18"/>
          <w:szCs w:val="18"/>
          <w:color w:val="auto"/>
        </w:rPr>
        <w:t>All payroll deductions made pursuant to this Section 7 will be credited to the Participant’s Account. Amounts credited to a Participant’s Account will not be required to be set aside in trust or otherwise segregated from the Company’s general assets.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Method of Payment</w:t>
      </w:r>
    </w:p>
    <w:p>
      <w:pPr>
        <w:spacing w:after="0" w:line="81" w:lineRule="exact"/>
        <w:rPr>
          <w:sz w:val="20"/>
          <w:szCs w:val="20"/>
          <w:color w:val="auto"/>
        </w:rPr>
      </w:pPr>
    </w:p>
    <w:p>
      <w:pPr>
        <w:ind w:right="680" w:firstLine="877"/>
        <w:spacing w:after="0" w:line="277" w:lineRule="auto"/>
        <w:rPr>
          <w:sz w:val="20"/>
          <w:szCs w:val="20"/>
          <w:color w:val="auto"/>
        </w:rPr>
      </w:pPr>
      <w:r>
        <w:rPr>
          <w:rFonts w:ascii="Arial" w:cs="Arial" w:eastAsia="Arial" w:hAnsi="Arial"/>
          <w:sz w:val="18"/>
          <w:szCs w:val="18"/>
          <w:color w:val="auto"/>
        </w:rPr>
        <w:t>A Participant must pay for shares of Stock purchased upon the exercise of an Option with accumulated payroll deductions credited to the Participant’s Account.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Purchase Price</w:t>
      </w:r>
    </w:p>
    <w:p>
      <w:pPr>
        <w:spacing w:after="0" w:line="94" w:lineRule="exact"/>
        <w:rPr>
          <w:sz w:val="20"/>
          <w:szCs w:val="20"/>
          <w:color w:val="auto"/>
        </w:rPr>
      </w:pPr>
    </w:p>
    <w:p>
      <w:pPr>
        <w:ind w:right="20" w:firstLine="877"/>
        <w:spacing w:after="0" w:line="279" w:lineRule="auto"/>
        <w:rPr>
          <w:sz w:val="20"/>
          <w:szCs w:val="20"/>
          <w:color w:val="auto"/>
        </w:rPr>
      </w:pPr>
      <w:r>
        <w:rPr>
          <w:rFonts w:ascii="Arial" w:cs="Arial" w:eastAsia="Arial" w:hAnsi="Arial"/>
          <w:sz w:val="17"/>
          <w:szCs w:val="17"/>
          <w:color w:val="auto"/>
        </w:rPr>
        <w:t>The Purchase Price of shares of Stock issued pursuant to the exercise of an Option on each Exercise Date will be eighty-five percent (85%) (or such greater percentage specified by the Administrator to the extent permitted under Section 423) of the lesser of (a) the Fair Market Value of a share of Stock on the date on which the Option was granted pursuant to Section 6 (</w:t>
      </w:r>
      <w:r>
        <w:rPr>
          <w:rFonts w:ascii="Arial" w:cs="Arial" w:eastAsia="Arial" w:hAnsi="Arial"/>
          <w:sz w:val="17"/>
          <w:szCs w:val="17"/>
          <w:i w:val="1"/>
          <w:iCs w:val="1"/>
          <w:color w:val="auto"/>
        </w:rPr>
        <w:t>i.e.</w:t>
      </w:r>
      <w:r>
        <w:rPr>
          <w:rFonts w:ascii="Arial" w:cs="Arial" w:eastAsia="Arial" w:hAnsi="Arial"/>
          <w:sz w:val="17"/>
          <w:szCs w:val="17"/>
          <w:color w:val="auto"/>
        </w:rPr>
        <w:t>, the first day of the Option Period) and (b) the Fair Market Value of a share of Stock on the date on which the Option is deemed exercised pursuant to Section 10 (</w:t>
      </w:r>
      <w:r>
        <w:rPr>
          <w:rFonts w:ascii="Arial" w:cs="Arial" w:eastAsia="Arial" w:hAnsi="Arial"/>
          <w:sz w:val="17"/>
          <w:szCs w:val="17"/>
          <w:i w:val="1"/>
          <w:iCs w:val="1"/>
          <w:color w:val="auto"/>
        </w:rPr>
        <w:t>i.e.</w:t>
      </w:r>
      <w:r>
        <w:rPr>
          <w:rFonts w:ascii="Arial" w:cs="Arial" w:eastAsia="Arial" w:hAnsi="Arial"/>
          <w:sz w:val="17"/>
          <w:szCs w:val="17"/>
          <w:color w:val="auto"/>
        </w:rPr>
        <w:t>, the Exercise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457200</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Section 10. Exercise of Options</w:t>
      </w:r>
    </w:p>
    <w:p>
      <w:pPr>
        <w:spacing w:after="0" w:line="81" w:lineRule="exact"/>
        <w:rPr>
          <w:sz w:val="20"/>
          <w:szCs w:val="20"/>
          <w:color w:val="auto"/>
        </w:rPr>
      </w:pPr>
    </w:p>
    <w:p>
      <w:pPr>
        <w:ind w:right="60" w:firstLine="877"/>
        <w:spacing w:after="0" w:line="290" w:lineRule="auto"/>
        <w:rPr>
          <w:sz w:val="20"/>
          <w:szCs w:val="20"/>
          <w:color w:val="auto"/>
        </w:rPr>
      </w:pPr>
      <w:r>
        <w:rPr>
          <w:rFonts w:ascii="Arial" w:cs="Arial" w:eastAsia="Arial" w:hAnsi="Arial"/>
          <w:sz w:val="16"/>
          <w:szCs w:val="16"/>
          <w:color w:val="auto"/>
        </w:rPr>
        <w:t xml:space="preserve">Subject to the limitations set forth in Section 6 and this Section 10, with respect to each Option Period, on the applicable Exercise Date, each Participant will be deemed to have exercised his or her Option and the accumulated payroll deductions in the Participant’s Account will be applied to purchase the greatest number of whole shares of Stock (rounded down to the nearest whole share) that can be purchased with such Account balance at the applicable Purchase Price;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more than 10,000 shares of Stock may be purchased by a Participant on any Exercise Date, or such lesser number as the Administrator may prescribe in accordance with Section 423 (the “Maximum Share Limit”). As soon as practicable thereafter, shares of Stock so purchased will be placed, in book-entry form, into a record keeping account in the name of the Participant. No fractional shares will be purchased; any payroll deductions accumulated in a Participant’s Account that are not sufficient to purchase a full share will be retained in the Participant’s Account for the subsequent Option Period, subject to earlier withdrawal by the Participant as provided in Section 13 hereof.</w:t>
      </w:r>
    </w:p>
    <w:p>
      <w:pPr>
        <w:spacing w:after="0" w:line="31" w:lineRule="exact"/>
        <w:rPr>
          <w:sz w:val="20"/>
          <w:szCs w:val="20"/>
          <w:color w:val="auto"/>
        </w:rPr>
      </w:pPr>
    </w:p>
    <w:p>
      <w:pPr>
        <w:jc w:val="both"/>
        <w:ind w:right="40" w:firstLine="877"/>
        <w:spacing w:after="0" w:line="259" w:lineRule="auto"/>
        <w:rPr>
          <w:sz w:val="20"/>
          <w:szCs w:val="20"/>
          <w:color w:val="auto"/>
        </w:rPr>
      </w:pPr>
      <w:r>
        <w:rPr>
          <w:rFonts w:ascii="Arial" w:cs="Arial" w:eastAsia="Arial" w:hAnsi="Arial"/>
          <w:sz w:val="18"/>
          <w:szCs w:val="18"/>
          <w:color w:val="auto"/>
        </w:rPr>
        <w:t>Except as provided above with respect to fractional shares, any amount of payroll deductions in a Participant’s Account that are not used for the purchase of shares of Stock, whether because of the Participant’s withdrawal from participation in an Option Period or for any other reason, will be returned to the Participant or his or her designated beneficiary or legal representative, as applicable, without interest, as soon as administratively practicable after such withdrawal or other event, as applicable.</w:t>
      </w:r>
    </w:p>
    <w:p>
      <w:pPr>
        <w:spacing w:after="0" w:line="3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If the Participant’s accumulated payroll deductions on the Exercise Date would otherwise enable the</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Participant to purchase shares of Stock in excess of the Maximum Share Limit, the excess of the amount of the accumulated payroll deductions over the aggregate Purchase Price of the shares of Stock actually purchased will be returned to the Participant, without interest, as soon as administratively practicable after such Exercise Date.</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Notwithstanding any provision of the Plan to the contrary, no Option may be exercised after 27 months from its grant 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Interest</w:t>
      </w:r>
    </w:p>
    <w:p>
      <w:pPr>
        <w:spacing w:after="0" w:line="9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 interest will be payable on any amount held in the Account of any Participant.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Taxes</w:t>
      </w:r>
    </w:p>
    <w:p>
      <w:pPr>
        <w:spacing w:after="0" w:line="81" w:lineRule="exact"/>
        <w:rPr>
          <w:sz w:val="20"/>
          <w:szCs w:val="20"/>
          <w:color w:val="auto"/>
        </w:rPr>
      </w:pPr>
    </w:p>
    <w:p>
      <w:pPr>
        <w:ind w:right="20" w:firstLine="877"/>
        <w:spacing w:after="0" w:line="257" w:lineRule="auto"/>
        <w:rPr>
          <w:sz w:val="20"/>
          <w:szCs w:val="20"/>
          <w:color w:val="auto"/>
        </w:rPr>
      </w:pPr>
      <w:r>
        <w:rPr>
          <w:rFonts w:ascii="Arial" w:cs="Arial" w:eastAsia="Arial" w:hAnsi="Arial"/>
          <w:sz w:val="18"/>
          <w:szCs w:val="18"/>
          <w:color w:val="auto"/>
        </w:rPr>
        <w:t>Payroll deductions will be made on an after-tax basis. The Administrator will have the right, as a condition to exercising an Option, to make such provision as it deems necessary to satisfy its obligations to withhold federal, state, local income or other taxes incurred by reason of the purchase or disposition of shares of Stock under the Plan. In the Administrator’s discretion and subject to applicable law, such tax obligations may be paid in whole or in part by delivery of shares of Stock to the Company, including shares of Stock purchased under the Plan, valued at Fair Market Value, but not in excess of the minimum statutory amounts required to be withheld.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Cancellation and Withdrawal</w:t>
      </w:r>
    </w:p>
    <w:p>
      <w:pPr>
        <w:spacing w:after="0" w:line="81" w:lineRule="exact"/>
        <w:rPr>
          <w:sz w:val="20"/>
          <w:szCs w:val="20"/>
          <w:color w:val="auto"/>
        </w:rPr>
      </w:pPr>
    </w:p>
    <w:p>
      <w:pPr>
        <w:ind w:right="140" w:firstLine="877"/>
        <w:spacing w:after="0" w:line="293" w:lineRule="auto"/>
        <w:rPr>
          <w:sz w:val="20"/>
          <w:szCs w:val="20"/>
          <w:color w:val="auto"/>
        </w:rPr>
      </w:pPr>
      <w:r>
        <w:rPr>
          <w:rFonts w:ascii="Arial" w:cs="Arial" w:eastAsia="Arial" w:hAnsi="Arial"/>
          <w:sz w:val="16"/>
          <w:szCs w:val="16"/>
          <w:color w:val="auto"/>
        </w:rPr>
        <w:t>A Participant who holds an Option under the Plan may cancel all (but not less than all) of his or her Option and terminate his or her payroll deduction authorization by revoking such authorization by written notice delivered to the Administrator, which, to be effective with respect to an upcoming Exercise Date, must be delivered not later than fifteen (15) business days prior to such Exercise Date (or such other time as specified by the Administrator). Upon such termination and cancellation, the balance in the Participant’s Account will be returned to the Participant, without interest, as soon as administratively practicable thereafter. For the avoidance of doubt, a Participant who reduces his or her withholding rate for future payroll periods to zero pursuant to Section 7, will be deemed to have revoked his or her payroll deduction authorization and cancelled his or her Option.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Termination of Employment; Death of Participant</w:t>
      </w:r>
    </w:p>
    <w:p>
      <w:pPr>
        <w:spacing w:after="0" w:line="94" w:lineRule="exact"/>
        <w:rPr>
          <w:sz w:val="20"/>
          <w:szCs w:val="20"/>
          <w:color w:val="auto"/>
        </w:rPr>
      </w:pPr>
    </w:p>
    <w:p>
      <w:pPr>
        <w:jc w:val="both"/>
        <w:ind w:right="60" w:firstLine="877"/>
        <w:spacing w:after="0" w:line="257" w:lineRule="auto"/>
        <w:rPr>
          <w:sz w:val="20"/>
          <w:szCs w:val="20"/>
          <w:color w:val="auto"/>
        </w:rPr>
      </w:pPr>
      <w:r>
        <w:rPr>
          <w:rFonts w:ascii="Arial" w:cs="Arial" w:eastAsia="Arial" w:hAnsi="Arial"/>
          <w:sz w:val="18"/>
          <w:szCs w:val="18"/>
          <w:color w:val="auto"/>
        </w:rPr>
        <w:t>Upon the termination of a Participant’s employment with the Company (or a Designated Subsidiary, as applicable) for any reason or the death of a Participant during an Option Period prior to an Exercise Date or in the event the Participant ceases to qualify as an Eligible Employee, the Participant will cease to be a Participant, any Option held by him or her under the Plan will be deemed cancelled, the balance in the Participant’s Account will be returned to the Participant (or his or her estate or designated beneficiary in the event of the Participant’s death), without interest, as soon as administratively practicable thereafter, and the Participant will have no further rights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51" w:right="29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Section 15. Equal Rights; Participant’s Rights Not Transferable</w:t>
      </w:r>
    </w:p>
    <w:p>
      <w:pPr>
        <w:spacing w:after="0" w:line="81" w:lineRule="exact"/>
        <w:rPr>
          <w:sz w:val="20"/>
          <w:szCs w:val="20"/>
          <w:color w:val="auto"/>
        </w:rPr>
      </w:pPr>
    </w:p>
    <w:p>
      <w:pPr>
        <w:ind w:right="60" w:firstLine="877"/>
        <w:spacing w:after="0" w:line="257" w:lineRule="auto"/>
        <w:rPr>
          <w:sz w:val="20"/>
          <w:szCs w:val="20"/>
          <w:color w:val="auto"/>
        </w:rPr>
      </w:pPr>
      <w:r>
        <w:rPr>
          <w:rFonts w:ascii="Arial" w:cs="Arial" w:eastAsia="Arial" w:hAnsi="Arial"/>
          <w:sz w:val="18"/>
          <w:szCs w:val="18"/>
          <w:color w:val="auto"/>
        </w:rPr>
        <w:t>All Participants granted Options under the Plan will have the same rights and privileges consistent with the requirements set forth in Section 423. Any Option granted under the Plan will be exercisable during the Participant’s lifetime only by him or her and may not be sold, pledged, assigned, or transferred in any manner. In the event any Participant violates or attempts to violate the terms of this Section 15, as determined by the Administrator in its sole discretion, any Options held by him or her may be terminated by the Company and, upon the return to the Participant of the balance of his or her Account, without interest, all of the Participant’s rights under the Plan will terminate.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Change in Capitalization; Merger</w:t>
      </w:r>
    </w:p>
    <w:p>
      <w:pPr>
        <w:spacing w:after="0" w:line="94" w:lineRule="exact"/>
        <w:rPr>
          <w:sz w:val="20"/>
          <w:szCs w:val="20"/>
          <w:color w:val="auto"/>
        </w:rPr>
      </w:pPr>
    </w:p>
    <w:p>
      <w:pPr>
        <w:ind w:firstLine="877"/>
        <w:spacing w:after="0" w:line="255" w:lineRule="auto"/>
        <w:rPr>
          <w:sz w:val="20"/>
          <w:szCs w:val="20"/>
          <w:color w:val="auto"/>
        </w:rPr>
      </w:pPr>
      <w:r>
        <w:rPr>
          <w:rFonts w:ascii="Arial" w:cs="Arial" w:eastAsia="Arial" w:hAnsi="Arial"/>
          <w:sz w:val="18"/>
          <w:szCs w:val="18"/>
          <w:color w:val="auto"/>
        </w:rPr>
        <w:t xml:space="preserve">In the event of any change in the outstanding Stock by reason of a stock dividend, split-up, recapitalization, merger, consolidation, reorganization, or other capital change, the aggregate number and type of shares of Stock available under the Plan, the number and type of shares of Stock granted under any outstanding Options, the maximum number and type of shares of Stock purchasable under any outstanding Option, and the purchase price per share of Stock under any outstanding Option will be appropriately adjusted; </w:t>
      </w:r>
      <w:r>
        <w:rPr>
          <w:rFonts w:ascii="Arial" w:cs="Arial" w:eastAsia="Arial" w:hAnsi="Arial"/>
          <w:sz w:val="18"/>
          <w:szCs w:val="18"/>
          <w:i w:val="1"/>
          <w:iCs w:val="1"/>
          <w:color w:val="auto"/>
        </w:rPr>
        <w:t>provided</w:t>
      </w:r>
      <w:r>
        <w:rPr>
          <w:rFonts w:ascii="Arial" w:cs="Arial" w:eastAsia="Arial" w:hAnsi="Arial"/>
          <w:sz w:val="18"/>
          <w:szCs w:val="18"/>
          <w:color w:val="auto"/>
        </w:rPr>
        <w:t>, that no such adjustment will be made unless the Administrator is satisfied that it will not constitute a modification of the rights granted under the Plan or otherwise disqualify the Plan as an employee stock purchase plan under the provisions of Section 423.</w:t>
      </w:r>
    </w:p>
    <w:p>
      <w:pPr>
        <w:spacing w:after="0" w:line="45" w:lineRule="exact"/>
        <w:rPr>
          <w:sz w:val="20"/>
          <w:szCs w:val="20"/>
          <w:color w:val="auto"/>
        </w:rPr>
      </w:pPr>
    </w:p>
    <w:p>
      <w:pPr>
        <w:ind w:right="20" w:firstLine="877"/>
        <w:spacing w:after="0" w:line="273" w:lineRule="auto"/>
        <w:rPr>
          <w:sz w:val="20"/>
          <w:szCs w:val="20"/>
          <w:color w:val="auto"/>
        </w:rPr>
      </w:pPr>
      <w:r>
        <w:rPr>
          <w:rFonts w:ascii="Arial" w:cs="Arial" w:eastAsia="Arial" w:hAnsi="Arial"/>
          <w:sz w:val="17"/>
          <w:szCs w:val="17"/>
          <w:color w:val="auto"/>
        </w:rPr>
        <w:t>In the event of a sale of all or substantially all of the Stock or a sale of all or substantially all of the assets of the Company, or a merger or similar transaction in which the Company is not the surviving corporation or that results in the acquisition of the Company by another person, the Administrator may, in its discretion, (a) if the Company is merged with or acquired by another corporation, provide that each outstanding Option will be assumed or exchanged for a substitute Option granted by the acquiror or successor corporation or by a parent or subsidiary of the acquiror or successor corporation, (b) cancel each outstanding Option and return the balances in Participants’ Accounts to the Participants, and/or (c) pursuant to Section 18, terminate the Option Period on or before the date of the proposed sale, merger or similar transaction.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17. Administration of Plan</w:t>
      </w:r>
    </w:p>
    <w:p>
      <w:pPr>
        <w:spacing w:after="0" w:line="81" w:lineRule="exact"/>
        <w:rPr>
          <w:sz w:val="20"/>
          <w:szCs w:val="20"/>
          <w:color w:val="auto"/>
        </w:rPr>
      </w:pPr>
    </w:p>
    <w:p>
      <w:pPr>
        <w:ind w:right="560" w:firstLine="877"/>
        <w:spacing w:after="0" w:line="259" w:lineRule="auto"/>
        <w:rPr>
          <w:sz w:val="20"/>
          <w:szCs w:val="20"/>
          <w:color w:val="auto"/>
        </w:rPr>
      </w:pPr>
      <w:r>
        <w:rPr>
          <w:rFonts w:ascii="Arial" w:cs="Arial" w:eastAsia="Arial" w:hAnsi="Arial"/>
          <w:sz w:val="18"/>
          <w:szCs w:val="18"/>
          <w:color w:val="auto"/>
        </w:rPr>
        <w:t>The Plan will be administered by the Administrator, which will have the right to determine any questions which may arise regarding the interpretation and application of the provisions of the Plan and to make, administer, and interpret such rules and regulations as it deems necessary or advisable. All determinations and decisions by the Administrator regarding the interpretation or application of the Plan will be final and binding on all Participants.</w:t>
      </w:r>
    </w:p>
    <w:p>
      <w:pPr>
        <w:spacing w:after="0" w:line="52" w:lineRule="exact"/>
        <w:rPr>
          <w:sz w:val="20"/>
          <w:szCs w:val="20"/>
          <w:color w:val="auto"/>
        </w:rPr>
      </w:pPr>
    </w:p>
    <w:p>
      <w:pPr>
        <w:ind w:right="20" w:firstLine="877"/>
        <w:spacing w:after="0" w:line="325" w:lineRule="auto"/>
        <w:rPr>
          <w:sz w:val="20"/>
          <w:szCs w:val="20"/>
          <w:color w:val="auto"/>
        </w:rPr>
      </w:pPr>
      <w:r>
        <w:rPr>
          <w:rFonts w:ascii="Arial" w:cs="Arial" w:eastAsia="Arial" w:hAnsi="Arial"/>
          <w:sz w:val="16"/>
          <w:szCs w:val="16"/>
          <w:color w:val="auto"/>
        </w:rPr>
        <w:t>The Administrator may specify the manner in which Employees are to provide notices and payroll deduction authorizations. Notwithstanding any requirement of “written notice” herein, the Administrator may permit Employees to provide notices and payroll deduction authorizations electronically.</w:t>
      </w:r>
    </w:p>
    <w:p>
      <w:pPr>
        <w:spacing w:after="0" w:line="1" w:lineRule="exact"/>
        <w:rPr>
          <w:sz w:val="20"/>
          <w:szCs w:val="20"/>
          <w:color w:val="auto"/>
        </w:rPr>
      </w:pPr>
    </w:p>
    <w:p>
      <w:pPr>
        <w:ind w:right="200" w:firstLine="877"/>
        <w:spacing w:after="0" w:line="291" w:lineRule="auto"/>
        <w:rPr>
          <w:sz w:val="20"/>
          <w:szCs w:val="20"/>
          <w:color w:val="auto"/>
        </w:rPr>
      </w:pPr>
      <w:r>
        <w:rPr>
          <w:rFonts w:ascii="Arial" w:cs="Arial" w:eastAsia="Arial" w:hAnsi="Arial"/>
          <w:sz w:val="16"/>
          <w:szCs w:val="16"/>
          <w:color w:val="auto"/>
        </w:rPr>
        <w:t>The Administrator may adopt rules or procedures relating to the operation and administration of the Plan to accommodate the specific requirements of local laws and procedures. Without limiting the generality of the foregoing, the Administrator is specifically authorized to adopt rules and procedures regarding handling of payroll deductions or other contributions by Participants, payment of interest, conversion of local currency, data privacy security, payroll tax, withholding procedures and handling of stock certificates which vary with local requirements; however, if such varying provisions are not in accordance with the provisions of Section 423(b) of the Code, including but not limited to the requirement of Section 423(b)(5) of the Code that all options granted under the Plan shall have the same rights and privileges unless otherwise provided under the Code and the regulations promulgated thereunder, then the individuals affected by such varying provisions shall be deemed to be participating under a subplan and not in the Plan.</w:t>
      </w:r>
    </w:p>
    <w:p>
      <w:pPr>
        <w:spacing w:after="0" w:line="19" w:lineRule="exact"/>
        <w:rPr>
          <w:sz w:val="20"/>
          <w:szCs w:val="20"/>
          <w:color w:val="auto"/>
        </w:rPr>
      </w:pPr>
    </w:p>
    <w:p>
      <w:pPr>
        <w:ind w:firstLine="877"/>
        <w:spacing w:after="0" w:line="255" w:lineRule="auto"/>
        <w:rPr>
          <w:sz w:val="20"/>
          <w:szCs w:val="20"/>
          <w:color w:val="auto"/>
        </w:rPr>
      </w:pPr>
      <w:r>
        <w:rPr>
          <w:rFonts w:ascii="Arial" w:cs="Arial" w:eastAsia="Arial" w:hAnsi="Arial"/>
          <w:sz w:val="18"/>
          <w:szCs w:val="18"/>
          <w:color w:val="auto"/>
        </w:rPr>
        <w:t>The Administrator may adopt sub-plans applicable to particular Subsidiaries or locations, which sub-plans may be designed to be outside the scope of Section 423 of the Code and shall be deemed to be outside the scope of Section 423 of the Code unless the terms of the sub-plan provide to the contrary. The rules of such sub-plans may take precedence over other provisions of this Plan, with the exception of Section 3, but unless otherwise superseded by the terms of such sub-plan, the provisions of this Plan shall govern the operation of such sub-plan. The Administrator shall not be required to obtain the approval of stockholders prior to the adoption, amendment or termination of any sub-plan unless required by the laws of the foreign jurisdiction in which eligible Employees participating in the sub-plan are located.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67" w:right="2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Section 18. Amendment and Termination of Plan</w:t>
      </w:r>
    </w:p>
    <w:p>
      <w:pPr>
        <w:spacing w:after="0" w:line="81" w:lineRule="exact"/>
        <w:rPr>
          <w:sz w:val="20"/>
          <w:szCs w:val="20"/>
          <w:color w:val="auto"/>
        </w:rPr>
      </w:pPr>
    </w:p>
    <w:p>
      <w:pPr>
        <w:jc w:val="both"/>
        <w:ind w:right="420" w:firstLine="877"/>
        <w:spacing w:after="0" w:line="264" w:lineRule="auto"/>
        <w:rPr>
          <w:sz w:val="20"/>
          <w:szCs w:val="20"/>
          <w:color w:val="auto"/>
        </w:rPr>
      </w:pPr>
      <w:r>
        <w:rPr>
          <w:rFonts w:ascii="Arial" w:cs="Arial" w:eastAsia="Arial" w:hAnsi="Arial"/>
          <w:sz w:val="18"/>
          <w:szCs w:val="18"/>
          <w:color w:val="auto"/>
        </w:rPr>
        <w:t xml:space="preserve">The Board reserves the right at any time or times to amend the Plan to any extent and in any manner it may deem advisable, by action of the Board; </w:t>
      </w:r>
      <w:r>
        <w:rPr>
          <w:rFonts w:ascii="Arial" w:cs="Arial" w:eastAsia="Arial" w:hAnsi="Arial"/>
          <w:sz w:val="18"/>
          <w:szCs w:val="18"/>
          <w:i w:val="1"/>
          <w:iCs w:val="1"/>
          <w:color w:val="auto"/>
        </w:rPr>
        <w:t>provided</w:t>
      </w:r>
      <w:r>
        <w:rPr>
          <w:rFonts w:ascii="Arial" w:cs="Arial" w:eastAsia="Arial" w:hAnsi="Arial"/>
          <w:sz w:val="18"/>
          <w:szCs w:val="18"/>
          <w:color w:val="auto"/>
        </w:rPr>
        <w:t>, that any amendment that would be treated as the adoption of a new plan for purposes of Section 423 will have no force or effect unless approved by the shareholders of the Company within 12 months before or after its adoption.</w:t>
      </w:r>
    </w:p>
    <w:p>
      <w:pPr>
        <w:spacing w:after="0" w:line="46" w:lineRule="exact"/>
        <w:rPr>
          <w:sz w:val="20"/>
          <w:szCs w:val="20"/>
          <w:color w:val="auto"/>
        </w:rPr>
      </w:pPr>
    </w:p>
    <w:p>
      <w:pPr>
        <w:ind w:right="100" w:firstLine="877"/>
        <w:spacing w:after="0" w:line="259" w:lineRule="auto"/>
        <w:rPr>
          <w:sz w:val="20"/>
          <w:szCs w:val="20"/>
          <w:color w:val="auto"/>
        </w:rPr>
      </w:pPr>
      <w:r>
        <w:rPr>
          <w:rFonts w:ascii="Arial" w:cs="Arial" w:eastAsia="Arial" w:hAnsi="Arial"/>
          <w:sz w:val="18"/>
          <w:szCs w:val="18"/>
          <w:color w:val="auto"/>
        </w:rPr>
        <w:t>The Plan may be suspended or terminated at any time by the Company, by action of the Board. In connection therewith, the Board may provide, in its sole discretion, either that outstanding Options will be exercisable either at the Exercise Date for the applicable Option Period or on such earlier date as the Board may specify (in which case such earlier date will be treated as the Exercise Date for the applicable Option Period), or that the balance of each Participant’s Account will be returned to the Participant, without interest.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19. Approvals</w:t>
      </w:r>
    </w:p>
    <w:p>
      <w:pPr>
        <w:spacing w:after="0" w:line="81" w:lineRule="exact"/>
        <w:rPr>
          <w:sz w:val="20"/>
          <w:szCs w:val="20"/>
          <w:color w:val="auto"/>
        </w:rPr>
      </w:pPr>
    </w:p>
    <w:p>
      <w:pPr>
        <w:jc w:val="both"/>
        <w:ind w:right="20" w:firstLine="877"/>
        <w:spacing w:after="0" w:line="264" w:lineRule="auto"/>
        <w:rPr>
          <w:sz w:val="20"/>
          <w:szCs w:val="20"/>
          <w:color w:val="auto"/>
        </w:rPr>
      </w:pPr>
      <w:r>
        <w:rPr>
          <w:rFonts w:ascii="Arial" w:cs="Arial" w:eastAsia="Arial" w:hAnsi="Arial"/>
          <w:sz w:val="18"/>
          <w:szCs w:val="18"/>
          <w:color w:val="auto"/>
        </w:rPr>
        <w:t>Shareholder approval will be obtained prior to the date that is 12 months after the date of Board approval. In the event that this Plan has not been approved by the shareholders of the Company prior to January 11, 2015, all Options to purchase shares of Stock under this Plan will be cancelled and become null and void.</w:t>
      </w:r>
    </w:p>
    <w:p>
      <w:pPr>
        <w:spacing w:after="0" w:line="33" w:lineRule="exact"/>
        <w:rPr>
          <w:sz w:val="20"/>
          <w:szCs w:val="20"/>
          <w:color w:val="auto"/>
        </w:rPr>
      </w:pPr>
    </w:p>
    <w:p>
      <w:pPr>
        <w:ind w:firstLine="877"/>
        <w:spacing w:after="0" w:line="259" w:lineRule="auto"/>
        <w:rPr>
          <w:sz w:val="20"/>
          <w:szCs w:val="20"/>
          <w:color w:val="auto"/>
        </w:rPr>
      </w:pPr>
      <w:r>
        <w:rPr>
          <w:rFonts w:ascii="Arial" w:cs="Arial" w:eastAsia="Arial" w:hAnsi="Arial"/>
          <w:sz w:val="18"/>
          <w:szCs w:val="18"/>
          <w:color w:val="auto"/>
        </w:rPr>
        <w:t>Notwithstanding anything herein to the contrary, the obligation of the Company to issue and deliver shares of Stock under the Plan will be subject to the approval required of any governmental authority in connection with the authorization, issuance, sale or transfer of said shares of Stock, to any requirements of any national securities exchange applicable thereto, and to compliance by the Company with other applicable legal requirements in effect from time to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 Participants’ Rights as Shareholders and Employees</w:t>
      </w:r>
    </w:p>
    <w:p>
      <w:pPr>
        <w:spacing w:after="0" w:line="94" w:lineRule="exact"/>
        <w:rPr>
          <w:sz w:val="20"/>
          <w:szCs w:val="20"/>
          <w:color w:val="auto"/>
        </w:rPr>
      </w:pPr>
    </w:p>
    <w:p>
      <w:pPr>
        <w:ind w:right="160" w:firstLine="877"/>
        <w:spacing w:after="0" w:line="264" w:lineRule="auto"/>
        <w:rPr>
          <w:sz w:val="20"/>
          <w:szCs w:val="20"/>
          <w:color w:val="auto"/>
        </w:rPr>
      </w:pPr>
      <w:r>
        <w:rPr>
          <w:rFonts w:ascii="Arial" w:cs="Arial" w:eastAsia="Arial" w:hAnsi="Arial"/>
          <w:sz w:val="18"/>
          <w:szCs w:val="18"/>
          <w:color w:val="auto"/>
        </w:rPr>
        <w:t>A Participant will have no rights or privileges as a shareholder of the Company and will not receive any dividends in respect of any shares of Stock covered by an Option granted hereunder until such Option has been exercised, full payment has been made for such shares of Stock, and the shares of Stock have been issued to the Participant.</w:t>
      </w:r>
    </w:p>
    <w:p>
      <w:pPr>
        <w:spacing w:after="0" w:line="33" w:lineRule="exact"/>
        <w:rPr>
          <w:sz w:val="20"/>
          <w:szCs w:val="20"/>
          <w:color w:val="auto"/>
        </w:rPr>
      </w:pPr>
    </w:p>
    <w:p>
      <w:pPr>
        <w:ind w:right="520" w:firstLine="877"/>
        <w:spacing w:after="0" w:line="286" w:lineRule="auto"/>
        <w:rPr>
          <w:sz w:val="20"/>
          <w:szCs w:val="20"/>
          <w:color w:val="auto"/>
        </w:rPr>
      </w:pPr>
      <w:r>
        <w:rPr>
          <w:rFonts w:ascii="Arial" w:cs="Arial" w:eastAsia="Arial" w:hAnsi="Arial"/>
          <w:sz w:val="17"/>
          <w:szCs w:val="17"/>
          <w:color w:val="auto"/>
        </w:rPr>
        <w:t>Nothing contained in the provisions of the Plan will be construed as giving to any Employee the right to be retained in the employ of the Company or any Designated Subsidiary or as interfering with the right of the Company or any Designated Subsidiary to discharge, promote, demote or otherwise re-assign any Employee from one position to another within the Company any Designated Subsidiary at any time.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 Information Regarding Disqualifying Dispositions.</w:t>
      </w:r>
    </w:p>
    <w:p>
      <w:pPr>
        <w:spacing w:after="0" w:line="81" w:lineRule="exact"/>
        <w:rPr>
          <w:sz w:val="20"/>
          <w:szCs w:val="20"/>
          <w:color w:val="auto"/>
        </w:rPr>
      </w:pPr>
    </w:p>
    <w:p>
      <w:pPr>
        <w:ind w:right="20" w:firstLine="877"/>
        <w:spacing w:after="0" w:line="286" w:lineRule="auto"/>
        <w:rPr>
          <w:sz w:val="20"/>
          <w:szCs w:val="20"/>
          <w:color w:val="auto"/>
        </w:rPr>
      </w:pPr>
      <w:r>
        <w:rPr>
          <w:rFonts w:ascii="Arial" w:cs="Arial" w:eastAsia="Arial" w:hAnsi="Arial"/>
          <w:sz w:val="17"/>
          <w:szCs w:val="17"/>
          <w:color w:val="auto"/>
        </w:rPr>
        <w:t>By electing to participate in the Plan, each Participant agrees to provide such information about any transfer of Stock acquired under the Plan that occurs within two years after the first day of the Option Period in which such Stock was acquired and within one year after the acquisition of such Stock as may be requested by the Company or any Designated Subsidiary in order to assist it in complying with applicable tax laws.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22. Governing Law</w:t>
      </w:r>
    </w:p>
    <w:p>
      <w:pPr>
        <w:spacing w:after="0" w:line="94" w:lineRule="exact"/>
        <w:rPr>
          <w:sz w:val="20"/>
          <w:szCs w:val="20"/>
          <w:color w:val="auto"/>
        </w:rPr>
      </w:pPr>
    </w:p>
    <w:p>
      <w:pPr>
        <w:ind w:right="60" w:firstLine="877"/>
        <w:spacing w:after="0" w:line="277" w:lineRule="auto"/>
        <w:rPr>
          <w:sz w:val="20"/>
          <w:szCs w:val="20"/>
          <w:color w:val="auto"/>
        </w:rPr>
      </w:pPr>
      <w:r>
        <w:rPr>
          <w:rFonts w:ascii="Arial" w:cs="Arial" w:eastAsia="Arial" w:hAnsi="Arial"/>
          <w:sz w:val="18"/>
          <w:szCs w:val="18"/>
          <w:color w:val="auto"/>
        </w:rPr>
        <w:t>Subject to overriding federal law, the Plan will be governed by and interpreted consistently with the laws of the State of Delaware, except as may be necessary to comply with applicable requirements of federal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23. Effective Date and Term</w:t>
      </w:r>
    </w:p>
    <w:p>
      <w:pPr>
        <w:spacing w:after="0" w:line="8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This Plan will become effective on upon adoption of the Plan by the Board and no rights will be granted hereunder after the earliest to occur of</w:t>
      </w:r>
    </w:p>
    <w:p>
      <w:pPr>
        <w:spacing w:after="0" w:line="46" w:lineRule="exact"/>
        <w:rPr>
          <w:sz w:val="20"/>
          <w:szCs w:val="20"/>
          <w:color w:val="auto"/>
        </w:rPr>
      </w:pPr>
    </w:p>
    <w:p>
      <w:pPr>
        <w:ind w:right="500" w:firstLine="8"/>
        <w:spacing w:after="0" w:line="261" w:lineRule="auto"/>
        <w:tabs>
          <w:tab w:leader="none" w:pos="24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Plan’s termination by the Company, (b) the issuance of all shares of Stock available for issuance under the Plan or (c) the day before the 10-year anniversary of the date the Board approves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67" w:right="25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Definition of Terms</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terms, when used in the Plan, will have the meanings and be subject to the provisions set forth below:</w:t>
      </w:r>
    </w:p>
    <w:p>
      <w:pPr>
        <w:spacing w:after="0" w:line="8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“Account”: </w:t>
      </w:r>
      <w:r>
        <w:rPr>
          <w:rFonts w:ascii="Arial" w:cs="Arial" w:eastAsia="Arial" w:hAnsi="Arial"/>
          <w:sz w:val="18"/>
          <w:szCs w:val="18"/>
          <w:color w:val="auto"/>
        </w:rPr>
        <w:t>A payroll deduction account maintained in the Participant’s name on the books of the Company.</w:t>
      </w:r>
    </w:p>
    <w:p>
      <w:pPr>
        <w:spacing w:after="0" w:line="225" w:lineRule="exact"/>
        <w:rPr>
          <w:sz w:val="20"/>
          <w:szCs w:val="20"/>
          <w:color w:val="auto"/>
        </w:rPr>
      </w:pPr>
    </w:p>
    <w:p>
      <w:pPr>
        <w:ind w:right="20" w:firstLine="877"/>
        <w:spacing w:after="0" w:line="261" w:lineRule="auto"/>
        <w:rPr>
          <w:sz w:val="20"/>
          <w:szCs w:val="20"/>
          <w:color w:val="auto"/>
        </w:rPr>
      </w:pPr>
      <w:r>
        <w:rPr>
          <w:rFonts w:ascii="Arial" w:cs="Arial" w:eastAsia="Arial" w:hAnsi="Arial"/>
          <w:sz w:val="18"/>
          <w:szCs w:val="18"/>
          <w:b w:val="1"/>
          <w:bCs w:val="1"/>
          <w:color w:val="auto"/>
        </w:rPr>
        <w:t xml:space="preserve">“Administrator”: </w:t>
      </w:r>
      <w:r>
        <w:rPr>
          <w:rFonts w:ascii="Arial" w:cs="Arial" w:eastAsia="Arial" w:hAnsi="Arial"/>
          <w:sz w:val="18"/>
          <w:szCs w:val="18"/>
          <w:color w:val="auto"/>
        </w:rPr>
        <w:t>The Compensation Committee of the Board and its delegates, except that the Compensation Committee may delegate its</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under the Plan to a sub-committee comprised of one or more of its members, to members of the Board, or to officers or employees of the Company to the extent permitted by applicable law. In each case references herein to the Administrator refer, as applicable, to such persons or groups so delegated to the extent of such delegation.</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The Board of Directors of the Company.</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“Code”: </w:t>
      </w:r>
      <w:r>
        <w:rPr>
          <w:rFonts w:ascii="Arial" w:cs="Arial" w:eastAsia="Arial" w:hAnsi="Arial"/>
          <w:sz w:val="16"/>
          <w:szCs w:val="16"/>
          <w:color w:val="auto"/>
        </w:rPr>
        <w:t>The U.S. Internal Revenue Code of 1986 as from time to time amended and in effect, or any successor statute as from time to time in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effect.</w:t>
      </w:r>
    </w:p>
    <w:p>
      <w:pPr>
        <w:spacing w:after="0" w:line="20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Ultragenyx Pharmaceutical Inc.</w:t>
      </w:r>
    </w:p>
    <w:p>
      <w:pPr>
        <w:spacing w:after="0" w:line="225" w:lineRule="exact"/>
        <w:rPr>
          <w:sz w:val="20"/>
          <w:szCs w:val="20"/>
          <w:color w:val="auto"/>
        </w:rPr>
      </w:pPr>
    </w:p>
    <w:p>
      <w:pPr>
        <w:ind w:right="260" w:firstLine="877"/>
        <w:spacing w:after="0" w:line="282" w:lineRule="auto"/>
        <w:rPr>
          <w:sz w:val="20"/>
          <w:szCs w:val="20"/>
          <w:color w:val="auto"/>
        </w:rPr>
      </w:pPr>
      <w:r>
        <w:rPr>
          <w:rFonts w:ascii="Arial" w:cs="Arial" w:eastAsia="Arial" w:hAnsi="Arial"/>
          <w:sz w:val="18"/>
          <w:szCs w:val="18"/>
          <w:b w:val="1"/>
          <w:bCs w:val="1"/>
          <w:color w:val="auto"/>
        </w:rPr>
        <w:t xml:space="preserve">“Designated Subsidiary”: </w:t>
      </w:r>
      <w:r>
        <w:rPr>
          <w:rFonts w:ascii="Arial" w:cs="Arial" w:eastAsia="Arial" w:hAnsi="Arial"/>
          <w:sz w:val="18"/>
          <w:szCs w:val="18"/>
          <w:color w:val="auto"/>
        </w:rPr>
        <w:t>A Subsidiary of the Company that has been designated by the Board or the Compensation Committee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as eligible to participate in the Plan.</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The date set forth in Section 23 of the Plan.</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“Eligible Employee”: </w:t>
      </w:r>
      <w:r>
        <w:rPr>
          <w:rFonts w:ascii="Arial" w:cs="Arial" w:eastAsia="Arial" w:hAnsi="Arial"/>
          <w:sz w:val="18"/>
          <w:szCs w:val="18"/>
          <w:color w:val="auto"/>
        </w:rPr>
        <w:t>Any Employee who meets the eligibility requirements set forth in Section 4 of the Plan.</w:t>
      </w:r>
    </w:p>
    <w:p>
      <w:pPr>
        <w:spacing w:after="0" w:line="225" w:lineRule="exact"/>
        <w:rPr>
          <w:sz w:val="20"/>
          <w:szCs w:val="20"/>
          <w:color w:val="auto"/>
        </w:rPr>
      </w:pPr>
    </w:p>
    <w:p>
      <w:pPr>
        <w:ind w:firstLine="877"/>
        <w:spacing w:after="0" w:line="282" w:lineRule="auto"/>
        <w:rPr>
          <w:sz w:val="20"/>
          <w:szCs w:val="20"/>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Any person who is employed by the Company or a Designated Subsidiary. For the avoidance of doubt, independent consultants and</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contractors are not “Employees.”</w:t>
      </w:r>
    </w:p>
    <w:p>
      <w:pPr>
        <w:spacing w:after="0" w:line="162" w:lineRule="exact"/>
        <w:rPr>
          <w:sz w:val="20"/>
          <w:szCs w:val="20"/>
          <w:color w:val="auto"/>
        </w:rPr>
      </w:pPr>
    </w:p>
    <w:p>
      <w:pPr>
        <w:ind w:right="400" w:firstLine="877"/>
        <w:spacing w:after="0" w:line="282" w:lineRule="auto"/>
        <w:rPr>
          <w:sz w:val="20"/>
          <w:szCs w:val="20"/>
          <w:color w:val="auto"/>
        </w:rPr>
      </w:pPr>
      <w:r>
        <w:rPr>
          <w:rFonts w:ascii="Arial" w:cs="Arial" w:eastAsia="Arial" w:hAnsi="Arial"/>
          <w:sz w:val="18"/>
          <w:szCs w:val="18"/>
          <w:b w:val="1"/>
          <w:bCs w:val="1"/>
          <w:color w:val="auto"/>
        </w:rPr>
        <w:t xml:space="preserve">“Exercise Date”: </w:t>
      </w:r>
      <w:r>
        <w:rPr>
          <w:rFonts w:ascii="Arial" w:cs="Arial" w:eastAsia="Arial" w:hAnsi="Arial"/>
          <w:sz w:val="18"/>
          <w:szCs w:val="18"/>
          <w:color w:val="auto"/>
        </w:rPr>
        <w:t>The date set forth in Section 5 of the Plan or otherwise designated by the Administrator with respect to a particular Option</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on which a Participant will be deemed to have exercised the Option granted to him or her for such Option Period.</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“Fair Market Value”:</w:t>
      </w:r>
    </w:p>
    <w:p>
      <w:pPr>
        <w:spacing w:after="0" w:line="81" w:lineRule="exact"/>
        <w:rPr>
          <w:sz w:val="20"/>
          <w:szCs w:val="20"/>
          <w:color w:val="auto"/>
        </w:rPr>
      </w:pPr>
    </w:p>
    <w:p>
      <w:pPr>
        <w:jc w:val="both"/>
        <w:ind w:right="40" w:firstLine="885"/>
        <w:spacing w:after="0" w:line="264" w:lineRule="auto"/>
        <w:tabs>
          <w:tab w:leader="none" w:pos="1122"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If the Stock is readily traded on an established national exchange or trading system (including the Nasdaq Global Market), the closing price of the Stock as reported by the principal exchange on which such Stock is traded;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such day is not a trading day, Fair Market Value will mean the reported closing price of the Stock for the immediately preceding day that is a trading day.</w:t>
      </w:r>
    </w:p>
    <w:p>
      <w:pPr>
        <w:spacing w:after="0" w:line="32" w:lineRule="exact"/>
        <w:rPr>
          <w:rFonts w:ascii="Arial" w:cs="Arial" w:eastAsia="Arial" w:hAnsi="Arial"/>
          <w:sz w:val="18"/>
          <w:szCs w:val="18"/>
          <w:color w:val="auto"/>
        </w:rPr>
      </w:pPr>
    </w:p>
    <w:p>
      <w:pPr>
        <w:ind w:right="20" w:firstLine="885"/>
        <w:spacing w:after="0" w:line="277" w:lineRule="auto"/>
        <w:tabs>
          <w:tab w:leader="none" w:pos="1132"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the Stock is not traded on an established national exchange or trading system, the average of the bid and ask prices for such Stock where the bid and ask prices are quoted.</w:t>
      </w:r>
    </w:p>
    <w:p>
      <w:pPr>
        <w:spacing w:after="0" w:line="35" w:lineRule="exact"/>
        <w:rPr>
          <w:rFonts w:ascii="Arial" w:cs="Arial" w:eastAsia="Arial" w:hAnsi="Arial"/>
          <w:sz w:val="18"/>
          <w:szCs w:val="18"/>
          <w:color w:val="auto"/>
        </w:rPr>
      </w:pPr>
    </w:p>
    <w:p>
      <w:pPr>
        <w:ind w:left="1140" w:hanging="255"/>
        <w:spacing w:after="0"/>
        <w:tabs>
          <w:tab w:leader="none" w:pos="11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If the Stock cannot be valued pursuant to clauses (a) or (b), the value as determined in good faith by the Board in its sole discretion.</w:t>
      </w:r>
    </w:p>
    <w:p>
      <w:pPr>
        <w:spacing w:after="0" w:line="23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“Maximum Share Limit”: </w:t>
      </w:r>
      <w:r>
        <w:rPr>
          <w:rFonts w:ascii="Arial" w:cs="Arial" w:eastAsia="Arial" w:hAnsi="Arial"/>
          <w:sz w:val="18"/>
          <w:szCs w:val="18"/>
          <w:color w:val="auto"/>
        </w:rPr>
        <w:t>The meaning set forth in Section 10 of the Plan.</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“Option”: </w:t>
      </w:r>
      <w:r>
        <w:rPr>
          <w:rFonts w:ascii="Arial" w:cs="Arial" w:eastAsia="Arial" w:hAnsi="Arial"/>
          <w:sz w:val="16"/>
          <w:szCs w:val="16"/>
          <w:color w:val="auto"/>
        </w:rPr>
        <w:t>An option granted pursuant to the Plan entitling the holder to acquire shares of Stock upon payment of the Purchase Price per share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20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“Option Period”: </w:t>
      </w:r>
      <w:r>
        <w:rPr>
          <w:rFonts w:ascii="Arial" w:cs="Arial" w:eastAsia="Arial" w:hAnsi="Arial"/>
          <w:sz w:val="18"/>
          <w:szCs w:val="18"/>
          <w:color w:val="auto"/>
        </w:rPr>
        <w:t>An offering period established in accordance with Section 5 of the Plan.</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“Parent”: </w:t>
      </w:r>
      <w:r>
        <w:rPr>
          <w:rFonts w:ascii="Arial" w:cs="Arial" w:eastAsia="Arial" w:hAnsi="Arial"/>
          <w:sz w:val="18"/>
          <w:szCs w:val="18"/>
          <w:color w:val="auto"/>
        </w:rPr>
        <w:t>A “parent corporation” as defined in Section 424(e)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 xml:space="preserve">“Participant”: </w:t>
      </w:r>
      <w:r>
        <w:rPr>
          <w:rFonts w:ascii="Arial" w:cs="Arial" w:eastAsia="Arial" w:hAnsi="Arial"/>
          <w:sz w:val="18"/>
          <w:szCs w:val="18"/>
          <w:color w:val="auto"/>
        </w:rPr>
        <w:t>An Eligible Employee who elects to enroll in the Plan.</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“Plan”: </w:t>
      </w:r>
      <w:r>
        <w:rPr>
          <w:rFonts w:ascii="Arial" w:cs="Arial" w:eastAsia="Arial" w:hAnsi="Arial"/>
          <w:sz w:val="17"/>
          <w:szCs w:val="17"/>
          <w:color w:val="auto"/>
        </w:rPr>
        <w:t>The Ultragenyx Pharmaceutical Inc. 2014 Employee Stock Purchase Plan, as from time to time amended and in effect.</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“Purchase Price”: </w:t>
      </w:r>
      <w:r>
        <w:rPr>
          <w:rFonts w:ascii="Arial" w:cs="Arial" w:eastAsia="Arial" w:hAnsi="Arial"/>
          <w:sz w:val="16"/>
          <w:szCs w:val="16"/>
          <w:color w:val="auto"/>
        </w:rPr>
        <w:t>The price per share of Stock with respect to an Option Period determined in accordance with Section 9 of the Plan.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423”: </w:t>
      </w:r>
      <w:r>
        <w:rPr>
          <w:rFonts w:ascii="Arial" w:cs="Arial" w:eastAsia="Arial" w:hAnsi="Arial"/>
          <w:sz w:val="18"/>
          <w:szCs w:val="18"/>
          <w:color w:val="auto"/>
        </w:rPr>
        <w:t>Section 423 of the Code and the regulations thereunder.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“Stock”: </w:t>
      </w:r>
      <w:r>
        <w:rPr>
          <w:rFonts w:ascii="Arial" w:cs="Arial" w:eastAsia="Arial" w:hAnsi="Arial"/>
          <w:sz w:val="18"/>
          <w:szCs w:val="18"/>
          <w:color w:val="auto"/>
        </w:rPr>
        <w:t>Common stock of the Company, par value $0.001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A “subsidiary corporation” as defined in Section 424(f) of the Code.</w:t>
      </w:r>
    </w:p>
    <w:p>
      <w:pPr>
        <w:sectPr>
          <w:pgSz w:w="11900" w:h="16838" w:orient="portrait"/>
          <w:cols w:equalWidth="0" w:num="1">
            <w:col w:w="9700"/>
          </w:cols>
          <w:pgMar w:left="1120" w:top="351" w:right="107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10.36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85725</wp:posOffset>
            </wp:positionV>
            <wp:extent cx="1672590" cy="6343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67259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7F7F7F"/>
        </w:rPr>
        <w:t>60 Leveroni Court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7F7F7F"/>
        </w:rPr>
        <w:t>Novato, CA 94949</w:t>
      </w:r>
    </w:p>
    <w:p>
      <w:pPr>
        <w:spacing w:after="0"/>
        <w:rPr>
          <w:sz w:val="20"/>
          <w:szCs w:val="20"/>
          <w:color w:val="auto"/>
        </w:rPr>
      </w:pPr>
      <w:r>
        <w:rPr>
          <w:rFonts w:ascii="Arial" w:cs="Arial" w:eastAsia="Arial" w:hAnsi="Arial"/>
          <w:sz w:val="20"/>
          <w:szCs w:val="20"/>
          <w:color w:val="7F7F7F"/>
        </w:rPr>
        <w:t>Tel: 415-483-8800</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February 20, 2015</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Dennis Huang</w:t>
      </w:r>
    </w:p>
    <w:p>
      <w:pPr>
        <w:spacing w:after="0" w:line="233" w:lineRule="exact"/>
        <w:rPr>
          <w:sz w:val="20"/>
          <w:szCs w:val="20"/>
          <w:color w:val="auto"/>
        </w:rPr>
      </w:pPr>
    </w:p>
    <w:p>
      <w:pPr>
        <w:ind w:left="900"/>
        <w:spacing w:after="0"/>
        <w:rPr>
          <w:sz w:val="20"/>
          <w:szCs w:val="20"/>
          <w:color w:val="auto"/>
        </w:rPr>
      </w:pPr>
      <w:r>
        <w:rPr>
          <w:rFonts w:ascii="Arial" w:cs="Arial" w:eastAsia="Arial" w:hAnsi="Arial"/>
          <w:sz w:val="22"/>
          <w:szCs w:val="22"/>
          <w:u w:val="single" w:color="auto"/>
          <w:color w:val="auto"/>
        </w:rPr>
        <w:t>Re: Offer of Employment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Dear Dennis,</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On behalf of Ultragenyx Pharmaceutical Inc. (the “Company”), I am pleased to present to you an offer of full-time employment as Senior Vice President, Technical Operations. The Company’s Board of Directors (the “Board”) and I are excited about the important contributions you can make by joining the Ultragenyx executive team and are confident that you will play a key role in our company's growth and success.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In your role as Senior Vice President, Technical Operations, you will report directly to me and be a member of the Executive Leadership Team. In this role, you will have primary responsibility to lead the Manufacturing and Supply Chain teams to translate the clinical stage product manufacturing to global commercial manufacturing and supply chain. You will be responsible for managing all aspects of clinical and commercial manufacturing operations and provide leadership and direction to the technical operations team, utilizing your extensive scientific and technical experience and business acumen to establish strategies, and deliver well-controlled and characterized manufacturing processes. You will also identify, qualify, negotiate with, and manage contract manufacturers as well as participate in technology transfer and late-stage process improvement projects.</w:t>
      </w:r>
    </w:p>
    <w:p>
      <w:pPr>
        <w:spacing w:after="0" w:line="15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As for all functions at Ultragenyx, the technical operations group is expected to work in an integrated fashion with program development, development, including clinical and regulatory affairs, business development and commercial operations to drive the growth and success of the company. This includes establishing, maintaining and evolving the critical and unique strategies for development at Ultragenyx which depend on unique collaborations between departments, and novel approaches to traditional clinical development challenges.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4280" w:val="left"/>
          <w:tab w:leader="none" w:pos="11300" w:val="left"/>
        </w:tabs>
        <w:rPr>
          <w:sz w:val="20"/>
          <w:szCs w:val="20"/>
          <w:color w:val="auto"/>
        </w:rPr>
      </w:pPr>
      <w:r>
        <w:rPr>
          <w:rFonts w:ascii="Arial" w:cs="Arial" w:eastAsia="Arial" w:hAnsi="Arial"/>
          <w:sz w:val="20"/>
          <w:szCs w:val="20"/>
          <w:color w:val="9BBB59"/>
        </w:rPr>
        <w:t>www.ultragenyx.com</w:t>
      </w:r>
      <w:r>
        <w:rPr>
          <w:sz w:val="20"/>
          <w:szCs w:val="20"/>
          <w:color w:val="auto"/>
        </w:rPr>
        <w:tab/>
      </w:r>
      <w:r>
        <w:rPr>
          <w:rFonts w:ascii="Arial" w:cs="Arial" w:eastAsia="Arial" w:hAnsi="Arial"/>
          <w:sz w:val="20"/>
          <w:szCs w:val="20"/>
          <w:i w:val="1"/>
          <w:iCs w:val="1"/>
          <w:color w:val="7F7F7F"/>
        </w:rPr>
        <w:t>Turning good science into great medicine</w:t>
      </w:r>
      <w:r>
        <w:rPr>
          <w:sz w:val="20"/>
          <w:szCs w:val="20"/>
          <w:color w:val="auto"/>
        </w:rPr>
        <w:tab/>
      </w:r>
      <w:r>
        <w:rPr>
          <w:rFonts w:ascii="Arial" w:cs="Arial" w:eastAsia="Arial" w:hAnsi="Arial"/>
          <w:sz w:val="16"/>
          <w:szCs w:val="16"/>
          <w:color w:val="7F7F7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4" w:name="page125"/>
    <w:bookmarkEnd w:id="124"/>
    <w:p>
      <w:pPr>
        <w:spacing w:after="0"/>
        <w:rPr>
          <w:sz w:val="20"/>
          <w:szCs w:val="20"/>
          <w:color w:val="auto"/>
        </w:rPr>
      </w:pPr>
      <w:r>
        <w:rPr>
          <w:rFonts w:ascii="Arial" w:cs="Arial" w:eastAsia="Arial" w:hAnsi="Arial"/>
          <w:sz w:val="22"/>
          <w:szCs w:val="22"/>
          <w:b w:val="1"/>
          <w:bCs w:val="1"/>
          <w:u w:val="single" w:color="auto"/>
          <w:color w:val="auto"/>
        </w:rPr>
        <w:t>Compensation</w:t>
      </w:r>
    </w:p>
    <w:p>
      <w:pPr>
        <w:spacing w:after="0" w:line="239"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In the regular exempt position of Senior Vice President, Technical Operations, the Company shall pay you as compensation for your services an initial base salary at a gross annual rate of $340,000 (the “Base Salary”). Such Base Salary shall be payable in accordance with the Company’s standard payroll procedures and subject to standard payroll deductions and withholdings. The Board or the Compensation Committee of the Board shall review your Base Salary at least annually.</w:t>
      </w:r>
    </w:p>
    <w:p>
      <w:pPr>
        <w:spacing w:after="0" w:line="170" w:lineRule="exact"/>
        <w:rPr>
          <w:sz w:val="20"/>
          <w:szCs w:val="20"/>
          <w:color w:val="auto"/>
        </w:rPr>
      </w:pPr>
    </w:p>
    <w:p>
      <w:pPr>
        <w:jc w:val="both"/>
        <w:ind w:right="20"/>
        <w:spacing w:after="0" w:line="279" w:lineRule="auto"/>
        <w:rPr>
          <w:sz w:val="20"/>
          <w:szCs w:val="20"/>
          <w:color w:val="auto"/>
        </w:rPr>
      </w:pPr>
      <w:r>
        <w:rPr>
          <w:rFonts w:ascii="Arial" w:cs="Arial" w:eastAsia="Arial" w:hAnsi="Arial"/>
          <w:sz w:val="19"/>
          <w:szCs w:val="19"/>
          <w:color w:val="auto"/>
        </w:rPr>
        <w:t>In addition to your Base Salary, pursuant to the Company’s corporate bonus plan (or such other incentive plan maintained by the Company) you will be eligible to earn an annual bonus of up to 40% of your Base Salary based upon your performance during the previous year as evaluated by the CEO in consultation with the Board (or Compensation Committee of the Board) against pre-determined individual and/or corporate performance goals. In order to receive any bonus payment, you must be continuously employed through, and still employed by the Company on the date any such bonus is paid. Any such bonus shall be payable no later than March 15th following the end of such applicable fiscal period in which such bonus is earned.</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Equity Grants</w:t>
      </w:r>
    </w:p>
    <w:p>
      <w:pPr>
        <w:spacing w:after="0" w:line="239" w:lineRule="exact"/>
        <w:rPr>
          <w:sz w:val="20"/>
          <w:szCs w:val="20"/>
          <w:color w:val="auto"/>
        </w:rPr>
      </w:pPr>
    </w:p>
    <w:p>
      <w:pPr>
        <w:jc w:val="both"/>
        <w:ind w:right="20"/>
        <w:spacing w:after="0" w:line="258" w:lineRule="auto"/>
        <w:rPr>
          <w:sz w:val="20"/>
          <w:szCs w:val="20"/>
          <w:color w:val="auto"/>
        </w:rPr>
      </w:pPr>
      <w:r>
        <w:rPr>
          <w:rFonts w:ascii="Arial" w:cs="Arial" w:eastAsia="Arial" w:hAnsi="Arial"/>
          <w:sz w:val="21"/>
          <w:szCs w:val="21"/>
          <w:color w:val="auto"/>
        </w:rPr>
        <w:t>Subject to the approval of the Compensation Committee, you will also receive an option to purchase an aggregate of 60,000 shares of the Company’s Common Stock (the “Option”) pursuant to the Company’s 2014 Incentive Plan (the “Plan”). The exercise price of the Option will be equal to the closing price per share of Common Stock on the date of grant.</w:t>
      </w:r>
    </w:p>
    <w:p>
      <w:pPr>
        <w:spacing w:after="0" w:line="194" w:lineRule="exact"/>
        <w:rPr>
          <w:sz w:val="20"/>
          <w:szCs w:val="20"/>
          <w:color w:val="auto"/>
        </w:rPr>
      </w:pPr>
    </w:p>
    <w:p>
      <w:pPr>
        <w:jc w:val="both"/>
        <w:ind w:right="20"/>
        <w:spacing w:after="0" w:line="236" w:lineRule="auto"/>
        <w:rPr>
          <w:sz w:val="20"/>
          <w:szCs w:val="20"/>
          <w:color w:val="auto"/>
        </w:rPr>
      </w:pPr>
      <w:r>
        <w:rPr>
          <w:rFonts w:ascii="Arial" w:cs="Arial" w:eastAsia="Arial" w:hAnsi="Arial"/>
          <w:sz w:val="22"/>
          <w:szCs w:val="22"/>
          <w:color w:val="auto"/>
        </w:rPr>
        <w:t>The Option will vest and become exercisable as follows: 1/4</w:t>
      </w:r>
      <w:r>
        <w:rPr>
          <w:rFonts w:ascii="Arial" w:cs="Arial" w:eastAsia="Arial" w:hAnsi="Arial"/>
          <w:sz w:val="18"/>
          <w:szCs w:val="18"/>
          <w:color w:val="auto"/>
        </w:rPr>
        <w:t>th</w:t>
      </w:r>
      <w:r>
        <w:rPr>
          <w:rFonts w:ascii="Arial" w:cs="Arial" w:eastAsia="Arial" w:hAnsi="Arial"/>
          <w:sz w:val="22"/>
          <w:szCs w:val="22"/>
          <w:color w:val="auto"/>
        </w:rPr>
        <w:t xml:space="preserve"> of the shares initially subject to the Option shall vest and become exercisable on the first (1</w:t>
      </w:r>
      <w:r>
        <w:rPr>
          <w:rFonts w:ascii="Arial" w:cs="Arial" w:eastAsia="Arial" w:hAnsi="Arial"/>
          <w:sz w:val="18"/>
          <w:szCs w:val="18"/>
          <w:color w:val="auto"/>
        </w:rPr>
        <w:t>st</w:t>
      </w:r>
      <w:r>
        <w:rPr>
          <w:rFonts w:ascii="Arial" w:cs="Arial" w:eastAsia="Arial" w:hAnsi="Arial"/>
          <w:sz w:val="22"/>
          <w:szCs w:val="22"/>
          <w:color w:val="auto"/>
        </w:rPr>
        <w:t>) anniversary of the first day of your employment with the Company, and thereafter 1/48</w:t>
      </w:r>
      <w:r>
        <w:rPr>
          <w:rFonts w:ascii="Arial" w:cs="Arial" w:eastAsia="Arial" w:hAnsi="Arial"/>
          <w:sz w:val="18"/>
          <w:szCs w:val="18"/>
          <w:color w:val="auto"/>
        </w:rPr>
        <w:t>th</w:t>
      </w:r>
      <w:r>
        <w:rPr>
          <w:rFonts w:ascii="Arial" w:cs="Arial" w:eastAsia="Arial" w:hAnsi="Arial"/>
          <w:sz w:val="22"/>
          <w:szCs w:val="22"/>
          <w:color w:val="auto"/>
        </w:rPr>
        <w:t xml:space="preserve"> of the shares initially subject to the Option shall vest and become exercisable each month until the Option is fully vested, in each case subject to your continued employment by the Company (or its subsidiaries). The Option shall be governed by the Company’s standard form of stock option agreement and the Plan.</w:t>
      </w:r>
    </w:p>
    <w:p>
      <w:pPr>
        <w:spacing w:after="0" w:line="215" w:lineRule="exact"/>
        <w:rPr>
          <w:sz w:val="20"/>
          <w:szCs w:val="20"/>
          <w:color w:val="auto"/>
        </w:rPr>
      </w:pPr>
    </w:p>
    <w:p>
      <w:pPr>
        <w:jc w:val="both"/>
        <w:ind w:right="20"/>
        <w:spacing w:after="0" w:line="236" w:lineRule="auto"/>
        <w:rPr>
          <w:sz w:val="20"/>
          <w:szCs w:val="20"/>
          <w:color w:val="auto"/>
        </w:rPr>
      </w:pPr>
      <w:r>
        <w:rPr>
          <w:rFonts w:ascii="Arial" w:cs="Arial" w:eastAsia="Arial" w:hAnsi="Arial"/>
          <w:sz w:val="22"/>
          <w:szCs w:val="22"/>
          <w:color w:val="auto"/>
        </w:rPr>
        <w:t>Subject to the approval of the Compensation Committee, you will also receive a grant of 5,000 restricted stock units (the “RSUs”) pursuant to the Plan. The RSUs will vest annually over a four-year period from the date of grant (i.e., 25% of the RSUs shall vest and become exercisable on each anniversary of the date of grant during the four-year period), in each case subject to your continued employment by the Company (or its consolidated subsidiaries). The RSUs shall be governed by the Company’s standard form of restricted stock unit agreement and the Plan.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520" w:type="dxa"/>
            <w:vAlign w:val="bottom"/>
          </w:tcPr>
          <w:p>
            <w:pPr>
              <w:spacing w:after="0"/>
              <w:rPr>
                <w:sz w:val="20"/>
                <w:szCs w:val="20"/>
                <w:color w:val="auto"/>
              </w:rPr>
            </w:pPr>
            <w:r>
              <w:rPr>
                <w:rFonts w:ascii="Arial" w:cs="Arial" w:eastAsia="Arial" w:hAnsi="Arial"/>
                <w:sz w:val="20"/>
                <w:szCs w:val="20"/>
                <w:color w:val="9BBB59"/>
              </w:rPr>
              <w:t>www.ultragenyx.com</w:t>
            </w:r>
          </w:p>
        </w:tc>
        <w:tc>
          <w:tcPr>
            <w:tcW w:w="4920" w:type="dxa"/>
            <w:vAlign w:val="bottom"/>
          </w:tcPr>
          <w:p>
            <w:pPr>
              <w:jc w:val="right"/>
              <w:spacing w:after="0"/>
              <w:rPr>
                <w:sz w:val="20"/>
                <w:szCs w:val="20"/>
                <w:color w:val="auto"/>
              </w:rPr>
            </w:pPr>
            <w:r>
              <w:rPr>
                <w:rFonts w:ascii="Arial" w:cs="Arial" w:eastAsia="Arial" w:hAnsi="Arial"/>
                <w:sz w:val="20"/>
                <w:szCs w:val="20"/>
                <w:color w:val="7F7F7F"/>
              </w:rPr>
              <w:t>2</w:t>
            </w:r>
          </w:p>
        </w:tc>
      </w:tr>
      <w:tr>
        <w:trPr>
          <w:trHeight w:val="341"/>
        </w:trPr>
        <w:tc>
          <w:tcPr>
            <w:tcW w:w="65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5" w:right="219" w:bottom="1440" w:gutter="0" w:footer="0" w:header="0"/>
        </w:sectPr>
      </w:pPr>
    </w:p>
    <w:bookmarkStart w:id="125" w:name="page126"/>
    <w:bookmarkEnd w:id="125"/>
    <w:p>
      <w:pPr>
        <w:jc w:val="both"/>
        <w:ind w:right="20"/>
        <w:spacing w:after="0" w:line="275" w:lineRule="auto"/>
        <w:rPr>
          <w:sz w:val="20"/>
          <w:szCs w:val="20"/>
          <w:color w:val="auto"/>
        </w:rPr>
      </w:pPr>
      <w:r>
        <w:rPr>
          <w:rFonts w:ascii="Arial" w:cs="Arial" w:eastAsia="Arial" w:hAnsi="Arial"/>
          <w:sz w:val="19"/>
          <w:szCs w:val="19"/>
          <w:color w:val="auto"/>
        </w:rPr>
        <w:t>Notwithstanding the foregoing, in the event that (i) the Company consummates a Covered Transaction (as defined in the Plan), (ii) on the date such Covered Transaction is consummated you are employed by the Company (or its subsidiaries) and (iii) within 12 months after the date such Covered Transaction is consummated your employment by the Company (or its successor or subsidiaries) is terminated without Cause (as defined below) or you resign such employment due to a Constructive Termination (as defined below), then provided such termination constitutes a “separation from service” (as defined under Treasury Regulation Section 1.409A-1(h), without regard to any alternative definition thereunder, a “Separation from Service”), in addition to the severance benefits set forth below, the vesting of any equity-based compensation awards granted to you in connection with your employment shall accelerate with respect to 100% of the then-unvested shares then subject to such awards.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Benefits</w:t>
      </w:r>
    </w:p>
    <w:p>
      <w:pPr>
        <w:spacing w:after="0" w:line="239" w:lineRule="exact"/>
        <w:rPr>
          <w:sz w:val="20"/>
          <w:szCs w:val="20"/>
          <w:color w:val="auto"/>
        </w:rPr>
      </w:pPr>
    </w:p>
    <w:p>
      <w:pPr>
        <w:jc w:val="both"/>
        <w:ind w:right="20"/>
        <w:spacing w:after="0" w:line="236" w:lineRule="auto"/>
        <w:rPr>
          <w:sz w:val="20"/>
          <w:szCs w:val="20"/>
          <w:color w:val="auto"/>
        </w:rPr>
      </w:pPr>
      <w:r>
        <w:rPr>
          <w:rFonts w:ascii="Arial" w:cs="Arial" w:eastAsia="Arial" w:hAnsi="Arial"/>
          <w:sz w:val="22"/>
          <w:szCs w:val="22"/>
          <w:color w:val="auto"/>
        </w:rPr>
        <w:t>You will be eligible to participate in all of the employee benefits and benefit plans that the Company generally makes available to its full-time regular employees, subject to the terms and conditions of such benefits and benefit plans. At this time, these will include at a minimum, medical, dental and vision insurance coverage. Coverage for these benefits begins on the 1</w:t>
      </w:r>
      <w:r>
        <w:rPr>
          <w:rFonts w:ascii="Arial" w:cs="Arial" w:eastAsia="Arial" w:hAnsi="Arial"/>
          <w:sz w:val="18"/>
          <w:szCs w:val="18"/>
          <w:color w:val="auto"/>
        </w:rPr>
        <w:t>st</w:t>
      </w:r>
      <w:r>
        <w:rPr>
          <w:rFonts w:ascii="Arial" w:cs="Arial" w:eastAsia="Arial" w:hAnsi="Arial"/>
          <w:sz w:val="22"/>
          <w:szCs w:val="22"/>
          <w:color w:val="auto"/>
        </w:rPr>
        <w:t xml:space="preserve"> day of the month following your date of hire. Detailed information about the benefits presently available will be provided to you on your first day of employment.</w:t>
      </w:r>
    </w:p>
    <w:p>
      <w:pPr>
        <w:spacing w:after="0" w:line="215"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The health plan options will include 4 medical plans (2-HMO, PPO and HSA), a dental and vision plan, life/AD&amp;D insurance, disability and voluntary insurance as well as a 401(k) retirement plan. The Company will cover 90% of the employee benefit costs and 75% of the dependent benefits costs. Based on conditions and situations over time, the Company may change specific benefits and plans from time to time, but our intent is to provide an excellent health benefit program to our employees.</w:t>
      </w:r>
    </w:p>
    <w:p>
      <w:pPr>
        <w:spacing w:after="0" w:line="170" w:lineRule="exact"/>
        <w:rPr>
          <w:sz w:val="20"/>
          <w:szCs w:val="20"/>
          <w:color w:val="auto"/>
        </w:rPr>
      </w:pPr>
    </w:p>
    <w:p>
      <w:pPr>
        <w:jc w:val="both"/>
        <w:ind w:right="20"/>
        <w:spacing w:after="0" w:line="274" w:lineRule="auto"/>
        <w:rPr>
          <w:sz w:val="20"/>
          <w:szCs w:val="20"/>
          <w:color w:val="auto"/>
        </w:rPr>
      </w:pPr>
      <w:r>
        <w:rPr>
          <w:rFonts w:ascii="Arial" w:cs="Arial" w:eastAsia="Arial" w:hAnsi="Arial"/>
          <w:sz w:val="21"/>
          <w:szCs w:val="21"/>
          <w:color w:val="auto"/>
        </w:rPr>
        <w:t>You will be entitled to accrue and use vacation time at the rate of 160 hours per year, up to an accrual cap of 240 hours, in accordance with the terms of the Company’s time off policy. In addition, you will also be eligible for 5 sick days.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“At Will” Employment</w:t>
      </w:r>
    </w:p>
    <w:p>
      <w:pPr>
        <w:spacing w:after="0" w:line="239" w:lineRule="exact"/>
        <w:rPr>
          <w:sz w:val="20"/>
          <w:szCs w:val="20"/>
          <w:color w:val="auto"/>
        </w:rPr>
      </w:pPr>
    </w:p>
    <w:p>
      <w:pPr>
        <w:jc w:val="both"/>
        <w:ind w:right="20"/>
        <w:spacing w:after="0" w:line="248" w:lineRule="auto"/>
        <w:rPr>
          <w:sz w:val="20"/>
          <w:szCs w:val="20"/>
          <w:color w:val="auto"/>
        </w:rPr>
      </w:pPr>
      <w:r>
        <w:rPr>
          <w:rFonts w:ascii="Arial" w:cs="Arial" w:eastAsia="Arial" w:hAnsi="Arial"/>
          <w:sz w:val="21"/>
          <w:szCs w:val="21"/>
          <w:color w:val="auto"/>
        </w:rPr>
        <w:t>Employment with the Company is “at-will”. This means that it is not for any specified period of time and can be terminated by you or by the Company at any time, with or without advance notice, and for any or no particular reason or Cause. It also means that your job duties, title, responsibilities, reporting level, compensation and benefits, as well as the Company’s personnel policies and procedures, may be changed at any time, with or without notice in the sole discretion of the Company. This “at-will” nature of your employment shall remain unchanged during your tenure as an employee, and can only be changed by an express written agreement that is signed by you and by the Company’s CEO.</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520" w:type="dxa"/>
            <w:vAlign w:val="bottom"/>
          </w:tcPr>
          <w:p>
            <w:pPr>
              <w:spacing w:after="0"/>
              <w:rPr>
                <w:sz w:val="20"/>
                <w:szCs w:val="20"/>
                <w:color w:val="auto"/>
              </w:rPr>
            </w:pPr>
            <w:r>
              <w:rPr>
                <w:rFonts w:ascii="Arial" w:cs="Arial" w:eastAsia="Arial" w:hAnsi="Arial"/>
                <w:sz w:val="20"/>
                <w:szCs w:val="20"/>
                <w:color w:val="9BBB59"/>
              </w:rPr>
              <w:t>www.ultragenyx.com</w:t>
            </w:r>
          </w:p>
        </w:tc>
        <w:tc>
          <w:tcPr>
            <w:tcW w:w="4920" w:type="dxa"/>
            <w:vAlign w:val="bottom"/>
          </w:tcPr>
          <w:p>
            <w:pPr>
              <w:jc w:val="right"/>
              <w:spacing w:after="0"/>
              <w:rPr>
                <w:sz w:val="20"/>
                <w:szCs w:val="20"/>
                <w:color w:val="auto"/>
              </w:rPr>
            </w:pPr>
            <w:r>
              <w:rPr>
                <w:rFonts w:ascii="Arial" w:cs="Arial" w:eastAsia="Arial" w:hAnsi="Arial"/>
                <w:sz w:val="20"/>
                <w:szCs w:val="20"/>
                <w:color w:val="7F7F7F"/>
              </w:rPr>
              <w:t>3</w:t>
            </w:r>
          </w:p>
        </w:tc>
      </w:tr>
      <w:tr>
        <w:trPr>
          <w:trHeight w:val="341"/>
        </w:trPr>
        <w:tc>
          <w:tcPr>
            <w:tcW w:w="65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8" w:right="219" w:bottom="1440" w:gutter="0" w:footer="0" w:header="0"/>
        </w:sectPr>
      </w:pPr>
    </w:p>
    <w:bookmarkStart w:id="126" w:name="page127"/>
    <w:bookmarkEnd w:id="126"/>
    <w:p>
      <w:pPr>
        <w:spacing w:after="0"/>
        <w:rPr>
          <w:sz w:val="20"/>
          <w:szCs w:val="20"/>
          <w:color w:val="auto"/>
        </w:rPr>
      </w:pPr>
      <w:r>
        <w:rPr>
          <w:rFonts w:ascii="Arial" w:cs="Arial" w:eastAsia="Arial" w:hAnsi="Arial"/>
          <w:sz w:val="22"/>
          <w:szCs w:val="22"/>
          <w:b w:val="1"/>
          <w:bCs w:val="1"/>
          <w:u w:val="single" w:color="auto"/>
          <w:color w:val="auto"/>
        </w:rPr>
        <w:t>Severance</w:t>
      </w:r>
    </w:p>
    <w:p>
      <w:pPr>
        <w:spacing w:after="0" w:line="239" w:lineRule="exact"/>
        <w:rPr>
          <w:sz w:val="20"/>
          <w:szCs w:val="20"/>
          <w:color w:val="auto"/>
        </w:rPr>
      </w:pPr>
    </w:p>
    <w:p>
      <w:pPr>
        <w:jc w:val="both"/>
        <w:ind w:right="20"/>
        <w:spacing w:after="0" w:line="272" w:lineRule="auto"/>
        <w:rPr>
          <w:sz w:val="20"/>
          <w:szCs w:val="20"/>
          <w:color w:val="auto"/>
        </w:rPr>
      </w:pPr>
      <w:r>
        <w:rPr>
          <w:rFonts w:ascii="Arial" w:cs="Arial" w:eastAsia="Arial" w:hAnsi="Arial"/>
          <w:sz w:val="19"/>
          <w:szCs w:val="19"/>
          <w:color w:val="auto"/>
        </w:rPr>
        <w:t>If, at any time, your employment with the Company or its successor is terminated without Cause, or you resign your employment due to a Constructive Termination, then provided such termination constitutes a Separation from Service, the Company shall: (i) extend the exercise period applicable to the Option (and to any other options to purchase the Company’s Common Stock you then hold) such that you will have until the date that is twelve (12) months after the date of your Separation from Service to exercise any of the vested shares (determined as of the date of your Separation from Service) subject to the Option (but in no event will the exercise period be extended until later than the date of expiration of the term of the Option as set forth in the agreement evidencing such Option); and (ii) the Company shall pay you, as severance the equivalent of one (1) year of your Base Salary in effect as of the date of your Separation from Service, subject to standard payroll deductions and withholdings (the “Severance Amount”). The Severance Amount will be paid in installments in the form of continuation of your Base Salary payments, paid on the Company’s regular payroll dates, commencing on the Company’s first regular payroll date that follows the 60th day after such Separation from Service. The first regular payroll date that follows the 60</w:t>
      </w:r>
      <w:r>
        <w:rPr>
          <w:rFonts w:ascii="Arial" w:cs="Arial" w:eastAsia="Arial" w:hAnsi="Arial"/>
          <w:sz w:val="16"/>
          <w:szCs w:val="16"/>
          <w:color w:val="auto"/>
        </w:rPr>
        <w:t>th</w:t>
      </w:r>
      <w:r>
        <w:rPr>
          <w:rFonts w:ascii="Arial" w:cs="Arial" w:eastAsia="Arial" w:hAnsi="Arial"/>
          <w:sz w:val="19"/>
          <w:szCs w:val="19"/>
          <w:color w:val="auto"/>
        </w:rPr>
        <w:t xml:space="preserve"> day after such Separation from Service shall be for all accrued Base Salary for the 60-day period plus the period from the 60</w:t>
      </w:r>
      <w:r>
        <w:rPr>
          <w:rFonts w:ascii="Arial" w:cs="Arial" w:eastAsia="Arial" w:hAnsi="Arial"/>
          <w:sz w:val="16"/>
          <w:szCs w:val="16"/>
          <w:color w:val="auto"/>
        </w:rPr>
        <w:t>th</w:t>
      </w:r>
      <w:r>
        <w:rPr>
          <w:rFonts w:ascii="Arial" w:cs="Arial" w:eastAsia="Arial" w:hAnsi="Arial"/>
          <w:sz w:val="19"/>
          <w:szCs w:val="19"/>
          <w:color w:val="auto"/>
        </w:rPr>
        <w:t xml:space="preserve"> day until the regular payroll date; the remainder of the Base Salary continuation payments shall thereafter be made on the Company’s regular payroll dates.</w:t>
      </w:r>
    </w:p>
    <w:p>
      <w:pPr>
        <w:spacing w:after="0" w:line="184" w:lineRule="exact"/>
        <w:rPr>
          <w:sz w:val="20"/>
          <w:szCs w:val="20"/>
          <w:color w:val="auto"/>
        </w:rPr>
      </w:pPr>
    </w:p>
    <w:p>
      <w:pPr>
        <w:jc w:val="both"/>
        <w:ind w:right="20"/>
        <w:spacing w:after="0" w:line="245" w:lineRule="auto"/>
        <w:rPr>
          <w:sz w:val="20"/>
          <w:szCs w:val="20"/>
          <w:color w:val="auto"/>
        </w:rPr>
      </w:pPr>
      <w:r>
        <w:rPr>
          <w:rFonts w:ascii="Arial" w:cs="Arial" w:eastAsia="Arial" w:hAnsi="Arial"/>
          <w:sz w:val="21"/>
          <w:szCs w:val="21"/>
          <w:color w:val="auto"/>
        </w:rPr>
        <w:t>Notwithstanding anything herein to the contrary, the receipt of any of the severance or acceleration benefits described in this letter will be subject to and conditioned upon: (i) your signing a separation agreement and release of claims in a form reasonably satisfactory to the Company (the “Separation Agreement”) and such Separation Agreement becoming effective and irrevocable as specified therein no later than sixty (60) days following your Separation from Service; and (ii) your continued compliance with the terms of this letter, the Separation Agreement, the enclosed Confidential Information and Invention Assignment Agreement (including without limitation, your not using or disclosing any confidential or proprietary information of the Company), and any other agreement entered into between you and the Company. No severance benefits of any kind will be paid or provided, and no acceleration of vesting shall be effective, until the Separation Agreement becomes effective. You shall also resign from all positions and terminate any relationships as an employee, advisor, officer or director with the Company and any of its affiliates, each effective on the date of termination.</w:t>
      </w:r>
    </w:p>
    <w:p>
      <w:pPr>
        <w:spacing w:after="0" w:line="209"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Additionally, and for the avoidance of doubt, in the event that the Company terminates your employment for Cause, or you resign your employment for any reason other than due to a Constructive Termination, or your employment terminates upon your death or disability, you will no longer vest in the Option or the RSUs (or any other equity) and you will not be entitled to any severance benefits described herein.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520" w:type="dxa"/>
            <w:vAlign w:val="bottom"/>
          </w:tcPr>
          <w:p>
            <w:pPr>
              <w:spacing w:after="0"/>
              <w:rPr>
                <w:sz w:val="20"/>
                <w:szCs w:val="20"/>
                <w:color w:val="auto"/>
              </w:rPr>
            </w:pPr>
            <w:r>
              <w:rPr>
                <w:rFonts w:ascii="Arial" w:cs="Arial" w:eastAsia="Arial" w:hAnsi="Arial"/>
                <w:sz w:val="20"/>
                <w:szCs w:val="20"/>
                <w:color w:val="9BBB59"/>
              </w:rPr>
              <w:t>www.ultragenyx.com</w:t>
            </w:r>
          </w:p>
        </w:tc>
        <w:tc>
          <w:tcPr>
            <w:tcW w:w="4920" w:type="dxa"/>
            <w:vAlign w:val="bottom"/>
          </w:tcPr>
          <w:p>
            <w:pPr>
              <w:jc w:val="right"/>
              <w:spacing w:after="0"/>
              <w:rPr>
                <w:sz w:val="20"/>
                <w:szCs w:val="20"/>
                <w:color w:val="auto"/>
              </w:rPr>
            </w:pPr>
            <w:r>
              <w:rPr>
                <w:rFonts w:ascii="Arial" w:cs="Arial" w:eastAsia="Arial" w:hAnsi="Arial"/>
                <w:sz w:val="20"/>
                <w:szCs w:val="20"/>
                <w:color w:val="7F7F7F"/>
              </w:rPr>
              <w:t>4</w:t>
            </w:r>
          </w:p>
        </w:tc>
      </w:tr>
      <w:tr>
        <w:trPr>
          <w:trHeight w:val="341"/>
        </w:trPr>
        <w:tc>
          <w:tcPr>
            <w:tcW w:w="65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2" w:right="219" w:bottom="1440" w:gutter="0" w:footer="0" w:header="0"/>
        </w:sectPr>
      </w:pPr>
    </w:p>
    <w:bookmarkStart w:id="127" w:name="page128"/>
    <w:bookmarkEnd w:id="127"/>
    <w:p>
      <w:pPr>
        <w:jc w:val="both"/>
        <w:ind w:right="20"/>
        <w:spacing w:after="0" w:line="246" w:lineRule="auto"/>
        <w:rPr>
          <w:sz w:val="20"/>
          <w:szCs w:val="20"/>
          <w:color w:val="auto"/>
        </w:rPr>
      </w:pPr>
      <w:r>
        <w:rPr>
          <w:rFonts w:ascii="Arial" w:cs="Arial" w:eastAsia="Arial" w:hAnsi="Arial"/>
          <w:sz w:val="21"/>
          <w:szCs w:val="21"/>
          <w:color w:val="auto"/>
        </w:rPr>
        <w:t>For purposes of this offer letter, “Cause” means any of the following: (i) your gross negligence in carrying out, or material failure to carry out, your duties for the Company (including without limitation, your failure to cooperate in any Company investigation), after notice from the Board and a reasonable opportunity to cure (if deemed curable); (ii) any breach of your fiduciary duties to the Company, after notice from the Board and a reasonable opportunity to cure (if deemed curable); (iii) conviction of, or plea of guilty or no contest to, any felony; (iv) any act of fraud or embezzlement by you with respect to your obligations or otherwise relating to the business of the Company; (v) your material violation of any Company policy; (vi) your material breach of any agreement entered into between you and the Company; or (vii) your unauthorized use or disclosure of confidential information or trade secrets of the Company or its affiliates.</w:t>
      </w:r>
    </w:p>
    <w:p>
      <w:pPr>
        <w:spacing w:after="0" w:line="181" w:lineRule="exact"/>
        <w:rPr>
          <w:sz w:val="20"/>
          <w:szCs w:val="20"/>
          <w:color w:val="auto"/>
        </w:rPr>
      </w:pPr>
    </w:p>
    <w:p>
      <w:pPr>
        <w:jc w:val="both"/>
        <w:ind w:right="20"/>
        <w:spacing w:after="0" w:line="273" w:lineRule="auto"/>
        <w:rPr>
          <w:sz w:val="20"/>
          <w:szCs w:val="20"/>
          <w:color w:val="auto"/>
        </w:rPr>
      </w:pPr>
      <w:r>
        <w:rPr>
          <w:rFonts w:ascii="Arial" w:cs="Arial" w:eastAsia="Arial" w:hAnsi="Arial"/>
          <w:sz w:val="19"/>
          <w:szCs w:val="19"/>
          <w:color w:val="auto"/>
        </w:rPr>
        <w:t>For the purposes of this letter, “Constructive Termination” means the occurrence of any of the following events without your written consent: (i) a material reduction or change in your job duties, responsibilities and requirements from your job duties, responsibilities and requirements immediately prior to such reduction or change, taking into account the differences in job title and duties that are normally occasioned by reason of an acquisition of one company by another; (ii) a material reduction of your Base Salary (other than an equal, across-the-board reduction in the compensation of all similarly-situated employees of the Company or the surviving entity that is approved by the Board); or (iii) a requirement that you relocate to a principal office that increases your one-way commute by more than 50 miles relative to your immediately preceding principal office. Notwithstanding the foregoing, none of the foregoing events or conditions will constitute Constructive Termination unless: (x) you provide the Company with written objection (or notice) to the event or condition within 30 days following the occurrence thereof, (y) the Company does not reverse or otherwise cure the event or condition within 30 days of receiving that written objection, and (z) you resign your employment within 30 days following the expiration of that cure period.</w:t>
      </w:r>
    </w:p>
    <w:p>
      <w:pPr>
        <w:spacing w:after="0" w:line="156" w:lineRule="exact"/>
        <w:rPr>
          <w:sz w:val="20"/>
          <w:szCs w:val="20"/>
          <w:color w:val="auto"/>
        </w:rPr>
      </w:pPr>
    </w:p>
    <w:p>
      <w:pPr>
        <w:jc w:val="both"/>
        <w:ind w:right="20"/>
        <w:spacing w:after="0" w:line="273" w:lineRule="auto"/>
        <w:rPr>
          <w:sz w:val="20"/>
          <w:szCs w:val="20"/>
          <w:color w:val="auto"/>
        </w:rPr>
      </w:pPr>
      <w:r>
        <w:rPr>
          <w:rFonts w:ascii="Arial" w:cs="Arial" w:eastAsia="Arial" w:hAnsi="Arial"/>
          <w:sz w:val="19"/>
          <w:szCs w:val="19"/>
          <w:color w:val="auto"/>
        </w:rPr>
        <w:t>Notwithstanding any other provision herein or any other plan, arrangement or agreement to the contrary, if any of the payments or benefits provided or to be provided by the Company or its affiliates to you or for your benefit pursuant to the terms of this Offer Letter or otherwise (“Covered Payments”) constitute parachute payments (“Parachute Payments”) within the meaning of Section 280G of the Internal Revenue Code of 1986, as amended (the “Code”) and would, but for this paragraph be subject to the excise tax imposed under Section 4999 of the Code (or any successor provision thereto) or any similar tax imposed by state or local law or any interest or penalties with respect to such taxes (collectively, the “Excise Tax”), then the Covered Payments shall be either (i) reduced to the minimum extent necessary to ensure that no portion of the Covered Payments is subject to the Excise Tax (that amount, the “Reduced Amount”) or (ii) payable in full if your receipt on an after-tax basis of the full amount of payments and benefits (after taking into account the applicable federal, state, local and foreign income, employment and excise taxes (including the Excise Tax)) would result in you receiving an amount greater than the Reduced Amount.</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520" w:type="dxa"/>
            <w:vAlign w:val="bottom"/>
          </w:tcPr>
          <w:p>
            <w:pPr>
              <w:spacing w:after="0"/>
              <w:rPr>
                <w:sz w:val="20"/>
                <w:szCs w:val="20"/>
                <w:color w:val="auto"/>
              </w:rPr>
            </w:pPr>
            <w:r>
              <w:rPr>
                <w:rFonts w:ascii="Arial" w:cs="Arial" w:eastAsia="Arial" w:hAnsi="Arial"/>
                <w:sz w:val="20"/>
                <w:szCs w:val="20"/>
                <w:color w:val="9BBB59"/>
              </w:rPr>
              <w:t>www.ultragenyx.com</w:t>
            </w:r>
          </w:p>
        </w:tc>
        <w:tc>
          <w:tcPr>
            <w:tcW w:w="4920" w:type="dxa"/>
            <w:vAlign w:val="bottom"/>
          </w:tcPr>
          <w:p>
            <w:pPr>
              <w:jc w:val="right"/>
              <w:spacing w:after="0"/>
              <w:rPr>
                <w:sz w:val="20"/>
                <w:szCs w:val="20"/>
                <w:color w:val="auto"/>
              </w:rPr>
            </w:pPr>
            <w:r>
              <w:rPr>
                <w:rFonts w:ascii="Arial" w:cs="Arial" w:eastAsia="Arial" w:hAnsi="Arial"/>
                <w:sz w:val="20"/>
                <w:szCs w:val="20"/>
                <w:color w:val="7F7F7F"/>
              </w:rPr>
              <w:t>5</w:t>
            </w:r>
          </w:p>
        </w:tc>
      </w:tr>
      <w:tr>
        <w:trPr>
          <w:trHeight w:val="341"/>
        </w:trPr>
        <w:tc>
          <w:tcPr>
            <w:tcW w:w="65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8" w:right="219" w:bottom="1440" w:gutter="0" w:footer="0" w:header="0"/>
        </w:sectPr>
      </w:pPr>
    </w:p>
    <w:bookmarkStart w:id="128" w:name="page129"/>
    <w:bookmarkEnd w:id="128"/>
    <w:p>
      <w:pPr>
        <w:jc w:val="both"/>
        <w:ind w:right="20"/>
        <w:spacing w:after="0" w:line="236" w:lineRule="auto"/>
        <w:rPr>
          <w:sz w:val="20"/>
          <w:szCs w:val="20"/>
          <w:color w:val="auto"/>
        </w:rPr>
      </w:pPr>
      <w:r>
        <w:rPr>
          <w:rFonts w:ascii="Arial" w:cs="Arial" w:eastAsia="Arial" w:hAnsi="Arial"/>
          <w:sz w:val="22"/>
          <w:szCs w:val="22"/>
          <w:color w:val="auto"/>
        </w:rPr>
        <w:t>Any reduction pursuant to the preceding paragraph shall be made in a manner consistent with the requirements of Section 409A of the Code and the following: (i) the Covered Payments which do not constitute nonqualified deferred compensation subject to Section 409A of the Code shall be reduced first; and (ii) all other Covered Payments shall then be reduced as follows: (A) cash payments shall be reduced before non-cash payments; and (B) payments to be made on a later payment date shall be reduced before payments to be made on an earlier payment date.</w:t>
      </w:r>
    </w:p>
    <w:p>
      <w:pPr>
        <w:spacing w:after="0" w:line="188" w:lineRule="exact"/>
        <w:rPr>
          <w:sz w:val="20"/>
          <w:szCs w:val="20"/>
          <w:color w:val="auto"/>
        </w:rPr>
      </w:pPr>
    </w:p>
    <w:p>
      <w:pPr>
        <w:jc w:val="both"/>
        <w:ind w:right="20"/>
        <w:spacing w:after="0" w:line="234" w:lineRule="auto"/>
        <w:rPr>
          <w:sz w:val="20"/>
          <w:szCs w:val="20"/>
          <w:color w:val="auto"/>
        </w:rPr>
      </w:pPr>
      <w:r>
        <w:rPr>
          <w:rFonts w:ascii="Arial" w:cs="Arial" w:eastAsia="Arial" w:hAnsi="Arial"/>
          <w:sz w:val="22"/>
          <w:szCs w:val="22"/>
          <w:color w:val="auto"/>
        </w:rPr>
        <w:t>Any such required determination shall be made in writing in good faith by an independent accounting firm selected by the Company (the “Accountants”), which shall provide detailed supporting calculations to the Company and you as reasonably requested by the Company or you. The Company and you shall provide the Accountants with such information and documents as the Accountants may reasonably request in order to make a determination. For purposes of making the calculations and determinations required herein, the Accountants may rely on reasonable, good faith assumptions and approximations concerning the application of Section 280G and Section 4999 of the Code. The Accountants’ determinations shall be final and binding on the Company and you. The Company shall be responsible for all fees and expenses incurred by the Accountants in connection with the calculations required herein.</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520" w:type="dxa"/>
            <w:vAlign w:val="bottom"/>
          </w:tcPr>
          <w:p>
            <w:pPr>
              <w:spacing w:after="0"/>
              <w:rPr>
                <w:sz w:val="20"/>
                <w:szCs w:val="20"/>
                <w:color w:val="auto"/>
              </w:rPr>
            </w:pPr>
            <w:r>
              <w:rPr>
                <w:rFonts w:ascii="Arial" w:cs="Arial" w:eastAsia="Arial" w:hAnsi="Arial"/>
                <w:sz w:val="20"/>
                <w:szCs w:val="20"/>
                <w:color w:val="9BBB59"/>
              </w:rPr>
              <w:t>www.ultragenyx.com</w:t>
            </w:r>
          </w:p>
        </w:tc>
        <w:tc>
          <w:tcPr>
            <w:tcW w:w="4920" w:type="dxa"/>
            <w:vAlign w:val="bottom"/>
          </w:tcPr>
          <w:p>
            <w:pPr>
              <w:jc w:val="right"/>
              <w:spacing w:after="0"/>
              <w:rPr>
                <w:sz w:val="20"/>
                <w:szCs w:val="20"/>
                <w:color w:val="auto"/>
              </w:rPr>
            </w:pPr>
            <w:r>
              <w:rPr>
                <w:rFonts w:ascii="Arial" w:cs="Arial" w:eastAsia="Arial" w:hAnsi="Arial"/>
                <w:sz w:val="20"/>
                <w:szCs w:val="20"/>
                <w:color w:val="7F7F7F"/>
              </w:rPr>
              <w:t>6</w:t>
            </w:r>
          </w:p>
        </w:tc>
      </w:tr>
      <w:tr>
        <w:trPr>
          <w:trHeight w:val="341"/>
        </w:trPr>
        <w:tc>
          <w:tcPr>
            <w:tcW w:w="65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8" w:right="219" w:bottom="1440" w:gutter="0" w:footer="0" w:header="0"/>
        </w:sectPr>
      </w:pPr>
    </w:p>
    <w:bookmarkStart w:id="129" w:name="page130"/>
    <w:bookmarkEnd w:id="129"/>
    <w:p>
      <w:pPr>
        <w:spacing w:after="0"/>
        <w:rPr>
          <w:sz w:val="20"/>
          <w:szCs w:val="20"/>
          <w:color w:val="auto"/>
        </w:rPr>
      </w:pPr>
      <w:r>
        <w:rPr>
          <w:rFonts w:ascii="Arial" w:cs="Arial" w:eastAsia="Arial" w:hAnsi="Arial"/>
          <w:sz w:val="22"/>
          <w:szCs w:val="22"/>
          <w:b w:val="1"/>
          <w:bCs w:val="1"/>
          <w:u w:val="single" w:color="auto"/>
          <w:color w:val="auto"/>
        </w:rPr>
        <w:t>Compliance with Section 409A</w:t>
      </w:r>
    </w:p>
    <w:p>
      <w:pPr>
        <w:spacing w:after="0" w:line="239" w:lineRule="exact"/>
        <w:rPr>
          <w:sz w:val="20"/>
          <w:szCs w:val="20"/>
          <w:color w:val="auto"/>
        </w:rPr>
      </w:pPr>
    </w:p>
    <w:p>
      <w:pPr>
        <w:jc w:val="both"/>
        <w:ind w:right="20"/>
        <w:spacing w:after="0" w:line="245" w:lineRule="exact"/>
        <w:rPr>
          <w:sz w:val="20"/>
          <w:szCs w:val="20"/>
          <w:color w:val="auto"/>
        </w:rPr>
      </w:pPr>
      <w:r>
        <w:rPr>
          <w:rFonts w:ascii="Arial" w:cs="Arial" w:eastAsia="Arial" w:hAnsi="Arial"/>
          <w:sz w:val="19"/>
          <w:szCs w:val="19"/>
          <w:color w:val="auto"/>
        </w:rPr>
        <w:t>It is intended that all of the severance benefits and other payments payable under this letter satisfy, to the greatest extent possible, the exemptions from the application of Code Section 409A provided under Treasury Regulations 1.409A</w:t>
      </w:r>
      <w:r>
        <w:rPr>
          <w:rFonts w:ascii="MS PGothic" w:cs="MS PGothic" w:eastAsia="MS PGothic" w:hAnsi="MS PGothic"/>
          <w:sz w:val="19"/>
          <w:szCs w:val="19"/>
          <w:color w:val="auto"/>
        </w:rPr>
        <w:t>‑</w:t>
      </w:r>
      <w:r>
        <w:rPr>
          <w:rFonts w:ascii="Arial" w:cs="Arial" w:eastAsia="Arial" w:hAnsi="Arial"/>
          <w:sz w:val="19"/>
          <w:szCs w:val="19"/>
          <w:color w:val="auto"/>
        </w:rPr>
        <w:t>1(b)(4), 1.409A</w:t>
      </w:r>
      <w:r>
        <w:rPr>
          <w:rFonts w:ascii="MS PGothic" w:cs="MS PGothic" w:eastAsia="MS PGothic" w:hAnsi="MS PGothic"/>
          <w:sz w:val="19"/>
          <w:szCs w:val="19"/>
          <w:color w:val="auto"/>
        </w:rPr>
        <w:t>‑</w:t>
      </w:r>
      <w:r>
        <w:rPr>
          <w:rFonts w:ascii="Arial" w:cs="Arial" w:eastAsia="Arial" w:hAnsi="Arial"/>
          <w:sz w:val="19"/>
          <w:szCs w:val="19"/>
          <w:color w:val="auto"/>
        </w:rPr>
        <w:t>1(b)(5) and 1.409A</w:t>
      </w:r>
      <w:r>
        <w:rPr>
          <w:rFonts w:ascii="MS PGothic" w:cs="MS PGothic" w:eastAsia="MS PGothic" w:hAnsi="MS PGothic"/>
          <w:sz w:val="19"/>
          <w:szCs w:val="19"/>
          <w:color w:val="auto"/>
        </w:rPr>
        <w:t>‑</w:t>
      </w:r>
      <w:r>
        <w:rPr>
          <w:rFonts w:ascii="Arial" w:cs="Arial" w:eastAsia="Arial" w:hAnsi="Arial"/>
          <w:sz w:val="19"/>
          <w:szCs w:val="19"/>
          <w:color w:val="auto"/>
        </w:rPr>
        <w:t>1(b)(9), and this letter agreement will be construed to the greatest extent possible as consistent with those provisions, and to the extent not so exempt, this letter (and any definitions hereunder) will be construed in a manner that complies with Section 409A. Any payment by the Company under this letter agreement that is subject to Section 409A and that is contingent on a termination of employment is contingent on a “separation from service” within the meaning of Section 409A. Each such payment shall be considered to be a separate payment for purposes of Section 409A. Notwithstanding any provision to the contrary in this letter, if you are deemed by the Company at the time of your Separation from Service to be a “specified employee” for purposes of Code Section 409A(a)(2)(B)(i),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Code Section 409A(a)(2)(B)(i) and the related adverse taxation under Section 409A, such payments shall not be provided to you prior to the earliest of (i) the expiration of the six-month period measured from the date of your Separation from Service with the Company, (ii) the date of your death, or (iii) such earlier date as permitted under Section 409A without the imposition of adverse taxation. Upon the first business day following the expiration of such applicable Code Section 409A(a)(2)(B)(i) period, all payments deferred pursuant to this paragraph shall be paid in a lump sum to you, and any remaining payments due shall be paid as otherwise provided herein or in the applicable agreement. No interest shall be due on any amounts so deferred.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Compliance with Company Policies</w:t>
      </w:r>
    </w:p>
    <w:p>
      <w:pPr>
        <w:spacing w:after="0" w:line="239"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As an employee of the Company, you will be expected to comply with the Company’s personnel and other policies, including but not limited to, the Company’s policies prohibiting discrimination and unlawful harassment, conflicts of interest and violation of applicable laws in the course of performing services to the Company. During your orientation, you will be provided with the Company’s policy and procedures.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520" w:type="dxa"/>
            <w:vAlign w:val="bottom"/>
          </w:tcPr>
          <w:p>
            <w:pPr>
              <w:spacing w:after="0"/>
              <w:rPr>
                <w:sz w:val="20"/>
                <w:szCs w:val="20"/>
                <w:color w:val="auto"/>
              </w:rPr>
            </w:pPr>
            <w:r>
              <w:rPr>
                <w:rFonts w:ascii="Arial" w:cs="Arial" w:eastAsia="Arial" w:hAnsi="Arial"/>
                <w:sz w:val="20"/>
                <w:szCs w:val="20"/>
                <w:color w:val="9BBB59"/>
              </w:rPr>
              <w:t>www.ultragenyx.com</w:t>
            </w:r>
          </w:p>
        </w:tc>
        <w:tc>
          <w:tcPr>
            <w:tcW w:w="4920" w:type="dxa"/>
            <w:vAlign w:val="bottom"/>
          </w:tcPr>
          <w:p>
            <w:pPr>
              <w:jc w:val="right"/>
              <w:spacing w:after="0"/>
              <w:rPr>
                <w:sz w:val="20"/>
                <w:szCs w:val="20"/>
                <w:color w:val="auto"/>
              </w:rPr>
            </w:pPr>
            <w:r>
              <w:rPr>
                <w:rFonts w:ascii="Arial" w:cs="Arial" w:eastAsia="Arial" w:hAnsi="Arial"/>
                <w:sz w:val="20"/>
                <w:szCs w:val="20"/>
                <w:color w:val="7F7F7F"/>
              </w:rPr>
              <w:t>7</w:t>
            </w:r>
          </w:p>
        </w:tc>
      </w:tr>
      <w:tr>
        <w:trPr>
          <w:trHeight w:val="341"/>
        </w:trPr>
        <w:tc>
          <w:tcPr>
            <w:tcW w:w="65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2" w:right="219" w:bottom="1440" w:gutter="0" w:footer="0" w:header="0"/>
        </w:sectPr>
      </w:pPr>
    </w:p>
    <w:bookmarkStart w:id="130" w:name="page131"/>
    <w:bookmarkEnd w:id="130"/>
    <w:p>
      <w:pPr>
        <w:spacing w:after="0"/>
        <w:rPr>
          <w:sz w:val="20"/>
          <w:szCs w:val="20"/>
          <w:color w:val="auto"/>
        </w:rPr>
      </w:pPr>
      <w:r>
        <w:rPr>
          <w:rFonts w:ascii="Arial" w:cs="Arial" w:eastAsia="Arial" w:hAnsi="Arial"/>
          <w:sz w:val="22"/>
          <w:szCs w:val="22"/>
          <w:b w:val="1"/>
          <w:bCs w:val="1"/>
          <w:u w:val="single" w:color="auto"/>
          <w:color w:val="auto"/>
        </w:rPr>
        <w:t>Full-time Services to the Company</w:t>
      </w:r>
    </w:p>
    <w:p>
      <w:pPr>
        <w:spacing w:after="0" w:line="239" w:lineRule="exact"/>
        <w:rPr>
          <w:sz w:val="20"/>
          <w:szCs w:val="20"/>
          <w:color w:val="auto"/>
        </w:rPr>
      </w:pPr>
    </w:p>
    <w:p>
      <w:pPr>
        <w:jc w:val="both"/>
        <w:ind w:right="20"/>
        <w:spacing w:after="0" w:line="247" w:lineRule="auto"/>
        <w:rPr>
          <w:sz w:val="20"/>
          <w:szCs w:val="20"/>
          <w:color w:val="auto"/>
        </w:rPr>
      </w:pPr>
      <w:r>
        <w:rPr>
          <w:rFonts w:ascii="Arial" w:cs="Arial" w:eastAsia="Arial" w:hAnsi="Arial"/>
          <w:sz w:val="21"/>
          <w:szCs w:val="21"/>
          <w:color w:val="auto"/>
        </w:rPr>
        <w:t>The Company requires that, as a full-time employee, you devote your full business time, attention, skills and efforts to the tasks and duties of your position as assigned by the Company. However, the Company will not preclude you from providing services to others, so long as such services would not be to the benefit of a competitor of the Company and will not otherwise interfere with your ability to satisfactorily fulfill your job responsibilities to the Company. If you wish to perform services (for any or no form of compensation) to any other person or business entity while employed by the Company, please contact the CEO and discuss your plans in advance of providing such services so that no problem later arises that could have been avoided from the outset. Any other such services must be approved by the CEO and Board.</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Conditions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This offer, and any employment pursuant to this offer, is conditioned upon the following:</w:t>
      </w:r>
    </w:p>
    <w:p>
      <w:pPr>
        <w:spacing w:after="0" w:line="233" w:lineRule="exact"/>
        <w:rPr>
          <w:sz w:val="20"/>
          <w:szCs w:val="20"/>
          <w:color w:val="auto"/>
        </w:rPr>
      </w:pPr>
    </w:p>
    <w:p>
      <w:pPr>
        <w:jc w:val="both"/>
        <w:ind w:left="880" w:right="20" w:hanging="440"/>
        <w:spacing w:after="0"/>
        <w:tabs>
          <w:tab w:leader="none" w:pos="880" w:val="left"/>
        </w:tabs>
        <w:numPr>
          <w:ilvl w:val="0"/>
          <w:numId w:val="84"/>
        </w:numPr>
        <w:rPr>
          <w:rFonts w:ascii="Arial" w:cs="Arial" w:eastAsia="Arial" w:hAnsi="Arial"/>
          <w:sz w:val="22"/>
          <w:szCs w:val="22"/>
          <w:color w:val="auto"/>
        </w:rPr>
      </w:pPr>
      <w:r>
        <w:rPr>
          <w:rFonts w:ascii="Arial" w:cs="Arial" w:eastAsia="Arial" w:hAnsi="Arial"/>
          <w:sz w:val="22"/>
          <w:szCs w:val="22"/>
          <w:color w:val="auto"/>
        </w:rPr>
        <w:t>Your ability to provide satisfactory documentary proof of your identity and right to work in the United States of America on your first day of employment. Enclosed is the INS Form I-9, Employment Eligibility Verification, the second page of which includes a description of acceptable documentary proof.</w:t>
      </w:r>
    </w:p>
    <w:p>
      <w:pPr>
        <w:spacing w:after="0" w:line="78" w:lineRule="exact"/>
        <w:rPr>
          <w:rFonts w:ascii="Arial" w:cs="Arial" w:eastAsia="Arial" w:hAnsi="Arial"/>
          <w:sz w:val="22"/>
          <w:szCs w:val="22"/>
          <w:color w:val="auto"/>
        </w:rPr>
      </w:pPr>
    </w:p>
    <w:p>
      <w:pPr>
        <w:ind w:left="880" w:right="20" w:hanging="440"/>
        <w:spacing w:after="0" w:line="251" w:lineRule="auto"/>
        <w:tabs>
          <w:tab w:leader="none" w:pos="880" w:val="left"/>
        </w:tabs>
        <w:numPr>
          <w:ilvl w:val="0"/>
          <w:numId w:val="84"/>
        </w:numPr>
        <w:rPr>
          <w:rFonts w:ascii="Arial" w:cs="Arial" w:eastAsia="Arial" w:hAnsi="Arial"/>
          <w:sz w:val="22"/>
          <w:szCs w:val="22"/>
          <w:color w:val="auto"/>
        </w:rPr>
      </w:pPr>
      <w:r>
        <w:rPr>
          <w:rFonts w:ascii="Arial" w:cs="Arial" w:eastAsia="Arial" w:hAnsi="Arial"/>
          <w:sz w:val="22"/>
          <w:szCs w:val="22"/>
          <w:color w:val="auto"/>
        </w:rPr>
        <w:t>Your signed agreement to, and ongoing compliance with, the terms of the enclosed Confidential Information and Invention Assignment Agreement without modification.</w:t>
      </w:r>
    </w:p>
    <w:p>
      <w:pPr>
        <w:spacing w:after="0" w:line="65" w:lineRule="exact"/>
        <w:rPr>
          <w:rFonts w:ascii="Arial" w:cs="Arial" w:eastAsia="Arial" w:hAnsi="Arial"/>
          <w:sz w:val="22"/>
          <w:szCs w:val="22"/>
          <w:color w:val="auto"/>
        </w:rPr>
      </w:pPr>
    </w:p>
    <w:p>
      <w:pPr>
        <w:jc w:val="both"/>
        <w:ind w:left="880" w:right="20" w:hanging="440"/>
        <w:spacing w:after="0"/>
        <w:tabs>
          <w:tab w:leader="none" w:pos="880" w:val="left"/>
        </w:tabs>
        <w:numPr>
          <w:ilvl w:val="0"/>
          <w:numId w:val="84"/>
        </w:numPr>
        <w:rPr>
          <w:rFonts w:ascii="Arial" w:cs="Arial" w:eastAsia="Arial" w:hAnsi="Arial"/>
          <w:sz w:val="22"/>
          <w:szCs w:val="22"/>
          <w:color w:val="auto"/>
        </w:rPr>
      </w:pPr>
      <w:r>
        <w:rPr>
          <w:rFonts w:ascii="Arial" w:cs="Arial" w:eastAsia="Arial" w:hAnsi="Arial"/>
          <w:sz w:val="22"/>
          <w:szCs w:val="22"/>
          <w:color w:val="auto"/>
        </w:rPr>
        <w:t>Your consent (by your signature below) to, and results satisfactory to the Company of, reference and background checks. Until you have been informed in writing by the Company that such checks have been completed and the results satisfactory to the Company, you should defer reliance on this offer.</w:t>
      </w:r>
    </w:p>
    <w:p>
      <w:pPr>
        <w:spacing w:after="0" w:line="78" w:lineRule="exact"/>
        <w:rPr>
          <w:rFonts w:ascii="Arial" w:cs="Arial" w:eastAsia="Arial" w:hAnsi="Arial"/>
          <w:sz w:val="22"/>
          <w:szCs w:val="22"/>
          <w:color w:val="auto"/>
        </w:rPr>
      </w:pPr>
    </w:p>
    <w:p>
      <w:pPr>
        <w:ind w:left="880" w:hanging="440"/>
        <w:spacing w:after="0"/>
        <w:tabs>
          <w:tab w:leader="none" w:pos="880" w:val="left"/>
        </w:tabs>
        <w:numPr>
          <w:ilvl w:val="0"/>
          <w:numId w:val="84"/>
        </w:numPr>
        <w:rPr>
          <w:rFonts w:ascii="Arial" w:cs="Arial" w:eastAsia="Arial" w:hAnsi="Arial"/>
          <w:sz w:val="22"/>
          <w:szCs w:val="22"/>
          <w:color w:val="auto"/>
        </w:rPr>
      </w:pPr>
      <w:r>
        <w:rPr>
          <w:rFonts w:ascii="Arial" w:cs="Arial" w:eastAsia="Arial" w:hAnsi="Arial"/>
          <w:sz w:val="22"/>
          <w:szCs w:val="22"/>
          <w:color w:val="auto"/>
        </w:rPr>
        <w:t>Your return to me of the enclosed copy of this letter, after being signed by you without modification.</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 Conflicting Obligations</w:t>
      </w:r>
    </w:p>
    <w:p>
      <w:pPr>
        <w:spacing w:after="0" w:line="239" w:lineRule="exact"/>
        <w:rPr>
          <w:sz w:val="20"/>
          <w:szCs w:val="20"/>
          <w:color w:val="auto"/>
        </w:rPr>
      </w:pPr>
    </w:p>
    <w:p>
      <w:pPr>
        <w:jc w:val="both"/>
        <w:ind w:right="20"/>
        <w:spacing w:after="0" w:line="279" w:lineRule="auto"/>
        <w:rPr>
          <w:sz w:val="20"/>
          <w:szCs w:val="20"/>
          <w:color w:val="auto"/>
        </w:rPr>
      </w:pPr>
      <w:r>
        <w:rPr>
          <w:rFonts w:ascii="Arial" w:cs="Arial" w:eastAsia="Arial" w:hAnsi="Arial"/>
          <w:sz w:val="19"/>
          <w:szCs w:val="19"/>
          <w:color w:val="auto"/>
        </w:rPr>
        <w:t>By signing and accepting this offer, you represent and warrant that: (i) you are not subject to any pre-existing contractual or other legal obligation with any person, company or business enterprise which may be an impediment to or is inconsistent with your employment with, or your providing services to, the Company; (ii) you have not and shall not bring onto Company premises, or use or disclose in the course of your employment with the Company, any confidential or proprietary information or trade secrets of another person, company or business enterprise; (iii) you have returned all property and confidential information belonging to any prior employer; and (iv) you are not relying on any representations, promises or agreements not expressly contained in this letter.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520" w:type="dxa"/>
            <w:vAlign w:val="bottom"/>
          </w:tcPr>
          <w:p>
            <w:pPr>
              <w:spacing w:after="0"/>
              <w:rPr>
                <w:sz w:val="20"/>
                <w:szCs w:val="20"/>
                <w:color w:val="auto"/>
              </w:rPr>
            </w:pPr>
            <w:r>
              <w:rPr>
                <w:rFonts w:ascii="Arial" w:cs="Arial" w:eastAsia="Arial" w:hAnsi="Arial"/>
                <w:sz w:val="20"/>
                <w:szCs w:val="20"/>
                <w:color w:val="9BBB59"/>
              </w:rPr>
              <w:t>www.ultragenyx.com</w:t>
            </w:r>
          </w:p>
        </w:tc>
        <w:tc>
          <w:tcPr>
            <w:tcW w:w="4920" w:type="dxa"/>
            <w:vAlign w:val="bottom"/>
          </w:tcPr>
          <w:p>
            <w:pPr>
              <w:jc w:val="right"/>
              <w:spacing w:after="0"/>
              <w:rPr>
                <w:sz w:val="20"/>
                <w:szCs w:val="20"/>
                <w:color w:val="auto"/>
              </w:rPr>
            </w:pPr>
            <w:r>
              <w:rPr>
                <w:rFonts w:ascii="Arial" w:cs="Arial" w:eastAsia="Arial" w:hAnsi="Arial"/>
                <w:sz w:val="20"/>
                <w:szCs w:val="20"/>
                <w:color w:val="7F7F7F"/>
              </w:rPr>
              <w:t>8</w:t>
            </w:r>
          </w:p>
        </w:tc>
      </w:tr>
      <w:tr>
        <w:trPr>
          <w:trHeight w:val="341"/>
        </w:trPr>
        <w:tc>
          <w:tcPr>
            <w:tcW w:w="65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31" w:name="page132"/>
    <w:bookmarkEnd w:id="131"/>
    <w:p>
      <w:pPr>
        <w:spacing w:after="0"/>
        <w:rPr>
          <w:sz w:val="20"/>
          <w:szCs w:val="20"/>
          <w:color w:val="auto"/>
        </w:rPr>
      </w:pPr>
      <w:r>
        <w:rPr>
          <w:rFonts w:ascii="Arial" w:cs="Arial" w:eastAsia="Arial" w:hAnsi="Arial"/>
          <w:sz w:val="22"/>
          <w:szCs w:val="22"/>
          <w:b w:val="1"/>
          <w:bCs w:val="1"/>
          <w:u w:val="single" w:color="auto"/>
          <w:color w:val="auto"/>
        </w:rPr>
        <w:t>Choice of Law and Severability</w:t>
      </w:r>
    </w:p>
    <w:p>
      <w:pPr>
        <w:spacing w:after="0" w:line="239" w:lineRule="exact"/>
        <w:rPr>
          <w:sz w:val="20"/>
          <w:szCs w:val="20"/>
          <w:color w:val="auto"/>
        </w:rPr>
      </w:pPr>
    </w:p>
    <w:p>
      <w:pPr>
        <w:jc w:val="both"/>
        <w:ind w:right="20"/>
        <w:spacing w:after="0" w:line="245" w:lineRule="auto"/>
        <w:rPr>
          <w:sz w:val="20"/>
          <w:szCs w:val="20"/>
          <w:color w:val="auto"/>
        </w:rPr>
      </w:pPr>
      <w:r>
        <w:rPr>
          <w:rFonts w:ascii="Arial" w:cs="Arial" w:eastAsia="Arial" w:hAnsi="Arial"/>
          <w:sz w:val="21"/>
          <w:szCs w:val="21"/>
          <w:color w:val="auto"/>
        </w:rPr>
        <w:t>This letter shall be interpreted in accordance with the laws of the State of California without giving effect to provisions governing the choice of law. If any provision of this letter becomes or is deemed invalid, illegal or unenforceable in any applicable jurisdiction by reason of the scope, extent or duration of its coverage, then such provision shall be deemed amended to the minimum extent necessary to conform to applicable law so as to be valid and enforceable or, if such provision cannot be so amended without materially altering the intention of the parties, then such provision shall be stricken and the remainder of this letter shall continue in full force and effect. If any provision of this letter is rendered illegal by any present or future statute, law, ordinance or regulation (collectively, the “Law”) then that provision shall be curtailed or limited only to the minimum extent necessary to bring the provision into compliance with the Law. All the other terms and provisions of this letter shall continue in full force and effect without impairment or limitation.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Entire Agreement</w:t>
      </w:r>
    </w:p>
    <w:p>
      <w:pPr>
        <w:spacing w:after="0" w:line="239" w:lineRule="exact"/>
        <w:rPr>
          <w:sz w:val="20"/>
          <w:szCs w:val="20"/>
          <w:color w:val="auto"/>
        </w:rPr>
      </w:pPr>
    </w:p>
    <w:p>
      <w:pPr>
        <w:jc w:val="both"/>
        <w:ind w:right="20"/>
        <w:spacing w:after="0" w:line="279" w:lineRule="auto"/>
        <w:rPr>
          <w:sz w:val="20"/>
          <w:szCs w:val="20"/>
          <w:color w:val="auto"/>
        </w:rPr>
      </w:pPr>
      <w:r>
        <w:rPr>
          <w:rFonts w:ascii="Arial" w:cs="Arial" w:eastAsia="Arial" w:hAnsi="Arial"/>
          <w:sz w:val="19"/>
          <w:szCs w:val="19"/>
          <w:color w:val="auto"/>
        </w:rPr>
        <w:t>If you accept this offer, and the conditions of this offer are satisfied, this letter and the written agreements referenced in this letter shall constitute the complete agreement between you and the Company with respect to the initial terms and conditions of your employment. Any representations, promises or agreements, whether written or oral, not contained in this letter or contrary to those contained in this letter, that may have been made to you are expressly cancelled and replaced by this offer letter. Except as otherwise specified in this letter or in the written agreements referenced in this letter, the terms and conditions of your employment pursuant to this letter may not be changed, except by a writing issued by the CEO with approval by the Board.</w:t>
      </w:r>
    </w:p>
    <w:p>
      <w:pPr>
        <w:spacing w:after="0" w:line="178" w:lineRule="exact"/>
        <w:rPr>
          <w:sz w:val="20"/>
          <w:szCs w:val="20"/>
          <w:color w:val="auto"/>
        </w:rPr>
      </w:pPr>
    </w:p>
    <w:p>
      <w:pPr>
        <w:jc w:val="both"/>
        <w:ind w:right="20"/>
        <w:spacing w:after="0" w:line="273" w:lineRule="auto"/>
        <w:rPr>
          <w:sz w:val="20"/>
          <w:szCs w:val="20"/>
          <w:color w:val="auto"/>
        </w:rPr>
      </w:pPr>
      <w:r>
        <w:rPr>
          <w:rFonts w:ascii="Arial" w:cs="Arial" w:eastAsia="Arial" w:hAnsi="Arial"/>
          <w:sz w:val="19"/>
          <w:szCs w:val="19"/>
          <w:color w:val="auto"/>
        </w:rPr>
        <w:t>We look forward to you accepting this offer and a mutually rewarding relationship. As with all important decisions, you should make a decision concerning this offer based on your own investigation and judgment concerning the Company and its prospects, independent of the opinions and perspectives that may have been shared with you by any Company employee.</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22"/>
          <w:szCs w:val="22"/>
          <w:color w:val="auto"/>
        </w:rPr>
        <w:t>If you accept this offer, please date and sign below, on the enclosed copy of this letter and return it to me no later than February 27, 2015. Please retain the original of this letter for your records. You should bring your INS Form I-9 required identification and proof of authorization to work with you on your first day of employment.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520" w:type="dxa"/>
            <w:vAlign w:val="bottom"/>
          </w:tcPr>
          <w:p>
            <w:pPr>
              <w:spacing w:after="0"/>
              <w:rPr>
                <w:sz w:val="20"/>
                <w:szCs w:val="20"/>
                <w:color w:val="auto"/>
              </w:rPr>
            </w:pPr>
            <w:r>
              <w:rPr>
                <w:rFonts w:ascii="Arial" w:cs="Arial" w:eastAsia="Arial" w:hAnsi="Arial"/>
                <w:sz w:val="20"/>
                <w:szCs w:val="20"/>
                <w:color w:val="9BBB59"/>
              </w:rPr>
              <w:t>www.ultragenyx.com</w:t>
            </w:r>
          </w:p>
        </w:tc>
        <w:tc>
          <w:tcPr>
            <w:tcW w:w="4920" w:type="dxa"/>
            <w:vAlign w:val="bottom"/>
          </w:tcPr>
          <w:p>
            <w:pPr>
              <w:jc w:val="right"/>
              <w:spacing w:after="0"/>
              <w:rPr>
                <w:sz w:val="20"/>
                <w:szCs w:val="20"/>
                <w:color w:val="auto"/>
              </w:rPr>
            </w:pPr>
            <w:r>
              <w:rPr>
                <w:rFonts w:ascii="Arial" w:cs="Arial" w:eastAsia="Arial" w:hAnsi="Arial"/>
                <w:sz w:val="20"/>
                <w:szCs w:val="20"/>
                <w:color w:val="7F7F7F"/>
              </w:rPr>
              <w:t>9</w:t>
            </w:r>
          </w:p>
        </w:tc>
      </w:tr>
      <w:tr>
        <w:trPr>
          <w:trHeight w:val="341"/>
        </w:trPr>
        <w:tc>
          <w:tcPr>
            <w:tcW w:w="65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2" w:right="219" w:bottom="1440" w:gutter="0" w:footer="0" w:header="0"/>
        </w:sectPr>
      </w:pPr>
    </w:p>
    <w:bookmarkStart w:id="132" w:name="page133"/>
    <w:bookmarkEnd w:id="132"/>
    <w:p>
      <w:pPr>
        <w:ind w:right="120"/>
        <w:spacing w:after="0"/>
        <w:rPr>
          <w:sz w:val="20"/>
          <w:szCs w:val="20"/>
          <w:color w:val="auto"/>
        </w:rPr>
      </w:pPr>
      <w:r>
        <w:rPr>
          <w:rFonts w:ascii="Arial" w:cs="Arial" w:eastAsia="Arial" w:hAnsi="Arial"/>
          <w:sz w:val="22"/>
          <w:szCs w:val="22"/>
          <w:color w:val="auto"/>
        </w:rPr>
        <w:t>We look forward to working with you on developing treatment for many rare genetic diseases and hope you find your employment at Ultragenyx Pharmaceutical a rewarding experience. If you have any questions regarding this offer letter, please feel free to contact me at (415) 483-XXXX.</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Warm Regards,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 Emil Kakkis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89877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Emil D. Kakkis, M.D., Ph.D.</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Chief Executive Officer</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 accept the above offer:</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600" w:type="dxa"/>
            <w:vAlign w:val="bottom"/>
          </w:tcPr>
          <w:p>
            <w:pPr>
              <w:ind w:left="120"/>
              <w:spacing w:after="0"/>
              <w:rPr>
                <w:sz w:val="20"/>
                <w:szCs w:val="20"/>
                <w:color w:val="auto"/>
              </w:rPr>
            </w:pPr>
            <w:r>
              <w:rPr>
                <w:rFonts w:ascii="Arial" w:cs="Arial" w:eastAsia="Arial" w:hAnsi="Arial"/>
                <w:sz w:val="22"/>
                <w:szCs w:val="22"/>
                <w:color w:val="auto"/>
              </w:rPr>
              <w:t>Signature:</w:t>
            </w:r>
          </w:p>
        </w:tc>
        <w:tc>
          <w:tcPr>
            <w:tcW w:w="29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Dennis Huang</w:t>
            </w:r>
          </w:p>
        </w:tc>
        <w:tc>
          <w:tcPr>
            <w:tcW w:w="6840" w:type="dxa"/>
            <w:vAlign w:val="bottom"/>
          </w:tcPr>
          <w:p>
            <w:pPr>
              <w:jc w:val="right"/>
              <w:ind w:right="4516"/>
              <w:spacing w:after="0"/>
              <w:rPr>
                <w:sz w:val="20"/>
                <w:szCs w:val="20"/>
                <w:color w:val="auto"/>
              </w:rPr>
            </w:pPr>
            <w:r>
              <w:rPr>
                <w:rFonts w:ascii="Arial" w:cs="Arial" w:eastAsia="Arial" w:hAnsi="Arial"/>
                <w:sz w:val="22"/>
                <w:szCs w:val="22"/>
                <w:color w:val="auto"/>
                <w:w w:val="87"/>
              </w:rPr>
              <w:t>Dated: February 25, 2015</w:t>
            </w:r>
          </w:p>
        </w:tc>
      </w:tr>
      <w:tr>
        <w:trPr>
          <w:trHeight w:val="490"/>
        </w:trPr>
        <w:tc>
          <w:tcPr>
            <w:tcW w:w="1600" w:type="dxa"/>
            <w:vAlign w:val="bottom"/>
          </w:tcPr>
          <w:p>
            <w:pPr>
              <w:ind w:left="120"/>
              <w:spacing w:after="0"/>
              <w:rPr>
                <w:sz w:val="20"/>
                <w:szCs w:val="20"/>
                <w:color w:val="auto"/>
              </w:rPr>
            </w:pPr>
            <w:r>
              <w:rPr>
                <w:rFonts w:ascii="Arial" w:cs="Arial" w:eastAsia="Arial" w:hAnsi="Arial"/>
                <w:sz w:val="22"/>
                <w:szCs w:val="22"/>
                <w:color w:val="auto"/>
              </w:rPr>
              <w:t>Print Name:</w:t>
            </w:r>
          </w:p>
        </w:tc>
        <w:tc>
          <w:tcPr>
            <w:tcW w:w="2980" w:type="dxa"/>
            <w:vAlign w:val="bottom"/>
          </w:tcPr>
          <w:p>
            <w:pPr>
              <w:spacing w:after="0"/>
              <w:rPr>
                <w:sz w:val="20"/>
                <w:szCs w:val="20"/>
                <w:color w:val="auto"/>
              </w:rPr>
            </w:pPr>
            <w:r>
              <w:rPr>
                <w:rFonts w:ascii="Arial" w:cs="Arial" w:eastAsia="Arial" w:hAnsi="Arial"/>
                <w:sz w:val="22"/>
                <w:szCs w:val="22"/>
                <w:color w:val="auto"/>
              </w:rPr>
              <w:t>Dennis Huang</w:t>
            </w:r>
          </w:p>
        </w:tc>
        <w:tc>
          <w:tcPr>
            <w:tcW w:w="6840" w:type="dxa"/>
            <w:vAlign w:val="bottom"/>
          </w:tcPr>
          <w:p>
            <w:pPr>
              <w:spacing w:after="0"/>
              <w:rPr>
                <w:sz w:val="24"/>
                <w:szCs w:val="24"/>
                <w:color w:val="auto"/>
              </w:rPr>
            </w:pPr>
          </w:p>
        </w:tc>
      </w:tr>
      <w:tr>
        <w:trPr>
          <w:trHeight w:val="912"/>
        </w:trPr>
        <w:tc>
          <w:tcPr>
            <w:tcW w:w="4580" w:type="dxa"/>
            <w:vAlign w:val="bottom"/>
            <w:gridSpan w:val="2"/>
          </w:tcPr>
          <w:p>
            <w:pPr>
              <w:spacing w:after="0"/>
              <w:rPr>
                <w:sz w:val="20"/>
                <w:szCs w:val="20"/>
                <w:color w:val="auto"/>
              </w:rPr>
            </w:pPr>
            <w:r>
              <w:rPr>
                <w:rFonts w:ascii="Arial" w:cs="Arial" w:eastAsia="Arial" w:hAnsi="Arial"/>
                <w:sz w:val="20"/>
                <w:szCs w:val="20"/>
                <w:color w:val="9BBB59"/>
              </w:rPr>
              <w:t>www.ultragenyx.com</w:t>
            </w:r>
          </w:p>
        </w:tc>
        <w:tc>
          <w:tcPr>
            <w:tcW w:w="6840" w:type="dxa"/>
            <w:vAlign w:val="bottom"/>
          </w:tcPr>
          <w:p>
            <w:pPr>
              <w:jc w:val="right"/>
              <w:spacing w:after="0"/>
              <w:rPr>
                <w:sz w:val="20"/>
                <w:szCs w:val="20"/>
                <w:color w:val="auto"/>
              </w:rPr>
            </w:pPr>
            <w:r>
              <w:rPr>
                <w:rFonts w:ascii="Arial" w:cs="Arial" w:eastAsia="Arial" w:hAnsi="Arial"/>
                <w:sz w:val="20"/>
                <w:szCs w:val="20"/>
                <w:color w:val="7F7F7F"/>
              </w:rPr>
              <w:t>10</w:t>
            </w:r>
          </w:p>
        </w:tc>
      </w:tr>
    </w:tbl>
    <w:p>
      <w:pPr>
        <w:sectPr>
          <w:pgSz w:w="11900" w:h="16838" w:orient="portrait"/>
          <w:cols w:equalWidth="0" w:num="1">
            <w:col w:w="11420"/>
          </w:cols>
          <w:pgMar w:left="240" w:top="348"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10.37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86360</wp:posOffset>
            </wp:positionV>
            <wp:extent cx="1663700" cy="6343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66370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color w:val="auto"/>
        </w:rPr>
        <w:t>June 11, 2015</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John Pinion</w:t>
      </w:r>
    </w:p>
    <w:p>
      <w:pPr>
        <w:spacing w:after="0" w:line="233" w:lineRule="exact"/>
        <w:rPr>
          <w:sz w:val="20"/>
          <w:szCs w:val="20"/>
          <w:color w:val="auto"/>
        </w:rPr>
      </w:pPr>
    </w:p>
    <w:p>
      <w:pPr>
        <w:ind w:left="900"/>
        <w:spacing w:after="0"/>
        <w:rPr>
          <w:sz w:val="20"/>
          <w:szCs w:val="20"/>
          <w:color w:val="auto"/>
        </w:rPr>
      </w:pPr>
      <w:r>
        <w:rPr>
          <w:rFonts w:ascii="Arial" w:cs="Arial" w:eastAsia="Arial" w:hAnsi="Arial"/>
          <w:sz w:val="22"/>
          <w:szCs w:val="22"/>
          <w:u w:val="single" w:color="auto"/>
          <w:color w:val="auto"/>
        </w:rPr>
        <w:t>Re: Offer of Employment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Dear John,</w:t>
      </w:r>
    </w:p>
    <w:p>
      <w:pPr>
        <w:spacing w:after="0" w:line="23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On behalf of Ultragenyx Pharmaceutical Inc. (the “Company”), I am pleased to present to you an offer of full-time employment as Chief Quality Operations Officer/Senior Vice President, Analytical Sciences and Research. The Company’s Board of Directors (the “Board”) and I are excited about the important contributions you can make by joining the Ultragenyx leadership team and are confident that you will play a key role in our company's growth and success.</w:t>
      </w:r>
    </w:p>
    <w:p>
      <w:pPr>
        <w:spacing w:after="0" w:line="201"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In your role as Chief Quality Operations Officer, you will report directly to me and be a member of the Executive Leadership Team (XLT). In this role, you will provide the leadership, strategic vision, and functional expertise required to lead the Company to successful commercialization of its products for rare and ultra-rare diseases on a global basis. You will provide direction for the overall quality operations, including QA GxP, Compliance, Validation, QC GMP, QC Clinical and QC Research, in the achievement of its short-term and long range business objectives. As for all functions at Ultragenyx, the quality group is expected to work in an integrated fashion with technical operations, development, program management, translational research, and business development to drive the growth and success of the company. This includes establishing, maintaining and evolving the critical and unique strategies for development at Ultragenyx which depend on close collaborations between departments, and novel approaches to traditional clinical development challenges.</w:t>
      </w:r>
    </w:p>
    <w:p>
      <w:pPr>
        <w:spacing w:after="0" w:line="1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You will also have the opportunity to participate as an executive member of the Translational Research Management team and lead an early development program. In addition, you will serve on the Business Development Review forum that will allow you to be in involved in diligence planning and review, reviewing IP issues, reviewing license and deal terms and strategies on collaboration agreements. Given our growth, the XLT will also be managing the operational details for a growing company and making critical decisions on how best to set up the company for success to support the business and create a work environment so employees can thrive.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Compensation</w:t>
      </w:r>
    </w:p>
    <w:p>
      <w:pPr>
        <w:spacing w:after="0" w:line="23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In the regular exempt position of Chief Quality Operations Officer, the Company shall pay you as compensation for your services an initial base salary at a gross annual rate of $390,000 (the</w:t>
      </w:r>
    </w:p>
    <w:p>
      <w:pPr>
        <w:spacing w:after="0" w:line="299" w:lineRule="exact"/>
        <w:rPr>
          <w:sz w:val="20"/>
          <w:szCs w:val="20"/>
          <w:color w:val="auto"/>
        </w:rPr>
      </w:pPr>
    </w:p>
    <w:p>
      <w:pPr>
        <w:spacing w:after="0"/>
        <w:tabs>
          <w:tab w:leader="none" w:pos="3620" w:val="left"/>
          <w:tab w:leader="none" w:pos="11300" w:val="left"/>
        </w:tabs>
        <w:rPr>
          <w:sz w:val="20"/>
          <w:szCs w:val="20"/>
          <w:color w:val="auto"/>
        </w:rPr>
      </w:pPr>
      <w:r>
        <w:rPr>
          <w:rFonts w:ascii="Arial" w:cs="Arial" w:eastAsia="Arial" w:hAnsi="Arial"/>
          <w:sz w:val="20"/>
          <w:szCs w:val="20"/>
          <w:color w:val="9BBB59"/>
        </w:rPr>
        <w:t>www.ultragenyx.com</w:t>
      </w:r>
      <w:r>
        <w:rPr>
          <w:sz w:val="20"/>
          <w:szCs w:val="20"/>
          <w:color w:val="auto"/>
        </w:rPr>
        <w:tab/>
      </w:r>
      <w:r>
        <w:rPr>
          <w:rFonts w:ascii="Arial" w:cs="Arial" w:eastAsia="Arial" w:hAnsi="Arial"/>
          <w:sz w:val="20"/>
          <w:szCs w:val="20"/>
          <w:i w:val="1"/>
          <w:iCs w:val="1"/>
          <w:color w:val="7F7F7F"/>
        </w:rPr>
        <w:t>Turning good science into great medicine</w:t>
      </w:r>
      <w:r>
        <w:rPr>
          <w:sz w:val="20"/>
          <w:szCs w:val="20"/>
          <w:color w:val="auto"/>
        </w:rPr>
        <w:tab/>
      </w:r>
      <w:r>
        <w:rPr>
          <w:rFonts w:ascii="Arial" w:cs="Arial" w:eastAsia="Arial" w:hAnsi="Arial"/>
          <w:sz w:val="16"/>
          <w:szCs w:val="16"/>
          <w:color w:val="7F7F7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4" w:name="page135"/>
    <w:bookmarkEnd w:id="134"/>
    <w:p>
      <w:pPr>
        <w:jc w:val="both"/>
        <w:ind w:right="20"/>
        <w:spacing w:after="0"/>
        <w:rPr>
          <w:sz w:val="20"/>
          <w:szCs w:val="20"/>
          <w:color w:val="auto"/>
        </w:rPr>
      </w:pPr>
      <w:r>
        <w:rPr>
          <w:rFonts w:ascii="Arial" w:cs="Arial" w:eastAsia="Arial" w:hAnsi="Arial"/>
          <w:sz w:val="22"/>
          <w:szCs w:val="22"/>
          <w:color w:val="auto"/>
        </w:rPr>
        <w:t>“Base Salary”). Such Base Salary shall be payable in accordance with the Company’s standard payroll procedures and subject to standard payroll deductions and withholdings. The Board or the Compensation Committee of the Board shall review your Base Salary at least annually.</w:t>
      </w:r>
    </w:p>
    <w:p>
      <w:pPr>
        <w:spacing w:after="0" w:line="213"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In addition to your Base Salary, pursuant to the Company’s corporate bonus plan (or such other incentive plan maintained by the Company) you will be eligible to earn an annual bonus of up to 40% of your Base Salary based upon your performance during the previous year as evaluated by the CEO in consultation with the Board (or Compensation Committee of the Board) against pre-determined individual and/or corporate performance goals.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Equity Grants</w:t>
      </w:r>
    </w:p>
    <w:p>
      <w:pPr>
        <w:spacing w:after="0" w:line="239" w:lineRule="exact"/>
        <w:rPr>
          <w:sz w:val="20"/>
          <w:szCs w:val="20"/>
          <w:color w:val="auto"/>
        </w:rPr>
      </w:pPr>
    </w:p>
    <w:p>
      <w:pPr>
        <w:jc w:val="both"/>
        <w:ind w:right="20"/>
        <w:spacing w:after="0" w:line="258" w:lineRule="auto"/>
        <w:rPr>
          <w:sz w:val="20"/>
          <w:szCs w:val="20"/>
          <w:color w:val="auto"/>
        </w:rPr>
      </w:pPr>
      <w:r>
        <w:rPr>
          <w:rFonts w:ascii="Arial" w:cs="Arial" w:eastAsia="Arial" w:hAnsi="Arial"/>
          <w:sz w:val="21"/>
          <w:szCs w:val="21"/>
          <w:color w:val="auto"/>
        </w:rPr>
        <w:t>Subject to the approval of the Compensation Committee, you will receive an option to purchase up to an aggregate of 90,000 shares of the Company’s Common Stock (the “Option”) pursuant to the Company’s 2014 Incentive Plan (the “Plan”). The exercise price of the Option will be equal to the closing price per share of Common Stock on the date of grant.</w:t>
      </w:r>
    </w:p>
    <w:p>
      <w:pPr>
        <w:spacing w:after="0" w:line="194" w:lineRule="exact"/>
        <w:rPr>
          <w:sz w:val="20"/>
          <w:szCs w:val="20"/>
          <w:color w:val="auto"/>
        </w:rPr>
      </w:pPr>
    </w:p>
    <w:p>
      <w:pPr>
        <w:jc w:val="both"/>
        <w:ind w:right="20"/>
        <w:spacing w:after="0" w:line="236" w:lineRule="auto"/>
        <w:rPr>
          <w:sz w:val="20"/>
          <w:szCs w:val="20"/>
          <w:color w:val="auto"/>
        </w:rPr>
      </w:pPr>
      <w:r>
        <w:rPr>
          <w:rFonts w:ascii="Arial" w:cs="Arial" w:eastAsia="Arial" w:hAnsi="Arial"/>
          <w:sz w:val="22"/>
          <w:szCs w:val="22"/>
          <w:color w:val="auto"/>
        </w:rPr>
        <w:t>The Option will vest and become exercisable as follows: 1/4</w:t>
      </w:r>
      <w:r>
        <w:rPr>
          <w:rFonts w:ascii="Arial" w:cs="Arial" w:eastAsia="Arial" w:hAnsi="Arial"/>
          <w:sz w:val="18"/>
          <w:szCs w:val="18"/>
          <w:color w:val="auto"/>
        </w:rPr>
        <w:t>th</w:t>
      </w:r>
      <w:r>
        <w:rPr>
          <w:rFonts w:ascii="Arial" w:cs="Arial" w:eastAsia="Arial" w:hAnsi="Arial"/>
          <w:sz w:val="22"/>
          <w:szCs w:val="22"/>
          <w:color w:val="auto"/>
        </w:rPr>
        <w:t xml:space="preserve"> of the shares initially subject to the Option shall vest and become exercisable on the first (1</w:t>
      </w:r>
      <w:r>
        <w:rPr>
          <w:rFonts w:ascii="Arial" w:cs="Arial" w:eastAsia="Arial" w:hAnsi="Arial"/>
          <w:sz w:val="18"/>
          <w:szCs w:val="18"/>
          <w:color w:val="auto"/>
        </w:rPr>
        <w:t>st</w:t>
      </w:r>
      <w:r>
        <w:rPr>
          <w:rFonts w:ascii="Arial" w:cs="Arial" w:eastAsia="Arial" w:hAnsi="Arial"/>
          <w:sz w:val="22"/>
          <w:szCs w:val="22"/>
          <w:color w:val="auto"/>
        </w:rPr>
        <w:t>) anniversary of the first day of your employment with the Company, and thereafter 1/48</w:t>
      </w:r>
      <w:r>
        <w:rPr>
          <w:rFonts w:ascii="Arial" w:cs="Arial" w:eastAsia="Arial" w:hAnsi="Arial"/>
          <w:sz w:val="18"/>
          <w:szCs w:val="18"/>
          <w:color w:val="auto"/>
        </w:rPr>
        <w:t>th</w:t>
      </w:r>
      <w:r>
        <w:rPr>
          <w:rFonts w:ascii="Arial" w:cs="Arial" w:eastAsia="Arial" w:hAnsi="Arial"/>
          <w:sz w:val="22"/>
          <w:szCs w:val="22"/>
          <w:color w:val="auto"/>
        </w:rPr>
        <w:t xml:space="preserve"> of the shares initially subject to the Option shall vest and become exercisable each month until the Option is fully vested, in each case subject to your continued employment by the Company (or its subsidiaries). The Option shall be governed by the Company’s standard form of stock option agreements and the Plan.</w:t>
      </w:r>
    </w:p>
    <w:p>
      <w:pPr>
        <w:spacing w:after="0" w:line="188" w:lineRule="exact"/>
        <w:rPr>
          <w:sz w:val="20"/>
          <w:szCs w:val="20"/>
          <w:color w:val="auto"/>
        </w:rPr>
      </w:pPr>
    </w:p>
    <w:p>
      <w:pPr>
        <w:jc w:val="both"/>
        <w:ind w:right="20"/>
        <w:spacing w:after="0" w:line="270" w:lineRule="auto"/>
        <w:rPr>
          <w:sz w:val="20"/>
          <w:szCs w:val="20"/>
          <w:color w:val="auto"/>
        </w:rPr>
      </w:pPr>
      <w:r>
        <w:rPr>
          <w:rFonts w:ascii="Arial" w:cs="Arial" w:eastAsia="Arial" w:hAnsi="Arial"/>
          <w:sz w:val="19"/>
          <w:szCs w:val="19"/>
          <w:color w:val="auto"/>
        </w:rPr>
        <w:t>Subject to the approval of the Compensation Committee, you will also receive a grant of 7,500 restricted stock units (the “RSUs”) pursuant to the Plan. The RSUs will vest annually over a four-year period from the date of grant (i.e., 25% of the RSUs shall vest and become exercisable on each anniversary of the first day of your employment with the Company during the four-year period), in each case subject to your continued employment by the Company (or its consolidated subsidiaries). The RSUs shall be governed by the Company’s standard form of restricted stock unit agreement and the Plan.</w:t>
      </w:r>
    </w:p>
    <w:p>
      <w:pPr>
        <w:spacing w:after="0" w:line="4" w:lineRule="exact"/>
        <w:rPr>
          <w:sz w:val="20"/>
          <w:szCs w:val="20"/>
          <w:color w:val="auto"/>
        </w:rPr>
      </w:pPr>
    </w:p>
    <w:p>
      <w:pPr>
        <w:jc w:val="both"/>
        <w:ind w:right="20"/>
        <w:spacing w:after="0" w:line="273" w:lineRule="auto"/>
        <w:rPr>
          <w:sz w:val="20"/>
          <w:szCs w:val="20"/>
          <w:color w:val="auto"/>
        </w:rPr>
      </w:pPr>
      <w:r>
        <w:rPr>
          <w:rFonts w:ascii="Arial" w:cs="Arial" w:eastAsia="Arial" w:hAnsi="Arial"/>
          <w:sz w:val="19"/>
          <w:szCs w:val="19"/>
          <w:color w:val="auto"/>
        </w:rPr>
        <w:t>Notwithstanding the foregoing, in the event that (i) the Company consummates a Covered Transaction (as defined in the Plan), (ii) on the date such Covered Transaction is consummated you are employed by the Company (or its subsidiaries) and (iii) within 12 months after the date such Covered Transaction is consummated your employment by the Company (or its successor or subsidiaries) is terminated without Cause (as defined below) or you resign such employment due to a Constructive Termination (as defined below), then provided such termination constitutes a “separation from service” (as defined under Treasury Regulation Section 1.409A-1(h), without regard to any alternative definition thereunder, a “Separation from Service”), in addition to the severance benefits set forth below, the vesting of any equity-based compensation awards granted to you in connection with your employment shall accelerate with respect to 100% of the then-unvested shares then subject to such awards.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520" w:type="dxa"/>
            <w:vAlign w:val="bottom"/>
          </w:tcPr>
          <w:p>
            <w:pPr>
              <w:spacing w:after="0"/>
              <w:rPr>
                <w:sz w:val="20"/>
                <w:szCs w:val="20"/>
                <w:color w:val="auto"/>
              </w:rPr>
            </w:pPr>
            <w:r>
              <w:rPr>
                <w:rFonts w:ascii="Arial" w:cs="Arial" w:eastAsia="Arial" w:hAnsi="Arial"/>
                <w:sz w:val="20"/>
                <w:szCs w:val="20"/>
                <w:color w:val="9BBB59"/>
              </w:rPr>
              <w:t>www.ultragenyx.com</w:t>
            </w:r>
          </w:p>
        </w:tc>
        <w:tc>
          <w:tcPr>
            <w:tcW w:w="4920" w:type="dxa"/>
            <w:vAlign w:val="bottom"/>
          </w:tcPr>
          <w:p>
            <w:pPr>
              <w:jc w:val="right"/>
              <w:spacing w:after="0"/>
              <w:rPr>
                <w:sz w:val="20"/>
                <w:szCs w:val="20"/>
                <w:color w:val="auto"/>
              </w:rPr>
            </w:pPr>
            <w:r>
              <w:rPr>
                <w:rFonts w:ascii="Arial" w:cs="Arial" w:eastAsia="Arial" w:hAnsi="Arial"/>
                <w:sz w:val="20"/>
                <w:szCs w:val="20"/>
                <w:color w:val="7F7F7F"/>
              </w:rPr>
              <w:t>2</w:t>
            </w:r>
          </w:p>
        </w:tc>
      </w:tr>
      <w:tr>
        <w:trPr>
          <w:trHeight w:val="341"/>
        </w:trPr>
        <w:tc>
          <w:tcPr>
            <w:tcW w:w="65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8" w:right="219" w:bottom="1440" w:gutter="0" w:footer="0" w:header="0"/>
        </w:sectPr>
      </w:pPr>
    </w:p>
    <w:bookmarkStart w:id="135" w:name="page136"/>
    <w:bookmarkEnd w:id="135"/>
    <w:p>
      <w:pPr>
        <w:spacing w:after="0"/>
        <w:rPr>
          <w:sz w:val="20"/>
          <w:szCs w:val="20"/>
          <w:color w:val="auto"/>
        </w:rPr>
      </w:pPr>
      <w:r>
        <w:rPr>
          <w:rFonts w:ascii="Arial" w:cs="Arial" w:eastAsia="Arial" w:hAnsi="Arial"/>
          <w:sz w:val="22"/>
          <w:szCs w:val="22"/>
          <w:b w:val="1"/>
          <w:bCs w:val="1"/>
          <w:u w:val="single" w:color="auto"/>
          <w:color w:val="auto"/>
        </w:rPr>
        <w:t>Benefits</w:t>
      </w:r>
    </w:p>
    <w:p>
      <w:pPr>
        <w:spacing w:after="0" w:line="239" w:lineRule="exact"/>
        <w:rPr>
          <w:sz w:val="20"/>
          <w:szCs w:val="20"/>
          <w:color w:val="auto"/>
        </w:rPr>
      </w:pPr>
    </w:p>
    <w:p>
      <w:pPr>
        <w:jc w:val="both"/>
        <w:ind w:right="20"/>
        <w:spacing w:after="0" w:line="236" w:lineRule="auto"/>
        <w:rPr>
          <w:sz w:val="20"/>
          <w:szCs w:val="20"/>
          <w:color w:val="auto"/>
        </w:rPr>
      </w:pPr>
      <w:r>
        <w:rPr>
          <w:rFonts w:ascii="Arial" w:cs="Arial" w:eastAsia="Arial" w:hAnsi="Arial"/>
          <w:sz w:val="22"/>
          <w:szCs w:val="22"/>
          <w:color w:val="auto"/>
        </w:rPr>
        <w:t>You will be eligible to participate in all of the employee benefits and benefit plans that the Company generally makes available to its full-time regular employees, subject to the terms and conditions of such benefits and benefit plans. At this time, these will include at a minimum, medical, dental and vision insurance coverage. Coverage for these benefits begins on the 1</w:t>
      </w:r>
      <w:r>
        <w:rPr>
          <w:rFonts w:ascii="Arial" w:cs="Arial" w:eastAsia="Arial" w:hAnsi="Arial"/>
          <w:sz w:val="18"/>
          <w:szCs w:val="18"/>
          <w:color w:val="auto"/>
        </w:rPr>
        <w:t>st</w:t>
      </w:r>
      <w:r>
        <w:rPr>
          <w:rFonts w:ascii="Arial" w:cs="Arial" w:eastAsia="Arial" w:hAnsi="Arial"/>
          <w:sz w:val="22"/>
          <w:szCs w:val="22"/>
          <w:color w:val="auto"/>
        </w:rPr>
        <w:t xml:space="preserve"> day of the month following your first day of employment with the Company. Detailed information about the benefits presently available will be provided to you on your first day of employment.</w:t>
      </w:r>
    </w:p>
    <w:p>
      <w:pPr>
        <w:spacing w:after="0" w:line="215" w:lineRule="exact"/>
        <w:rPr>
          <w:sz w:val="20"/>
          <w:szCs w:val="20"/>
          <w:color w:val="auto"/>
        </w:rPr>
      </w:pPr>
    </w:p>
    <w:p>
      <w:pPr>
        <w:jc w:val="both"/>
        <w:ind w:right="20"/>
        <w:spacing w:after="0" w:line="236" w:lineRule="auto"/>
        <w:rPr>
          <w:sz w:val="20"/>
          <w:szCs w:val="20"/>
          <w:color w:val="auto"/>
        </w:rPr>
      </w:pPr>
      <w:r>
        <w:rPr>
          <w:rFonts w:ascii="Arial" w:cs="Arial" w:eastAsia="Arial" w:hAnsi="Arial"/>
          <w:sz w:val="22"/>
          <w:szCs w:val="22"/>
          <w:color w:val="auto"/>
        </w:rPr>
        <w:t>The health plan options will include 4 medical plans (2-HMO, PPO and HSA), a dental and vision plan, life/AD&amp;D insurance, disability and voluntary insurance as well as a 401(k) retirement plan, with a company match of 3%. The Company will cover 90% of the employee benefit costs and 75% of the dependent benefits costs. Based on conditions and situations over time, the Company may change specific benefits and plans from time to time, but our intent is to provide an excellent health benefit program to our employees.</w:t>
      </w:r>
    </w:p>
    <w:p>
      <w:pPr>
        <w:spacing w:after="0" w:line="215"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You will accrue vacation time at the rate of four weeks (160 hours) per year, up to an accrual cap of 240 hours, under the terms of the Company’s PTO policy. You will also be eligible for 5 sick days.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“At Will” Employment</w:t>
      </w:r>
    </w:p>
    <w:p>
      <w:pPr>
        <w:spacing w:after="0" w:line="239" w:lineRule="exact"/>
        <w:rPr>
          <w:sz w:val="20"/>
          <w:szCs w:val="20"/>
          <w:color w:val="auto"/>
        </w:rPr>
      </w:pPr>
    </w:p>
    <w:p>
      <w:pPr>
        <w:jc w:val="both"/>
        <w:ind w:right="20"/>
        <w:spacing w:after="0" w:line="248" w:lineRule="auto"/>
        <w:rPr>
          <w:sz w:val="20"/>
          <w:szCs w:val="20"/>
          <w:color w:val="auto"/>
        </w:rPr>
      </w:pPr>
      <w:r>
        <w:rPr>
          <w:rFonts w:ascii="Arial" w:cs="Arial" w:eastAsia="Arial" w:hAnsi="Arial"/>
          <w:sz w:val="21"/>
          <w:szCs w:val="21"/>
          <w:color w:val="auto"/>
        </w:rPr>
        <w:t>Employment with the Company is “at-will”. This means that it is not for any specified period of time and can be terminated by you or by the Company at any time, with or without advance notice, and for any or no particular reason or Cause. It also means that your job duties, title, responsibilities, reporting level, compensation and benefits, as well as the Company’s personnel policies and procedures, may be changed at any time, with or without notice in the sole discretion of the Company. This “at-will” nature of your employment shall remain unchanged during your tenure as an employee, and can only be changed by an express written agreement that is signed by you and by the Company’s CEO.</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520" w:type="dxa"/>
            <w:vAlign w:val="bottom"/>
          </w:tcPr>
          <w:p>
            <w:pPr>
              <w:spacing w:after="0"/>
              <w:rPr>
                <w:sz w:val="20"/>
                <w:szCs w:val="20"/>
                <w:color w:val="auto"/>
              </w:rPr>
            </w:pPr>
            <w:r>
              <w:rPr>
                <w:rFonts w:ascii="Arial" w:cs="Arial" w:eastAsia="Arial" w:hAnsi="Arial"/>
                <w:sz w:val="20"/>
                <w:szCs w:val="20"/>
                <w:color w:val="9BBB59"/>
              </w:rPr>
              <w:t>www.ultragenyx.com</w:t>
            </w:r>
          </w:p>
        </w:tc>
        <w:tc>
          <w:tcPr>
            <w:tcW w:w="4920" w:type="dxa"/>
            <w:vAlign w:val="bottom"/>
          </w:tcPr>
          <w:p>
            <w:pPr>
              <w:jc w:val="right"/>
              <w:spacing w:after="0"/>
              <w:rPr>
                <w:sz w:val="20"/>
                <w:szCs w:val="20"/>
                <w:color w:val="auto"/>
              </w:rPr>
            </w:pPr>
            <w:r>
              <w:rPr>
                <w:rFonts w:ascii="Arial" w:cs="Arial" w:eastAsia="Arial" w:hAnsi="Arial"/>
                <w:sz w:val="20"/>
                <w:szCs w:val="20"/>
                <w:color w:val="7F7F7F"/>
              </w:rPr>
              <w:t>3</w:t>
            </w:r>
          </w:p>
        </w:tc>
      </w:tr>
      <w:tr>
        <w:trPr>
          <w:trHeight w:val="341"/>
        </w:trPr>
        <w:tc>
          <w:tcPr>
            <w:tcW w:w="65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2" w:right="219" w:bottom="1440" w:gutter="0" w:footer="0" w:header="0"/>
        </w:sectPr>
      </w:pPr>
    </w:p>
    <w:bookmarkStart w:id="136" w:name="page137"/>
    <w:bookmarkEnd w:id="136"/>
    <w:p>
      <w:pPr>
        <w:spacing w:after="0"/>
        <w:rPr>
          <w:sz w:val="20"/>
          <w:szCs w:val="20"/>
          <w:color w:val="auto"/>
        </w:rPr>
      </w:pPr>
      <w:r>
        <w:rPr>
          <w:rFonts w:ascii="Arial" w:cs="Arial" w:eastAsia="Arial" w:hAnsi="Arial"/>
          <w:sz w:val="22"/>
          <w:szCs w:val="22"/>
          <w:b w:val="1"/>
          <w:bCs w:val="1"/>
          <w:u w:val="single" w:color="auto"/>
          <w:color w:val="auto"/>
        </w:rPr>
        <w:t>Severance</w:t>
      </w:r>
    </w:p>
    <w:p>
      <w:pPr>
        <w:spacing w:after="0" w:line="239" w:lineRule="exact"/>
        <w:rPr>
          <w:sz w:val="20"/>
          <w:szCs w:val="20"/>
          <w:color w:val="auto"/>
        </w:rPr>
      </w:pPr>
    </w:p>
    <w:p>
      <w:pPr>
        <w:jc w:val="both"/>
        <w:ind w:right="20"/>
        <w:spacing w:after="0" w:line="272" w:lineRule="auto"/>
        <w:rPr>
          <w:sz w:val="20"/>
          <w:szCs w:val="20"/>
          <w:color w:val="auto"/>
        </w:rPr>
      </w:pPr>
      <w:r>
        <w:rPr>
          <w:rFonts w:ascii="Arial" w:cs="Arial" w:eastAsia="Arial" w:hAnsi="Arial"/>
          <w:sz w:val="19"/>
          <w:szCs w:val="19"/>
          <w:color w:val="auto"/>
        </w:rPr>
        <w:t>If, at any time, your employment with the Company or its successor is terminated without Cause, or you resign your employment due to a Constructive Termination, then provided such termination constitutes a Separation from Service, the Company shall: (i) extend the exercise period applicable to the Option (and to any other options to purchase the Company’s Common Stock you then hold) such that you will have until the date that is twelve (12) months after the date of your Separation from Service to exercise any of the vested shares (determined as of the date of your Separation from Service) subject to the Option (but in no event will the exercise period be extended until later than the date of expiration of the term of the Option as set forth in the agreement evidencing such Option); and (ii) the Company shall pay you, as severance, the equivalent of one (1) year of your Base Salary in effect as of the date of your Separation from Service, subject to standard payroll deductions and withholdings (the “Severance Amount”). The Severance Amount will be paid in installments in the form of continuation of your Base Salary payments, paid on the Company’s regular payroll dates, commencing on the Company’s first regular payroll date that follows the 60th day after such Separation from Service. The first regular payroll date that follows the 60</w:t>
      </w:r>
      <w:r>
        <w:rPr>
          <w:rFonts w:ascii="Arial" w:cs="Arial" w:eastAsia="Arial" w:hAnsi="Arial"/>
          <w:sz w:val="16"/>
          <w:szCs w:val="16"/>
          <w:color w:val="auto"/>
        </w:rPr>
        <w:t>th</w:t>
      </w:r>
      <w:r>
        <w:rPr>
          <w:rFonts w:ascii="Arial" w:cs="Arial" w:eastAsia="Arial" w:hAnsi="Arial"/>
          <w:sz w:val="19"/>
          <w:szCs w:val="19"/>
          <w:color w:val="auto"/>
        </w:rPr>
        <w:t xml:space="preserve"> day after such Separation from Service shall be for all accrued Base Salary for the 60-day period plus the period from the 60</w:t>
      </w:r>
      <w:r>
        <w:rPr>
          <w:rFonts w:ascii="Arial" w:cs="Arial" w:eastAsia="Arial" w:hAnsi="Arial"/>
          <w:sz w:val="16"/>
          <w:szCs w:val="16"/>
          <w:color w:val="auto"/>
        </w:rPr>
        <w:t>th</w:t>
      </w:r>
      <w:r>
        <w:rPr>
          <w:rFonts w:ascii="Arial" w:cs="Arial" w:eastAsia="Arial" w:hAnsi="Arial"/>
          <w:sz w:val="19"/>
          <w:szCs w:val="19"/>
          <w:color w:val="auto"/>
        </w:rPr>
        <w:t xml:space="preserve"> day until the regular payroll date; the remainder of the Base Salary continuation payments shall thereafter be made on the Company’s regular payroll dates.</w:t>
      </w:r>
    </w:p>
    <w:p>
      <w:pPr>
        <w:spacing w:after="0" w:line="184" w:lineRule="exact"/>
        <w:rPr>
          <w:sz w:val="20"/>
          <w:szCs w:val="20"/>
          <w:color w:val="auto"/>
        </w:rPr>
      </w:pPr>
    </w:p>
    <w:p>
      <w:pPr>
        <w:jc w:val="both"/>
        <w:ind w:right="20"/>
        <w:spacing w:after="0" w:line="245" w:lineRule="auto"/>
        <w:rPr>
          <w:sz w:val="20"/>
          <w:szCs w:val="20"/>
          <w:color w:val="auto"/>
        </w:rPr>
      </w:pPr>
      <w:r>
        <w:rPr>
          <w:rFonts w:ascii="Arial" w:cs="Arial" w:eastAsia="Arial" w:hAnsi="Arial"/>
          <w:sz w:val="21"/>
          <w:szCs w:val="21"/>
          <w:color w:val="auto"/>
        </w:rPr>
        <w:t>Notwithstanding anything herein to the contrary, the receipt of any of the severance or acceleration benefits described in this letter will be subject to and conditioned upon: (i) your signing a separation agreement and release of claims in a form reasonably satisfactory to the Company (the “Separation Agreement”) and such Separation Agreement becoming effective and irrevocable as specified therein no later than sixty (60) days following your Separation from Service; and (ii) your continued compliance with the terms of this letter, the Separation Agreement, the enclosed Confidential Information and Invention Assignment Agreement (including without limitation, your not using or disclosing any confidential or proprietary information of the Company), and any other agreement entered into between you and the Company. No severance benefits of any kind will be paid or provided, and no acceleration of vesting shall be effective, until the Separation Agreement becomes effective. You shall also resign from all positions and terminate any relationships as an employee, advisor, officer or director with the Company and any of its affiliates, each effective on the date of termination.</w:t>
      </w:r>
    </w:p>
    <w:p>
      <w:pPr>
        <w:spacing w:after="0" w:line="209"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Additionally, and for the avoidance of doubt, in the event that the Company terminates your employment for Cause, or you resign your employment for any reason other than due to a Constructive Termination, or your employment terminates upon your death or disability, you will no longer vest in the Option or the RSUs (or any other equity) and you will not be entitled to any severance benefits described herein.</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520" w:type="dxa"/>
            <w:vAlign w:val="bottom"/>
          </w:tcPr>
          <w:p>
            <w:pPr>
              <w:spacing w:after="0"/>
              <w:rPr>
                <w:sz w:val="20"/>
                <w:szCs w:val="20"/>
                <w:color w:val="auto"/>
              </w:rPr>
            </w:pPr>
            <w:r>
              <w:rPr>
                <w:rFonts w:ascii="Arial" w:cs="Arial" w:eastAsia="Arial" w:hAnsi="Arial"/>
                <w:sz w:val="20"/>
                <w:szCs w:val="20"/>
                <w:color w:val="9BBB59"/>
              </w:rPr>
              <w:t>www.ultragenyx.com</w:t>
            </w:r>
          </w:p>
        </w:tc>
        <w:tc>
          <w:tcPr>
            <w:tcW w:w="4920" w:type="dxa"/>
            <w:vAlign w:val="bottom"/>
          </w:tcPr>
          <w:p>
            <w:pPr>
              <w:jc w:val="right"/>
              <w:spacing w:after="0"/>
              <w:rPr>
                <w:sz w:val="20"/>
                <w:szCs w:val="20"/>
                <w:color w:val="auto"/>
              </w:rPr>
            </w:pPr>
            <w:r>
              <w:rPr>
                <w:rFonts w:ascii="Arial" w:cs="Arial" w:eastAsia="Arial" w:hAnsi="Arial"/>
                <w:sz w:val="20"/>
                <w:szCs w:val="20"/>
                <w:color w:val="7F7F7F"/>
              </w:rPr>
              <w:t>4</w:t>
            </w:r>
          </w:p>
        </w:tc>
      </w:tr>
      <w:tr>
        <w:trPr>
          <w:trHeight w:val="341"/>
        </w:trPr>
        <w:tc>
          <w:tcPr>
            <w:tcW w:w="65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2" w:right="219" w:bottom="1440" w:gutter="0" w:footer="0" w:header="0"/>
        </w:sectPr>
      </w:pPr>
    </w:p>
    <w:bookmarkStart w:id="137" w:name="page138"/>
    <w:bookmarkEnd w:id="137"/>
    <w:p>
      <w:pPr>
        <w:jc w:val="both"/>
        <w:ind w:right="20"/>
        <w:spacing w:after="0" w:line="246" w:lineRule="auto"/>
        <w:rPr>
          <w:sz w:val="20"/>
          <w:szCs w:val="20"/>
          <w:color w:val="auto"/>
        </w:rPr>
      </w:pPr>
      <w:r>
        <w:rPr>
          <w:rFonts w:ascii="Arial" w:cs="Arial" w:eastAsia="Arial" w:hAnsi="Arial"/>
          <w:sz w:val="21"/>
          <w:szCs w:val="21"/>
          <w:color w:val="auto"/>
        </w:rPr>
        <w:t>For purposes of this offer letter, “Cause” means any of the following: (i) your gross negligence in carrying out, or material failure to carry out, your duties for the Company (including without limitation, your failure to cooperate in any Company investigation), after notice from the Board and a reasonable opportunity to cure (if deemed curable); (ii) any breach of your fiduciary duties to the Company, after notice from the Board and a reasonable opportunity to cure (if deemed curable); (iii) conviction of, or plea of guilty or no contest to, any felony; (iv) any act of fraud or embezzlement by you with respect to your obligations or otherwise relating to the business of the Company; (v) your material violation of any Company policy; (vi) your material breach of any agreement entered into between you and the Company; or (vii) your unauthorized use or disclosure of confidential information or trade secrets of the Company or its affiliates.</w:t>
      </w:r>
    </w:p>
    <w:p>
      <w:pPr>
        <w:spacing w:after="0" w:line="181" w:lineRule="exact"/>
        <w:rPr>
          <w:sz w:val="20"/>
          <w:szCs w:val="20"/>
          <w:color w:val="auto"/>
        </w:rPr>
      </w:pPr>
    </w:p>
    <w:p>
      <w:pPr>
        <w:jc w:val="both"/>
        <w:ind w:right="20"/>
        <w:spacing w:after="0" w:line="273" w:lineRule="auto"/>
        <w:rPr>
          <w:sz w:val="20"/>
          <w:szCs w:val="20"/>
          <w:color w:val="auto"/>
        </w:rPr>
      </w:pPr>
      <w:r>
        <w:rPr>
          <w:rFonts w:ascii="Arial" w:cs="Arial" w:eastAsia="Arial" w:hAnsi="Arial"/>
          <w:sz w:val="19"/>
          <w:szCs w:val="19"/>
          <w:color w:val="auto"/>
        </w:rPr>
        <w:t>For the purposes of this letter, “Constructive Termination” means the occurrence of any of the following events without your written consent: (i) a material reduction or change in your job duties, responsibilities and requirements from your job duties, responsibilities and requirements immediately prior to such reduction or change, taking into account the differences in job title and duties that are normally occasioned by reason of an acquisition of one company by another; (ii) a material reduction of your Base Salary (other than an equal, across-the-board reduction in the compensation of all similarly-situated employees of the Company or the surviving entity that is approved by the Board); or (iii) a requirement that you relocate to a principal office that increases your one-way commute by more than 50 miles relative to your immediately preceding principal office. Notwithstanding the foregoing, none of the foregoing events or conditions will constitute Constructive Termination unless: (x) you provide the Company with written objection (or notice) to the event or condition within 30 days following the occurrence thereof, (y) the Company does not reverse or otherwise cure the event or condition within 30 days of receiving that written objection, and (z) you resign your employment within 30 days following the expiration of that cure period.</w:t>
      </w:r>
    </w:p>
    <w:p>
      <w:pPr>
        <w:spacing w:after="0" w:line="156" w:lineRule="exact"/>
        <w:rPr>
          <w:sz w:val="20"/>
          <w:szCs w:val="20"/>
          <w:color w:val="auto"/>
        </w:rPr>
      </w:pPr>
    </w:p>
    <w:p>
      <w:pPr>
        <w:jc w:val="both"/>
        <w:ind w:right="20"/>
        <w:spacing w:after="0" w:line="273" w:lineRule="auto"/>
        <w:rPr>
          <w:sz w:val="20"/>
          <w:szCs w:val="20"/>
          <w:color w:val="auto"/>
        </w:rPr>
      </w:pPr>
      <w:r>
        <w:rPr>
          <w:rFonts w:ascii="Arial" w:cs="Arial" w:eastAsia="Arial" w:hAnsi="Arial"/>
          <w:sz w:val="19"/>
          <w:szCs w:val="19"/>
          <w:color w:val="auto"/>
        </w:rPr>
        <w:t>Notwithstanding any other provision herein or any other plan, arrangement or agreement to the contrary, if any of the payments or benefits provided or to be provided by the Company or its affiliates to you or for your benefit pursuant to the terms of this Offer Letter or otherwise (“Covered Payments”) constitute parachute payments (“Parachute Payments”) within the meaning of Section 280G of the Internal Revenue Code of 1986, as amended (the “Code”) and would, but for this paragraph be subject to the excise tax imposed under Section 4999 of the Code (or any successor provision thereto) or any similar tax imposed by state or local law or any interest or penalties with respect to such taxes (collectively, the “Excise Tax”), then the Covered Payments shall be either (i) reduced to the minimum extent necessary to ensure that no portion of the Covered Payments is subject to the Excise Tax (that amount, the “Reduced Amount”) or (ii) payable in full if your receipt on an after-tax basis of the full amount of payments and benefits (after taking into account the applicable federal, state, local and foreign income, employment and excise taxes (including the Excise Tax)) would result in you receiving an amount greater than the Reduced Amount.</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520" w:type="dxa"/>
            <w:vAlign w:val="bottom"/>
          </w:tcPr>
          <w:p>
            <w:pPr>
              <w:spacing w:after="0"/>
              <w:rPr>
                <w:sz w:val="20"/>
                <w:szCs w:val="20"/>
                <w:color w:val="auto"/>
              </w:rPr>
            </w:pPr>
            <w:r>
              <w:rPr>
                <w:rFonts w:ascii="Arial" w:cs="Arial" w:eastAsia="Arial" w:hAnsi="Arial"/>
                <w:sz w:val="20"/>
                <w:szCs w:val="20"/>
                <w:color w:val="9BBB59"/>
              </w:rPr>
              <w:t>www.ultragenyx.com</w:t>
            </w:r>
          </w:p>
        </w:tc>
        <w:tc>
          <w:tcPr>
            <w:tcW w:w="4920" w:type="dxa"/>
            <w:vAlign w:val="bottom"/>
          </w:tcPr>
          <w:p>
            <w:pPr>
              <w:jc w:val="right"/>
              <w:spacing w:after="0"/>
              <w:rPr>
                <w:sz w:val="20"/>
                <w:szCs w:val="20"/>
                <w:color w:val="auto"/>
              </w:rPr>
            </w:pPr>
            <w:r>
              <w:rPr>
                <w:rFonts w:ascii="Arial" w:cs="Arial" w:eastAsia="Arial" w:hAnsi="Arial"/>
                <w:sz w:val="20"/>
                <w:szCs w:val="20"/>
                <w:color w:val="7F7F7F"/>
              </w:rPr>
              <w:t>5</w:t>
            </w:r>
          </w:p>
        </w:tc>
      </w:tr>
      <w:tr>
        <w:trPr>
          <w:trHeight w:val="341"/>
        </w:trPr>
        <w:tc>
          <w:tcPr>
            <w:tcW w:w="65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8" w:right="219" w:bottom="1440" w:gutter="0" w:footer="0" w:header="0"/>
        </w:sectPr>
      </w:pPr>
    </w:p>
    <w:bookmarkStart w:id="138" w:name="page139"/>
    <w:bookmarkEnd w:id="138"/>
    <w:p>
      <w:pPr>
        <w:jc w:val="both"/>
        <w:ind w:right="20"/>
        <w:spacing w:after="0" w:line="236" w:lineRule="auto"/>
        <w:rPr>
          <w:sz w:val="20"/>
          <w:szCs w:val="20"/>
          <w:color w:val="auto"/>
        </w:rPr>
      </w:pPr>
      <w:r>
        <w:rPr>
          <w:rFonts w:ascii="Arial" w:cs="Arial" w:eastAsia="Arial" w:hAnsi="Arial"/>
          <w:sz w:val="22"/>
          <w:szCs w:val="22"/>
          <w:color w:val="auto"/>
        </w:rPr>
        <w:t>Any reduction pursuant to the preceding paragraph shall be made in a manner consistent with the requirements of Section 409A of the Code and the following: (i) the Covered Payments which do not constitute nonqualified deferred compensation subject to Section 409A of the Code shall be reduced first; and (ii) all other Covered Payments shall then be reduced as follows: (A) cash payments shall be reduced before non-cash payments; and (B) payments to be made on a later payment date shall be reduced before payments to be made on an earlier payment date.</w:t>
      </w:r>
    </w:p>
    <w:p>
      <w:pPr>
        <w:spacing w:after="0" w:line="188" w:lineRule="exact"/>
        <w:rPr>
          <w:sz w:val="20"/>
          <w:szCs w:val="20"/>
          <w:color w:val="auto"/>
        </w:rPr>
      </w:pPr>
    </w:p>
    <w:p>
      <w:pPr>
        <w:jc w:val="both"/>
        <w:ind w:right="20"/>
        <w:spacing w:after="0" w:line="234" w:lineRule="auto"/>
        <w:rPr>
          <w:sz w:val="20"/>
          <w:szCs w:val="20"/>
          <w:color w:val="auto"/>
        </w:rPr>
      </w:pPr>
      <w:r>
        <w:rPr>
          <w:rFonts w:ascii="Arial" w:cs="Arial" w:eastAsia="Arial" w:hAnsi="Arial"/>
          <w:sz w:val="22"/>
          <w:szCs w:val="22"/>
          <w:color w:val="auto"/>
        </w:rPr>
        <w:t>Any such required determination shall be made in writing in good faith by an independent accounting firm selected by the Company (the “Accountants”), which shall provide detailed supporting calculations to the Company and you as reasonably requested by the Company or you. The Company and you shall provide the Accountants with such information and documents as the Accountants may reasonably request in order to make a determination. For purposes of making the calculations and determinations required herein, the Accountants may rely on reasonable, good faith assumptions and approximations concerning the application of Section 280G and Section 4999 of the Code. The Accountants’ determinations shall be final and binding on the Company and you. The Company shall be responsible for all fees and expenses incurred by the Accountants in connection with the calculations required herein.</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520" w:type="dxa"/>
            <w:vAlign w:val="bottom"/>
          </w:tcPr>
          <w:p>
            <w:pPr>
              <w:spacing w:after="0"/>
              <w:rPr>
                <w:sz w:val="20"/>
                <w:szCs w:val="20"/>
                <w:color w:val="auto"/>
              </w:rPr>
            </w:pPr>
            <w:r>
              <w:rPr>
                <w:rFonts w:ascii="Arial" w:cs="Arial" w:eastAsia="Arial" w:hAnsi="Arial"/>
                <w:sz w:val="20"/>
                <w:szCs w:val="20"/>
                <w:color w:val="9BBB59"/>
              </w:rPr>
              <w:t>www.ultragenyx.com</w:t>
            </w:r>
          </w:p>
        </w:tc>
        <w:tc>
          <w:tcPr>
            <w:tcW w:w="4920" w:type="dxa"/>
            <w:vAlign w:val="bottom"/>
          </w:tcPr>
          <w:p>
            <w:pPr>
              <w:jc w:val="right"/>
              <w:spacing w:after="0"/>
              <w:rPr>
                <w:sz w:val="20"/>
                <w:szCs w:val="20"/>
                <w:color w:val="auto"/>
              </w:rPr>
            </w:pPr>
            <w:r>
              <w:rPr>
                <w:rFonts w:ascii="Arial" w:cs="Arial" w:eastAsia="Arial" w:hAnsi="Arial"/>
                <w:sz w:val="20"/>
                <w:szCs w:val="20"/>
                <w:color w:val="7F7F7F"/>
              </w:rPr>
              <w:t>6</w:t>
            </w:r>
          </w:p>
        </w:tc>
      </w:tr>
      <w:tr>
        <w:trPr>
          <w:trHeight w:val="341"/>
        </w:trPr>
        <w:tc>
          <w:tcPr>
            <w:tcW w:w="65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8" w:right="219" w:bottom="1440" w:gutter="0" w:footer="0" w:header="0"/>
        </w:sectPr>
      </w:pPr>
    </w:p>
    <w:bookmarkStart w:id="139" w:name="page140"/>
    <w:bookmarkEnd w:id="139"/>
    <w:p>
      <w:pPr>
        <w:spacing w:after="0"/>
        <w:rPr>
          <w:sz w:val="20"/>
          <w:szCs w:val="20"/>
          <w:color w:val="auto"/>
        </w:rPr>
      </w:pPr>
      <w:r>
        <w:rPr>
          <w:rFonts w:ascii="Arial" w:cs="Arial" w:eastAsia="Arial" w:hAnsi="Arial"/>
          <w:sz w:val="22"/>
          <w:szCs w:val="22"/>
          <w:b w:val="1"/>
          <w:bCs w:val="1"/>
          <w:u w:val="single" w:color="auto"/>
          <w:color w:val="auto"/>
        </w:rPr>
        <w:t>Compliance with Section 409A</w:t>
      </w:r>
    </w:p>
    <w:p>
      <w:pPr>
        <w:spacing w:after="0" w:line="239" w:lineRule="exact"/>
        <w:rPr>
          <w:sz w:val="20"/>
          <w:szCs w:val="20"/>
          <w:color w:val="auto"/>
        </w:rPr>
      </w:pPr>
    </w:p>
    <w:p>
      <w:pPr>
        <w:jc w:val="both"/>
        <w:ind w:right="20"/>
        <w:spacing w:after="0" w:line="245" w:lineRule="exact"/>
        <w:rPr>
          <w:sz w:val="20"/>
          <w:szCs w:val="20"/>
          <w:color w:val="auto"/>
        </w:rPr>
      </w:pPr>
      <w:r>
        <w:rPr>
          <w:rFonts w:ascii="Arial" w:cs="Arial" w:eastAsia="Arial" w:hAnsi="Arial"/>
          <w:sz w:val="19"/>
          <w:szCs w:val="19"/>
          <w:color w:val="auto"/>
        </w:rPr>
        <w:t>It is intended that all of the severance benefits and other payments payable under this letter satisfy, to the greatest extent possible, the exemptions from the application of Code Section 409A provided under Treasury Regulations 1.409A</w:t>
      </w:r>
      <w:r>
        <w:rPr>
          <w:rFonts w:ascii="MS PGothic" w:cs="MS PGothic" w:eastAsia="MS PGothic" w:hAnsi="MS PGothic"/>
          <w:sz w:val="19"/>
          <w:szCs w:val="19"/>
          <w:color w:val="auto"/>
        </w:rPr>
        <w:t>‑</w:t>
      </w:r>
      <w:r>
        <w:rPr>
          <w:rFonts w:ascii="Arial" w:cs="Arial" w:eastAsia="Arial" w:hAnsi="Arial"/>
          <w:sz w:val="19"/>
          <w:szCs w:val="19"/>
          <w:color w:val="auto"/>
        </w:rPr>
        <w:t>1(b)(4), 1.409A</w:t>
      </w:r>
      <w:r>
        <w:rPr>
          <w:rFonts w:ascii="MS PGothic" w:cs="MS PGothic" w:eastAsia="MS PGothic" w:hAnsi="MS PGothic"/>
          <w:sz w:val="19"/>
          <w:szCs w:val="19"/>
          <w:color w:val="auto"/>
        </w:rPr>
        <w:t>‑</w:t>
      </w:r>
      <w:r>
        <w:rPr>
          <w:rFonts w:ascii="Arial" w:cs="Arial" w:eastAsia="Arial" w:hAnsi="Arial"/>
          <w:sz w:val="19"/>
          <w:szCs w:val="19"/>
          <w:color w:val="auto"/>
        </w:rPr>
        <w:t>1(b)(5) and 1.409A</w:t>
      </w:r>
      <w:r>
        <w:rPr>
          <w:rFonts w:ascii="MS PGothic" w:cs="MS PGothic" w:eastAsia="MS PGothic" w:hAnsi="MS PGothic"/>
          <w:sz w:val="19"/>
          <w:szCs w:val="19"/>
          <w:color w:val="auto"/>
        </w:rPr>
        <w:t>‑</w:t>
      </w:r>
      <w:r>
        <w:rPr>
          <w:rFonts w:ascii="Arial" w:cs="Arial" w:eastAsia="Arial" w:hAnsi="Arial"/>
          <w:sz w:val="19"/>
          <w:szCs w:val="19"/>
          <w:color w:val="auto"/>
        </w:rPr>
        <w:t>1(b)(9), and this letter agreement will be construed to the greatest extent possible as consistent with those provisions, and to the extent not so exempt, this letter (and any definitions hereunder) will be construed in a manner that complies with Section 409A. Any payment by the Company under this letter agreement that is subject to Section 409A and that is contingent on a termination of employment is contingent on a “separation from service” within the meaning of Section 409A. Each such payment shall be considered to be a separate payment for purposes of Section 409A. Notwithstanding any provision to the contrary in this letter, if you are deemed by the Company at the time of your Separation from Service to be a “specified employee” for purposes of Code Section 409A(a)(2)(B)(i),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Code Section 409A(a)(2)(B)(i) and the related adverse taxation under Section 409A, such payments shall not be provided to you prior to the earliest of (i) the expiration of the six-month period measured from the date of your Separation from Service with the Company, (ii) the date of your death, or (iii) such earlier date as permitted under Section 409A without the imposition of adverse taxation. Upon the first business day following the expiration of such applicable Code Section 409A(a)(2)(B)(i) period, all payments deferred pursuant to this paragraph shall be paid in a lump sum to you, and any remaining payments due shall be paid as otherwise provided herein or in the applicable agreement. No interest shall be due on any amounts so deferred.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Compliance with Company Policies</w:t>
      </w:r>
    </w:p>
    <w:p>
      <w:pPr>
        <w:spacing w:after="0" w:line="239"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As an employee of the Company, you will be expected to comply with the Company’s personnel and other policies, including but not limited to, the Company’s policies prohibiting discrimination and unlawful harassment, conflicts of interest and violation of applicable laws in the course of performing services to the Company. During your orientation, you will be provided with the Company’s policy and procedures.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Full-time Services to the Company</w:t>
      </w:r>
    </w:p>
    <w:p>
      <w:pPr>
        <w:spacing w:after="0" w:line="239" w:lineRule="exact"/>
        <w:rPr>
          <w:sz w:val="20"/>
          <w:szCs w:val="20"/>
          <w:color w:val="auto"/>
        </w:rPr>
      </w:pPr>
    </w:p>
    <w:p>
      <w:pPr>
        <w:jc w:val="both"/>
        <w:ind w:right="20"/>
        <w:spacing w:after="0" w:line="236" w:lineRule="auto"/>
        <w:rPr>
          <w:sz w:val="20"/>
          <w:szCs w:val="20"/>
          <w:color w:val="auto"/>
        </w:rPr>
      </w:pPr>
      <w:r>
        <w:rPr>
          <w:rFonts w:ascii="Arial" w:cs="Arial" w:eastAsia="Arial" w:hAnsi="Arial"/>
          <w:sz w:val="22"/>
          <w:szCs w:val="22"/>
          <w:color w:val="auto"/>
        </w:rPr>
        <w:t>The Company requires that, as a full-time employee, you devote your full business time, attention, skills and efforts to the tasks and duties of your position as assigned by the Company. However, the Company will not preclude you from providing services to others, so long as such services would not be to the benefit of a competitor of the Company and will not otherwise interfere with your ability to satisfactorily fulfill your job responsibilities to the Company. If you wish to perform services (for any or no form of compensation) to any other</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520" w:type="dxa"/>
            <w:vAlign w:val="bottom"/>
          </w:tcPr>
          <w:p>
            <w:pPr>
              <w:spacing w:after="0"/>
              <w:rPr>
                <w:sz w:val="20"/>
                <w:szCs w:val="20"/>
                <w:color w:val="auto"/>
              </w:rPr>
            </w:pPr>
            <w:r>
              <w:rPr>
                <w:rFonts w:ascii="Arial" w:cs="Arial" w:eastAsia="Arial" w:hAnsi="Arial"/>
                <w:sz w:val="20"/>
                <w:szCs w:val="20"/>
                <w:color w:val="9BBB59"/>
              </w:rPr>
              <w:t>www.ultragenyx.com</w:t>
            </w:r>
          </w:p>
        </w:tc>
        <w:tc>
          <w:tcPr>
            <w:tcW w:w="4920" w:type="dxa"/>
            <w:vAlign w:val="bottom"/>
          </w:tcPr>
          <w:p>
            <w:pPr>
              <w:jc w:val="right"/>
              <w:spacing w:after="0"/>
              <w:rPr>
                <w:sz w:val="20"/>
                <w:szCs w:val="20"/>
                <w:color w:val="auto"/>
              </w:rPr>
            </w:pPr>
            <w:r>
              <w:rPr>
                <w:rFonts w:ascii="Arial" w:cs="Arial" w:eastAsia="Arial" w:hAnsi="Arial"/>
                <w:sz w:val="20"/>
                <w:szCs w:val="20"/>
                <w:color w:val="7F7F7F"/>
              </w:rPr>
              <w:t>7</w:t>
            </w:r>
          </w:p>
        </w:tc>
      </w:tr>
      <w:tr>
        <w:trPr>
          <w:trHeight w:val="341"/>
        </w:trPr>
        <w:tc>
          <w:tcPr>
            <w:tcW w:w="65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2" w:right="219" w:bottom="1440" w:gutter="0" w:footer="0" w:header="0"/>
        </w:sectPr>
      </w:pPr>
    </w:p>
    <w:bookmarkStart w:id="140" w:name="page141"/>
    <w:bookmarkEnd w:id="140"/>
    <w:p>
      <w:pPr>
        <w:jc w:val="both"/>
        <w:ind w:right="20"/>
        <w:spacing w:after="0"/>
        <w:rPr>
          <w:sz w:val="20"/>
          <w:szCs w:val="20"/>
          <w:color w:val="auto"/>
        </w:rPr>
      </w:pPr>
      <w:r>
        <w:rPr>
          <w:rFonts w:ascii="Arial" w:cs="Arial" w:eastAsia="Arial" w:hAnsi="Arial"/>
          <w:sz w:val="22"/>
          <w:szCs w:val="22"/>
          <w:color w:val="auto"/>
        </w:rPr>
        <w:t>person or business entity while employed by the Company, please contact the CEO and discuss your plans in advance of providing such services so that no problem later arises that could have been avoided from the outset. Any other such services must be approved by the CEO and Board.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Conditions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This offer, and any employment pursuant to this offer, is conditioned upon the following:</w:t>
      </w:r>
    </w:p>
    <w:p>
      <w:pPr>
        <w:spacing w:after="0" w:line="233" w:lineRule="exact"/>
        <w:rPr>
          <w:sz w:val="20"/>
          <w:szCs w:val="20"/>
          <w:color w:val="auto"/>
        </w:rPr>
      </w:pPr>
    </w:p>
    <w:p>
      <w:pPr>
        <w:jc w:val="both"/>
        <w:ind w:left="880" w:right="20" w:hanging="440"/>
        <w:spacing w:after="0"/>
        <w:tabs>
          <w:tab w:leader="none" w:pos="880" w:val="left"/>
        </w:tabs>
        <w:numPr>
          <w:ilvl w:val="0"/>
          <w:numId w:val="85"/>
        </w:numPr>
        <w:rPr>
          <w:rFonts w:ascii="Arial" w:cs="Arial" w:eastAsia="Arial" w:hAnsi="Arial"/>
          <w:sz w:val="22"/>
          <w:szCs w:val="22"/>
          <w:color w:val="auto"/>
        </w:rPr>
      </w:pPr>
      <w:r>
        <w:rPr>
          <w:rFonts w:ascii="Arial" w:cs="Arial" w:eastAsia="Arial" w:hAnsi="Arial"/>
          <w:sz w:val="22"/>
          <w:szCs w:val="22"/>
          <w:color w:val="auto"/>
        </w:rPr>
        <w:t>Your ability to provide satisfactory documentary proof of your identity and right to work in the United States of America on your first day of employment. Enclosed is the INS Form I-9, Employment Eligibility Verification, the second page of which includes a description of acceptable documentary proof.</w:t>
      </w:r>
    </w:p>
    <w:p>
      <w:pPr>
        <w:spacing w:after="0" w:line="78" w:lineRule="exact"/>
        <w:rPr>
          <w:rFonts w:ascii="Arial" w:cs="Arial" w:eastAsia="Arial" w:hAnsi="Arial"/>
          <w:sz w:val="22"/>
          <w:szCs w:val="22"/>
          <w:color w:val="auto"/>
        </w:rPr>
      </w:pPr>
    </w:p>
    <w:p>
      <w:pPr>
        <w:ind w:left="880" w:right="20" w:hanging="440"/>
        <w:spacing w:after="0" w:line="251" w:lineRule="auto"/>
        <w:tabs>
          <w:tab w:leader="none" w:pos="880" w:val="left"/>
        </w:tabs>
        <w:numPr>
          <w:ilvl w:val="0"/>
          <w:numId w:val="85"/>
        </w:numPr>
        <w:rPr>
          <w:rFonts w:ascii="Arial" w:cs="Arial" w:eastAsia="Arial" w:hAnsi="Arial"/>
          <w:sz w:val="22"/>
          <w:szCs w:val="22"/>
          <w:color w:val="auto"/>
        </w:rPr>
      </w:pPr>
      <w:r>
        <w:rPr>
          <w:rFonts w:ascii="Arial" w:cs="Arial" w:eastAsia="Arial" w:hAnsi="Arial"/>
          <w:sz w:val="22"/>
          <w:szCs w:val="22"/>
          <w:color w:val="auto"/>
        </w:rPr>
        <w:t>Your signed agreement to, and ongoing compliance with, the terms of the enclosed Confidential Information and Invention Assignment Agreement without modification.</w:t>
      </w:r>
    </w:p>
    <w:p>
      <w:pPr>
        <w:spacing w:after="0" w:line="65" w:lineRule="exact"/>
        <w:rPr>
          <w:rFonts w:ascii="Arial" w:cs="Arial" w:eastAsia="Arial" w:hAnsi="Arial"/>
          <w:sz w:val="22"/>
          <w:szCs w:val="22"/>
          <w:color w:val="auto"/>
        </w:rPr>
      </w:pPr>
    </w:p>
    <w:p>
      <w:pPr>
        <w:jc w:val="both"/>
        <w:ind w:left="880" w:right="20" w:hanging="440"/>
        <w:spacing w:after="0"/>
        <w:tabs>
          <w:tab w:leader="none" w:pos="880" w:val="left"/>
        </w:tabs>
        <w:numPr>
          <w:ilvl w:val="0"/>
          <w:numId w:val="85"/>
        </w:numPr>
        <w:rPr>
          <w:rFonts w:ascii="Arial" w:cs="Arial" w:eastAsia="Arial" w:hAnsi="Arial"/>
          <w:sz w:val="22"/>
          <w:szCs w:val="22"/>
          <w:color w:val="auto"/>
        </w:rPr>
      </w:pPr>
      <w:r>
        <w:rPr>
          <w:rFonts w:ascii="Arial" w:cs="Arial" w:eastAsia="Arial" w:hAnsi="Arial"/>
          <w:sz w:val="22"/>
          <w:szCs w:val="22"/>
          <w:color w:val="auto"/>
        </w:rPr>
        <w:t>Your consent (by your signature below) to, and results satisfactory to the Company of, reference and background checks. Until you have been informed in writing by the Company that such checks have been completed and the results satisfactory to the Company, you should defer reliance on this offer.</w:t>
      </w:r>
    </w:p>
    <w:p>
      <w:pPr>
        <w:spacing w:after="0" w:line="78" w:lineRule="exact"/>
        <w:rPr>
          <w:rFonts w:ascii="Arial" w:cs="Arial" w:eastAsia="Arial" w:hAnsi="Arial"/>
          <w:sz w:val="22"/>
          <w:szCs w:val="22"/>
          <w:color w:val="auto"/>
        </w:rPr>
      </w:pPr>
    </w:p>
    <w:p>
      <w:pPr>
        <w:ind w:left="880" w:hanging="440"/>
        <w:spacing w:after="0"/>
        <w:tabs>
          <w:tab w:leader="none" w:pos="880" w:val="left"/>
        </w:tabs>
        <w:numPr>
          <w:ilvl w:val="0"/>
          <w:numId w:val="85"/>
        </w:numPr>
        <w:rPr>
          <w:rFonts w:ascii="Arial" w:cs="Arial" w:eastAsia="Arial" w:hAnsi="Arial"/>
          <w:sz w:val="22"/>
          <w:szCs w:val="22"/>
          <w:color w:val="auto"/>
        </w:rPr>
      </w:pPr>
      <w:r>
        <w:rPr>
          <w:rFonts w:ascii="Arial" w:cs="Arial" w:eastAsia="Arial" w:hAnsi="Arial"/>
          <w:sz w:val="22"/>
          <w:szCs w:val="22"/>
          <w:color w:val="auto"/>
        </w:rPr>
        <w:t>Your return to me of the enclosed copy of this letter, after being signed by you without modification.</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 Conflicting Obligations</w:t>
      </w:r>
    </w:p>
    <w:p>
      <w:pPr>
        <w:spacing w:after="0" w:line="239" w:lineRule="exact"/>
        <w:rPr>
          <w:sz w:val="20"/>
          <w:szCs w:val="20"/>
          <w:color w:val="auto"/>
        </w:rPr>
      </w:pPr>
    </w:p>
    <w:p>
      <w:pPr>
        <w:jc w:val="both"/>
        <w:ind w:right="20"/>
        <w:spacing w:after="0" w:line="279" w:lineRule="auto"/>
        <w:rPr>
          <w:sz w:val="20"/>
          <w:szCs w:val="20"/>
          <w:color w:val="auto"/>
        </w:rPr>
      </w:pPr>
      <w:r>
        <w:rPr>
          <w:rFonts w:ascii="Arial" w:cs="Arial" w:eastAsia="Arial" w:hAnsi="Arial"/>
          <w:sz w:val="19"/>
          <w:szCs w:val="19"/>
          <w:color w:val="auto"/>
        </w:rPr>
        <w:t>By signing and accepting this offer, you represent and warrant that: (i) you are not subject to any pre-existing contractual or other legal obligation with any person, company or business enterprise which may be an impediment to or is inconsistent with your employment with, or your providing services to, the Company; (ii) you have not and shall not bring onto Company premises, or use or disclose in the course of your employment with the Company, any confidential or proprietary information or trade secrets of another person, company or business enterprise; (iii) you have returned all property and confidential information belonging to any prior employer; and (iv) you are not relying on any representations, promises or agreements not expressly contained in this letter.</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Choice of Law and Severability</w:t>
      </w:r>
    </w:p>
    <w:p>
      <w:pPr>
        <w:spacing w:after="0" w:line="239" w:lineRule="exact"/>
        <w:rPr>
          <w:sz w:val="20"/>
          <w:szCs w:val="20"/>
          <w:color w:val="auto"/>
        </w:rPr>
      </w:pPr>
    </w:p>
    <w:p>
      <w:pPr>
        <w:jc w:val="both"/>
        <w:ind w:right="20"/>
        <w:spacing w:after="0" w:line="236" w:lineRule="auto"/>
        <w:rPr>
          <w:sz w:val="20"/>
          <w:szCs w:val="20"/>
          <w:color w:val="auto"/>
        </w:rPr>
      </w:pPr>
      <w:r>
        <w:rPr>
          <w:rFonts w:ascii="Arial" w:cs="Arial" w:eastAsia="Arial" w:hAnsi="Arial"/>
          <w:sz w:val="22"/>
          <w:szCs w:val="22"/>
          <w:color w:val="auto"/>
        </w:rPr>
        <w:t>This letter shall be interpreted in accordance with the laws of the State of California without giving effect to provisions governing the choice of law. If any provision of this letter becomes or is deemed invalid, illegal or unenforceable in any applicable jurisdiction by reason of the scope, extent or duration of its coverage, then such provision shall be deemed amended to the minimum extent necessary to conform to applicable law so as to be valid and enforceable or, if such provision cannot be so amended without materially altering the intention of the parties,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520" w:type="dxa"/>
            <w:vAlign w:val="bottom"/>
          </w:tcPr>
          <w:p>
            <w:pPr>
              <w:spacing w:after="0"/>
              <w:rPr>
                <w:sz w:val="20"/>
                <w:szCs w:val="20"/>
                <w:color w:val="auto"/>
              </w:rPr>
            </w:pPr>
            <w:r>
              <w:rPr>
                <w:rFonts w:ascii="Arial" w:cs="Arial" w:eastAsia="Arial" w:hAnsi="Arial"/>
                <w:sz w:val="20"/>
                <w:szCs w:val="20"/>
                <w:color w:val="9BBB59"/>
              </w:rPr>
              <w:t>www.ultragenyx.com</w:t>
            </w:r>
          </w:p>
        </w:tc>
        <w:tc>
          <w:tcPr>
            <w:tcW w:w="4920" w:type="dxa"/>
            <w:vAlign w:val="bottom"/>
          </w:tcPr>
          <w:p>
            <w:pPr>
              <w:jc w:val="right"/>
              <w:spacing w:after="0"/>
              <w:rPr>
                <w:sz w:val="20"/>
                <w:szCs w:val="20"/>
                <w:color w:val="auto"/>
              </w:rPr>
            </w:pPr>
            <w:r>
              <w:rPr>
                <w:rFonts w:ascii="Arial" w:cs="Arial" w:eastAsia="Arial" w:hAnsi="Arial"/>
                <w:sz w:val="20"/>
                <w:szCs w:val="20"/>
                <w:color w:val="7F7F7F"/>
              </w:rPr>
              <w:t>8</w:t>
            </w:r>
          </w:p>
        </w:tc>
      </w:tr>
      <w:tr>
        <w:trPr>
          <w:trHeight w:val="341"/>
        </w:trPr>
        <w:tc>
          <w:tcPr>
            <w:tcW w:w="65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8" w:right="219" w:bottom="1440" w:gutter="0" w:footer="0" w:header="0"/>
        </w:sectPr>
      </w:pPr>
    </w:p>
    <w:bookmarkStart w:id="141" w:name="page142"/>
    <w:bookmarkEnd w:id="141"/>
    <w:p>
      <w:pPr>
        <w:jc w:val="both"/>
        <w:ind w:right="20"/>
        <w:spacing w:after="0" w:line="287" w:lineRule="auto"/>
        <w:rPr>
          <w:sz w:val="20"/>
          <w:szCs w:val="20"/>
          <w:color w:val="auto"/>
        </w:rPr>
      </w:pPr>
      <w:r>
        <w:rPr>
          <w:rFonts w:ascii="Arial" w:cs="Arial" w:eastAsia="Arial" w:hAnsi="Arial"/>
          <w:sz w:val="19"/>
          <w:szCs w:val="19"/>
          <w:color w:val="auto"/>
        </w:rPr>
        <w:t>then such provision shall be stricken and the remainder of this letter shall continue in full force and effect. If any provision of this letter is rendered illegal by any present or future statute, law, ordinance or regulation (collectively, the “Law”) then that provision shall be curtailed or limited only to the minimum extent necessary to bring the provision into compliance with the Law. All the other terms and provisions of this letter shall continue in full force and effect without impairment or limitation.</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Entire Agreement</w:t>
      </w:r>
    </w:p>
    <w:p>
      <w:pPr>
        <w:spacing w:after="0" w:line="239" w:lineRule="exact"/>
        <w:rPr>
          <w:sz w:val="20"/>
          <w:szCs w:val="20"/>
          <w:color w:val="auto"/>
        </w:rPr>
      </w:pPr>
    </w:p>
    <w:p>
      <w:pPr>
        <w:jc w:val="both"/>
        <w:ind w:right="20"/>
        <w:spacing w:after="0" w:line="279" w:lineRule="auto"/>
        <w:rPr>
          <w:sz w:val="20"/>
          <w:szCs w:val="20"/>
          <w:color w:val="auto"/>
        </w:rPr>
      </w:pPr>
      <w:r>
        <w:rPr>
          <w:rFonts w:ascii="Arial" w:cs="Arial" w:eastAsia="Arial" w:hAnsi="Arial"/>
          <w:sz w:val="19"/>
          <w:szCs w:val="19"/>
          <w:color w:val="auto"/>
        </w:rPr>
        <w:t>If you accept this offer, and the conditions of this offer are satisfied, this letter and the written agreements referenced in this letter shall constitute the complete agreement between you and the Company with respect to the initial terms and conditions of your employment. Any representations, promises or agreements, whether written or oral, not contained in this letter or contrary to those contained in this letter, that may have been made to you are expressly cancelled and replaced by this offer letter. Except as otherwise specified in this letter or in the written agreements referenced in this letter, the terms and conditions of your employment pursuant to this letter may not be changed, except by a writing issued by the CEO with approval by the Board.</w:t>
      </w:r>
    </w:p>
    <w:p>
      <w:pPr>
        <w:spacing w:after="0" w:line="178" w:lineRule="exact"/>
        <w:rPr>
          <w:sz w:val="20"/>
          <w:szCs w:val="20"/>
          <w:color w:val="auto"/>
        </w:rPr>
      </w:pPr>
    </w:p>
    <w:p>
      <w:pPr>
        <w:jc w:val="both"/>
        <w:ind w:right="20"/>
        <w:spacing w:after="0" w:line="273" w:lineRule="auto"/>
        <w:rPr>
          <w:sz w:val="20"/>
          <w:szCs w:val="20"/>
          <w:color w:val="auto"/>
        </w:rPr>
      </w:pPr>
      <w:r>
        <w:rPr>
          <w:rFonts w:ascii="Arial" w:cs="Arial" w:eastAsia="Arial" w:hAnsi="Arial"/>
          <w:sz w:val="19"/>
          <w:szCs w:val="19"/>
          <w:color w:val="auto"/>
        </w:rPr>
        <w:t>We look forward to you accepting this offer and a mutually rewarding relationship. As with all important decisions, you should make a decision concerning this offer based on your own investigation and judgment concerning the Company and its prospects, independent of the opinions and perspectives that may have been shared with you by any Company employee.</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22"/>
          <w:szCs w:val="22"/>
          <w:color w:val="auto"/>
        </w:rPr>
        <w:t>If you accept this offer, please date and sign below, on the enclosed copy of this letter and return it to me no later than June 30, 2015. Please retain the original of this letter for your records. You should bring your INS Form I-9 required identification and proof of authorization to work with you on your first day of employment.</w:t>
      </w:r>
    </w:p>
    <w:p>
      <w:pPr>
        <w:spacing w:after="0" w:line="214"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We look forward to working with you on developing treatment for many rare genetic diseases and hope you find your employment at Ultragenyx Pharmaceutical a rewarding experience. If you have any questions regarding this offer letter, please feel free to contact me at (415) 483-XXXX.</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Warm Regards,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 Emil Kakkis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89877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Emil D. Kakkis, M.D., Ph.D.</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Chief Executive Officer</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 accept the above offer:</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540" w:type="dxa"/>
            <w:vAlign w:val="bottom"/>
          </w:tcPr>
          <w:p>
            <w:pPr>
              <w:spacing w:after="0"/>
              <w:rPr>
                <w:sz w:val="20"/>
                <w:szCs w:val="20"/>
                <w:color w:val="auto"/>
              </w:rPr>
            </w:pPr>
            <w:r>
              <w:rPr>
                <w:rFonts w:ascii="Arial" w:cs="Arial" w:eastAsia="Arial" w:hAnsi="Arial"/>
                <w:sz w:val="22"/>
                <w:szCs w:val="22"/>
                <w:color w:val="auto"/>
              </w:rPr>
              <w:t>Signature:</w:t>
            </w:r>
          </w:p>
        </w:tc>
        <w:tc>
          <w:tcPr>
            <w:tcW w:w="30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John Pinion</w:t>
            </w:r>
          </w:p>
        </w:tc>
        <w:tc>
          <w:tcPr>
            <w:tcW w:w="6840" w:type="dxa"/>
            <w:vAlign w:val="bottom"/>
          </w:tcPr>
          <w:p>
            <w:pPr>
              <w:jc w:val="right"/>
              <w:spacing w:after="0"/>
              <w:rPr>
                <w:sz w:val="20"/>
                <w:szCs w:val="20"/>
                <w:color w:val="auto"/>
              </w:rPr>
            </w:pPr>
            <w:r>
              <w:rPr>
                <w:rFonts w:ascii="Arial" w:cs="Arial" w:eastAsia="Arial" w:hAnsi="Arial"/>
                <w:sz w:val="22"/>
                <w:szCs w:val="22"/>
                <w:color w:val="auto"/>
              </w:rPr>
              <w:t>Dated: May 16, 2015</w:t>
            </w:r>
          </w:p>
        </w:tc>
      </w:tr>
      <w:tr>
        <w:trPr>
          <w:trHeight w:val="565"/>
        </w:trPr>
        <w:tc>
          <w:tcPr>
            <w:tcW w:w="4600" w:type="dxa"/>
            <w:vAlign w:val="bottom"/>
            <w:gridSpan w:val="2"/>
          </w:tcPr>
          <w:p>
            <w:pPr>
              <w:spacing w:after="0"/>
              <w:rPr>
                <w:sz w:val="20"/>
                <w:szCs w:val="20"/>
                <w:color w:val="auto"/>
              </w:rPr>
            </w:pPr>
            <w:r>
              <w:rPr>
                <w:rFonts w:ascii="Arial" w:cs="Arial" w:eastAsia="Arial" w:hAnsi="Arial"/>
                <w:sz w:val="20"/>
                <w:szCs w:val="20"/>
                <w:color w:val="9BBB59"/>
              </w:rPr>
              <w:t>www.ultragenyx.com</w:t>
            </w:r>
          </w:p>
        </w:tc>
        <w:tc>
          <w:tcPr>
            <w:tcW w:w="6840" w:type="dxa"/>
            <w:vAlign w:val="bottom"/>
          </w:tcPr>
          <w:p>
            <w:pPr>
              <w:jc w:val="right"/>
              <w:spacing w:after="0"/>
              <w:rPr>
                <w:sz w:val="20"/>
                <w:szCs w:val="20"/>
                <w:color w:val="auto"/>
              </w:rPr>
            </w:pPr>
            <w:r>
              <w:rPr>
                <w:rFonts w:ascii="Arial" w:cs="Arial" w:eastAsia="Arial" w:hAnsi="Arial"/>
                <w:sz w:val="20"/>
                <w:szCs w:val="20"/>
                <w:color w:val="7F7F7F"/>
              </w:rPr>
              <w:t>9</w:t>
            </w:r>
          </w:p>
        </w:tc>
      </w:tr>
      <w:tr>
        <w:trPr>
          <w:trHeight w:val="341"/>
        </w:trPr>
        <w:tc>
          <w:tcPr>
            <w:tcW w:w="154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6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8" w:right="21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75"/>
        </w:trPr>
        <w:tc>
          <w:tcPr>
            <w:tcW w:w="1300" w:type="dxa"/>
            <w:vAlign w:val="bottom"/>
          </w:tcPr>
          <w:p>
            <w:pPr>
              <w:spacing w:after="0"/>
              <w:rPr>
                <w:sz w:val="20"/>
                <w:szCs w:val="20"/>
                <w:color w:val="auto"/>
              </w:rPr>
            </w:pPr>
            <w:r>
              <w:rPr>
                <w:rFonts w:ascii="Arial" w:cs="Arial" w:eastAsia="Arial" w:hAnsi="Arial"/>
                <w:sz w:val="22"/>
                <w:szCs w:val="22"/>
                <w:color w:val="auto"/>
              </w:rPr>
              <w:t>Print Name:</w:t>
            </w:r>
          </w:p>
        </w:tc>
        <w:tc>
          <w:tcPr>
            <w:tcW w:w="5820" w:type="dxa"/>
            <w:vAlign w:val="bottom"/>
          </w:tcPr>
          <w:p>
            <w:pPr>
              <w:ind w:left="240"/>
              <w:spacing w:after="0"/>
              <w:rPr>
                <w:sz w:val="20"/>
                <w:szCs w:val="20"/>
                <w:color w:val="auto"/>
              </w:rPr>
            </w:pPr>
            <w:r>
              <w:rPr>
                <w:rFonts w:ascii="Arial" w:cs="Arial" w:eastAsia="Arial" w:hAnsi="Arial"/>
                <w:sz w:val="22"/>
                <w:szCs w:val="22"/>
                <w:color w:val="auto"/>
              </w:rPr>
              <w:t>John R. Pinion II</w:t>
            </w:r>
          </w:p>
        </w:tc>
        <w:tc>
          <w:tcPr>
            <w:tcW w:w="4300" w:type="dxa"/>
            <w:vAlign w:val="bottom"/>
          </w:tcPr>
          <w:p>
            <w:pPr>
              <w:spacing w:after="0"/>
              <w:rPr>
                <w:sz w:val="23"/>
                <w:szCs w:val="23"/>
                <w:color w:val="auto"/>
              </w:rPr>
            </w:pPr>
          </w:p>
        </w:tc>
      </w:tr>
      <w:tr>
        <w:trPr>
          <w:trHeight w:val="804"/>
        </w:trPr>
        <w:tc>
          <w:tcPr>
            <w:tcW w:w="7120" w:type="dxa"/>
            <w:vAlign w:val="bottom"/>
            <w:gridSpan w:val="2"/>
          </w:tcPr>
          <w:p>
            <w:pPr>
              <w:spacing w:after="0"/>
              <w:rPr>
                <w:sz w:val="20"/>
                <w:szCs w:val="20"/>
                <w:color w:val="auto"/>
              </w:rPr>
            </w:pPr>
            <w:r>
              <w:rPr>
                <w:rFonts w:ascii="Arial" w:cs="Arial" w:eastAsia="Arial" w:hAnsi="Arial"/>
                <w:sz w:val="20"/>
                <w:szCs w:val="20"/>
                <w:color w:val="9BBB59"/>
              </w:rPr>
              <w:t>www.ultragenyx.com</w:t>
            </w:r>
          </w:p>
        </w:tc>
        <w:tc>
          <w:tcPr>
            <w:tcW w:w="4300" w:type="dxa"/>
            <w:vAlign w:val="bottom"/>
          </w:tcPr>
          <w:p>
            <w:pPr>
              <w:jc w:val="right"/>
              <w:spacing w:after="0"/>
              <w:rPr>
                <w:sz w:val="20"/>
                <w:szCs w:val="20"/>
                <w:color w:val="auto"/>
              </w:rPr>
            </w:pPr>
            <w:r>
              <w:rPr>
                <w:rFonts w:ascii="Arial" w:cs="Arial" w:eastAsia="Arial" w:hAnsi="Arial"/>
                <w:sz w:val="20"/>
                <w:szCs w:val="20"/>
                <w:color w:val="7F7F7F"/>
              </w:rPr>
              <w:t>10</w:t>
            </w:r>
          </w:p>
        </w:tc>
      </w:tr>
    </w:tbl>
    <w:p>
      <w:pPr>
        <w:jc w:val="right"/>
        <w:spacing w:after="0"/>
        <w:rPr>
          <w:sz w:val="20"/>
          <w:szCs w:val="20"/>
          <w:color w:val="auto"/>
        </w:rPr>
        <w:sectPr>
          <w:pgSz w:w="11900" w:h="16838" w:orient="portrait"/>
          <w:cols w:equalWidth="0" w:num="1">
            <w:col w:w="11420"/>
          </w:cols>
          <w:pgMar w:left="240" w:top="604" w:right="239" w:bottom="1440" w:gutter="0" w:footer="0" w:header="0"/>
        </w:sectPr>
      </w:pPr>
      <w:r>
        <w:rPr>
          <w:sz w:val="20"/>
          <w:szCs w:val="20"/>
          <w:color w:val="auto"/>
        </w:rPr>
        <w:drawing>
          <wp:anchor simplePos="0" relativeHeight="251657728" behindDoc="1" locked="0" layoutInCell="0" allowOverlap="1">
            <wp:simplePos x="0" y="0"/>
            <wp:positionH relativeFrom="page">
              <wp:posOffset>1126490</wp:posOffset>
            </wp:positionH>
            <wp:positionV relativeFrom="page">
              <wp:posOffset>234950</wp:posOffset>
            </wp:positionV>
            <wp:extent cx="194691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10.38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85725</wp:posOffset>
            </wp:positionV>
            <wp:extent cx="1672590" cy="6343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67259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7F7F7F"/>
        </w:rPr>
        <w:t>60 Leveroni Court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7F7F7F"/>
        </w:rPr>
        <w:t>Novato, CA 94949</w:t>
      </w:r>
    </w:p>
    <w:p>
      <w:pPr>
        <w:spacing w:after="0"/>
        <w:rPr>
          <w:sz w:val="20"/>
          <w:szCs w:val="20"/>
          <w:color w:val="auto"/>
        </w:rPr>
      </w:pPr>
      <w:r>
        <w:rPr>
          <w:rFonts w:ascii="Arial" w:cs="Arial" w:eastAsia="Arial" w:hAnsi="Arial"/>
          <w:sz w:val="20"/>
          <w:szCs w:val="20"/>
          <w:color w:val="7F7F7F"/>
        </w:rPr>
        <w:t>Tel: 415-483-8800</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April 27, 2015</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Jayson Dallas</w:t>
      </w:r>
    </w:p>
    <w:p>
      <w:pPr>
        <w:spacing w:after="0" w:line="200" w:lineRule="exact"/>
        <w:rPr>
          <w:sz w:val="20"/>
          <w:szCs w:val="20"/>
          <w:color w:val="auto"/>
        </w:rPr>
      </w:pPr>
    </w:p>
    <w:p>
      <w:pPr>
        <w:spacing w:after="0" w:line="276" w:lineRule="exact"/>
        <w:rPr>
          <w:sz w:val="20"/>
          <w:szCs w:val="20"/>
          <w:color w:val="auto"/>
        </w:rPr>
      </w:pPr>
    </w:p>
    <w:p>
      <w:pPr>
        <w:ind w:left="900"/>
        <w:spacing w:after="0"/>
        <w:rPr>
          <w:sz w:val="20"/>
          <w:szCs w:val="20"/>
          <w:color w:val="auto"/>
        </w:rPr>
      </w:pPr>
      <w:r>
        <w:rPr>
          <w:rFonts w:ascii="Arial" w:cs="Arial" w:eastAsia="Arial" w:hAnsi="Arial"/>
          <w:sz w:val="22"/>
          <w:szCs w:val="22"/>
          <w:u w:val="single" w:color="auto"/>
          <w:color w:val="auto"/>
        </w:rPr>
        <w:t>Re: Offer of Employment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Dear Jayson,</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On behalf of Ultragenyx Pharmaceutical Inc. (the “Company”), I am pleased to present to you an offer of full-time employment as Chief Commercial Officer. The Company’s Board of Directors (the “Board”) and I are excited about the important contributions you can make by joining the Ultragenyx management team and are confident that you will play a key role in our company's growth and success.</w:t>
      </w:r>
    </w:p>
    <w:p>
      <w:pPr>
        <w:spacing w:after="0" w:line="21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In your role as Chief Commercial Officer, you will report directly to me and be a member of the Executive Leadership Team. In this role, you will provide the leadership, strategic vision, and functional expertise required to lead the Company to successful commercialization of its products for rare and ultra-rare diseases on a global basis. You will provide direction for the overall commercial operations, including sales leadership, marketing, managed care, commercial analytics, forecasting, and new product planning in building and leading a best-in-class biopharmaceutical commercial organization in the achievement of its short-term and long range business objectives. As for all functions at Ultragenyx, the commercial group is expected to work in an integrated fashion with development, program management, technical operations, and business development to drive the growth and success of the company. This includes establishing, maintaining and evolving the critical and unique strategies for development at Ultragenyx which depend on close collaborations between departments, and novel approaches to traditional clinical development challenges.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4700" w:val="left"/>
          <w:tab w:leader="none" w:pos="11300" w:val="left"/>
        </w:tabs>
        <w:rPr>
          <w:sz w:val="20"/>
          <w:szCs w:val="20"/>
          <w:color w:val="auto"/>
        </w:rPr>
      </w:pPr>
      <w:r>
        <w:rPr>
          <w:rFonts w:ascii="Arial" w:cs="Arial" w:eastAsia="Arial" w:hAnsi="Arial"/>
          <w:sz w:val="20"/>
          <w:szCs w:val="20"/>
          <w:color w:val="9BBB59"/>
        </w:rPr>
        <w:t>www.ultragenyx.com</w:t>
      </w:r>
      <w:r>
        <w:rPr>
          <w:sz w:val="20"/>
          <w:szCs w:val="20"/>
          <w:color w:val="auto"/>
        </w:rPr>
        <w:tab/>
      </w:r>
      <w:r>
        <w:rPr>
          <w:rFonts w:ascii="Arial" w:cs="Arial" w:eastAsia="Arial" w:hAnsi="Arial"/>
          <w:sz w:val="20"/>
          <w:szCs w:val="20"/>
          <w:i w:val="1"/>
          <w:iCs w:val="1"/>
          <w:color w:val="7F7F7F"/>
        </w:rPr>
        <w:t>Turning good science into great medicine</w:t>
      </w:r>
      <w:r>
        <w:rPr>
          <w:sz w:val="20"/>
          <w:szCs w:val="20"/>
          <w:color w:val="auto"/>
        </w:rPr>
        <w:tab/>
      </w:r>
      <w:r>
        <w:rPr>
          <w:rFonts w:ascii="Arial" w:cs="Arial" w:eastAsia="Arial" w:hAnsi="Arial"/>
          <w:sz w:val="16"/>
          <w:szCs w:val="16"/>
          <w:color w:val="7F7F7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4" w:name="page145"/>
    <w:bookmarkEnd w:id="144"/>
    <w:p>
      <w:pPr>
        <w:spacing w:after="0"/>
        <w:rPr>
          <w:sz w:val="20"/>
          <w:szCs w:val="20"/>
          <w:color w:val="auto"/>
        </w:rPr>
      </w:pPr>
      <w:r>
        <w:rPr>
          <w:rFonts w:ascii="Arial" w:cs="Arial" w:eastAsia="Arial" w:hAnsi="Arial"/>
          <w:sz w:val="22"/>
          <w:szCs w:val="22"/>
          <w:b w:val="1"/>
          <w:bCs w:val="1"/>
          <w:u w:val="single" w:color="auto"/>
          <w:color w:val="auto"/>
        </w:rPr>
        <w:t>Compensation</w:t>
      </w:r>
    </w:p>
    <w:p>
      <w:pPr>
        <w:spacing w:after="0" w:line="239" w:lineRule="exact"/>
        <w:rPr>
          <w:sz w:val="20"/>
          <w:szCs w:val="20"/>
          <w:color w:val="auto"/>
        </w:rPr>
      </w:pPr>
    </w:p>
    <w:p>
      <w:pPr>
        <w:jc w:val="both"/>
        <w:ind w:right="20"/>
        <w:spacing w:after="0" w:line="252" w:lineRule="auto"/>
        <w:rPr>
          <w:sz w:val="20"/>
          <w:szCs w:val="20"/>
          <w:color w:val="auto"/>
        </w:rPr>
      </w:pPr>
      <w:r>
        <w:rPr>
          <w:rFonts w:ascii="Arial" w:cs="Arial" w:eastAsia="Arial" w:hAnsi="Arial"/>
          <w:sz w:val="21"/>
          <w:szCs w:val="21"/>
          <w:color w:val="auto"/>
        </w:rPr>
        <w:t>In the regular exempt position of Chief Commercial Officer, the Company shall pay you as compensation for your services an initial base salary at a gross annual rate of $425,000 (the “Base Salary”). Such Base Salary shall be payable in accordance with the Company’s standard payroll procedures and subject to standard payroll deductions and withholdings. The Board or the Compensation Committee of the Board shall review your Base Salary at least annually.</w:t>
      </w:r>
    </w:p>
    <w:p>
      <w:pPr>
        <w:spacing w:after="0" w:line="201" w:lineRule="exact"/>
        <w:rPr>
          <w:sz w:val="20"/>
          <w:szCs w:val="20"/>
          <w:color w:val="auto"/>
        </w:rPr>
      </w:pPr>
    </w:p>
    <w:p>
      <w:pPr>
        <w:jc w:val="both"/>
        <w:ind w:right="20"/>
        <w:spacing w:after="0" w:line="274" w:lineRule="auto"/>
        <w:rPr>
          <w:sz w:val="20"/>
          <w:szCs w:val="20"/>
          <w:color w:val="auto"/>
        </w:rPr>
      </w:pPr>
      <w:r>
        <w:rPr>
          <w:rFonts w:ascii="Arial" w:cs="Arial" w:eastAsia="Arial" w:hAnsi="Arial"/>
          <w:sz w:val="19"/>
          <w:szCs w:val="19"/>
          <w:color w:val="auto"/>
        </w:rPr>
        <w:t>In addition to your Base Salary, pursuant to the Company’s corporate bonus plan (or such other incentive plan maintained by the Company) you will be eligible to earn an annual bonus of up to 40% of your Base Salary based upon your performance during the previous year as evaluated by the CEO in consultation with the Board (or Compensation Committee of the Board) against pre-determined individual and/or corporate performance goals. In addition, the Company will provide you with a sign-on bonus in the amount of $100,000, subject to applicable federal and state taxes, to be paid within 30 days of your start date. In the event that you should voluntarily terminate your employment with Ultragenyx, or are terminated for “cause”, within twelve (12) months of your hire date, you shall, no later than the effective date of such termination, refund to the Company the full amount of such bonus payment paid by the Company. The Employee further agrees to pay all costs reasonably incurred by Ultragenyx in connection with the collection of such refund, including reasonable attorney’s fees.</w:t>
      </w:r>
    </w:p>
    <w:p>
      <w:pPr>
        <w:spacing w:after="0" w:line="186" w:lineRule="exact"/>
        <w:rPr>
          <w:sz w:val="20"/>
          <w:szCs w:val="20"/>
          <w:color w:val="auto"/>
        </w:rPr>
      </w:pPr>
    </w:p>
    <w:p>
      <w:pPr>
        <w:jc w:val="both"/>
        <w:ind w:right="20"/>
        <w:spacing w:after="0" w:line="282" w:lineRule="auto"/>
        <w:rPr>
          <w:sz w:val="20"/>
          <w:szCs w:val="20"/>
          <w:color w:val="auto"/>
        </w:rPr>
      </w:pPr>
      <w:r>
        <w:rPr>
          <w:rFonts w:ascii="Arial" w:cs="Arial" w:eastAsia="Arial" w:hAnsi="Arial"/>
          <w:sz w:val="19"/>
          <w:szCs w:val="19"/>
          <w:color w:val="auto"/>
        </w:rPr>
        <w:t>The Company will also provide you with a retention bonus in the amount of $100,000 to be paid in two installments, with the first installment to be paid on the 1</w:t>
      </w:r>
      <w:r>
        <w:rPr>
          <w:rFonts w:ascii="Arial" w:cs="Arial" w:eastAsia="Arial" w:hAnsi="Arial"/>
          <w:sz w:val="16"/>
          <w:szCs w:val="16"/>
          <w:color w:val="auto"/>
        </w:rPr>
        <w:t>st</w:t>
      </w:r>
      <w:r>
        <w:rPr>
          <w:rFonts w:ascii="Arial" w:cs="Arial" w:eastAsia="Arial" w:hAnsi="Arial"/>
          <w:sz w:val="19"/>
          <w:szCs w:val="19"/>
          <w:color w:val="auto"/>
        </w:rPr>
        <w:t xml:space="preserve"> anniversary of the first day of your employment with the Company and the second installment to be paid on the 2</w:t>
      </w:r>
      <w:r>
        <w:rPr>
          <w:rFonts w:ascii="Arial" w:cs="Arial" w:eastAsia="Arial" w:hAnsi="Arial"/>
          <w:sz w:val="16"/>
          <w:szCs w:val="16"/>
          <w:color w:val="auto"/>
        </w:rPr>
        <w:t>nd</w:t>
      </w:r>
      <w:r>
        <w:rPr>
          <w:rFonts w:ascii="Arial" w:cs="Arial" w:eastAsia="Arial" w:hAnsi="Arial"/>
          <w:sz w:val="19"/>
          <w:szCs w:val="19"/>
          <w:color w:val="auto"/>
        </w:rPr>
        <w:t xml:space="preserve"> anniversary of the first day of your employment with the Company. In order to receive any bonus payment, you must be continuously employed through, and still employed by the Company on the date any such bonus is paid. Any such bonus shall be payable no later than March 15th following the end of such applicable fiscal period in which such bonus is earned.</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Equity Grants</w:t>
      </w:r>
    </w:p>
    <w:p>
      <w:pPr>
        <w:spacing w:after="0" w:line="239" w:lineRule="exact"/>
        <w:rPr>
          <w:sz w:val="20"/>
          <w:szCs w:val="20"/>
          <w:color w:val="auto"/>
        </w:rPr>
      </w:pPr>
    </w:p>
    <w:p>
      <w:pPr>
        <w:jc w:val="both"/>
        <w:ind w:right="20"/>
        <w:spacing w:after="0" w:line="258" w:lineRule="auto"/>
        <w:rPr>
          <w:sz w:val="20"/>
          <w:szCs w:val="20"/>
          <w:color w:val="auto"/>
        </w:rPr>
      </w:pPr>
      <w:r>
        <w:rPr>
          <w:rFonts w:ascii="Arial" w:cs="Arial" w:eastAsia="Arial" w:hAnsi="Arial"/>
          <w:sz w:val="21"/>
          <w:szCs w:val="21"/>
          <w:color w:val="auto"/>
        </w:rPr>
        <w:t>Subject to the approval of the Compensation Committee, you will receive an option to purchase up to an aggregate of 75,000 shares of the Company’s Common Stock (the “Option”) pursuant to the Company’s 2014 Incentive Plan (the “Plan”). The exercise price of the Option will be equal to the closing price per share of Common Stock on the date of grant.</w:t>
      </w:r>
    </w:p>
    <w:p>
      <w:pPr>
        <w:spacing w:after="0" w:line="194" w:lineRule="exact"/>
        <w:rPr>
          <w:sz w:val="20"/>
          <w:szCs w:val="20"/>
          <w:color w:val="auto"/>
        </w:rPr>
      </w:pPr>
    </w:p>
    <w:p>
      <w:pPr>
        <w:jc w:val="both"/>
        <w:ind w:right="20"/>
        <w:spacing w:after="0" w:line="236" w:lineRule="auto"/>
        <w:rPr>
          <w:sz w:val="20"/>
          <w:szCs w:val="20"/>
          <w:color w:val="auto"/>
        </w:rPr>
      </w:pPr>
      <w:r>
        <w:rPr>
          <w:rFonts w:ascii="Arial" w:cs="Arial" w:eastAsia="Arial" w:hAnsi="Arial"/>
          <w:sz w:val="22"/>
          <w:szCs w:val="22"/>
          <w:color w:val="auto"/>
        </w:rPr>
        <w:t>The Option will vest and become exercisable as follows: 1/4</w:t>
      </w:r>
      <w:r>
        <w:rPr>
          <w:rFonts w:ascii="Arial" w:cs="Arial" w:eastAsia="Arial" w:hAnsi="Arial"/>
          <w:sz w:val="18"/>
          <w:szCs w:val="18"/>
          <w:color w:val="auto"/>
        </w:rPr>
        <w:t>th</w:t>
      </w:r>
      <w:r>
        <w:rPr>
          <w:rFonts w:ascii="Arial" w:cs="Arial" w:eastAsia="Arial" w:hAnsi="Arial"/>
          <w:sz w:val="22"/>
          <w:szCs w:val="22"/>
          <w:color w:val="auto"/>
        </w:rPr>
        <w:t xml:space="preserve"> of the shares initially subject to the Option shall vest and become exercisable on the first (1</w:t>
      </w:r>
      <w:r>
        <w:rPr>
          <w:rFonts w:ascii="Arial" w:cs="Arial" w:eastAsia="Arial" w:hAnsi="Arial"/>
          <w:sz w:val="18"/>
          <w:szCs w:val="18"/>
          <w:color w:val="auto"/>
        </w:rPr>
        <w:t>st</w:t>
      </w:r>
      <w:r>
        <w:rPr>
          <w:rFonts w:ascii="Arial" w:cs="Arial" w:eastAsia="Arial" w:hAnsi="Arial"/>
          <w:sz w:val="22"/>
          <w:szCs w:val="22"/>
          <w:color w:val="auto"/>
        </w:rPr>
        <w:t>) anniversary of the first day of your employment with the Company, and thereafter 1/48</w:t>
      </w:r>
      <w:r>
        <w:rPr>
          <w:rFonts w:ascii="Arial" w:cs="Arial" w:eastAsia="Arial" w:hAnsi="Arial"/>
          <w:sz w:val="18"/>
          <w:szCs w:val="18"/>
          <w:color w:val="auto"/>
        </w:rPr>
        <w:t>th</w:t>
      </w:r>
      <w:r>
        <w:rPr>
          <w:rFonts w:ascii="Arial" w:cs="Arial" w:eastAsia="Arial" w:hAnsi="Arial"/>
          <w:sz w:val="22"/>
          <w:szCs w:val="22"/>
          <w:color w:val="auto"/>
        </w:rPr>
        <w:t xml:space="preserve"> of the shares initially subject to the Option shall vest and become exercisable each month until the Option is fully vested, in each case subject to your continued employment by the Company (or its subsidiaries). The Option shall be governed by the Company’s standard form of stock option agreements and the Plan.</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520" w:type="dxa"/>
            <w:vAlign w:val="bottom"/>
          </w:tcPr>
          <w:p>
            <w:pPr>
              <w:spacing w:after="0"/>
              <w:rPr>
                <w:sz w:val="20"/>
                <w:szCs w:val="20"/>
                <w:color w:val="auto"/>
              </w:rPr>
            </w:pPr>
            <w:r>
              <w:rPr>
                <w:rFonts w:ascii="Arial" w:cs="Arial" w:eastAsia="Arial" w:hAnsi="Arial"/>
                <w:sz w:val="20"/>
                <w:szCs w:val="20"/>
                <w:color w:val="9BBB59"/>
              </w:rPr>
              <w:t>www.ultragenyx.com</w:t>
            </w:r>
          </w:p>
        </w:tc>
        <w:tc>
          <w:tcPr>
            <w:tcW w:w="4920" w:type="dxa"/>
            <w:vAlign w:val="bottom"/>
          </w:tcPr>
          <w:p>
            <w:pPr>
              <w:jc w:val="right"/>
              <w:spacing w:after="0"/>
              <w:rPr>
                <w:sz w:val="20"/>
                <w:szCs w:val="20"/>
                <w:color w:val="auto"/>
              </w:rPr>
            </w:pPr>
            <w:r>
              <w:rPr>
                <w:rFonts w:ascii="Arial" w:cs="Arial" w:eastAsia="Arial" w:hAnsi="Arial"/>
                <w:sz w:val="20"/>
                <w:szCs w:val="20"/>
                <w:color w:val="7F7F7F"/>
              </w:rPr>
              <w:t>2</w:t>
            </w:r>
          </w:p>
        </w:tc>
      </w:tr>
      <w:tr>
        <w:trPr>
          <w:trHeight w:val="341"/>
        </w:trPr>
        <w:tc>
          <w:tcPr>
            <w:tcW w:w="65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2" w:right="219" w:bottom="1440" w:gutter="0" w:footer="0" w:header="0"/>
        </w:sectPr>
      </w:pPr>
    </w:p>
    <w:bookmarkStart w:id="145" w:name="page146"/>
    <w:bookmarkEnd w:id="145"/>
    <w:p>
      <w:pPr>
        <w:jc w:val="both"/>
        <w:ind w:right="20"/>
        <w:spacing w:after="0" w:line="236" w:lineRule="auto"/>
        <w:rPr>
          <w:sz w:val="20"/>
          <w:szCs w:val="20"/>
          <w:color w:val="auto"/>
        </w:rPr>
      </w:pPr>
      <w:r>
        <w:rPr>
          <w:rFonts w:ascii="Arial" w:cs="Arial" w:eastAsia="Arial" w:hAnsi="Arial"/>
          <w:sz w:val="22"/>
          <w:szCs w:val="22"/>
          <w:color w:val="auto"/>
        </w:rPr>
        <w:t>Subject to the approval of the Compensation Committee, you will also receive a grant of 10,000 restricted stock units (the “RSUs”) pursuant to the Plan. The RSUs will vest annually over a four-year period from the date of grant (i.e., 25% of the RSUs shall vest and become exercisable on each anniversary of the date of grant during the four-year period), in each case subject to your continued employment by the Company (or its consolidated subsidiaries). The RSUs shall be governed by the Company’s standard form of restricted stock unit agreement and the Plan.</w:t>
      </w:r>
    </w:p>
    <w:p>
      <w:pPr>
        <w:spacing w:after="0" w:line="188" w:lineRule="exact"/>
        <w:rPr>
          <w:sz w:val="20"/>
          <w:szCs w:val="20"/>
          <w:color w:val="auto"/>
        </w:rPr>
      </w:pPr>
    </w:p>
    <w:p>
      <w:pPr>
        <w:jc w:val="both"/>
        <w:ind w:right="20"/>
        <w:spacing w:after="0" w:line="275" w:lineRule="auto"/>
        <w:rPr>
          <w:sz w:val="20"/>
          <w:szCs w:val="20"/>
          <w:color w:val="auto"/>
        </w:rPr>
      </w:pPr>
      <w:r>
        <w:rPr>
          <w:rFonts w:ascii="Arial" w:cs="Arial" w:eastAsia="Arial" w:hAnsi="Arial"/>
          <w:sz w:val="19"/>
          <w:szCs w:val="19"/>
          <w:color w:val="auto"/>
        </w:rPr>
        <w:t>Notwithstanding the foregoing, in the event that (i) the Company consummates a Covered Transaction (as defined in the Plan), (ii) on the date such Covered Transaction is consummated you are employed by the Company (or its subsidiaries) and (iii) within 12 months after the date such Covered Transaction is consummated your employment by the Company (or its successor or subsidiaries) is terminated without Cause (as defined below) or you resign such employment due to a Constructive Termination (as defined below), then provided such termination constitutes a “separation from service” (as defined under Treasury Regulation Section 1.409A-1(h), without regard to any alternative definition thereunder, a “Separation from Service”), in addition to the severance benefits set forth below, the vesting of any equity-based compensation awards granted to you in connection with your employment shall accelerate with respect to 100% of the then-unvested shares then subject to such awards.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Relocation</w:t>
      </w:r>
    </w:p>
    <w:p>
      <w:pPr>
        <w:spacing w:after="0" w:line="212" w:lineRule="exact"/>
        <w:rPr>
          <w:sz w:val="20"/>
          <w:szCs w:val="20"/>
          <w:color w:val="auto"/>
        </w:rPr>
      </w:pPr>
    </w:p>
    <w:p>
      <w:pPr>
        <w:jc w:val="both"/>
        <w:ind w:right="20"/>
        <w:spacing w:after="0" w:line="245" w:lineRule="auto"/>
        <w:rPr>
          <w:sz w:val="20"/>
          <w:szCs w:val="20"/>
          <w:color w:val="auto"/>
        </w:rPr>
      </w:pPr>
      <w:r>
        <w:rPr>
          <w:rFonts w:ascii="Arial" w:cs="Arial" w:eastAsia="Arial" w:hAnsi="Arial"/>
          <w:sz w:val="21"/>
          <w:szCs w:val="21"/>
          <w:color w:val="auto"/>
        </w:rPr>
        <w:t>The Company will provide you with assistance for the relocation from your current primary residence in the UK to the Bay Area. The amount provided is intended to cover expenses including household goods move and any other incidentals related to your move. An estimate of the costs will be provided to the Company for final approval. In addition, the Company will provide up to up to six (6) months of temporary housing at the Company’s partnered facility. You will be responsible for any taxable expenses related to relocation subject to standard IRS guidelines. In the event that you should voluntarily terminate your employment with Ultragenyx, or are terminated for “cause”, within twelve (12) months after date of relocation of your personal residence, you shall, no later than the effective date of such termination, refund to the Company the full amount of such relocation benefits paid by the Company. The Employee further agrees to pay all costs reasonably incurred by Ultragenyx in connection with the collection of such refund, including reasonable attorney’s fees.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Benefits</w:t>
      </w:r>
    </w:p>
    <w:p>
      <w:pPr>
        <w:spacing w:after="0" w:line="239" w:lineRule="exact"/>
        <w:rPr>
          <w:sz w:val="20"/>
          <w:szCs w:val="20"/>
          <w:color w:val="auto"/>
        </w:rPr>
      </w:pPr>
    </w:p>
    <w:p>
      <w:pPr>
        <w:jc w:val="both"/>
        <w:ind w:right="20"/>
        <w:spacing w:after="0" w:line="236" w:lineRule="auto"/>
        <w:rPr>
          <w:sz w:val="20"/>
          <w:szCs w:val="20"/>
          <w:color w:val="auto"/>
        </w:rPr>
      </w:pPr>
      <w:r>
        <w:rPr>
          <w:rFonts w:ascii="Arial" w:cs="Arial" w:eastAsia="Arial" w:hAnsi="Arial"/>
          <w:sz w:val="22"/>
          <w:szCs w:val="22"/>
          <w:color w:val="auto"/>
        </w:rPr>
        <w:t>You will be eligible to participate in all of the employee benefits and benefit plans that the Company generally makes available to its full-time regular employees, subject to the terms and conditions of such benefits and benefit plans. At this time, these will include at a minimum, medical, dental and vision insurance coverage. Coverage for these benefits begins on the 1</w:t>
      </w:r>
      <w:r>
        <w:rPr>
          <w:rFonts w:ascii="Arial" w:cs="Arial" w:eastAsia="Arial" w:hAnsi="Arial"/>
          <w:sz w:val="18"/>
          <w:szCs w:val="18"/>
          <w:color w:val="auto"/>
        </w:rPr>
        <w:t>st</w:t>
      </w:r>
      <w:r>
        <w:rPr>
          <w:rFonts w:ascii="Arial" w:cs="Arial" w:eastAsia="Arial" w:hAnsi="Arial"/>
          <w:sz w:val="22"/>
          <w:szCs w:val="22"/>
          <w:color w:val="auto"/>
        </w:rPr>
        <w:t xml:space="preserve"> day of the month following your date of hire. Detailed information about the benefits presently available will be provided to you on your first day of employment.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520" w:type="dxa"/>
            <w:vAlign w:val="bottom"/>
          </w:tcPr>
          <w:p>
            <w:pPr>
              <w:spacing w:after="0"/>
              <w:rPr>
                <w:sz w:val="20"/>
                <w:szCs w:val="20"/>
                <w:color w:val="auto"/>
              </w:rPr>
            </w:pPr>
            <w:r>
              <w:rPr>
                <w:rFonts w:ascii="Arial" w:cs="Arial" w:eastAsia="Arial" w:hAnsi="Arial"/>
                <w:sz w:val="20"/>
                <w:szCs w:val="20"/>
                <w:color w:val="9BBB59"/>
              </w:rPr>
              <w:t>www.ultragenyx.com</w:t>
            </w:r>
          </w:p>
        </w:tc>
        <w:tc>
          <w:tcPr>
            <w:tcW w:w="4920" w:type="dxa"/>
            <w:vAlign w:val="bottom"/>
          </w:tcPr>
          <w:p>
            <w:pPr>
              <w:jc w:val="right"/>
              <w:spacing w:after="0"/>
              <w:rPr>
                <w:sz w:val="20"/>
                <w:szCs w:val="20"/>
                <w:color w:val="auto"/>
              </w:rPr>
            </w:pPr>
            <w:r>
              <w:rPr>
                <w:rFonts w:ascii="Arial" w:cs="Arial" w:eastAsia="Arial" w:hAnsi="Arial"/>
                <w:sz w:val="20"/>
                <w:szCs w:val="20"/>
                <w:color w:val="7F7F7F"/>
              </w:rPr>
              <w:t>3</w:t>
            </w:r>
          </w:p>
        </w:tc>
      </w:tr>
      <w:tr>
        <w:trPr>
          <w:trHeight w:val="341"/>
        </w:trPr>
        <w:tc>
          <w:tcPr>
            <w:tcW w:w="65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4" w:right="219" w:bottom="1440" w:gutter="0" w:footer="0" w:header="0"/>
        </w:sectPr>
      </w:pPr>
    </w:p>
    <w:bookmarkStart w:id="146" w:name="page147"/>
    <w:bookmarkEnd w:id="146"/>
    <w:p>
      <w:pPr>
        <w:jc w:val="both"/>
        <w:ind w:right="20"/>
        <w:spacing w:after="0" w:line="236" w:lineRule="auto"/>
        <w:rPr>
          <w:sz w:val="20"/>
          <w:szCs w:val="20"/>
          <w:color w:val="auto"/>
        </w:rPr>
      </w:pPr>
      <w:r>
        <w:rPr>
          <w:rFonts w:ascii="Arial" w:cs="Arial" w:eastAsia="Arial" w:hAnsi="Arial"/>
          <w:sz w:val="22"/>
          <w:szCs w:val="22"/>
          <w:color w:val="auto"/>
        </w:rPr>
        <w:t>The health plan options will include 4 medical plans (2-HMO, PPO and HSA), a dental and vision plan, life/AD&amp;D insurance, disability and voluntary insurance as well as a 401(k) retirement plan, with a company match of 3%. The Company will cover 90% of the employee benefit costs and 75% of the dependent benefits costs. Based on conditions and situations over time, the Company may change specific benefits and plans from time to time, but our intent is to provide an excellent health benefit program to our employees.</w:t>
      </w:r>
    </w:p>
    <w:p>
      <w:pPr>
        <w:spacing w:after="0" w:line="215"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Your will accrue vacation time at the rate of four weeks (160 hours) per year, up to an accrual cap of 240 hours, under the terms of the Company’s PTO policy. You will also be eligible for 5 sick days.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“At Will” Employment</w:t>
      </w:r>
    </w:p>
    <w:p>
      <w:pPr>
        <w:spacing w:after="0" w:line="239" w:lineRule="exact"/>
        <w:rPr>
          <w:sz w:val="20"/>
          <w:szCs w:val="20"/>
          <w:color w:val="auto"/>
        </w:rPr>
      </w:pPr>
    </w:p>
    <w:p>
      <w:pPr>
        <w:jc w:val="both"/>
        <w:ind w:right="20"/>
        <w:spacing w:after="0" w:line="248" w:lineRule="auto"/>
        <w:rPr>
          <w:sz w:val="20"/>
          <w:szCs w:val="20"/>
          <w:color w:val="auto"/>
        </w:rPr>
      </w:pPr>
      <w:r>
        <w:rPr>
          <w:rFonts w:ascii="Arial" w:cs="Arial" w:eastAsia="Arial" w:hAnsi="Arial"/>
          <w:sz w:val="21"/>
          <w:szCs w:val="21"/>
          <w:color w:val="auto"/>
        </w:rPr>
        <w:t>Employment with the Company is “at-will”. This means that it is not for any specified period of time and can be terminated by you or by the Company at any time, with or without advance notice, and for any or no particular reason or Cause. It also means that your job duties, title, responsibilities, reporting level, compensation and benefits, as well as the Company’s personnel policies and procedures, may be changed at any time, with or without notice in the sole discretion of the Company. This “at-will” nature of your employment shall remain unchanged during your tenure as an employee, and can only be changed by an express written agreement that is signed by you and by the Company’s CEO.</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Severance</w:t>
      </w:r>
    </w:p>
    <w:p>
      <w:pPr>
        <w:spacing w:after="0" w:line="239" w:lineRule="exact"/>
        <w:rPr>
          <w:sz w:val="20"/>
          <w:szCs w:val="20"/>
          <w:color w:val="auto"/>
        </w:rPr>
      </w:pPr>
    </w:p>
    <w:p>
      <w:pPr>
        <w:jc w:val="both"/>
        <w:ind w:right="20"/>
        <w:spacing w:after="0" w:line="272" w:lineRule="auto"/>
        <w:rPr>
          <w:sz w:val="20"/>
          <w:szCs w:val="20"/>
          <w:color w:val="auto"/>
        </w:rPr>
      </w:pPr>
      <w:r>
        <w:rPr>
          <w:rFonts w:ascii="Arial" w:cs="Arial" w:eastAsia="Arial" w:hAnsi="Arial"/>
          <w:sz w:val="19"/>
          <w:szCs w:val="19"/>
          <w:color w:val="auto"/>
        </w:rPr>
        <w:t>If, at any time, your employment with the Company or its successor is terminated without Cause, or you resign your employment due to a Constructive Termination, then provided such termination constitutes a Separation from Service, the Company shall: (i) extend the exercise period applicable to the Option (and to any other options to purchase the Company’s Common Stock you then hold) such that you will have until the date that is twelve (12) months after the date of your Separation from Service to exercise any of the vested shares (determined as of the date of your Separation from Service) subject to the Option (but in no event will the exercise period be extended until later than the date of expiration of the term of the Option as set forth in the agreement evidencing such Option); and (ii) the Company shall pay you, as severance, the equivalent of one (1) year of your Base Salary in effect as of the date of your Separation from Service, subject to standard payroll deductions and withholdings (the “Severance Amount”). The Severance Amount will be paid in installments in the form of continuation of your Base Salary payments, paid on the Company’s regular payroll dates, commencing on the Company’s first regular payroll date that follows the 60th day after such Separation from Service. The first regular payroll date that follows the 60</w:t>
      </w:r>
      <w:r>
        <w:rPr>
          <w:rFonts w:ascii="Arial" w:cs="Arial" w:eastAsia="Arial" w:hAnsi="Arial"/>
          <w:sz w:val="16"/>
          <w:szCs w:val="16"/>
          <w:color w:val="auto"/>
        </w:rPr>
        <w:t>th</w:t>
      </w:r>
      <w:r>
        <w:rPr>
          <w:rFonts w:ascii="Arial" w:cs="Arial" w:eastAsia="Arial" w:hAnsi="Arial"/>
          <w:sz w:val="19"/>
          <w:szCs w:val="19"/>
          <w:color w:val="auto"/>
        </w:rPr>
        <w:t xml:space="preserve"> day after such Separation from Service shall be for all accrued Base Salary for the 60-day period plus the period from the 60</w:t>
      </w:r>
      <w:r>
        <w:rPr>
          <w:rFonts w:ascii="Arial" w:cs="Arial" w:eastAsia="Arial" w:hAnsi="Arial"/>
          <w:sz w:val="16"/>
          <w:szCs w:val="16"/>
          <w:color w:val="auto"/>
        </w:rPr>
        <w:t>th</w:t>
      </w:r>
      <w:r>
        <w:rPr>
          <w:rFonts w:ascii="Arial" w:cs="Arial" w:eastAsia="Arial" w:hAnsi="Arial"/>
          <w:sz w:val="19"/>
          <w:szCs w:val="19"/>
          <w:color w:val="auto"/>
        </w:rPr>
        <w:t xml:space="preserve"> day until the regular payroll date; the remainder of the Base Salary continuation payments shall thereafter be made on the Company’s regular payroll dates.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520" w:type="dxa"/>
            <w:vAlign w:val="bottom"/>
          </w:tcPr>
          <w:p>
            <w:pPr>
              <w:spacing w:after="0"/>
              <w:rPr>
                <w:sz w:val="20"/>
                <w:szCs w:val="20"/>
                <w:color w:val="auto"/>
              </w:rPr>
            </w:pPr>
            <w:r>
              <w:rPr>
                <w:rFonts w:ascii="Arial" w:cs="Arial" w:eastAsia="Arial" w:hAnsi="Arial"/>
                <w:sz w:val="20"/>
                <w:szCs w:val="20"/>
                <w:color w:val="9BBB59"/>
              </w:rPr>
              <w:t>www.ultragenyx.com</w:t>
            </w:r>
          </w:p>
        </w:tc>
        <w:tc>
          <w:tcPr>
            <w:tcW w:w="4920" w:type="dxa"/>
            <w:vAlign w:val="bottom"/>
          </w:tcPr>
          <w:p>
            <w:pPr>
              <w:jc w:val="right"/>
              <w:spacing w:after="0"/>
              <w:rPr>
                <w:sz w:val="20"/>
                <w:szCs w:val="20"/>
                <w:color w:val="auto"/>
              </w:rPr>
            </w:pPr>
            <w:r>
              <w:rPr>
                <w:rFonts w:ascii="Arial" w:cs="Arial" w:eastAsia="Arial" w:hAnsi="Arial"/>
                <w:sz w:val="20"/>
                <w:szCs w:val="20"/>
                <w:color w:val="7F7F7F"/>
              </w:rPr>
              <w:t>4</w:t>
            </w:r>
          </w:p>
        </w:tc>
      </w:tr>
      <w:tr>
        <w:trPr>
          <w:trHeight w:val="341"/>
        </w:trPr>
        <w:tc>
          <w:tcPr>
            <w:tcW w:w="65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7" w:right="219" w:bottom="1440" w:gutter="0" w:footer="0" w:header="0"/>
        </w:sectPr>
      </w:pPr>
    </w:p>
    <w:bookmarkStart w:id="147" w:name="page148"/>
    <w:bookmarkEnd w:id="147"/>
    <w:p>
      <w:pPr>
        <w:jc w:val="both"/>
        <w:ind w:right="20"/>
        <w:spacing w:after="0" w:line="245" w:lineRule="auto"/>
        <w:rPr>
          <w:sz w:val="20"/>
          <w:szCs w:val="20"/>
          <w:color w:val="auto"/>
        </w:rPr>
      </w:pPr>
      <w:r>
        <w:rPr>
          <w:rFonts w:ascii="Arial" w:cs="Arial" w:eastAsia="Arial" w:hAnsi="Arial"/>
          <w:sz w:val="21"/>
          <w:szCs w:val="21"/>
          <w:color w:val="auto"/>
        </w:rPr>
        <w:t>Notwithstanding anything herein to the contrary, the receipt of any of the severance or acceleration benefits described in this letter will be subject to and conditioned upon: (i) your signing a separation agreement and release of claims in a form reasonably satisfactory to the Company (the “Separation Agreement”) and such Separation Agreement becoming effective and irrevocable as specified therein no later than sixty (60) days following your Separation from Service; and (ii) your continued compliance with the terms of this letter, the Separation Agreement, the enclosed Confidential Information and Invention Assignment Agreement (including without limitation, your not using or disclosing any confidential or proprietary information of the Company), and any other agreement entered into between you and the Company. No severance benefits of any kind will be paid or provided, and no acceleration of vesting shall be effective, until the Separation Agreement becomes effective. You shall also resign from all positions and terminate any relationships as an employee, advisor, officer or director with the Company and any of its affiliates, each effective on the date of termination.</w:t>
      </w:r>
    </w:p>
    <w:p>
      <w:pPr>
        <w:spacing w:after="0" w:line="209"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Additionally, and for the avoidance of doubt, in the event that the Company terminates your employment for Cause, or you resign your employment for any reason other than due to a Constructive Termination, or your employment terminates upon your death or disability, you will no longer vest in the Option or the RSUs (or any other equity) and you will not be entitled to any severance benefits described herein.</w:t>
      </w:r>
    </w:p>
    <w:p>
      <w:pPr>
        <w:spacing w:after="0" w:line="212" w:lineRule="exact"/>
        <w:rPr>
          <w:sz w:val="20"/>
          <w:szCs w:val="20"/>
          <w:color w:val="auto"/>
        </w:rPr>
      </w:pPr>
    </w:p>
    <w:p>
      <w:pPr>
        <w:jc w:val="both"/>
        <w:ind w:right="20"/>
        <w:spacing w:after="0" w:line="246" w:lineRule="auto"/>
        <w:rPr>
          <w:sz w:val="20"/>
          <w:szCs w:val="20"/>
          <w:color w:val="auto"/>
        </w:rPr>
      </w:pPr>
      <w:r>
        <w:rPr>
          <w:rFonts w:ascii="Arial" w:cs="Arial" w:eastAsia="Arial" w:hAnsi="Arial"/>
          <w:sz w:val="21"/>
          <w:szCs w:val="21"/>
          <w:color w:val="auto"/>
        </w:rPr>
        <w:t>For purposes of this offer letter, “Cause” means any of the following: (i) your gross negligence in carrying out, or material failure to carry out, your duties for the Company (including without limitation, your failure to cooperate in any Company investigation), after notice from the Board and a reasonable opportunity to cure (if deemed curable); (ii) any breach of your fiduciary duties to the Company, after notice from the Board and a reasonable opportunity to cure (if deemed curable); (iii) conviction of, or plea of guilty or no contest to, any felony; (iv) any act of fraud or embezzlement by you with respect to your obligations or otherwise relating to the business of the Company; (v) your material violation of any Company policy; (vi) your material breach of any agreement entered into between you and the Company; or (vii) your unauthorized use or disclosure of confidential information or trade secrets of the Company or its affiliates.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520" w:type="dxa"/>
            <w:vAlign w:val="bottom"/>
          </w:tcPr>
          <w:p>
            <w:pPr>
              <w:spacing w:after="0"/>
              <w:rPr>
                <w:sz w:val="20"/>
                <w:szCs w:val="20"/>
                <w:color w:val="auto"/>
              </w:rPr>
            </w:pPr>
            <w:r>
              <w:rPr>
                <w:rFonts w:ascii="Arial" w:cs="Arial" w:eastAsia="Arial" w:hAnsi="Arial"/>
                <w:sz w:val="20"/>
                <w:szCs w:val="20"/>
                <w:color w:val="9BBB59"/>
              </w:rPr>
              <w:t>www.ultragenyx.com</w:t>
            </w:r>
          </w:p>
        </w:tc>
        <w:tc>
          <w:tcPr>
            <w:tcW w:w="4920" w:type="dxa"/>
            <w:vAlign w:val="bottom"/>
          </w:tcPr>
          <w:p>
            <w:pPr>
              <w:jc w:val="right"/>
              <w:spacing w:after="0"/>
              <w:rPr>
                <w:sz w:val="20"/>
                <w:szCs w:val="20"/>
                <w:color w:val="auto"/>
              </w:rPr>
            </w:pPr>
            <w:r>
              <w:rPr>
                <w:rFonts w:ascii="Arial" w:cs="Arial" w:eastAsia="Arial" w:hAnsi="Arial"/>
                <w:sz w:val="20"/>
                <w:szCs w:val="20"/>
                <w:color w:val="7F7F7F"/>
              </w:rPr>
              <w:t>5</w:t>
            </w:r>
          </w:p>
        </w:tc>
      </w:tr>
      <w:tr>
        <w:trPr>
          <w:trHeight w:val="341"/>
        </w:trPr>
        <w:tc>
          <w:tcPr>
            <w:tcW w:w="65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7" w:right="219" w:bottom="1440" w:gutter="0" w:footer="0" w:header="0"/>
        </w:sectPr>
      </w:pPr>
    </w:p>
    <w:bookmarkStart w:id="148" w:name="page149"/>
    <w:bookmarkEnd w:id="148"/>
    <w:p>
      <w:pPr>
        <w:jc w:val="both"/>
        <w:ind w:right="20"/>
        <w:spacing w:after="0" w:line="273" w:lineRule="auto"/>
        <w:rPr>
          <w:sz w:val="20"/>
          <w:szCs w:val="20"/>
          <w:color w:val="auto"/>
        </w:rPr>
      </w:pPr>
      <w:r>
        <w:rPr>
          <w:rFonts w:ascii="Arial" w:cs="Arial" w:eastAsia="Arial" w:hAnsi="Arial"/>
          <w:sz w:val="19"/>
          <w:szCs w:val="19"/>
          <w:color w:val="auto"/>
        </w:rPr>
        <w:t>For the purposes of this letter, “Constructive Termination” means the occurrence of any of the following events without your written consent: (i) a material reduction or change in your job duties, responsibilities and requirements from your job duties, responsibilities and requirements immediately prior to such reduction or change, taking into account the differences in job title and duties that are normally occasioned by reason of an acquisition of one company by another; (ii) a material reduction of your Base Salary (other than an equal, across-the-board reduction in the compensation of all similarly-situated employees of the Company or the surviving entity that is approved by the Board); or (iii) a requirement that you relocate to a principal office that increases your one-way commute by more than 50 miles relative to your immediately preceding principal office. Notwithstanding the foregoing, none of the foregoing events or conditions will constitute Constructive Termination unless: (x) you provide the Company with written objection (or notice) to the event or condition within 30 days following the occurrence thereof, (y) the Company does not reverse or otherwise cure the event or condition within 30 days of receiving that written objection, and (z) you resign your employment within 30 days following the expiration of that cure period.</w:t>
      </w:r>
    </w:p>
    <w:p>
      <w:pPr>
        <w:spacing w:after="0" w:line="156" w:lineRule="exact"/>
        <w:rPr>
          <w:sz w:val="20"/>
          <w:szCs w:val="20"/>
          <w:color w:val="auto"/>
        </w:rPr>
      </w:pPr>
    </w:p>
    <w:p>
      <w:pPr>
        <w:jc w:val="both"/>
        <w:ind w:right="20"/>
        <w:spacing w:after="0" w:line="273" w:lineRule="auto"/>
        <w:rPr>
          <w:sz w:val="20"/>
          <w:szCs w:val="20"/>
          <w:color w:val="auto"/>
        </w:rPr>
      </w:pPr>
      <w:r>
        <w:rPr>
          <w:rFonts w:ascii="Arial" w:cs="Arial" w:eastAsia="Arial" w:hAnsi="Arial"/>
          <w:sz w:val="19"/>
          <w:szCs w:val="19"/>
          <w:color w:val="auto"/>
        </w:rPr>
        <w:t>Notwithstanding any other provision herein or any other plan, arrangement or agreement to the contrary, if any of the payments or benefits provided or to be provided by the Company or its affiliates to you or for your benefit pursuant to the terms of this Offer Letter or otherwise (“Covered Payments”) constitute parachute payments (“Parachute Payments”) within the meaning of Section 280G of the Internal Revenue Code of 1986, as amended (the “Code”) and would, but for this paragraph be subject to the excise tax imposed under Section 4999 of the Code (or any successor provision thereto) or any similar tax imposed by state or local law or any interest or penalties with respect to such taxes (collectively, the “Excise Tax”), then the Covered Payments shall be either (i) reduced to the minimum extent necessary to ensure that no portion of the Covered Payments is subject to the Excise Tax (that amount, the “Reduced Amount”) or (ii) payable in full if your receipt on an after-tax basis of the full amount of payments and benefits (after taking into account the applicable federal, state, local and foreign income, employment and excise taxes (including the Excise Tax)) would result in you receiving an amount greater than the Reduced Amount.</w:t>
      </w:r>
    </w:p>
    <w:p>
      <w:pPr>
        <w:spacing w:after="0" w:line="162" w:lineRule="exact"/>
        <w:rPr>
          <w:sz w:val="20"/>
          <w:szCs w:val="20"/>
          <w:color w:val="auto"/>
        </w:rPr>
      </w:pPr>
    </w:p>
    <w:p>
      <w:pPr>
        <w:jc w:val="both"/>
        <w:ind w:right="20"/>
        <w:spacing w:after="0" w:line="236" w:lineRule="auto"/>
        <w:rPr>
          <w:sz w:val="20"/>
          <w:szCs w:val="20"/>
          <w:color w:val="auto"/>
        </w:rPr>
      </w:pPr>
      <w:r>
        <w:rPr>
          <w:rFonts w:ascii="Arial" w:cs="Arial" w:eastAsia="Arial" w:hAnsi="Arial"/>
          <w:sz w:val="22"/>
          <w:szCs w:val="22"/>
          <w:color w:val="auto"/>
        </w:rPr>
        <w:t>Any reduction pursuant to the preceding paragraph shall be made in a manner consistent with the requirements of Section 409A of the Code and the following: (i) the Covered Payments which do not constitute nonqualified deferred compensation subject to Section 409A of the Code shall be reduced first; and (ii) all other Covered Payments shall then be reduced as follows: (A) cash payments shall be reduced before non-cash payments; and (B) payments to be made on a later payment date shall be reduced before payments to be made on an earlier payment date.</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520" w:type="dxa"/>
            <w:vAlign w:val="bottom"/>
          </w:tcPr>
          <w:p>
            <w:pPr>
              <w:spacing w:after="0"/>
              <w:rPr>
                <w:sz w:val="20"/>
                <w:szCs w:val="20"/>
                <w:color w:val="auto"/>
              </w:rPr>
            </w:pPr>
            <w:r>
              <w:rPr>
                <w:rFonts w:ascii="Arial" w:cs="Arial" w:eastAsia="Arial" w:hAnsi="Arial"/>
                <w:sz w:val="20"/>
                <w:szCs w:val="20"/>
                <w:color w:val="9BBB59"/>
              </w:rPr>
              <w:t>www.ultragenyx.com</w:t>
            </w:r>
          </w:p>
        </w:tc>
        <w:tc>
          <w:tcPr>
            <w:tcW w:w="4920" w:type="dxa"/>
            <w:vAlign w:val="bottom"/>
          </w:tcPr>
          <w:p>
            <w:pPr>
              <w:jc w:val="right"/>
              <w:spacing w:after="0"/>
              <w:rPr>
                <w:sz w:val="20"/>
                <w:szCs w:val="20"/>
                <w:color w:val="auto"/>
              </w:rPr>
            </w:pPr>
            <w:r>
              <w:rPr>
                <w:rFonts w:ascii="Arial" w:cs="Arial" w:eastAsia="Arial" w:hAnsi="Arial"/>
                <w:sz w:val="20"/>
                <w:szCs w:val="20"/>
                <w:color w:val="7F7F7F"/>
              </w:rPr>
              <w:t>6</w:t>
            </w:r>
          </w:p>
        </w:tc>
      </w:tr>
      <w:tr>
        <w:trPr>
          <w:trHeight w:val="341"/>
        </w:trPr>
        <w:tc>
          <w:tcPr>
            <w:tcW w:w="65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8" w:right="219" w:bottom="1440" w:gutter="0" w:footer="0" w:header="0"/>
        </w:sectPr>
      </w:pPr>
    </w:p>
    <w:bookmarkStart w:id="149" w:name="page150"/>
    <w:bookmarkEnd w:id="149"/>
    <w:p>
      <w:pPr>
        <w:jc w:val="both"/>
        <w:ind w:right="20"/>
        <w:spacing w:after="0" w:line="234" w:lineRule="auto"/>
        <w:rPr>
          <w:sz w:val="20"/>
          <w:szCs w:val="20"/>
          <w:color w:val="auto"/>
        </w:rPr>
      </w:pPr>
      <w:r>
        <w:rPr>
          <w:rFonts w:ascii="Arial" w:cs="Arial" w:eastAsia="Arial" w:hAnsi="Arial"/>
          <w:sz w:val="22"/>
          <w:szCs w:val="22"/>
          <w:color w:val="auto"/>
        </w:rPr>
        <w:t>Any such required determination shall be made in writing in good faith by an independent accounting firm selected by the Company (the “Accountants”), which shall provide detailed supporting calculations to the Company and you as reasonably requested by the Company or you. The Company and you shall provide the Accountants with such information and documents as the Accountants may reasonably request in order to make a determination. For purposes of making the calculations and determinations required herein, the Accountants may rely on reasonable, good faith assumptions and approximations concerning the application of Section 280G and Section 4999 of the Code. The Accountants’ determinations shall be final and binding on the Company and you. The Company shall be responsible for all fees and expenses incurred by the Accountants in connection with the calculations required herein.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Compliance with Section 409A</w:t>
      </w:r>
    </w:p>
    <w:p>
      <w:pPr>
        <w:spacing w:after="0" w:line="239" w:lineRule="exact"/>
        <w:rPr>
          <w:sz w:val="20"/>
          <w:szCs w:val="20"/>
          <w:color w:val="auto"/>
        </w:rPr>
      </w:pPr>
    </w:p>
    <w:p>
      <w:pPr>
        <w:jc w:val="both"/>
        <w:ind w:right="20"/>
        <w:spacing w:after="0" w:line="245" w:lineRule="exact"/>
        <w:rPr>
          <w:sz w:val="20"/>
          <w:szCs w:val="20"/>
          <w:color w:val="auto"/>
        </w:rPr>
      </w:pPr>
      <w:r>
        <w:rPr>
          <w:rFonts w:ascii="Arial" w:cs="Arial" w:eastAsia="Arial" w:hAnsi="Arial"/>
          <w:sz w:val="19"/>
          <w:szCs w:val="19"/>
          <w:color w:val="auto"/>
        </w:rPr>
        <w:t>It is intended that all of the severance benefits and other payments payable under this letter satisfy, to the greatest extent possible, the exemptions from the application of Code Section 409A provided under Treasury Regulations 1.409A</w:t>
      </w:r>
      <w:r>
        <w:rPr>
          <w:rFonts w:ascii="MS PGothic" w:cs="MS PGothic" w:eastAsia="MS PGothic" w:hAnsi="MS PGothic"/>
          <w:sz w:val="19"/>
          <w:szCs w:val="19"/>
          <w:color w:val="auto"/>
        </w:rPr>
        <w:t>‑</w:t>
      </w:r>
      <w:r>
        <w:rPr>
          <w:rFonts w:ascii="Arial" w:cs="Arial" w:eastAsia="Arial" w:hAnsi="Arial"/>
          <w:sz w:val="19"/>
          <w:szCs w:val="19"/>
          <w:color w:val="auto"/>
        </w:rPr>
        <w:t>1(b)(4), 1.409A</w:t>
      </w:r>
      <w:r>
        <w:rPr>
          <w:rFonts w:ascii="MS PGothic" w:cs="MS PGothic" w:eastAsia="MS PGothic" w:hAnsi="MS PGothic"/>
          <w:sz w:val="19"/>
          <w:szCs w:val="19"/>
          <w:color w:val="auto"/>
        </w:rPr>
        <w:t>‑</w:t>
      </w:r>
      <w:r>
        <w:rPr>
          <w:rFonts w:ascii="Arial" w:cs="Arial" w:eastAsia="Arial" w:hAnsi="Arial"/>
          <w:sz w:val="19"/>
          <w:szCs w:val="19"/>
          <w:color w:val="auto"/>
        </w:rPr>
        <w:t>1(b)(5) and 1.409A</w:t>
      </w:r>
      <w:r>
        <w:rPr>
          <w:rFonts w:ascii="MS PGothic" w:cs="MS PGothic" w:eastAsia="MS PGothic" w:hAnsi="MS PGothic"/>
          <w:sz w:val="19"/>
          <w:szCs w:val="19"/>
          <w:color w:val="auto"/>
        </w:rPr>
        <w:t>‑</w:t>
      </w:r>
      <w:r>
        <w:rPr>
          <w:rFonts w:ascii="Arial" w:cs="Arial" w:eastAsia="Arial" w:hAnsi="Arial"/>
          <w:sz w:val="19"/>
          <w:szCs w:val="19"/>
          <w:color w:val="auto"/>
        </w:rPr>
        <w:t>1(b)(9), and this letter agreement will be construed to the greatest extent possible as consistent with those provisions, and to the extent not so exempt, this letter (and any definitions hereunder) will be construed in a manner that complies with Section 409A. Any payment by the Company under this letter agreement that is subject to Section 409A and that is contingent on a termination of employment is contingent on a “separation from service” within the meaning of Section 409A. Each such payment shall be considered to be a separate payment for purposes of Section 409A. Notwithstanding any provision to the contrary in this letter, if you are deemed by the Company at the time of your Separation from Service to be a “specified employee” for purposes of Code Section 409A(a)(2)(B)(i),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Code Section 409A(a)(2)(B)(i) and the related adverse taxation under Section 409A, such payments shall not be provided to you prior to the earliest of (i) the expiration of the six-month period measured from the date of your Separation from Service with the Company, (ii) the date of your death, or (iii) such earlier date as permitted under Section 409A without the imposition of adverse taxation. Upon the first business day following the expiration of such applicable Code Section 409A(a)(2)(B)(i) period, all payments deferred pursuant to this paragraph shall be paid in a lump sum to you, and any remaining payments due shall be paid as otherwise provided herein or in the applicable agreement. No interest shall be due on any amounts so deferred.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520" w:type="dxa"/>
            <w:vAlign w:val="bottom"/>
          </w:tcPr>
          <w:p>
            <w:pPr>
              <w:spacing w:after="0"/>
              <w:rPr>
                <w:sz w:val="20"/>
                <w:szCs w:val="20"/>
                <w:color w:val="auto"/>
              </w:rPr>
            </w:pPr>
            <w:r>
              <w:rPr>
                <w:rFonts w:ascii="Arial" w:cs="Arial" w:eastAsia="Arial" w:hAnsi="Arial"/>
                <w:sz w:val="20"/>
                <w:szCs w:val="20"/>
                <w:color w:val="9BBB59"/>
              </w:rPr>
              <w:t>www.ultragenyx.com</w:t>
            </w:r>
          </w:p>
        </w:tc>
        <w:tc>
          <w:tcPr>
            <w:tcW w:w="4920" w:type="dxa"/>
            <w:vAlign w:val="bottom"/>
          </w:tcPr>
          <w:p>
            <w:pPr>
              <w:jc w:val="right"/>
              <w:spacing w:after="0"/>
              <w:rPr>
                <w:sz w:val="20"/>
                <w:szCs w:val="20"/>
                <w:color w:val="auto"/>
              </w:rPr>
            </w:pPr>
            <w:r>
              <w:rPr>
                <w:rFonts w:ascii="Arial" w:cs="Arial" w:eastAsia="Arial" w:hAnsi="Arial"/>
                <w:sz w:val="20"/>
                <w:szCs w:val="20"/>
                <w:color w:val="7F7F7F"/>
              </w:rPr>
              <w:t>7</w:t>
            </w:r>
          </w:p>
        </w:tc>
      </w:tr>
      <w:tr>
        <w:trPr>
          <w:trHeight w:val="341"/>
        </w:trPr>
        <w:tc>
          <w:tcPr>
            <w:tcW w:w="65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8" w:right="219" w:bottom="1440" w:gutter="0" w:footer="0" w:header="0"/>
        </w:sectPr>
      </w:pPr>
    </w:p>
    <w:bookmarkStart w:id="150" w:name="page151"/>
    <w:bookmarkEnd w:id="150"/>
    <w:p>
      <w:pPr>
        <w:spacing w:after="0"/>
        <w:rPr>
          <w:sz w:val="20"/>
          <w:szCs w:val="20"/>
          <w:color w:val="auto"/>
        </w:rPr>
      </w:pPr>
      <w:r>
        <w:rPr>
          <w:rFonts w:ascii="Arial" w:cs="Arial" w:eastAsia="Arial" w:hAnsi="Arial"/>
          <w:sz w:val="22"/>
          <w:szCs w:val="22"/>
          <w:b w:val="1"/>
          <w:bCs w:val="1"/>
          <w:u w:val="single" w:color="auto"/>
          <w:color w:val="auto"/>
        </w:rPr>
        <w:t>Compliance with Company Policies</w:t>
      </w:r>
    </w:p>
    <w:p>
      <w:pPr>
        <w:spacing w:after="0" w:line="239"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As an employee of the Company, you will be expected to comply with the Company’s personnel and other policies, including but not limited to, the Company’s policies prohibiting discrimination and unlawful harassment, conflicts of interest and violation of applicable laws in the course of performing services to the Company. During your orientation, you will be provided with the Company’s policy and procedures.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Full-time Services to the Company</w:t>
      </w:r>
    </w:p>
    <w:p>
      <w:pPr>
        <w:spacing w:after="0" w:line="239" w:lineRule="exact"/>
        <w:rPr>
          <w:sz w:val="20"/>
          <w:szCs w:val="20"/>
          <w:color w:val="auto"/>
        </w:rPr>
      </w:pPr>
    </w:p>
    <w:p>
      <w:pPr>
        <w:jc w:val="both"/>
        <w:ind w:right="20"/>
        <w:spacing w:after="0" w:line="247" w:lineRule="auto"/>
        <w:rPr>
          <w:sz w:val="20"/>
          <w:szCs w:val="20"/>
          <w:color w:val="auto"/>
        </w:rPr>
      </w:pPr>
      <w:r>
        <w:rPr>
          <w:rFonts w:ascii="Arial" w:cs="Arial" w:eastAsia="Arial" w:hAnsi="Arial"/>
          <w:sz w:val="21"/>
          <w:szCs w:val="21"/>
          <w:color w:val="auto"/>
        </w:rPr>
        <w:t>The Company requires that, as a full-time employee, you devote your full business time, attention, skills and efforts to the tasks and duties of your position as assigned by the Company. However, the Company will not preclude you from providing services to others, so long as such services would not be to the benefit of a competitor of the Company and will not otherwise interfere with your ability to satisfactorily fulfill your job responsibilities to the Company. If you wish to perform services (for any or no form of compensation) to any other person or business entity while employed by the Company, please contact the CEO and discuss your plans in advance of providing such services so that no problem later arises that could have been avoided from the outset. Any other such services must be approved by the CEO and Board.</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Conditions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This offer, and any employment pursuant to this offer, is conditioned upon the following:</w:t>
      </w:r>
    </w:p>
    <w:p>
      <w:pPr>
        <w:spacing w:after="0" w:line="233" w:lineRule="exact"/>
        <w:rPr>
          <w:sz w:val="20"/>
          <w:szCs w:val="20"/>
          <w:color w:val="auto"/>
        </w:rPr>
      </w:pPr>
    </w:p>
    <w:p>
      <w:pPr>
        <w:jc w:val="both"/>
        <w:ind w:left="880" w:right="20" w:hanging="440"/>
        <w:spacing w:after="0"/>
        <w:tabs>
          <w:tab w:leader="none" w:pos="880" w:val="left"/>
        </w:tabs>
        <w:numPr>
          <w:ilvl w:val="0"/>
          <w:numId w:val="86"/>
        </w:numPr>
        <w:rPr>
          <w:rFonts w:ascii="Arial" w:cs="Arial" w:eastAsia="Arial" w:hAnsi="Arial"/>
          <w:sz w:val="22"/>
          <w:szCs w:val="22"/>
          <w:color w:val="auto"/>
        </w:rPr>
      </w:pPr>
      <w:r>
        <w:rPr>
          <w:rFonts w:ascii="Arial" w:cs="Arial" w:eastAsia="Arial" w:hAnsi="Arial"/>
          <w:sz w:val="22"/>
          <w:szCs w:val="22"/>
          <w:color w:val="auto"/>
        </w:rPr>
        <w:t>Your ability to provide satisfactory documentary proof of your identity and right to work in the United States of America on your first day of employment. Enclosed is the INS Form I-9, Employment Eligibility Verification, the second page of which includes a description of acceptable documentary proof.</w:t>
      </w:r>
    </w:p>
    <w:p>
      <w:pPr>
        <w:spacing w:after="0" w:line="78" w:lineRule="exact"/>
        <w:rPr>
          <w:rFonts w:ascii="Arial" w:cs="Arial" w:eastAsia="Arial" w:hAnsi="Arial"/>
          <w:sz w:val="22"/>
          <w:szCs w:val="22"/>
          <w:color w:val="auto"/>
        </w:rPr>
      </w:pPr>
    </w:p>
    <w:p>
      <w:pPr>
        <w:ind w:left="880" w:right="20" w:hanging="440"/>
        <w:spacing w:after="0" w:line="251" w:lineRule="auto"/>
        <w:tabs>
          <w:tab w:leader="none" w:pos="880" w:val="left"/>
        </w:tabs>
        <w:numPr>
          <w:ilvl w:val="0"/>
          <w:numId w:val="86"/>
        </w:numPr>
        <w:rPr>
          <w:rFonts w:ascii="Arial" w:cs="Arial" w:eastAsia="Arial" w:hAnsi="Arial"/>
          <w:sz w:val="22"/>
          <w:szCs w:val="22"/>
          <w:color w:val="auto"/>
        </w:rPr>
      </w:pPr>
      <w:r>
        <w:rPr>
          <w:rFonts w:ascii="Arial" w:cs="Arial" w:eastAsia="Arial" w:hAnsi="Arial"/>
          <w:sz w:val="22"/>
          <w:szCs w:val="22"/>
          <w:color w:val="auto"/>
        </w:rPr>
        <w:t>Your signed agreement to, and ongoing compliance with, the terms of the enclosed Confidential Information and Invention Assignment Agreement without modification.</w:t>
      </w:r>
    </w:p>
    <w:p>
      <w:pPr>
        <w:spacing w:after="0" w:line="65" w:lineRule="exact"/>
        <w:rPr>
          <w:rFonts w:ascii="Arial" w:cs="Arial" w:eastAsia="Arial" w:hAnsi="Arial"/>
          <w:sz w:val="22"/>
          <w:szCs w:val="22"/>
          <w:color w:val="auto"/>
        </w:rPr>
      </w:pPr>
    </w:p>
    <w:p>
      <w:pPr>
        <w:jc w:val="both"/>
        <w:ind w:left="880" w:right="20" w:hanging="440"/>
        <w:spacing w:after="0"/>
        <w:tabs>
          <w:tab w:leader="none" w:pos="880" w:val="left"/>
        </w:tabs>
        <w:numPr>
          <w:ilvl w:val="0"/>
          <w:numId w:val="86"/>
        </w:numPr>
        <w:rPr>
          <w:rFonts w:ascii="Arial" w:cs="Arial" w:eastAsia="Arial" w:hAnsi="Arial"/>
          <w:sz w:val="22"/>
          <w:szCs w:val="22"/>
          <w:color w:val="auto"/>
        </w:rPr>
      </w:pPr>
      <w:r>
        <w:rPr>
          <w:rFonts w:ascii="Arial" w:cs="Arial" w:eastAsia="Arial" w:hAnsi="Arial"/>
          <w:sz w:val="22"/>
          <w:szCs w:val="22"/>
          <w:color w:val="auto"/>
        </w:rPr>
        <w:t>Your consent (by your signature below) to, and results satisfactory to the Company of, reference and background checks. Until you have been informed in writing by the Company that such checks have been completed and the results satisfactory to the Company, you should defer reliance on this offer.</w:t>
      </w:r>
    </w:p>
    <w:p>
      <w:pPr>
        <w:spacing w:after="0" w:line="78" w:lineRule="exact"/>
        <w:rPr>
          <w:rFonts w:ascii="Arial" w:cs="Arial" w:eastAsia="Arial" w:hAnsi="Arial"/>
          <w:sz w:val="22"/>
          <w:szCs w:val="22"/>
          <w:color w:val="auto"/>
        </w:rPr>
      </w:pPr>
    </w:p>
    <w:p>
      <w:pPr>
        <w:ind w:left="880" w:hanging="440"/>
        <w:spacing w:after="0"/>
        <w:tabs>
          <w:tab w:leader="none" w:pos="880" w:val="left"/>
        </w:tabs>
        <w:numPr>
          <w:ilvl w:val="0"/>
          <w:numId w:val="86"/>
        </w:numPr>
        <w:rPr>
          <w:rFonts w:ascii="Arial" w:cs="Arial" w:eastAsia="Arial" w:hAnsi="Arial"/>
          <w:sz w:val="22"/>
          <w:szCs w:val="22"/>
          <w:color w:val="auto"/>
        </w:rPr>
      </w:pPr>
      <w:r>
        <w:rPr>
          <w:rFonts w:ascii="Arial" w:cs="Arial" w:eastAsia="Arial" w:hAnsi="Arial"/>
          <w:sz w:val="22"/>
          <w:szCs w:val="22"/>
          <w:color w:val="auto"/>
        </w:rPr>
        <w:t>Your return to me of the enclosed copy of this letter, after being signed by you without modification.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520" w:type="dxa"/>
            <w:vAlign w:val="bottom"/>
          </w:tcPr>
          <w:p>
            <w:pPr>
              <w:spacing w:after="0"/>
              <w:rPr>
                <w:sz w:val="20"/>
                <w:szCs w:val="20"/>
                <w:color w:val="auto"/>
              </w:rPr>
            </w:pPr>
            <w:r>
              <w:rPr>
                <w:rFonts w:ascii="Arial" w:cs="Arial" w:eastAsia="Arial" w:hAnsi="Arial"/>
                <w:sz w:val="20"/>
                <w:szCs w:val="20"/>
                <w:color w:val="9BBB59"/>
              </w:rPr>
              <w:t>www.ultragenyx.com</w:t>
            </w:r>
          </w:p>
        </w:tc>
        <w:tc>
          <w:tcPr>
            <w:tcW w:w="4920" w:type="dxa"/>
            <w:vAlign w:val="bottom"/>
          </w:tcPr>
          <w:p>
            <w:pPr>
              <w:jc w:val="right"/>
              <w:spacing w:after="0"/>
              <w:rPr>
                <w:sz w:val="20"/>
                <w:szCs w:val="20"/>
                <w:color w:val="auto"/>
              </w:rPr>
            </w:pPr>
            <w:r>
              <w:rPr>
                <w:rFonts w:ascii="Arial" w:cs="Arial" w:eastAsia="Arial" w:hAnsi="Arial"/>
                <w:sz w:val="20"/>
                <w:szCs w:val="20"/>
                <w:color w:val="7F7F7F"/>
              </w:rPr>
              <w:t>8</w:t>
            </w:r>
          </w:p>
        </w:tc>
      </w:tr>
      <w:tr>
        <w:trPr>
          <w:trHeight w:val="341"/>
        </w:trPr>
        <w:tc>
          <w:tcPr>
            <w:tcW w:w="65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2" w:right="219" w:bottom="1440" w:gutter="0" w:footer="0" w:header="0"/>
        </w:sectPr>
      </w:pPr>
    </w:p>
    <w:bookmarkStart w:id="151" w:name="page152"/>
    <w:bookmarkEnd w:id="151"/>
    <w:p>
      <w:pPr>
        <w:spacing w:after="0"/>
        <w:rPr>
          <w:sz w:val="20"/>
          <w:szCs w:val="20"/>
          <w:color w:val="auto"/>
        </w:rPr>
      </w:pPr>
      <w:r>
        <w:rPr>
          <w:rFonts w:ascii="Arial" w:cs="Arial" w:eastAsia="Arial" w:hAnsi="Arial"/>
          <w:sz w:val="22"/>
          <w:szCs w:val="22"/>
          <w:b w:val="1"/>
          <w:bCs w:val="1"/>
          <w:u w:val="single" w:color="auto"/>
          <w:color w:val="auto"/>
        </w:rPr>
        <w:t>No Conflicting Obligations</w:t>
      </w:r>
    </w:p>
    <w:p>
      <w:pPr>
        <w:spacing w:after="0" w:line="239" w:lineRule="exact"/>
        <w:rPr>
          <w:sz w:val="20"/>
          <w:szCs w:val="20"/>
          <w:color w:val="auto"/>
        </w:rPr>
      </w:pPr>
    </w:p>
    <w:p>
      <w:pPr>
        <w:jc w:val="both"/>
        <w:ind w:right="20"/>
        <w:spacing w:after="0" w:line="279" w:lineRule="auto"/>
        <w:rPr>
          <w:sz w:val="20"/>
          <w:szCs w:val="20"/>
          <w:color w:val="auto"/>
        </w:rPr>
      </w:pPr>
      <w:r>
        <w:rPr>
          <w:rFonts w:ascii="Arial" w:cs="Arial" w:eastAsia="Arial" w:hAnsi="Arial"/>
          <w:sz w:val="19"/>
          <w:szCs w:val="19"/>
          <w:color w:val="auto"/>
        </w:rPr>
        <w:t>By signing and accepting this offer, you represent and warrant that: (i) you are not subject to any pre-existing contractual or other legal obligation with any person, company or business enterprise which may be an impediment to or is inconsistent with your employment with, or your providing services to, the Company; (ii) you have not and shall not bring onto Company premises, or use or disclose in the course of your employment with the Company, any confidential or proprietary information or trade secrets of another person, company or business enterprise; (iii) you have returned all property and confidential information belonging to any prior employer; and (iv) you are not relying on any representations, promises or agreements not expressly contained in this letter.</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Choice of Law and Severability</w:t>
      </w:r>
    </w:p>
    <w:p>
      <w:pPr>
        <w:spacing w:after="0" w:line="239" w:lineRule="exact"/>
        <w:rPr>
          <w:sz w:val="20"/>
          <w:szCs w:val="20"/>
          <w:color w:val="auto"/>
        </w:rPr>
      </w:pPr>
    </w:p>
    <w:p>
      <w:pPr>
        <w:jc w:val="both"/>
        <w:ind w:right="20"/>
        <w:spacing w:after="0" w:line="245" w:lineRule="auto"/>
        <w:rPr>
          <w:sz w:val="20"/>
          <w:szCs w:val="20"/>
          <w:color w:val="auto"/>
        </w:rPr>
      </w:pPr>
      <w:r>
        <w:rPr>
          <w:rFonts w:ascii="Arial" w:cs="Arial" w:eastAsia="Arial" w:hAnsi="Arial"/>
          <w:sz w:val="21"/>
          <w:szCs w:val="21"/>
          <w:color w:val="auto"/>
        </w:rPr>
        <w:t>This letter shall be interpreted in accordance with the laws of the State of California without giving effect to provisions governing the choice of law. If any provision of this letter becomes or is deemed invalid, illegal or unenforceable in any applicable jurisdiction by reason of the scope, extent or duration of its coverage, then such provision shall be deemed amended to the minimum extent necessary to conform to applicable law so as to be valid and enforceable or, if such provision cannot be so amended without materially altering the intention of the parties, then such provision shall be stricken and the remainder of this letter shall continue in full force and effect. If any provision of this letter is rendered illegal by any present or future statute, law, ordinance or regulation (collectively, the “Law”) then that provision shall be curtailed or limited only to the minimum extent necessary to bring the provision into compliance with the Law. All the other terms and provisions of this letter shall continue in full force and effect without impairment or limitation.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Entire Agreement</w:t>
      </w:r>
    </w:p>
    <w:p>
      <w:pPr>
        <w:spacing w:after="0" w:line="239" w:lineRule="exact"/>
        <w:rPr>
          <w:sz w:val="20"/>
          <w:szCs w:val="20"/>
          <w:color w:val="auto"/>
        </w:rPr>
      </w:pPr>
    </w:p>
    <w:p>
      <w:pPr>
        <w:jc w:val="both"/>
        <w:ind w:right="20"/>
        <w:spacing w:after="0" w:line="279" w:lineRule="auto"/>
        <w:rPr>
          <w:sz w:val="20"/>
          <w:szCs w:val="20"/>
          <w:color w:val="auto"/>
        </w:rPr>
      </w:pPr>
      <w:r>
        <w:rPr>
          <w:rFonts w:ascii="Arial" w:cs="Arial" w:eastAsia="Arial" w:hAnsi="Arial"/>
          <w:sz w:val="19"/>
          <w:szCs w:val="19"/>
          <w:color w:val="auto"/>
        </w:rPr>
        <w:t>If you accept this offer, and the conditions of this offer are satisfied, this letter and the written agreements referenced in this letter shall constitute the complete agreement between you and the Company with respect to the initial terms and conditions of your employment. Any representations, promises or agreements, whether written or oral, not contained in this letter or contrary to those contained in this letter, that may have been made to you are expressly cancelled and replaced by this offer letter. Except as otherwise specified in this letter or in the written agreements referenced in this letter, the terms and conditions of your employment pursuant to this letter may not be changed, except by a writing issued by the CEO with approval by the Board.</w:t>
      </w:r>
    </w:p>
    <w:p>
      <w:pPr>
        <w:spacing w:after="0" w:line="178"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color w:val="auto"/>
        </w:rPr>
        <w:t>We look forward to you accepting this offer and a mutually rewarding relationship. As with all important decisions, you should make a decision concerning this offer based on your own investigation and judgment concerning the Company and its prospects, independent of the opinions and perspectives that may have been shared with you by any Company employee.</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520" w:type="dxa"/>
            <w:vAlign w:val="bottom"/>
          </w:tcPr>
          <w:p>
            <w:pPr>
              <w:spacing w:after="0"/>
              <w:rPr>
                <w:sz w:val="20"/>
                <w:szCs w:val="20"/>
                <w:color w:val="auto"/>
              </w:rPr>
            </w:pPr>
            <w:r>
              <w:rPr>
                <w:rFonts w:ascii="Arial" w:cs="Arial" w:eastAsia="Arial" w:hAnsi="Arial"/>
                <w:sz w:val="20"/>
                <w:szCs w:val="20"/>
                <w:color w:val="9BBB59"/>
              </w:rPr>
              <w:t>www.ultragenyx.com</w:t>
            </w:r>
          </w:p>
        </w:tc>
        <w:tc>
          <w:tcPr>
            <w:tcW w:w="4920" w:type="dxa"/>
            <w:vAlign w:val="bottom"/>
          </w:tcPr>
          <w:p>
            <w:pPr>
              <w:jc w:val="right"/>
              <w:spacing w:after="0"/>
              <w:rPr>
                <w:sz w:val="20"/>
                <w:szCs w:val="20"/>
                <w:color w:val="auto"/>
              </w:rPr>
            </w:pPr>
            <w:r>
              <w:rPr>
                <w:rFonts w:ascii="Arial" w:cs="Arial" w:eastAsia="Arial" w:hAnsi="Arial"/>
                <w:sz w:val="20"/>
                <w:szCs w:val="20"/>
                <w:color w:val="7F7F7F"/>
              </w:rPr>
              <w:t>9</w:t>
            </w:r>
          </w:p>
        </w:tc>
      </w:tr>
      <w:tr>
        <w:trPr>
          <w:trHeight w:val="341"/>
        </w:trPr>
        <w:tc>
          <w:tcPr>
            <w:tcW w:w="65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52" w:name="page153"/>
    <w:bookmarkEnd w:id="152"/>
    <w:p>
      <w:pPr>
        <w:jc w:val="both"/>
        <w:spacing w:after="0"/>
        <w:rPr>
          <w:sz w:val="20"/>
          <w:szCs w:val="20"/>
          <w:color w:val="auto"/>
        </w:rPr>
      </w:pPr>
      <w:r>
        <w:rPr>
          <w:rFonts w:ascii="Arial" w:cs="Arial" w:eastAsia="Arial" w:hAnsi="Arial"/>
          <w:sz w:val="22"/>
          <w:szCs w:val="22"/>
          <w:color w:val="auto"/>
        </w:rPr>
        <w:t>If you accept this offer, please date and sign below, on the enclosed copy of this letter and return it to me no later than May 1, 2015. Please retain the original of this letter for your records. You should bring your INS Form I-9 required identification and proof of authorization to work with you on your first day of employment.</w:t>
      </w:r>
    </w:p>
    <w:p>
      <w:pPr>
        <w:spacing w:after="0" w:line="389"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We look forward to working with you on developing treatment for many rare genetic diseases and hope you find your employment at Ultragenyx Pharmaceutical a rewarding experience. If you have any questions regarding this offer letter, please feel free to contact me at (415) 483-XXXX.</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Warm Regards,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 Emil Kakkis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89877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Emil D. Kakkis, M.D., Ph.D.</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Chief Executive Officer</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 accept the above offer:</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540" w:type="dxa"/>
            <w:vAlign w:val="bottom"/>
          </w:tcPr>
          <w:p>
            <w:pPr>
              <w:spacing w:after="0"/>
              <w:rPr>
                <w:sz w:val="20"/>
                <w:szCs w:val="20"/>
                <w:color w:val="auto"/>
              </w:rPr>
            </w:pPr>
            <w:r>
              <w:rPr>
                <w:rFonts w:ascii="Arial" w:cs="Arial" w:eastAsia="Arial" w:hAnsi="Arial"/>
                <w:sz w:val="22"/>
                <w:szCs w:val="22"/>
                <w:color w:val="auto"/>
              </w:rPr>
              <w:t>Signature:</w:t>
            </w:r>
          </w:p>
        </w:tc>
        <w:tc>
          <w:tcPr>
            <w:tcW w:w="30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Jayson Dallas</w:t>
            </w:r>
          </w:p>
        </w:tc>
        <w:tc>
          <w:tcPr>
            <w:tcW w:w="6820" w:type="dxa"/>
            <w:vAlign w:val="bottom"/>
          </w:tcPr>
          <w:p>
            <w:pPr>
              <w:jc w:val="right"/>
              <w:spacing w:after="0"/>
              <w:rPr>
                <w:sz w:val="20"/>
                <w:szCs w:val="20"/>
                <w:color w:val="auto"/>
              </w:rPr>
            </w:pPr>
            <w:r>
              <w:rPr>
                <w:rFonts w:ascii="Arial" w:cs="Arial" w:eastAsia="Arial" w:hAnsi="Arial"/>
                <w:sz w:val="22"/>
                <w:szCs w:val="22"/>
                <w:color w:val="auto"/>
              </w:rPr>
              <w:t>Dated: May 4, 2015</w:t>
            </w:r>
          </w:p>
        </w:tc>
      </w:tr>
      <w:tr>
        <w:trPr>
          <w:trHeight w:val="490"/>
        </w:trPr>
        <w:tc>
          <w:tcPr>
            <w:tcW w:w="1540" w:type="dxa"/>
            <w:vAlign w:val="bottom"/>
          </w:tcPr>
          <w:p>
            <w:pPr>
              <w:spacing w:after="0"/>
              <w:rPr>
                <w:sz w:val="20"/>
                <w:szCs w:val="20"/>
                <w:color w:val="auto"/>
              </w:rPr>
            </w:pPr>
            <w:r>
              <w:rPr>
                <w:rFonts w:ascii="Arial" w:cs="Arial" w:eastAsia="Arial" w:hAnsi="Arial"/>
                <w:sz w:val="22"/>
                <w:szCs w:val="22"/>
                <w:color w:val="auto"/>
              </w:rPr>
              <w:t>Print Name:</w:t>
            </w:r>
          </w:p>
        </w:tc>
        <w:tc>
          <w:tcPr>
            <w:tcW w:w="3060" w:type="dxa"/>
            <w:vAlign w:val="bottom"/>
          </w:tcPr>
          <w:p>
            <w:pPr>
              <w:spacing w:after="0"/>
              <w:rPr>
                <w:sz w:val="20"/>
                <w:szCs w:val="20"/>
                <w:color w:val="auto"/>
              </w:rPr>
            </w:pPr>
            <w:r>
              <w:rPr>
                <w:rFonts w:ascii="Arial" w:cs="Arial" w:eastAsia="Arial" w:hAnsi="Arial"/>
                <w:sz w:val="22"/>
                <w:szCs w:val="22"/>
                <w:color w:val="auto"/>
              </w:rPr>
              <w:t>Jayson Dallas</w:t>
            </w:r>
          </w:p>
        </w:tc>
        <w:tc>
          <w:tcPr>
            <w:tcW w:w="6820" w:type="dxa"/>
            <w:vAlign w:val="bottom"/>
          </w:tcPr>
          <w:p>
            <w:pPr>
              <w:spacing w:after="0"/>
              <w:rPr>
                <w:sz w:val="24"/>
                <w:szCs w:val="24"/>
                <w:color w:val="auto"/>
              </w:rPr>
            </w:pPr>
          </w:p>
        </w:tc>
      </w:tr>
      <w:tr>
        <w:trPr>
          <w:trHeight w:val="912"/>
        </w:trPr>
        <w:tc>
          <w:tcPr>
            <w:tcW w:w="4600" w:type="dxa"/>
            <w:vAlign w:val="bottom"/>
            <w:gridSpan w:val="2"/>
          </w:tcPr>
          <w:p>
            <w:pPr>
              <w:spacing w:after="0"/>
              <w:rPr>
                <w:sz w:val="20"/>
                <w:szCs w:val="20"/>
                <w:color w:val="auto"/>
              </w:rPr>
            </w:pPr>
            <w:r>
              <w:rPr>
                <w:rFonts w:ascii="Arial" w:cs="Arial" w:eastAsia="Arial" w:hAnsi="Arial"/>
                <w:sz w:val="20"/>
                <w:szCs w:val="20"/>
                <w:color w:val="9BBB59"/>
              </w:rPr>
              <w:t>www.ultragenyx.com</w:t>
            </w:r>
          </w:p>
        </w:tc>
        <w:tc>
          <w:tcPr>
            <w:tcW w:w="6820" w:type="dxa"/>
            <w:vAlign w:val="bottom"/>
          </w:tcPr>
          <w:p>
            <w:pPr>
              <w:jc w:val="right"/>
              <w:spacing w:after="0"/>
              <w:rPr>
                <w:sz w:val="20"/>
                <w:szCs w:val="20"/>
                <w:color w:val="auto"/>
              </w:rPr>
            </w:pPr>
            <w:r>
              <w:rPr>
                <w:rFonts w:ascii="Arial" w:cs="Arial" w:eastAsia="Arial" w:hAnsi="Arial"/>
                <w:sz w:val="20"/>
                <w:szCs w:val="20"/>
                <w:color w:val="7F7F7F"/>
              </w:rPr>
              <w:t>10</w:t>
            </w:r>
          </w:p>
        </w:tc>
      </w:tr>
    </w:tbl>
    <w:p>
      <w:pPr>
        <w:sectPr>
          <w:pgSz w:w="11900" w:h="16838" w:orient="portrait"/>
          <w:cols w:equalWidth="0" w:num="1">
            <w:col w:w="11420"/>
          </w:cols>
          <w:pgMar w:left="240" w:top="348"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10.39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17145</wp:posOffset>
            </wp:positionV>
            <wp:extent cx="1672590" cy="6343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67259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0"/>
          <w:szCs w:val="20"/>
          <w:color w:val="7F7F7F"/>
        </w:rPr>
        <w:t>60 Leveroni Court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7F7F7F"/>
        </w:rPr>
        <w:t>Novato, CA 94949</w:t>
      </w:r>
    </w:p>
    <w:p>
      <w:pPr>
        <w:spacing w:after="0"/>
        <w:rPr>
          <w:sz w:val="20"/>
          <w:szCs w:val="20"/>
          <w:color w:val="auto"/>
        </w:rPr>
      </w:pPr>
      <w:r>
        <w:rPr>
          <w:rFonts w:ascii="Arial" w:cs="Arial" w:eastAsia="Arial" w:hAnsi="Arial"/>
          <w:sz w:val="20"/>
          <w:szCs w:val="20"/>
          <w:color w:val="7F7F7F"/>
        </w:rPr>
        <w:t>Tel: 415-483-8800</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August 3, 2015</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Jayson Dallas</w:t>
      </w:r>
    </w:p>
    <w:p>
      <w:pPr>
        <w:spacing w:after="0" w:line="233" w:lineRule="exact"/>
        <w:rPr>
          <w:sz w:val="20"/>
          <w:szCs w:val="20"/>
          <w:color w:val="auto"/>
        </w:rPr>
      </w:pPr>
    </w:p>
    <w:p>
      <w:pPr>
        <w:ind w:left="900"/>
        <w:spacing w:after="0"/>
        <w:rPr>
          <w:sz w:val="20"/>
          <w:szCs w:val="20"/>
          <w:color w:val="auto"/>
        </w:rPr>
      </w:pPr>
      <w:r>
        <w:rPr>
          <w:rFonts w:ascii="Arial" w:cs="Arial" w:eastAsia="Arial" w:hAnsi="Arial"/>
          <w:sz w:val="22"/>
          <w:szCs w:val="22"/>
          <w:u w:val="single" w:color="auto"/>
          <w:color w:val="auto"/>
        </w:rPr>
        <w:t>Re: Addendum to Offer of Employment dated April 27, 2015</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Dear Jayson,</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This addendum will supersede the equity grant section of the previously signed offer of employment dated April 27, 2015. The Company has increased your original option grant of 75,000 to 90,000 effective with the commencement of your employment with Ultragenyx.</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Equity Grants</w:t>
      </w:r>
    </w:p>
    <w:p>
      <w:pPr>
        <w:spacing w:after="0" w:line="239"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Subject to the approval of the Compensation Committee, you will receive an option to purchase up to an aggregate of 90,000 shares of the Company’s Common Stock (the “Option”) pursuant to the Company’s 2014 Incentive Plan (the “Plan”). The exercise price of the Option will be equal to the closing price per share of Common Stock on the date of grant.</w:t>
      </w:r>
    </w:p>
    <w:p>
      <w:pPr>
        <w:spacing w:after="0" w:line="19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Option will vest and become exercisable as follows: 1/4</w:t>
      </w:r>
      <w:r>
        <w:rPr>
          <w:rFonts w:ascii="Arial" w:cs="Arial" w:eastAsia="Arial" w:hAnsi="Arial"/>
          <w:sz w:val="18"/>
          <w:szCs w:val="18"/>
          <w:color w:val="auto"/>
        </w:rPr>
        <w:t>th</w:t>
      </w:r>
      <w:r>
        <w:rPr>
          <w:rFonts w:ascii="Arial" w:cs="Arial" w:eastAsia="Arial" w:hAnsi="Arial"/>
          <w:sz w:val="22"/>
          <w:szCs w:val="22"/>
          <w:color w:val="auto"/>
        </w:rPr>
        <w:t xml:space="preserve"> of the shares initially subject to the Option shall vest and become exercisable on the first (1</w:t>
      </w:r>
      <w:r>
        <w:rPr>
          <w:rFonts w:ascii="Arial" w:cs="Arial" w:eastAsia="Arial" w:hAnsi="Arial"/>
          <w:sz w:val="18"/>
          <w:szCs w:val="18"/>
          <w:color w:val="auto"/>
        </w:rPr>
        <w:t>st</w:t>
      </w:r>
      <w:r>
        <w:rPr>
          <w:rFonts w:ascii="Arial" w:cs="Arial" w:eastAsia="Arial" w:hAnsi="Arial"/>
          <w:sz w:val="22"/>
          <w:szCs w:val="22"/>
          <w:color w:val="auto"/>
        </w:rPr>
        <w:t>) anniversary of the first day of your employment with the Company, and thereafter 1/48</w:t>
      </w:r>
      <w:r>
        <w:rPr>
          <w:rFonts w:ascii="Arial" w:cs="Arial" w:eastAsia="Arial" w:hAnsi="Arial"/>
          <w:sz w:val="18"/>
          <w:szCs w:val="18"/>
          <w:color w:val="auto"/>
        </w:rPr>
        <w:t>th</w:t>
      </w:r>
      <w:r>
        <w:rPr>
          <w:rFonts w:ascii="Arial" w:cs="Arial" w:eastAsia="Arial" w:hAnsi="Arial"/>
          <w:sz w:val="22"/>
          <w:szCs w:val="22"/>
          <w:color w:val="auto"/>
        </w:rPr>
        <w:t xml:space="preserve"> of the shares initially subject to the Option shall vest and become exercisable each month until the Option is fully vested, in each case subject to your continued employment by the Company (or its subsidiaries). The Option shall be governed by the Company’s standard form of stock option agreements and the Plan.</w:t>
      </w:r>
    </w:p>
    <w:p>
      <w:pPr>
        <w:spacing w:after="0" w:line="18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Subject to the approval of the Compensation Committee, you will also receive a grant of 10,000 restricted stock units (the “RSUs”) pursuant to the Plan. The RSUs will vest annually over a four-year period from the date of grant (i.e., 25% of the RSUs shall vest and become exercisable on each anniversary of the date of grant during the four-year period), in each case subject to your continued employment by the Company (or its consolidated subsidiaries). The RSUs shall be governed by the Company’s standard form of restricted stock unit agreement and the Plan.</w:t>
      </w:r>
    </w:p>
    <w:p>
      <w:pPr>
        <w:spacing w:after="0" w:line="200" w:lineRule="exact"/>
        <w:rPr>
          <w:sz w:val="20"/>
          <w:szCs w:val="20"/>
          <w:color w:val="auto"/>
        </w:rPr>
      </w:pPr>
    </w:p>
    <w:p>
      <w:pPr>
        <w:spacing w:after="0" w:line="236" w:lineRule="exact"/>
        <w:rPr>
          <w:sz w:val="20"/>
          <w:szCs w:val="20"/>
          <w:color w:val="auto"/>
        </w:rPr>
      </w:pPr>
    </w:p>
    <w:p>
      <w:pPr>
        <w:spacing w:after="0"/>
        <w:tabs>
          <w:tab w:leader="none" w:pos="4400" w:val="left"/>
          <w:tab w:leader="none" w:pos="11300" w:val="left"/>
        </w:tabs>
        <w:rPr>
          <w:sz w:val="20"/>
          <w:szCs w:val="20"/>
          <w:color w:val="auto"/>
        </w:rPr>
      </w:pPr>
      <w:r>
        <w:rPr>
          <w:rFonts w:ascii="Arial" w:cs="Arial" w:eastAsia="Arial" w:hAnsi="Arial"/>
          <w:sz w:val="20"/>
          <w:szCs w:val="20"/>
          <w:color w:val="9BBB59"/>
        </w:rPr>
        <w:t>www.ultragenyx.com</w:t>
      </w:r>
      <w:r>
        <w:rPr>
          <w:sz w:val="20"/>
          <w:szCs w:val="20"/>
          <w:color w:val="auto"/>
        </w:rPr>
        <w:tab/>
      </w:r>
      <w:r>
        <w:rPr>
          <w:rFonts w:ascii="Arial" w:cs="Arial" w:eastAsia="Arial" w:hAnsi="Arial"/>
          <w:sz w:val="20"/>
          <w:szCs w:val="20"/>
          <w:i w:val="1"/>
          <w:iCs w:val="1"/>
          <w:color w:val="7F7F7F"/>
        </w:rPr>
        <w:t>Turning good science into great medicine</w:t>
      </w:r>
      <w:r>
        <w:rPr>
          <w:sz w:val="20"/>
          <w:szCs w:val="20"/>
          <w:color w:val="auto"/>
        </w:rPr>
        <w:tab/>
      </w:r>
      <w:r>
        <w:rPr>
          <w:rFonts w:ascii="Arial" w:cs="Arial" w:eastAsia="Arial" w:hAnsi="Arial"/>
          <w:sz w:val="16"/>
          <w:szCs w:val="16"/>
          <w:color w:val="7F7F7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4" w:name="page155"/>
    <w:bookmarkEnd w:id="154"/>
    <w:p>
      <w:pPr>
        <w:jc w:val="both"/>
        <w:spacing w:after="0" w:line="275" w:lineRule="auto"/>
        <w:rPr>
          <w:sz w:val="20"/>
          <w:szCs w:val="20"/>
          <w:color w:val="auto"/>
        </w:rPr>
      </w:pPr>
      <w:r>
        <w:rPr>
          <w:rFonts w:ascii="Arial" w:cs="Arial" w:eastAsia="Arial" w:hAnsi="Arial"/>
          <w:sz w:val="19"/>
          <w:szCs w:val="19"/>
          <w:color w:val="auto"/>
        </w:rPr>
        <w:t>Notwithstanding the foregoing, in the event that (i) the Company consummates a Covered Transaction (as defined in the Plan), (ii) on the date such Covered Transaction is consummated you are employed by the Company (or its subsidiaries) and (iii) within 12 months after the date such Covered Transaction is consummated your employment by the Company (or its successor or subsidiaries) is terminated without Cause (as defined below) or you resign such employment due to a Constructive Termination (as defined below), then provided such termination constitutes a “separation from service” (as defined under Treasury Regulation Section 1.409A-1(h), without regard to any alternative definition thereunder, a “Separation from Service”), in addition to the severance benefits set forth below, the vesting of any equity-based compensation awards granted to you in connection with your employment shall accelerate with respect to 100% of the then-unvested shares then subject to such awards.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“At Will” Employment</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Employment with the Company is “at-will”. This means that it is not for any specified period of time and can be terminated by you or by the Company at any time, with or without advance notice, and for any or no particular reason or Cause. It also means that your job duties, title, responsibilities, reporting level, compensation and benefits, as well as the Company’s personnel policies and procedures, may be changed at any time, with or without notice in the sole discretion of the Company. This “at-will” nature of your employment shall remain unchanged during your tenure as an employee, and can only be changed by an express written agreement that is signed by you and by the Company’s CEO.</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Warm Regards,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 Emil Kakkis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89877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Emil D. Kakkis, M.D., Ph.D.</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Chief Executive Officer</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 accept the above offer:</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500" w:type="dxa"/>
            <w:vAlign w:val="bottom"/>
          </w:tcPr>
          <w:p>
            <w:pPr>
              <w:spacing w:after="0"/>
              <w:rPr>
                <w:sz w:val="20"/>
                <w:szCs w:val="20"/>
                <w:color w:val="auto"/>
              </w:rPr>
            </w:pPr>
            <w:r>
              <w:rPr>
                <w:rFonts w:ascii="Arial" w:cs="Arial" w:eastAsia="Arial" w:hAnsi="Arial"/>
                <w:sz w:val="22"/>
                <w:szCs w:val="22"/>
                <w:color w:val="auto"/>
              </w:rPr>
              <w:t>Signature:</w:t>
            </w:r>
          </w:p>
        </w:tc>
        <w:tc>
          <w:tcPr>
            <w:tcW w:w="30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Jayson Dallas</w:t>
            </w:r>
          </w:p>
        </w:tc>
        <w:tc>
          <w:tcPr>
            <w:tcW w:w="6860" w:type="dxa"/>
            <w:vAlign w:val="bottom"/>
          </w:tcPr>
          <w:p>
            <w:pPr>
              <w:jc w:val="right"/>
              <w:spacing w:after="0"/>
              <w:rPr>
                <w:sz w:val="20"/>
                <w:szCs w:val="20"/>
                <w:color w:val="auto"/>
              </w:rPr>
            </w:pPr>
            <w:r>
              <w:rPr>
                <w:rFonts w:ascii="Arial" w:cs="Arial" w:eastAsia="Arial" w:hAnsi="Arial"/>
                <w:sz w:val="22"/>
                <w:szCs w:val="22"/>
                <w:color w:val="auto"/>
              </w:rPr>
              <w:t>Dated: August 5, 2015</w:t>
            </w:r>
          </w:p>
        </w:tc>
      </w:tr>
      <w:tr>
        <w:trPr>
          <w:trHeight w:val="490"/>
        </w:trPr>
        <w:tc>
          <w:tcPr>
            <w:tcW w:w="1500" w:type="dxa"/>
            <w:vAlign w:val="bottom"/>
          </w:tcPr>
          <w:p>
            <w:pPr>
              <w:spacing w:after="0"/>
              <w:rPr>
                <w:sz w:val="20"/>
                <w:szCs w:val="20"/>
                <w:color w:val="auto"/>
              </w:rPr>
            </w:pPr>
            <w:r>
              <w:rPr>
                <w:rFonts w:ascii="Arial" w:cs="Arial" w:eastAsia="Arial" w:hAnsi="Arial"/>
                <w:sz w:val="22"/>
                <w:szCs w:val="22"/>
                <w:color w:val="auto"/>
              </w:rPr>
              <w:t>Print Name:</w:t>
            </w:r>
          </w:p>
        </w:tc>
        <w:tc>
          <w:tcPr>
            <w:tcW w:w="3060" w:type="dxa"/>
            <w:vAlign w:val="bottom"/>
          </w:tcPr>
          <w:p>
            <w:pPr>
              <w:spacing w:after="0"/>
              <w:rPr>
                <w:sz w:val="20"/>
                <w:szCs w:val="20"/>
                <w:color w:val="auto"/>
              </w:rPr>
            </w:pPr>
            <w:r>
              <w:rPr>
                <w:rFonts w:ascii="Arial" w:cs="Arial" w:eastAsia="Arial" w:hAnsi="Arial"/>
                <w:sz w:val="22"/>
                <w:szCs w:val="22"/>
                <w:color w:val="auto"/>
              </w:rPr>
              <w:t>J. Dallas</w:t>
            </w:r>
          </w:p>
        </w:tc>
        <w:tc>
          <w:tcPr>
            <w:tcW w:w="6860" w:type="dxa"/>
            <w:vAlign w:val="bottom"/>
          </w:tcPr>
          <w:p>
            <w:pPr>
              <w:spacing w:after="0"/>
              <w:rPr>
                <w:sz w:val="24"/>
                <w:szCs w:val="24"/>
                <w:color w:val="auto"/>
              </w:rPr>
            </w:pPr>
          </w:p>
        </w:tc>
      </w:tr>
      <w:tr>
        <w:trPr>
          <w:trHeight w:val="912"/>
        </w:trPr>
        <w:tc>
          <w:tcPr>
            <w:tcW w:w="4560" w:type="dxa"/>
            <w:vAlign w:val="bottom"/>
            <w:gridSpan w:val="2"/>
          </w:tcPr>
          <w:p>
            <w:pPr>
              <w:spacing w:after="0"/>
              <w:rPr>
                <w:sz w:val="20"/>
                <w:szCs w:val="20"/>
                <w:color w:val="auto"/>
              </w:rPr>
            </w:pPr>
            <w:r>
              <w:rPr>
                <w:rFonts w:ascii="Arial" w:cs="Arial" w:eastAsia="Arial" w:hAnsi="Arial"/>
                <w:sz w:val="20"/>
                <w:szCs w:val="20"/>
                <w:color w:val="9BBB59"/>
              </w:rPr>
              <w:t>www.ultragenyx.com</w:t>
            </w:r>
          </w:p>
        </w:tc>
        <w:tc>
          <w:tcPr>
            <w:tcW w:w="6860" w:type="dxa"/>
            <w:vAlign w:val="bottom"/>
          </w:tcPr>
          <w:p>
            <w:pPr>
              <w:jc w:val="right"/>
              <w:spacing w:after="0"/>
              <w:rPr>
                <w:sz w:val="20"/>
                <w:szCs w:val="20"/>
                <w:color w:val="auto"/>
              </w:rPr>
            </w:pPr>
            <w:r>
              <w:rPr>
                <w:rFonts w:ascii="Arial" w:cs="Arial" w:eastAsia="Arial" w:hAnsi="Arial"/>
                <w:sz w:val="20"/>
                <w:szCs w:val="20"/>
                <w:color w:val="7F7F7F"/>
              </w:rPr>
              <w:t>2</w:t>
            </w:r>
          </w:p>
        </w:tc>
      </w:tr>
    </w:tbl>
    <w:p>
      <w:pPr>
        <w:sectPr>
          <w:pgSz w:w="11900" w:h="16838" w:orient="portrait"/>
          <w:cols w:equalWidth="0" w:num="1">
            <w:col w:w="11420"/>
          </w:cols>
          <w:pgMar w:left="240" w:top="334"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10.51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4 TO LICENSE AND SERVICES AGREEMENT</w:t>
      </w:r>
    </w:p>
    <w:p>
      <w:pPr>
        <w:spacing w:after="0" w:line="182"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2"/>
          <w:szCs w:val="22"/>
          <w:color w:val="auto"/>
        </w:rPr>
        <w:t>This AMENDMENT NO. 4 TO LICENSE AND SERVICES AGREEMENT (herein referred to as “</w:t>
      </w:r>
      <w:r>
        <w:rPr>
          <w:rFonts w:ascii="Arial" w:cs="Arial" w:eastAsia="Arial" w:hAnsi="Arial"/>
          <w:sz w:val="22"/>
          <w:szCs w:val="22"/>
          <w:b w:val="1"/>
          <w:bCs w:val="1"/>
          <w:color w:val="auto"/>
        </w:rPr>
        <w:t>Amendment No. 4</w:t>
      </w:r>
      <w:r>
        <w:rPr>
          <w:rFonts w:ascii="Arial" w:cs="Arial" w:eastAsia="Arial" w:hAnsi="Arial"/>
          <w:sz w:val="22"/>
          <w:szCs w:val="22"/>
          <w:color w:val="auto"/>
        </w:rPr>
        <w:t>”) is made effective September 28, 2016 (the “</w:t>
      </w:r>
      <w:r>
        <w:rPr>
          <w:rFonts w:ascii="Arial" w:cs="Arial" w:eastAsia="Arial" w:hAnsi="Arial"/>
          <w:sz w:val="22"/>
          <w:szCs w:val="22"/>
          <w:b w:val="1"/>
          <w:bCs w:val="1"/>
          <w:color w:val="auto"/>
        </w:rPr>
        <w:t>Amendment No. 4 Effective Date</w:t>
      </w:r>
      <w:r>
        <w:rPr>
          <w:rFonts w:ascii="Arial" w:cs="Arial" w:eastAsia="Arial" w:hAnsi="Arial"/>
          <w:sz w:val="22"/>
          <w:szCs w:val="22"/>
          <w:color w:val="auto"/>
        </w:rPr>
        <w:t>”), by and between Ultragenyx Pharmaceutical Inc. (“</w:t>
      </w:r>
      <w:r>
        <w:rPr>
          <w:rFonts w:ascii="Arial" w:cs="Arial" w:eastAsia="Arial" w:hAnsi="Arial"/>
          <w:sz w:val="22"/>
          <w:szCs w:val="22"/>
          <w:b w:val="1"/>
          <w:bCs w:val="1"/>
          <w:color w:val="auto"/>
        </w:rPr>
        <w:t>Ultragenyx</w:t>
      </w:r>
      <w:r>
        <w:rPr>
          <w:rFonts w:ascii="Arial" w:cs="Arial" w:eastAsia="Arial" w:hAnsi="Arial"/>
          <w:sz w:val="22"/>
          <w:szCs w:val="22"/>
          <w:color w:val="auto"/>
        </w:rPr>
        <w:t>”), a Delaware corporation, and The Buck Institute for Research on Aging (“</w:t>
      </w:r>
      <w:r>
        <w:rPr>
          <w:rFonts w:ascii="Arial" w:cs="Arial" w:eastAsia="Arial" w:hAnsi="Arial"/>
          <w:sz w:val="22"/>
          <w:szCs w:val="22"/>
          <w:b w:val="1"/>
          <w:bCs w:val="1"/>
          <w:color w:val="auto"/>
        </w:rPr>
        <w:t>Buck Institute</w:t>
      </w:r>
      <w:r>
        <w:rPr>
          <w:rFonts w:ascii="Arial" w:cs="Arial" w:eastAsia="Arial" w:hAnsi="Arial"/>
          <w:sz w:val="22"/>
          <w:szCs w:val="22"/>
          <w:color w:val="auto"/>
        </w:rPr>
        <w:t>”), each herein referred to as “</w:t>
      </w:r>
      <w:r>
        <w:rPr>
          <w:rFonts w:ascii="Arial" w:cs="Arial" w:eastAsia="Arial" w:hAnsi="Arial"/>
          <w:sz w:val="22"/>
          <w:szCs w:val="22"/>
          <w:b w:val="1"/>
          <w:bCs w:val="1"/>
          <w:color w:val="auto"/>
        </w:rPr>
        <w:t>Party</w:t>
      </w:r>
      <w:r>
        <w:rPr>
          <w:rFonts w:ascii="Arial" w:cs="Arial" w:eastAsia="Arial" w:hAnsi="Arial"/>
          <w:sz w:val="22"/>
          <w:szCs w:val="22"/>
          <w:color w:val="auto"/>
        </w:rPr>
        <w:t>” and collectively as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06" w:lineRule="exact"/>
        <w:rPr>
          <w:sz w:val="20"/>
          <w:szCs w:val="20"/>
          <w:color w:val="auto"/>
        </w:rPr>
      </w:pPr>
    </w:p>
    <w:p>
      <w:pPr>
        <w:jc w:val="center"/>
        <w:ind w:right="28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above named parties desire to amend the Agreement (as defined below) as set forth below;</w:t>
      </w:r>
    </w:p>
    <w:p>
      <w:pPr>
        <w:spacing w:after="0" w:line="206"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now desire to amend the Agreement to provide for Ultragenyx’s use of an expanded laboratory</w:t>
      </w:r>
      <w:r>
        <w:rPr>
          <w:rFonts w:ascii="Arial" w:cs="Arial" w:eastAsia="Arial" w:hAnsi="Arial"/>
          <w:sz w:val="22"/>
          <w:szCs w:val="22"/>
          <w:b w:val="1"/>
          <w:bCs w:val="1"/>
          <w:color w:val="auto"/>
        </w:rPr>
        <w:t xml:space="preserve"> </w:t>
      </w:r>
      <w:r>
        <w:rPr>
          <w:rFonts w:ascii="Arial" w:cs="Arial" w:eastAsia="Arial" w:hAnsi="Arial"/>
          <w:sz w:val="22"/>
          <w:szCs w:val="22"/>
          <w:color w:val="auto"/>
        </w:rPr>
        <w:t>and office space, further defined below;</w:t>
      </w:r>
    </w:p>
    <w:p>
      <w:pPr>
        <w:spacing w:after="0" w:line="163"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and agreements contained in this Amendment No. 4, the</w:t>
      </w:r>
      <w:r>
        <w:rPr>
          <w:rFonts w:ascii="Arial" w:cs="Arial" w:eastAsia="Arial" w:hAnsi="Arial"/>
          <w:sz w:val="22"/>
          <w:szCs w:val="22"/>
          <w:b w:val="1"/>
          <w:bCs w:val="1"/>
          <w:color w:val="auto"/>
        </w:rPr>
        <w:t xml:space="preserve"> </w:t>
      </w:r>
      <w:r>
        <w:rPr>
          <w:rFonts w:ascii="Arial" w:cs="Arial" w:eastAsia="Arial" w:hAnsi="Arial"/>
          <w:sz w:val="22"/>
          <w:szCs w:val="22"/>
          <w:color w:val="auto"/>
        </w:rPr>
        <w:t>sufficiency of which is hereby acknowledged, the parties agree as follows:</w:t>
      </w:r>
    </w:p>
    <w:p>
      <w:pPr>
        <w:spacing w:after="0" w:line="169" w:lineRule="exact"/>
        <w:rPr>
          <w:sz w:val="20"/>
          <w:szCs w:val="20"/>
          <w:color w:val="auto"/>
        </w:rPr>
      </w:pPr>
    </w:p>
    <w:p>
      <w:pPr>
        <w:jc w:val="both"/>
        <w:ind w:left="1300" w:hanging="428"/>
        <w:spacing w:after="0" w:line="277" w:lineRule="auto"/>
        <w:tabs>
          <w:tab w:leader="none" w:pos="1300"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This Amendment No. 4 shall serve as an amendment to that certain License and Services Agreement, dated September 24, 2010, by and between Ultragenyx and Buck Institute, as amended by Amendment No. 1 to License and Services Agreement, dated as of September 4, 2012, by Amendment No. 2 to License and Services Agreement (“</w:t>
      </w:r>
      <w:r>
        <w:rPr>
          <w:rFonts w:ascii="Arial" w:cs="Arial" w:eastAsia="Arial" w:hAnsi="Arial"/>
          <w:sz w:val="19"/>
          <w:szCs w:val="19"/>
          <w:b w:val="1"/>
          <w:bCs w:val="1"/>
          <w:color w:val="auto"/>
        </w:rPr>
        <w:t>Amendment No. 2</w:t>
      </w:r>
      <w:r>
        <w:rPr>
          <w:rFonts w:ascii="Arial" w:cs="Arial" w:eastAsia="Arial" w:hAnsi="Arial"/>
          <w:sz w:val="19"/>
          <w:szCs w:val="19"/>
          <w:color w:val="auto"/>
        </w:rPr>
        <w:t>”), effective as of September 15, 2014 and by Amendment No. 3 to License and Services Agreement (“</w:t>
      </w:r>
      <w:r>
        <w:rPr>
          <w:rFonts w:ascii="Arial" w:cs="Arial" w:eastAsia="Arial" w:hAnsi="Arial"/>
          <w:sz w:val="19"/>
          <w:szCs w:val="19"/>
          <w:b w:val="1"/>
          <w:bCs w:val="1"/>
          <w:color w:val="auto"/>
        </w:rPr>
        <w:t>Amendment No. 3</w:t>
      </w:r>
      <w:r>
        <w:rPr>
          <w:rFonts w:ascii="Arial" w:cs="Arial" w:eastAsia="Arial" w:hAnsi="Arial"/>
          <w:sz w:val="19"/>
          <w:szCs w:val="19"/>
          <w:color w:val="auto"/>
        </w:rPr>
        <w:t>”), effective as of September 21, 2015 (as so amended, the “</w:t>
      </w:r>
      <w:r>
        <w:rPr>
          <w:rFonts w:ascii="Arial" w:cs="Arial" w:eastAsia="Arial" w:hAnsi="Arial"/>
          <w:sz w:val="19"/>
          <w:szCs w:val="19"/>
          <w:b w:val="1"/>
          <w:bCs w:val="1"/>
          <w:color w:val="auto"/>
        </w:rPr>
        <w:t>Agreement</w:t>
      </w:r>
      <w:r>
        <w:rPr>
          <w:rFonts w:ascii="Arial" w:cs="Arial" w:eastAsia="Arial" w:hAnsi="Arial"/>
          <w:sz w:val="19"/>
          <w:szCs w:val="19"/>
          <w:color w:val="auto"/>
        </w:rPr>
        <w:t>”). Except as expressly modified hereby, the Agreement shall continue in full force according to its terms. Capitalized terms not otherwise defined in this Amendment No. 4 shall have the meanings ascribed to them in the Agreement.</w:t>
      </w:r>
    </w:p>
    <w:p>
      <w:pPr>
        <w:spacing w:after="0" w:line="146" w:lineRule="exact"/>
        <w:rPr>
          <w:rFonts w:ascii="Arial" w:cs="Arial" w:eastAsia="Arial" w:hAnsi="Arial"/>
          <w:sz w:val="19"/>
          <w:szCs w:val="19"/>
          <w:color w:val="auto"/>
        </w:rPr>
      </w:pPr>
    </w:p>
    <w:p>
      <w:pPr>
        <w:jc w:val="both"/>
        <w:ind w:left="1300" w:hanging="428"/>
        <w:spacing w:after="0" w:line="245" w:lineRule="auto"/>
        <w:tabs>
          <w:tab w:leader="none" w:pos="1300" w:val="left"/>
        </w:tabs>
        <w:numPr>
          <w:ilvl w:val="0"/>
          <w:numId w:val="87"/>
        </w:numPr>
        <w:rPr>
          <w:rFonts w:ascii="Arial" w:cs="Arial" w:eastAsia="Arial" w:hAnsi="Arial"/>
          <w:sz w:val="21"/>
          <w:szCs w:val="21"/>
          <w:color w:val="auto"/>
        </w:rPr>
      </w:pPr>
      <w:r>
        <w:rPr>
          <w:rFonts w:ascii="Arial" w:cs="Arial" w:eastAsia="Arial" w:hAnsi="Arial"/>
          <w:sz w:val="21"/>
          <w:szCs w:val="21"/>
          <w:color w:val="auto"/>
        </w:rPr>
        <w:t xml:space="preserve">In addition to the </w:t>
      </w:r>
      <w:r>
        <w:rPr>
          <w:rFonts w:ascii="Arial" w:cs="Arial" w:eastAsia="Arial" w:hAnsi="Arial"/>
          <w:sz w:val="21"/>
          <w:szCs w:val="21"/>
          <w:b w:val="1"/>
          <w:bCs w:val="1"/>
          <w:color w:val="auto"/>
        </w:rPr>
        <w:t>MS Space</w:t>
      </w:r>
      <w:r>
        <w:rPr>
          <w:rFonts w:ascii="Arial" w:cs="Arial" w:eastAsia="Arial" w:hAnsi="Arial"/>
          <w:sz w:val="21"/>
          <w:szCs w:val="21"/>
          <w:color w:val="auto"/>
        </w:rPr>
        <w:t xml:space="preserve"> Ultragenyx already occupies in the Core at the Facility, Ultragenyx wishes to include another one hundred square feet (100 sf) of exclusive space for the placement of a Second Mass Spectrometry machine (“</w:t>
      </w:r>
      <w:r>
        <w:rPr>
          <w:rFonts w:ascii="Arial" w:cs="Arial" w:eastAsia="Arial" w:hAnsi="Arial"/>
          <w:sz w:val="21"/>
          <w:szCs w:val="21"/>
          <w:b w:val="1"/>
          <w:bCs w:val="1"/>
          <w:color w:val="auto"/>
        </w:rPr>
        <w:t>MS2 Space</w:t>
      </w:r>
      <w:r>
        <w:rPr>
          <w:rFonts w:ascii="Arial" w:cs="Arial" w:eastAsia="Arial" w:hAnsi="Arial"/>
          <w:sz w:val="21"/>
          <w:szCs w:val="21"/>
          <w:color w:val="auto"/>
        </w:rPr>
        <w:t>”), the location of which shall be as designated in Attachment No. 1 and may be changed as necessary by mutual agreement between Ultragenyx and the director of the Core. Buck Institute shall provide a constant and reliable supply of high purity, high pressure N2 gas suitable for use in operation of MS instrumentation and emergency power shall commence within ten (10) minutes of a power failure. Room temperature, humidity, exhaust services and vibration will be controlled to a range meeting specifications for MS instrument operation, which specifications will be the same as for all Buck Institute owned instruments. Buck Institute shall accommodate reasonable electronic connections to the instruments in the MS Space and MS2 Space such electronic connections provided by Ultragenyx.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2891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6" w:name="page157"/>
    <w:bookmarkEnd w:id="156"/>
    <w:p>
      <w:pPr>
        <w:jc w:val="both"/>
        <w:ind w:left="428" w:hanging="428"/>
        <w:spacing w:after="0" w:line="238" w:lineRule="auto"/>
        <w:tabs>
          <w:tab w:leader="none" w:pos="428" w:val="left"/>
        </w:tabs>
        <w:numPr>
          <w:ilvl w:val="0"/>
          <w:numId w:val="88"/>
        </w:numPr>
        <w:rPr>
          <w:rFonts w:ascii="Arial" w:cs="Arial" w:eastAsia="Arial" w:hAnsi="Arial"/>
          <w:sz w:val="22"/>
          <w:szCs w:val="22"/>
          <w:color w:val="auto"/>
        </w:rPr>
      </w:pPr>
      <w:r>
        <w:rPr>
          <w:rFonts w:ascii="Arial" w:cs="Arial" w:eastAsia="Arial" w:hAnsi="Arial"/>
          <w:sz w:val="22"/>
          <w:szCs w:val="22"/>
          <w:color w:val="auto"/>
        </w:rPr>
        <w:t>For the use of the MS2 Space, Ultragenyx will pay an annual fee of $32,500 for the first year and of $30,000 for the following years, payable in equal monthly installments on the first day of each month during the Term. This sum shall be prorated for any partial months of the Term or until the MS2 Space is vacated, whichever occurs later. For clarity, this amount is in addition to the fee for MS Space.</w:t>
      </w:r>
    </w:p>
    <w:p>
      <w:pPr>
        <w:spacing w:after="0" w:line="185" w:lineRule="exact"/>
        <w:rPr>
          <w:rFonts w:ascii="Arial" w:cs="Arial" w:eastAsia="Arial" w:hAnsi="Arial"/>
          <w:sz w:val="22"/>
          <w:szCs w:val="22"/>
          <w:color w:val="auto"/>
        </w:rPr>
      </w:pPr>
    </w:p>
    <w:p>
      <w:pPr>
        <w:jc w:val="both"/>
        <w:ind w:left="428" w:hanging="428"/>
        <w:spacing w:after="0" w:line="236" w:lineRule="auto"/>
        <w:tabs>
          <w:tab w:leader="none" w:pos="428" w:val="left"/>
        </w:tabs>
        <w:numPr>
          <w:ilvl w:val="0"/>
          <w:numId w:val="88"/>
        </w:numPr>
        <w:rPr>
          <w:rFonts w:ascii="Arial" w:cs="Arial" w:eastAsia="Arial" w:hAnsi="Arial"/>
          <w:sz w:val="22"/>
          <w:szCs w:val="22"/>
          <w:color w:val="auto"/>
        </w:rPr>
      </w:pPr>
      <w:r>
        <w:rPr>
          <w:rFonts w:ascii="Arial" w:cs="Arial" w:eastAsia="Arial" w:hAnsi="Arial"/>
          <w:sz w:val="22"/>
          <w:szCs w:val="22"/>
          <w:color w:val="auto"/>
        </w:rPr>
        <w:t>As the placement of Ultragenyx Mass Spectrometer in the MS2 Space requires the move of one (1) Buck Institute Mass Spectrometry machine currently in the Core, Ultragenyx agrees to pay for the move of said machines by technical experts. For clarity, no improvements to the space are necessary for the relocated Buck Institute Mass Spectrometer machine. Costs incurred as required for the move shall be made by Ultragenyx directly to the company hired for such service.</w:t>
      </w:r>
    </w:p>
    <w:p>
      <w:pPr>
        <w:spacing w:after="0" w:line="187" w:lineRule="exact"/>
        <w:rPr>
          <w:rFonts w:ascii="Arial" w:cs="Arial" w:eastAsia="Arial" w:hAnsi="Arial"/>
          <w:sz w:val="22"/>
          <w:szCs w:val="22"/>
          <w:color w:val="auto"/>
        </w:rPr>
      </w:pPr>
    </w:p>
    <w:p>
      <w:pPr>
        <w:ind w:left="428" w:hanging="428"/>
        <w:spacing w:after="0" w:line="251" w:lineRule="auto"/>
        <w:tabs>
          <w:tab w:leader="none" w:pos="428"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This Amendment No. 4 shall inure to the benefit of and be binding upon the Parties and their respective heirs, successors, trustees, transferees and assigns.</w:t>
      </w:r>
    </w:p>
    <w:p>
      <w:pPr>
        <w:spacing w:after="0" w:line="173" w:lineRule="exact"/>
        <w:rPr>
          <w:rFonts w:ascii="Arial" w:cs="Arial" w:eastAsia="Arial" w:hAnsi="Arial"/>
          <w:sz w:val="22"/>
          <w:szCs w:val="22"/>
          <w:color w:val="auto"/>
        </w:rPr>
      </w:pPr>
    </w:p>
    <w:p>
      <w:pPr>
        <w:ind w:left="428" w:hanging="428"/>
        <w:spacing w:after="0" w:line="251" w:lineRule="auto"/>
        <w:tabs>
          <w:tab w:leader="none" w:pos="428" w:val="left"/>
        </w:tabs>
        <w:numPr>
          <w:ilvl w:val="0"/>
          <w:numId w:val="88"/>
        </w:numPr>
        <w:rPr>
          <w:rFonts w:ascii="Arial" w:cs="Arial" w:eastAsia="Arial" w:hAnsi="Arial"/>
          <w:sz w:val="22"/>
          <w:szCs w:val="22"/>
          <w:color w:val="auto"/>
        </w:rPr>
      </w:pPr>
      <w:r>
        <w:rPr>
          <w:rFonts w:ascii="Arial" w:cs="Arial" w:eastAsia="Arial" w:hAnsi="Arial"/>
          <w:sz w:val="22"/>
          <w:szCs w:val="22"/>
          <w:color w:val="auto"/>
        </w:rPr>
        <w:t>In the event of a conflict between the provisions of this Amendment No. 4 and the provisions of the Agreement, the provisions of this Amendment No. 4 shall control.</w:t>
      </w:r>
    </w:p>
    <w:p>
      <w:pPr>
        <w:spacing w:after="0" w:line="173" w:lineRule="exact"/>
        <w:rPr>
          <w:rFonts w:ascii="Arial" w:cs="Arial" w:eastAsia="Arial" w:hAnsi="Arial"/>
          <w:sz w:val="22"/>
          <w:szCs w:val="22"/>
          <w:color w:val="auto"/>
        </w:rPr>
      </w:pPr>
    </w:p>
    <w:p>
      <w:pPr>
        <w:ind w:left="428" w:right="20" w:hanging="428"/>
        <w:spacing w:after="0" w:line="251" w:lineRule="auto"/>
        <w:tabs>
          <w:tab w:leader="none" w:pos="428"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This Amendment No. 4 may be executed in any number of counterparts, each of which shall be deemed an original, but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76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346075</wp:posOffset>
            </wp:positionV>
            <wp:extent cx="72891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8"/>
          </w:cols>
          <w:pgMar w:left="1112" w:top="348" w:right="239" w:bottom="1440" w:gutter="0" w:footer="0" w:header="0"/>
        </w:sectPr>
      </w:pPr>
    </w:p>
    <w:bookmarkStart w:id="157" w:name="page158"/>
    <w:bookmarkEnd w:id="157"/>
    <w:p>
      <w:pPr>
        <w:ind w:right="20" w:firstLine="1317"/>
        <w:spacing w:after="0" w:line="328" w:lineRule="auto"/>
        <w:rPr>
          <w:sz w:val="20"/>
          <w:szCs w:val="20"/>
          <w:color w:val="auto"/>
        </w:rPr>
      </w:pPr>
      <w:r>
        <w:rPr>
          <w:rFonts w:ascii="Arial" w:cs="Arial" w:eastAsia="Arial" w:hAnsi="Arial"/>
          <w:sz w:val="19"/>
          <w:szCs w:val="19"/>
          <w:color w:val="auto"/>
        </w:rPr>
        <w:t>IN WITNESS WHEREOF, the Parties, intending to be legally bound hereby, have caused this Amendment No. 4 to be executed and delivered by their proper and duly authorized officers effective as of the Amendment No. 4 Effective Date.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6640" w:type="dxa"/>
            <w:vAlign w:val="bottom"/>
            <w:gridSpan w:val="2"/>
          </w:tcPr>
          <w:p>
            <w:pPr>
              <w:spacing w:after="0"/>
              <w:rPr>
                <w:sz w:val="20"/>
                <w:szCs w:val="20"/>
                <w:color w:val="auto"/>
              </w:rPr>
            </w:pPr>
            <w:r>
              <w:rPr>
                <w:rFonts w:ascii="Arial" w:cs="Arial" w:eastAsia="Arial" w:hAnsi="Arial"/>
                <w:sz w:val="22"/>
                <w:szCs w:val="22"/>
                <w:b w:val="1"/>
                <w:bCs w:val="1"/>
                <w:color w:val="auto"/>
              </w:rPr>
              <w:t>The Buck Institute for Research on Aging</w:t>
            </w:r>
          </w:p>
        </w:tc>
        <w:tc>
          <w:tcPr>
            <w:tcW w:w="4780" w:type="dxa"/>
            <w:vAlign w:val="bottom"/>
          </w:tcPr>
          <w:p>
            <w:pPr>
              <w:spacing w:after="0"/>
              <w:rPr>
                <w:sz w:val="20"/>
                <w:szCs w:val="20"/>
                <w:color w:val="auto"/>
              </w:rPr>
            </w:pPr>
            <w:r>
              <w:rPr>
                <w:rFonts w:ascii="Arial" w:cs="Arial" w:eastAsia="Arial" w:hAnsi="Arial"/>
                <w:sz w:val="22"/>
                <w:szCs w:val="22"/>
                <w:b w:val="1"/>
                <w:bCs w:val="1"/>
                <w:color w:val="auto"/>
              </w:rPr>
              <w:t>Ultragenyx Pharmaceutical Inc.</w:t>
            </w:r>
          </w:p>
        </w:tc>
        <w:tc>
          <w:tcPr>
            <w:tcW w:w="20" w:type="dxa"/>
            <w:vAlign w:val="bottom"/>
          </w:tcPr>
          <w:p>
            <w:pPr>
              <w:spacing w:after="0"/>
              <w:rPr>
                <w:sz w:val="24"/>
                <w:szCs w:val="24"/>
                <w:color w:val="auto"/>
              </w:rPr>
            </w:pPr>
          </w:p>
        </w:tc>
      </w:tr>
      <w:tr>
        <w:trPr>
          <w:trHeight w:val="476"/>
        </w:trPr>
        <w:tc>
          <w:tcPr>
            <w:tcW w:w="64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Remy Gross III</w:t>
            </w:r>
          </w:p>
        </w:tc>
        <w:tc>
          <w:tcPr>
            <w:tcW w:w="240" w:type="dxa"/>
            <w:vAlign w:val="bottom"/>
          </w:tcPr>
          <w:p>
            <w:pPr>
              <w:spacing w:after="0"/>
              <w:rPr>
                <w:sz w:val="24"/>
                <w:szCs w:val="24"/>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Tom Kassberg</w:t>
            </w:r>
          </w:p>
        </w:tc>
        <w:tc>
          <w:tcPr>
            <w:tcW w:w="20" w:type="dxa"/>
            <w:vAlign w:val="bottom"/>
          </w:tcPr>
          <w:p>
            <w:pPr>
              <w:spacing w:after="0"/>
              <w:rPr>
                <w:sz w:val="24"/>
                <w:szCs w:val="24"/>
                <w:color w:val="auto"/>
              </w:rPr>
            </w:pPr>
          </w:p>
        </w:tc>
      </w:tr>
      <w:tr>
        <w:trPr>
          <w:trHeight w:val="490"/>
        </w:trPr>
        <w:tc>
          <w:tcPr>
            <w:tcW w:w="6640" w:type="dxa"/>
            <w:vAlign w:val="bottom"/>
            <w:gridSpan w:val="2"/>
          </w:tcPr>
          <w:p>
            <w:pPr>
              <w:spacing w:after="0"/>
              <w:rPr>
                <w:sz w:val="20"/>
                <w:szCs w:val="20"/>
                <w:color w:val="auto"/>
              </w:rPr>
            </w:pPr>
            <w:r>
              <w:rPr>
                <w:rFonts w:ascii="Arial" w:cs="Arial" w:eastAsia="Arial" w:hAnsi="Arial"/>
                <w:sz w:val="22"/>
                <w:szCs w:val="22"/>
                <w:color w:val="auto"/>
              </w:rPr>
              <w:t>By:  Remy Gross III</w:t>
            </w:r>
          </w:p>
        </w:tc>
        <w:tc>
          <w:tcPr>
            <w:tcW w:w="4780" w:type="dxa"/>
            <w:vAlign w:val="bottom"/>
          </w:tcPr>
          <w:p>
            <w:pPr>
              <w:spacing w:after="0"/>
              <w:rPr>
                <w:sz w:val="20"/>
                <w:szCs w:val="20"/>
                <w:color w:val="auto"/>
              </w:rPr>
            </w:pPr>
            <w:r>
              <w:rPr>
                <w:rFonts w:ascii="Arial" w:cs="Arial" w:eastAsia="Arial" w:hAnsi="Arial"/>
                <w:sz w:val="22"/>
                <w:szCs w:val="22"/>
                <w:color w:val="auto"/>
              </w:rPr>
              <w:t>By: Tom Kassberg</w:t>
            </w:r>
          </w:p>
        </w:tc>
        <w:tc>
          <w:tcPr>
            <w:tcW w:w="20" w:type="dxa"/>
            <w:vAlign w:val="bottom"/>
          </w:tcPr>
          <w:p>
            <w:pPr>
              <w:spacing w:after="0"/>
              <w:rPr>
                <w:sz w:val="24"/>
                <w:szCs w:val="24"/>
                <w:color w:val="auto"/>
              </w:rPr>
            </w:pPr>
          </w:p>
        </w:tc>
      </w:tr>
      <w:tr>
        <w:trPr>
          <w:trHeight w:val="486"/>
        </w:trPr>
        <w:tc>
          <w:tcPr>
            <w:tcW w:w="6640" w:type="dxa"/>
            <w:vAlign w:val="bottom"/>
            <w:gridSpan w:val="2"/>
          </w:tcPr>
          <w:p>
            <w:pPr>
              <w:spacing w:after="0"/>
              <w:rPr>
                <w:sz w:val="20"/>
                <w:szCs w:val="20"/>
                <w:color w:val="auto"/>
              </w:rPr>
            </w:pPr>
            <w:r>
              <w:rPr>
                <w:rFonts w:ascii="Arial" w:cs="Arial" w:eastAsia="Arial" w:hAnsi="Arial"/>
                <w:sz w:val="22"/>
                <w:szCs w:val="22"/>
                <w:color w:val="auto"/>
              </w:rPr>
              <w:t>Title: VP Business Development</w:t>
            </w:r>
          </w:p>
        </w:tc>
        <w:tc>
          <w:tcPr>
            <w:tcW w:w="4780" w:type="dxa"/>
            <w:vAlign w:val="bottom"/>
          </w:tcPr>
          <w:p>
            <w:pPr>
              <w:spacing w:after="0"/>
              <w:rPr>
                <w:sz w:val="20"/>
                <w:szCs w:val="20"/>
                <w:color w:val="auto"/>
              </w:rPr>
            </w:pPr>
            <w:r>
              <w:rPr>
                <w:rFonts w:ascii="Arial" w:cs="Arial" w:eastAsia="Arial" w:hAnsi="Arial"/>
                <w:sz w:val="22"/>
                <w:szCs w:val="22"/>
                <w:color w:val="auto"/>
              </w:rPr>
              <w:t>Title: Chief Business Officer</w:t>
            </w:r>
          </w:p>
        </w:tc>
        <w:tc>
          <w:tcPr>
            <w:tcW w:w="20" w:type="dxa"/>
            <w:vAlign w:val="bottom"/>
          </w:tcPr>
          <w:p>
            <w:pPr>
              <w:spacing w:after="0"/>
              <w:rPr>
                <w:sz w:val="24"/>
                <w:szCs w:val="24"/>
                <w:color w:val="auto"/>
              </w:rPr>
            </w:pPr>
          </w:p>
        </w:tc>
      </w:tr>
      <w:tr>
        <w:trPr>
          <w:trHeight w:val="1023"/>
        </w:trPr>
        <w:tc>
          <w:tcPr>
            <w:tcW w:w="6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8" w:right="21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9"/>
          <w:szCs w:val="19"/>
          <w:b w:val="1"/>
          <w:bCs w:val="1"/>
          <w:color w:val="auto"/>
        </w:rPr>
        <w:t>Attachment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170180</wp:posOffset>
            </wp:positionV>
            <wp:extent cx="5351145" cy="39192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351145" cy="3919220"/>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Subsidiaries of Ultragenyx Pharmaceutical Inc.</w:t>
      </w:r>
    </w:p>
    <w:p>
      <w:pPr>
        <w:spacing w:after="0" w:line="166"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60" w:type="dxa"/>
            <w:vAlign w:val="bottom"/>
            <w:gridSpan w:val="2"/>
          </w:tcPr>
          <w:p>
            <w:pPr>
              <w:ind w:left="1300"/>
              <w:spacing w:after="0"/>
              <w:rPr>
                <w:sz w:val="20"/>
                <w:szCs w:val="20"/>
                <w:color w:val="auto"/>
              </w:rPr>
            </w:pPr>
            <w:r>
              <w:rPr>
                <w:rFonts w:ascii="Arial" w:cs="Arial" w:eastAsia="Arial" w:hAnsi="Arial"/>
                <w:sz w:val="18"/>
                <w:szCs w:val="18"/>
                <w:b w:val="1"/>
                <w:bCs w:val="1"/>
                <w:color w:val="auto"/>
              </w:rPr>
              <w:t>Name of Subsidiary</w:t>
            </w:r>
          </w:p>
        </w:tc>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91"/>
              </w:rPr>
              <w:t>Jurisdiction of Incorporation</w:t>
            </w:r>
          </w:p>
        </w:tc>
      </w:tr>
      <w:tr>
        <w:trPr>
          <w:trHeight w:val="195"/>
        </w:trPr>
        <w:tc>
          <w:tcPr>
            <w:tcW w:w="20" w:type="dxa"/>
            <w:vAlign w:val="bottom"/>
          </w:tcPr>
          <w:p>
            <w:pPr>
              <w:spacing w:after="0"/>
              <w:rPr>
                <w:sz w:val="16"/>
                <w:szCs w:val="16"/>
                <w:color w:val="auto"/>
              </w:rPr>
            </w:pPr>
          </w:p>
        </w:tc>
        <w:tc>
          <w:tcPr>
            <w:tcW w:w="4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Ultragenyx Holdco LLC</w:t>
            </w:r>
          </w:p>
        </w:tc>
        <w:tc>
          <w:tcPr>
            <w:tcW w:w="720" w:type="dxa"/>
            <w:vAlign w:val="bottom"/>
          </w:tcPr>
          <w:p>
            <w:pPr>
              <w:spacing w:after="0"/>
              <w:rPr>
                <w:sz w:val="16"/>
                <w:szCs w:val="16"/>
                <w:color w:val="auto"/>
              </w:rPr>
            </w:pPr>
          </w:p>
        </w:tc>
        <w:tc>
          <w:tcPr>
            <w:tcW w:w="3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Delaware</w:t>
            </w:r>
          </w:p>
        </w:tc>
      </w:tr>
      <w:tr>
        <w:trPr>
          <w:trHeight w:val="216"/>
        </w:trPr>
        <w:tc>
          <w:tcPr>
            <w:tcW w:w="4880" w:type="dxa"/>
            <w:vAlign w:val="bottom"/>
            <w:gridSpan w:val="3"/>
          </w:tcPr>
          <w:p>
            <w:pPr>
              <w:spacing w:after="0"/>
              <w:rPr>
                <w:sz w:val="20"/>
                <w:szCs w:val="20"/>
                <w:color w:val="auto"/>
              </w:rPr>
            </w:pPr>
            <w:r>
              <w:rPr>
                <w:rFonts w:ascii="Arial" w:cs="Arial" w:eastAsia="Arial" w:hAnsi="Arial"/>
                <w:sz w:val="18"/>
                <w:szCs w:val="18"/>
                <w:color w:val="auto"/>
              </w:rPr>
              <w:t>Ultragenyx UK Ltd</w:t>
            </w:r>
          </w:p>
        </w:tc>
        <w:tc>
          <w:tcPr>
            <w:tcW w:w="390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r>
      <w:tr>
        <w:trPr>
          <w:trHeight w:val="216"/>
        </w:trPr>
        <w:tc>
          <w:tcPr>
            <w:tcW w:w="4880" w:type="dxa"/>
            <w:vAlign w:val="bottom"/>
            <w:gridSpan w:val="3"/>
          </w:tcPr>
          <w:p>
            <w:pPr>
              <w:spacing w:after="0"/>
              <w:rPr>
                <w:sz w:val="20"/>
                <w:szCs w:val="20"/>
                <w:color w:val="auto"/>
              </w:rPr>
            </w:pPr>
            <w:r>
              <w:rPr>
                <w:rFonts w:ascii="Arial" w:cs="Arial" w:eastAsia="Arial" w:hAnsi="Arial"/>
                <w:sz w:val="18"/>
                <w:szCs w:val="18"/>
                <w:color w:val="auto"/>
              </w:rPr>
              <w:t>Ultragenyx International Ltd.</w:t>
            </w:r>
          </w:p>
        </w:tc>
        <w:tc>
          <w:tcPr>
            <w:tcW w:w="3900" w:type="dxa"/>
            <w:vAlign w:val="bottom"/>
          </w:tcPr>
          <w:p>
            <w:pPr>
              <w:jc w:val="center"/>
              <w:spacing w:after="0"/>
              <w:rPr>
                <w:sz w:val="20"/>
                <w:szCs w:val="20"/>
                <w:color w:val="auto"/>
              </w:rPr>
            </w:pPr>
            <w:r>
              <w:rPr>
                <w:rFonts w:ascii="Arial" w:cs="Arial" w:eastAsia="Arial" w:hAnsi="Arial"/>
                <w:sz w:val="18"/>
                <w:szCs w:val="18"/>
                <w:color w:val="auto"/>
                <w:w w:val="88"/>
              </w:rPr>
              <w:t>Cayman Islands</w:t>
            </w:r>
          </w:p>
        </w:tc>
      </w:tr>
      <w:tr>
        <w:trPr>
          <w:trHeight w:val="216"/>
        </w:trPr>
        <w:tc>
          <w:tcPr>
            <w:tcW w:w="4880" w:type="dxa"/>
            <w:vAlign w:val="bottom"/>
            <w:gridSpan w:val="3"/>
          </w:tcPr>
          <w:p>
            <w:pPr>
              <w:spacing w:after="0"/>
              <w:rPr>
                <w:sz w:val="20"/>
                <w:szCs w:val="20"/>
                <w:color w:val="auto"/>
              </w:rPr>
            </w:pPr>
            <w:r>
              <w:rPr>
                <w:rFonts w:ascii="Arial" w:cs="Arial" w:eastAsia="Arial" w:hAnsi="Arial"/>
                <w:sz w:val="18"/>
                <w:szCs w:val="18"/>
                <w:color w:val="auto"/>
              </w:rPr>
              <w:t>Ultragenyx International UX001 Ltd.</w:t>
            </w:r>
          </w:p>
        </w:tc>
        <w:tc>
          <w:tcPr>
            <w:tcW w:w="3900" w:type="dxa"/>
            <w:vAlign w:val="bottom"/>
          </w:tcPr>
          <w:p>
            <w:pPr>
              <w:jc w:val="center"/>
              <w:spacing w:after="0"/>
              <w:rPr>
                <w:sz w:val="20"/>
                <w:szCs w:val="20"/>
                <w:color w:val="auto"/>
              </w:rPr>
            </w:pPr>
            <w:r>
              <w:rPr>
                <w:rFonts w:ascii="Arial" w:cs="Arial" w:eastAsia="Arial" w:hAnsi="Arial"/>
                <w:sz w:val="18"/>
                <w:szCs w:val="18"/>
                <w:color w:val="auto"/>
                <w:w w:val="88"/>
              </w:rPr>
              <w:t>Cayman Islands</w:t>
            </w:r>
          </w:p>
        </w:tc>
      </w:tr>
      <w:tr>
        <w:trPr>
          <w:trHeight w:val="216"/>
        </w:trPr>
        <w:tc>
          <w:tcPr>
            <w:tcW w:w="4880" w:type="dxa"/>
            <w:vAlign w:val="bottom"/>
            <w:gridSpan w:val="3"/>
          </w:tcPr>
          <w:p>
            <w:pPr>
              <w:spacing w:after="0"/>
              <w:rPr>
                <w:sz w:val="20"/>
                <w:szCs w:val="20"/>
                <w:color w:val="auto"/>
              </w:rPr>
            </w:pPr>
            <w:r>
              <w:rPr>
                <w:rFonts w:ascii="Arial" w:cs="Arial" w:eastAsia="Arial" w:hAnsi="Arial"/>
                <w:sz w:val="18"/>
                <w:szCs w:val="18"/>
                <w:color w:val="auto"/>
              </w:rPr>
              <w:t>Ultragenyx International UX003 Ltd.</w:t>
            </w:r>
          </w:p>
        </w:tc>
        <w:tc>
          <w:tcPr>
            <w:tcW w:w="3900" w:type="dxa"/>
            <w:vAlign w:val="bottom"/>
          </w:tcPr>
          <w:p>
            <w:pPr>
              <w:jc w:val="center"/>
              <w:spacing w:after="0"/>
              <w:rPr>
                <w:sz w:val="20"/>
                <w:szCs w:val="20"/>
                <w:color w:val="auto"/>
              </w:rPr>
            </w:pPr>
            <w:r>
              <w:rPr>
                <w:rFonts w:ascii="Arial" w:cs="Arial" w:eastAsia="Arial" w:hAnsi="Arial"/>
                <w:sz w:val="18"/>
                <w:szCs w:val="18"/>
                <w:color w:val="auto"/>
                <w:w w:val="88"/>
              </w:rPr>
              <w:t>Cayman Islands</w:t>
            </w:r>
          </w:p>
        </w:tc>
      </w:tr>
      <w:tr>
        <w:trPr>
          <w:trHeight w:val="216"/>
        </w:trPr>
        <w:tc>
          <w:tcPr>
            <w:tcW w:w="4880" w:type="dxa"/>
            <w:vAlign w:val="bottom"/>
            <w:gridSpan w:val="3"/>
          </w:tcPr>
          <w:p>
            <w:pPr>
              <w:spacing w:after="0"/>
              <w:rPr>
                <w:sz w:val="20"/>
                <w:szCs w:val="20"/>
                <w:color w:val="auto"/>
              </w:rPr>
            </w:pPr>
            <w:r>
              <w:rPr>
                <w:rFonts w:ascii="Arial" w:cs="Arial" w:eastAsia="Arial" w:hAnsi="Arial"/>
                <w:sz w:val="18"/>
                <w:szCs w:val="18"/>
                <w:color w:val="auto"/>
              </w:rPr>
              <w:t>Ultragenyx International UX007 Ltd.</w:t>
            </w:r>
          </w:p>
        </w:tc>
        <w:tc>
          <w:tcPr>
            <w:tcW w:w="3900" w:type="dxa"/>
            <w:vAlign w:val="bottom"/>
          </w:tcPr>
          <w:p>
            <w:pPr>
              <w:jc w:val="center"/>
              <w:spacing w:after="0"/>
              <w:rPr>
                <w:sz w:val="20"/>
                <w:szCs w:val="20"/>
                <w:color w:val="auto"/>
              </w:rPr>
            </w:pPr>
            <w:r>
              <w:rPr>
                <w:rFonts w:ascii="Arial" w:cs="Arial" w:eastAsia="Arial" w:hAnsi="Arial"/>
                <w:sz w:val="18"/>
                <w:szCs w:val="18"/>
                <w:color w:val="auto"/>
                <w:w w:val="88"/>
              </w:rPr>
              <w:t>Cayman Islands</w:t>
            </w:r>
          </w:p>
        </w:tc>
      </w:tr>
      <w:tr>
        <w:trPr>
          <w:trHeight w:val="216"/>
        </w:trPr>
        <w:tc>
          <w:tcPr>
            <w:tcW w:w="4880" w:type="dxa"/>
            <w:vAlign w:val="bottom"/>
            <w:gridSpan w:val="3"/>
          </w:tcPr>
          <w:p>
            <w:pPr>
              <w:spacing w:after="0"/>
              <w:rPr>
                <w:sz w:val="20"/>
                <w:szCs w:val="20"/>
                <w:color w:val="auto"/>
              </w:rPr>
            </w:pPr>
            <w:r>
              <w:rPr>
                <w:rFonts w:ascii="Arial" w:cs="Arial" w:eastAsia="Arial" w:hAnsi="Arial"/>
                <w:sz w:val="18"/>
                <w:szCs w:val="18"/>
                <w:color w:val="auto"/>
              </w:rPr>
              <w:t>Ultragenyx International UX023 Ltd.</w:t>
            </w:r>
          </w:p>
        </w:tc>
        <w:tc>
          <w:tcPr>
            <w:tcW w:w="3900" w:type="dxa"/>
            <w:vAlign w:val="bottom"/>
          </w:tcPr>
          <w:p>
            <w:pPr>
              <w:jc w:val="center"/>
              <w:spacing w:after="0"/>
              <w:rPr>
                <w:sz w:val="20"/>
                <w:szCs w:val="20"/>
                <w:color w:val="auto"/>
              </w:rPr>
            </w:pPr>
            <w:r>
              <w:rPr>
                <w:rFonts w:ascii="Arial" w:cs="Arial" w:eastAsia="Arial" w:hAnsi="Arial"/>
                <w:sz w:val="18"/>
                <w:szCs w:val="18"/>
                <w:color w:val="auto"/>
                <w:w w:val="88"/>
              </w:rPr>
              <w:t>Cayman Islands</w:t>
            </w:r>
          </w:p>
        </w:tc>
      </w:tr>
      <w:tr>
        <w:trPr>
          <w:trHeight w:val="216"/>
        </w:trPr>
        <w:tc>
          <w:tcPr>
            <w:tcW w:w="4880" w:type="dxa"/>
            <w:vAlign w:val="bottom"/>
            <w:gridSpan w:val="3"/>
          </w:tcPr>
          <w:p>
            <w:pPr>
              <w:spacing w:after="0"/>
              <w:rPr>
                <w:sz w:val="20"/>
                <w:szCs w:val="20"/>
                <w:color w:val="auto"/>
              </w:rPr>
            </w:pPr>
            <w:r>
              <w:rPr>
                <w:rFonts w:ascii="Arial" w:cs="Arial" w:eastAsia="Arial" w:hAnsi="Arial"/>
                <w:sz w:val="18"/>
                <w:szCs w:val="18"/>
                <w:color w:val="auto"/>
              </w:rPr>
              <w:t>Ultragenyx Europe GmbH</w:t>
            </w:r>
          </w:p>
        </w:tc>
        <w:tc>
          <w:tcPr>
            <w:tcW w:w="3900" w:type="dxa"/>
            <w:vAlign w:val="bottom"/>
          </w:tcPr>
          <w:p>
            <w:pPr>
              <w:jc w:val="center"/>
              <w:spacing w:after="0"/>
              <w:rPr>
                <w:sz w:val="20"/>
                <w:szCs w:val="20"/>
                <w:color w:val="auto"/>
              </w:rPr>
            </w:pPr>
            <w:r>
              <w:rPr>
                <w:rFonts w:ascii="Arial" w:cs="Arial" w:eastAsia="Arial" w:hAnsi="Arial"/>
                <w:sz w:val="18"/>
                <w:szCs w:val="18"/>
                <w:color w:val="auto"/>
                <w:w w:val="92"/>
              </w:rPr>
              <w:t>Switzerland</w:t>
            </w:r>
          </w:p>
        </w:tc>
      </w:tr>
      <w:tr>
        <w:trPr>
          <w:trHeight w:val="230"/>
        </w:trPr>
        <w:tc>
          <w:tcPr>
            <w:tcW w:w="4880" w:type="dxa"/>
            <w:vAlign w:val="bottom"/>
            <w:gridSpan w:val="3"/>
          </w:tcPr>
          <w:p>
            <w:pPr>
              <w:spacing w:after="0"/>
              <w:rPr>
                <w:sz w:val="20"/>
                <w:szCs w:val="20"/>
                <w:color w:val="auto"/>
              </w:rPr>
            </w:pPr>
            <w:r>
              <w:rPr>
                <w:rFonts w:ascii="Arial" w:cs="Arial" w:eastAsia="Arial" w:hAnsi="Arial"/>
                <w:sz w:val="18"/>
                <w:szCs w:val="18"/>
                <w:color w:val="auto"/>
              </w:rPr>
              <w:t>Ultragenyx Germany GmbH</w:t>
            </w:r>
          </w:p>
        </w:tc>
        <w:tc>
          <w:tcPr>
            <w:tcW w:w="3900" w:type="dxa"/>
            <w:vAlign w:val="bottom"/>
          </w:tcPr>
          <w:p>
            <w:pPr>
              <w:jc w:val="center"/>
              <w:spacing w:after="0"/>
              <w:rPr>
                <w:sz w:val="20"/>
                <w:szCs w:val="20"/>
                <w:color w:val="auto"/>
              </w:rPr>
            </w:pPr>
            <w:r>
              <w:rPr>
                <w:rFonts w:ascii="Arial" w:cs="Arial" w:eastAsia="Arial" w:hAnsi="Arial"/>
                <w:sz w:val="18"/>
                <w:szCs w:val="18"/>
                <w:color w:val="auto"/>
                <w:w w:val="89"/>
              </w:rPr>
              <w:t>Germany</w:t>
            </w:r>
          </w:p>
        </w:tc>
      </w:tr>
    </w:tbl>
    <w:p>
      <w:pPr>
        <w:sectPr>
          <w:pgSz w:w="11900" w:h="16838" w:orient="portrait"/>
          <w:cols w:equalWidth="0" w:num="1">
            <w:col w:w="10220"/>
          </w:cols>
          <w:pgMar w:left="1440" w:top="121"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17" w:lineRule="exact"/>
        <w:rPr>
          <w:sz w:val="20"/>
          <w:szCs w:val="20"/>
          <w:color w:val="auto"/>
        </w:rPr>
      </w:pPr>
    </w:p>
    <w:p>
      <w:pPr>
        <w:ind w:left="280" w:hanging="248"/>
        <w:spacing w:after="0"/>
        <w:tabs>
          <w:tab w:leader="none" w:pos="2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Registration Statement (Form S-3 No. 333-201838) of Ultragenyx Pharmaceutical Inc., and</w:t>
      </w:r>
    </w:p>
    <w:p>
      <w:pPr>
        <w:spacing w:after="0" w:line="117" w:lineRule="exact"/>
        <w:rPr>
          <w:rFonts w:ascii="Arial" w:cs="Arial" w:eastAsia="Arial" w:hAnsi="Arial"/>
          <w:sz w:val="18"/>
          <w:szCs w:val="18"/>
          <w:color w:val="auto"/>
        </w:rPr>
      </w:pPr>
    </w:p>
    <w:p>
      <w:pPr>
        <w:ind w:left="300" w:right="520" w:hanging="285"/>
        <w:spacing w:after="0" w:line="277" w:lineRule="auto"/>
        <w:tabs>
          <w:tab w:leader="none" w:pos="277"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Registration Statement (Form S-8 Nos. 333-201843, 333-194773, and 333-209729) pertaining to the 2011 Equity Incentive Plan, as amended, 2014 Incentive Plan and 2014 Employee Stock Purchase Plan of Ultragenyx Pharmaceutical Inc.;</w:t>
      </w:r>
    </w:p>
    <w:p>
      <w:pPr>
        <w:spacing w:after="0" w:line="62" w:lineRule="exact"/>
        <w:rPr>
          <w:sz w:val="20"/>
          <w:szCs w:val="20"/>
          <w:color w:val="auto"/>
        </w:rPr>
      </w:pPr>
    </w:p>
    <w:p>
      <w:pPr>
        <w:jc w:val="both"/>
        <w:ind w:left="300" w:right="220"/>
        <w:spacing w:after="0" w:line="264" w:lineRule="auto"/>
        <w:rPr>
          <w:sz w:val="20"/>
          <w:szCs w:val="20"/>
          <w:color w:val="auto"/>
        </w:rPr>
      </w:pPr>
      <w:r>
        <w:rPr>
          <w:rFonts w:ascii="Arial" w:cs="Arial" w:eastAsia="Arial" w:hAnsi="Arial"/>
          <w:sz w:val="18"/>
          <w:szCs w:val="18"/>
          <w:color w:val="auto"/>
        </w:rPr>
        <w:t>of our reports dated February 16, 2017, with respect to the consolidated financial statements of Ultragenyx Pharmaceutical Inc. and the effectiveness of internal control over financial reporting of Ultragenyx Pharmaceutical Inc. included in this Annual Report (Form 10-K) of Ultragenyx Pharmaceutical Inc. for the year ended December 31,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2017</w:t>
      </w:r>
    </w:p>
    <w:p>
      <w:pPr>
        <w:sectPr>
          <w:pgSz w:w="11900" w:h="16838" w:orient="portrait"/>
          <w:cols w:equalWidth="0" w:num="1">
            <w:col w:w="11420"/>
          </w:cols>
          <w:pgMar w:left="240" w:top="337"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Emil D. Kakkis, certify that:</w:t>
      </w:r>
    </w:p>
    <w:p>
      <w:pPr>
        <w:spacing w:after="0" w:line="117" w:lineRule="exact"/>
        <w:rPr>
          <w:sz w:val="20"/>
          <w:szCs w:val="20"/>
          <w:color w:val="auto"/>
        </w:rPr>
      </w:pPr>
    </w:p>
    <w:p>
      <w:pPr>
        <w:ind w:left="520" w:hanging="512"/>
        <w:spacing w:after="0"/>
        <w:tabs>
          <w:tab w:leader="none" w:pos="5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Ultragenyx Pharmaceutical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9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860" w:type="dxa"/>
            <w:vAlign w:val="bottom"/>
          </w:tcPr>
          <w:p>
            <w:pPr>
              <w:spacing w:after="0"/>
              <w:rPr>
                <w:sz w:val="20"/>
                <w:szCs w:val="20"/>
                <w:color w:val="auto"/>
              </w:rPr>
            </w:pPr>
            <w:r>
              <w:rPr>
                <w:rFonts w:ascii="Arial" w:cs="Arial" w:eastAsia="Arial" w:hAnsi="Arial"/>
                <w:sz w:val="18"/>
                <w:szCs w:val="18"/>
                <w:color w:val="auto"/>
              </w:rPr>
              <w:t>Dated: February 16, 2017</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Emil D Kakkis</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Emil D. Kakkis, M.D., Ph.D.</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Shalini Sharp, certify that:</w:t>
      </w:r>
    </w:p>
    <w:p>
      <w:pPr>
        <w:spacing w:after="0" w:line="117" w:lineRule="exact"/>
        <w:rPr>
          <w:sz w:val="20"/>
          <w:szCs w:val="20"/>
          <w:color w:val="auto"/>
        </w:rPr>
      </w:pPr>
    </w:p>
    <w:p>
      <w:pPr>
        <w:ind w:left="520" w:hanging="512"/>
        <w:spacing w:after="0"/>
        <w:tabs>
          <w:tab w:leader="none" w:pos="5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Ultragenyx Pharmaceutical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9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860" w:type="dxa"/>
            <w:vAlign w:val="bottom"/>
          </w:tcPr>
          <w:p>
            <w:pPr>
              <w:spacing w:after="0"/>
              <w:rPr>
                <w:sz w:val="20"/>
                <w:szCs w:val="20"/>
                <w:color w:val="auto"/>
              </w:rPr>
            </w:pPr>
            <w:r>
              <w:rPr>
                <w:rFonts w:ascii="Arial" w:cs="Arial" w:eastAsia="Arial" w:hAnsi="Arial"/>
                <w:sz w:val="18"/>
                <w:szCs w:val="18"/>
                <w:color w:val="auto"/>
              </w:rPr>
              <w:t>Dated: February 16, 2017</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Shalini Sharp</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Shalini Sharp</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 and Executive Vice President</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21"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 (18 U.S.C. SECTION 1350)</w:t>
      </w:r>
    </w:p>
    <w:p>
      <w:pPr>
        <w:spacing w:after="0" w:line="211" w:lineRule="exact"/>
        <w:rPr>
          <w:sz w:val="20"/>
          <w:szCs w:val="20"/>
          <w:color w:val="auto"/>
        </w:rPr>
      </w:pPr>
    </w:p>
    <w:p>
      <w:pPr>
        <w:ind w:right="300" w:firstLine="678"/>
        <w:spacing w:after="0" w:line="259" w:lineRule="auto"/>
        <w:rPr>
          <w:sz w:val="20"/>
          <w:szCs w:val="20"/>
          <w:color w:val="auto"/>
        </w:rPr>
      </w:pPr>
      <w:r>
        <w:rPr>
          <w:rFonts w:ascii="Arial" w:cs="Arial" w:eastAsia="Arial" w:hAnsi="Arial"/>
          <w:sz w:val="18"/>
          <w:szCs w:val="18"/>
          <w:color w:val="auto"/>
        </w:rPr>
        <w:t>In connection with the accompanying Annual Report of Ultragenyx Pharmaceutical Inc. (the “Company”) on Form 10-K for the year ended December 31, 2016 (the “Report”), I, Emil D. Kakkis, M.D., Ph.D., as President and Chief Executive Officer of the Company, and Shalini Sharp, as Chief Financial Officer and Executive Vice President of the Company, certify, pursuant to 18 U.S.C. Section 1350, as adopted pursuant to Section 906 of the Sarbanes-Oxley Act of 2002, that:</w:t>
      </w:r>
    </w:p>
    <w:p>
      <w:pPr>
        <w:spacing w:after="0" w:line="79" w:lineRule="exact"/>
        <w:rPr>
          <w:sz w:val="20"/>
          <w:szCs w:val="20"/>
          <w:color w:val="auto"/>
        </w:rPr>
      </w:pPr>
    </w:p>
    <w:p>
      <w:pPr>
        <w:ind w:left="260" w:hanging="252"/>
        <w:spacing w:after="0"/>
        <w:tabs>
          <w:tab w:leader="none" w:pos="2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Dated: February 16, 2017</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Emil D. Kakkis</w:t>
            </w:r>
          </w:p>
        </w:tc>
      </w:tr>
      <w:tr>
        <w:trPr>
          <w:trHeight w:val="195"/>
        </w:trPr>
        <w:tc>
          <w:tcPr>
            <w:tcW w:w="7080" w:type="dxa"/>
            <w:vAlign w:val="bottom"/>
          </w:tcPr>
          <w:p>
            <w:pPr>
              <w:spacing w:after="0"/>
              <w:rPr>
                <w:sz w:val="16"/>
                <w:szCs w:val="16"/>
                <w:color w:val="auto"/>
              </w:rPr>
            </w:pPr>
          </w:p>
        </w:tc>
        <w:tc>
          <w:tcPr>
            <w:tcW w:w="4340" w:type="dxa"/>
            <w:vAlign w:val="bottom"/>
          </w:tcPr>
          <w:p>
            <w:pPr>
              <w:spacing w:after="0" w:line="195" w:lineRule="exact"/>
              <w:rPr>
                <w:sz w:val="20"/>
                <w:szCs w:val="20"/>
                <w:color w:val="auto"/>
              </w:rPr>
            </w:pPr>
            <w:r>
              <w:rPr>
                <w:rFonts w:ascii="Arial" w:cs="Arial" w:eastAsia="Arial" w:hAnsi="Arial"/>
                <w:sz w:val="18"/>
                <w:szCs w:val="18"/>
                <w:color w:val="auto"/>
              </w:rPr>
              <w:t>Emil D. Kakkis, M.D., Ph.D.</w:t>
            </w:r>
          </w:p>
        </w:tc>
      </w:tr>
      <w:tr>
        <w:trPr>
          <w:trHeight w:val="216"/>
        </w:trPr>
        <w:tc>
          <w:tcPr>
            <w:tcW w:w="70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708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59"/>
        </w:trPr>
        <w:tc>
          <w:tcPr>
            <w:tcW w:w="7080" w:type="dxa"/>
            <w:vAlign w:val="bottom"/>
          </w:tcPr>
          <w:p>
            <w:pPr>
              <w:spacing w:after="0"/>
              <w:rPr>
                <w:sz w:val="20"/>
                <w:szCs w:val="20"/>
                <w:color w:val="auto"/>
              </w:rPr>
            </w:pPr>
            <w:r>
              <w:rPr>
                <w:rFonts w:ascii="Arial" w:cs="Arial" w:eastAsia="Arial" w:hAnsi="Arial"/>
                <w:sz w:val="18"/>
                <w:szCs w:val="18"/>
                <w:color w:val="auto"/>
              </w:rPr>
              <w:t>Dated: February 16, 2017</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Shalini Sharp</w:t>
            </w:r>
          </w:p>
        </w:tc>
      </w:tr>
      <w:tr>
        <w:trPr>
          <w:trHeight w:val="195"/>
        </w:trPr>
        <w:tc>
          <w:tcPr>
            <w:tcW w:w="7080" w:type="dxa"/>
            <w:vAlign w:val="bottom"/>
          </w:tcPr>
          <w:p>
            <w:pPr>
              <w:spacing w:after="0"/>
              <w:rPr>
                <w:sz w:val="16"/>
                <w:szCs w:val="16"/>
                <w:color w:val="auto"/>
              </w:rPr>
            </w:pPr>
          </w:p>
        </w:tc>
        <w:tc>
          <w:tcPr>
            <w:tcW w:w="4340" w:type="dxa"/>
            <w:vAlign w:val="bottom"/>
          </w:tcPr>
          <w:p>
            <w:pPr>
              <w:spacing w:after="0" w:line="195" w:lineRule="exact"/>
              <w:rPr>
                <w:sz w:val="20"/>
                <w:szCs w:val="20"/>
                <w:color w:val="auto"/>
              </w:rPr>
            </w:pPr>
            <w:r>
              <w:rPr>
                <w:rFonts w:ascii="Arial" w:cs="Arial" w:eastAsia="Arial" w:hAnsi="Arial"/>
                <w:sz w:val="18"/>
                <w:szCs w:val="18"/>
                <w:color w:val="auto"/>
              </w:rPr>
              <w:t>Shalini Sharp</w:t>
            </w:r>
          </w:p>
        </w:tc>
      </w:tr>
      <w:tr>
        <w:trPr>
          <w:trHeight w:val="216"/>
        </w:trPr>
        <w:tc>
          <w:tcPr>
            <w:tcW w:w="70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Chief Financial Officer and Executive Vice President</w:t>
            </w:r>
          </w:p>
        </w:tc>
      </w:tr>
      <w:tr>
        <w:trPr>
          <w:trHeight w:val="230"/>
        </w:trPr>
        <w:tc>
          <w:tcPr>
            <w:tcW w:w="708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
      <w:numFmt w:val="bullet"/>
      <w:start w:val="1"/>
    </w:lvl>
  </w:abstractNum>
  <w:abstractNum w:abstractNumId="29">
    <w:nsid w:val="3F6AB60F"/>
    <w:multiLevelType w:val="hybridMultilevel"/>
    <w:lvl w:ilvl="0">
      <w:lvlJc w:val="left"/>
      <w:lvlText w:val="(%1)"/>
      <w:numFmt w:val="decimal"/>
      <w:start w:val="1"/>
    </w:lvl>
  </w:abstractNum>
  <w:abstractNum w:abstractNumId="30">
    <w:nsid w:val="61574095"/>
    <w:multiLevelType w:val="hybridMultilevel"/>
    <w:lvl w:ilvl="0">
      <w:lvlJc w:val="left"/>
      <w:lvlText w:val="(%1)"/>
      <w:numFmt w:val="decimal"/>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
      <w:numFmt w:val="bullet"/>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
      <w:numFmt w:val="bullet"/>
      <w:start w:val="1"/>
    </w:lvl>
  </w:abstractNum>
  <w:abstractNum w:abstractNumId="39">
    <w:nsid w:val="4AD084E9"/>
    <w:multiLevelType w:val="hybridMultilevel"/>
    <w:lvl w:ilvl="0">
      <w:lvlJc w:val="left"/>
      <w:lvlText w:val="(%1)"/>
      <w:numFmt w:val="lowerLetter"/>
      <w:start w:val="1"/>
    </w:lvl>
    <w:lvl w:ilvl="1">
      <w:lvlJc w:val="left"/>
      <w:lvlText w:val="(%2)"/>
      <w:numFmt w:val="decimal"/>
      <w:start w:val="1"/>
    </w:lvl>
  </w:abstractNum>
  <w:abstractNum w:abstractNumId="40">
    <w:nsid w:val="1F48EAA1"/>
    <w:multiLevelType w:val="hybridMultilevel"/>
    <w:lvl w:ilvl="0">
      <w:lvlJc w:val="left"/>
      <w:lvlText w:val="%1."/>
      <w:numFmt w:val="decimal"/>
      <w:start w:val="1"/>
    </w:lvl>
  </w:abstractNum>
  <w:abstractNum w:abstractNumId="41">
    <w:nsid w:val="1381823A"/>
    <w:multiLevelType w:val="hybridMultilevel"/>
    <w:lvl w:ilvl="0">
      <w:lvlJc w:val="left"/>
      <w:lvlText w:val="%1."/>
      <w:numFmt w:val="decimal"/>
      <w:start w:val="2"/>
    </w:lvl>
  </w:abstractNum>
  <w:abstractNum w:abstractNumId="42">
    <w:nsid w:val="5DB70AE5"/>
    <w:multiLevelType w:val="hybridMultilevel"/>
    <w:lvl w:ilvl="0">
      <w:lvlJc w:val="left"/>
      <w:lvlText w:val="%1."/>
      <w:numFmt w:val="decimal"/>
      <w:start w:val="3"/>
    </w:lvl>
  </w:abstractNum>
  <w:abstractNum w:abstractNumId="43">
    <w:nsid w:val="100F8FCA"/>
    <w:multiLevelType w:val="hybridMultilevel"/>
    <w:lvl w:ilvl="0">
      <w:lvlJc w:val="left"/>
      <w:lvlText w:val="%1."/>
      <w:numFmt w:val="decimal"/>
      <w:start w:val="4"/>
    </w:lvl>
  </w:abstractNum>
  <w:abstractNum w:abstractNumId="44">
    <w:nsid w:val="6590700B"/>
    <w:multiLevelType w:val="hybridMultilevel"/>
    <w:lvl w:ilvl="0">
      <w:lvlJc w:val="left"/>
      <w:lvlText w:val="%1."/>
      <w:numFmt w:val="decimal"/>
      <w:start w:val="5"/>
    </w:lvl>
  </w:abstractNum>
  <w:abstractNum w:abstractNumId="45">
    <w:nsid w:val="15014ACB"/>
    <w:multiLevelType w:val="hybridMultilevel"/>
    <w:lvl w:ilvl="0">
      <w:lvlJc w:val="left"/>
      <w:lvlText w:val="%1."/>
      <w:numFmt w:val="decimal"/>
      <w:start w:val="6"/>
    </w:lvl>
  </w:abstractNum>
  <w:abstractNum w:abstractNumId="46">
    <w:nsid w:val="5F5E7FD0"/>
    <w:multiLevelType w:val="hybridMultilevel"/>
    <w:lvl w:ilvl="0">
      <w:lvlJc w:val="left"/>
      <w:lvlText w:val="%1."/>
      <w:numFmt w:val="decimal"/>
      <w:start w:val="7"/>
    </w:lvl>
  </w:abstractNum>
  <w:abstractNum w:abstractNumId="47">
    <w:nsid w:val="98A3148"/>
    <w:multiLevelType w:val="hybridMultilevel"/>
    <w:lvl w:ilvl="0">
      <w:lvlJc w:val="left"/>
      <w:lvlText w:val="%1."/>
      <w:numFmt w:val="decimal"/>
      <w:start w:val="8"/>
    </w:lvl>
  </w:abstractNum>
  <w:abstractNum w:abstractNumId="48">
    <w:nsid w:val="799D0247"/>
    <w:multiLevelType w:val="hybridMultilevel"/>
    <w:lvl w:ilvl="0">
      <w:lvlJc w:val="left"/>
      <w:lvlText w:val="%1."/>
      <w:numFmt w:val="decimal"/>
      <w:start w:val="9"/>
    </w:lvl>
  </w:abstractNum>
  <w:abstractNum w:abstractNumId="49">
    <w:nsid w:val="6B94764"/>
    <w:multiLevelType w:val="hybridMultilevel"/>
    <w:lvl w:ilvl="0">
      <w:lvlJc w:val="left"/>
      <w:lvlText w:val="%1."/>
      <w:numFmt w:val="decimal"/>
      <w:start w:val="10"/>
    </w:lvl>
  </w:abstractNum>
  <w:abstractNum w:abstractNumId="50">
    <w:nsid w:val="42C296BD"/>
    <w:multiLevelType w:val="hybridMultilevel"/>
    <w:lvl w:ilvl="0">
      <w:lvlJc w:val="left"/>
      <w:lvlText w:val="%1."/>
      <w:numFmt w:val="decimal"/>
      <w:start w:val="11"/>
    </w:lvl>
  </w:abstractNum>
  <w:abstractNum w:abstractNumId="51">
    <w:nsid w:val="168E121F"/>
    <w:multiLevelType w:val="hybridMultilevel"/>
    <w:lvl w:ilvl="0">
      <w:lvlJc w:val="left"/>
      <w:lvlText w:val="%1."/>
      <w:numFmt w:val="decimal"/>
      <w:start w:val="12"/>
    </w:lvl>
  </w:abstractNum>
  <w:abstractNum w:abstractNumId="52">
    <w:nsid w:val="1EBA5D23"/>
    <w:multiLevelType w:val="hybridMultilevel"/>
    <w:lvl w:ilvl="0">
      <w:lvlJc w:val="left"/>
      <w:lvlText w:val="%1."/>
      <w:numFmt w:val="decimal"/>
      <w:start w:val="13"/>
    </w:lvl>
  </w:abstractNum>
  <w:abstractNum w:abstractNumId="53">
    <w:nsid w:val="661E3F1E"/>
    <w:multiLevelType w:val="hybridMultilevel"/>
    <w:lvl w:ilvl="0">
      <w:lvlJc w:val="left"/>
      <w:lvlText w:val="†"/>
      <w:numFmt w:val="bullet"/>
      <w:start w:val="1"/>
    </w:lvl>
  </w:abstractNum>
  <w:abstractNum w:abstractNumId="54">
    <w:nsid w:val="5DC79EA8"/>
    <w:multiLevelType w:val="hybridMultilevel"/>
    <w:lvl w:ilvl="0">
      <w:lvlJc w:val="left"/>
      <w:lvlText w:val="#"/>
      <w:numFmt w:val="bullet"/>
      <w:start w:val="1"/>
    </w:lvl>
  </w:abstractNum>
  <w:abstractNum w:abstractNumId="55">
    <w:nsid w:val="540A471C"/>
    <w:multiLevelType w:val="hybridMultilevel"/>
    <w:lvl w:ilvl="0">
      <w:lvlJc w:val="left"/>
      <w:lvlText w:val="*"/>
      <w:numFmt w:val="bullet"/>
      <w:start w:val="1"/>
    </w:lvl>
  </w:abstractNum>
  <w:abstractNum w:abstractNumId="56">
    <w:nsid w:val="7BD3EE7B"/>
    <w:multiLevelType w:val="hybridMultilevel"/>
    <w:lvl w:ilvl="0">
      <w:lvlJc w:val="left"/>
      <w:lvlText w:val="%1."/>
      <w:numFmt w:val="decimal"/>
      <w:start w:val="1"/>
    </w:lvl>
  </w:abstractNum>
  <w:abstractNum w:abstractNumId="57">
    <w:nsid w:val="51D9C564"/>
    <w:multiLevelType w:val="hybridMultilevel"/>
    <w:lvl w:ilvl="0">
      <w:lvlJc w:val="left"/>
      <w:lvlText w:val="%1."/>
      <w:numFmt w:val="decimal"/>
      <w:start w:val="2"/>
    </w:lvl>
  </w:abstractNum>
  <w:abstractNum w:abstractNumId="58">
    <w:nsid w:val="613EFDC5"/>
    <w:multiLevelType w:val="hybridMultilevel"/>
    <w:lvl w:ilvl="0">
      <w:lvlJc w:val="left"/>
      <w:lvlText w:val="%1."/>
      <w:numFmt w:val="decimal"/>
      <w:start w:val="3"/>
    </w:lvl>
  </w:abstractNum>
  <w:abstractNum w:abstractNumId="59">
    <w:nsid w:val="BF72B14"/>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60">
    <w:nsid w:val="11447B73"/>
    <w:multiLevelType w:val="hybridMultilevel"/>
    <w:lvl w:ilvl="0">
      <w:lvlJc w:val="left"/>
      <w:lvlText w:val="(%1)"/>
      <w:numFmt w:val="decimal"/>
      <w:start w:val="3"/>
    </w:lvl>
  </w:abstractNum>
  <w:abstractNum w:abstractNumId="61">
    <w:nsid w:val="42963E5A"/>
    <w:multiLevelType w:val="hybridMultilevel"/>
    <w:lvl w:ilvl="0">
      <w:lvlJc w:val="left"/>
      <w:lvlText w:val="%1."/>
      <w:numFmt w:val="decimal"/>
      <w:start w:val="5"/>
    </w:lvl>
  </w:abstractNum>
  <w:abstractNum w:abstractNumId="62">
    <w:nsid w:val="A0382C5"/>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63">
    <w:nsid w:val="8F2B15E"/>
    <w:multiLevelType w:val="hybridMultilevel"/>
    <w:lvl w:ilvl="0">
      <w:lvlJc w:val="left"/>
      <w:lvlText w:val="%1"/>
      <w:numFmt w:val="upperLetter"/>
      <w:start w:val="1"/>
    </w:lvl>
    <w:lvl w:ilvl="1">
      <w:lvlJc w:val="left"/>
      <w:lvlText w:val="(%2)"/>
      <w:numFmt w:val="decimal"/>
      <w:start w:val="3"/>
    </w:lvl>
    <w:lvl w:ilvl="2">
      <w:lvlJc w:val="left"/>
      <w:lvlText w:val="(%3)"/>
      <w:numFmt w:val="upperLetter"/>
      <w:start w:val="1"/>
    </w:lvl>
  </w:abstractNum>
  <w:abstractNum w:abstractNumId="64">
    <w:nsid w:val="1A32234B"/>
    <w:multiLevelType w:val="hybridMultilevel"/>
    <w:lvl w:ilvl="0">
      <w:lvlJc w:val="left"/>
      <w:lvlText w:val="(%1)"/>
      <w:numFmt w:val="upperLetter"/>
      <w:start w:val="2"/>
    </w:lvl>
    <w:lvl w:ilvl="1">
      <w:lvlJc w:val="left"/>
      <w:lvlText w:val="%2"/>
      <w:numFmt w:val="decimal"/>
      <w:start w:val="1"/>
    </w:lvl>
    <w:lvl w:ilvl="2">
      <w:lvlJc w:val="left"/>
      <w:lvlText w:val="(%3)"/>
      <w:numFmt w:val="upperLetter"/>
      <w:start w:val="2"/>
    </w:lvl>
  </w:abstractNum>
  <w:abstractNum w:abstractNumId="65">
    <w:nsid w:val="3B0FD379"/>
    <w:multiLevelType w:val="hybridMultilevel"/>
    <w:lvl w:ilvl="0">
      <w:lvlJc w:val="left"/>
      <w:lvlText w:val="(%1)"/>
      <w:numFmt w:val="decimal"/>
      <w:start w:val="5"/>
    </w:lvl>
  </w:abstractNum>
  <w:abstractNum w:abstractNumId="66">
    <w:nsid w:val="68EB2F63"/>
    <w:multiLevelType w:val="hybridMultilevel"/>
    <w:lvl w:ilvl="0">
      <w:lvlJc w:val="left"/>
      <w:lvlText w:val="%1"/>
      <w:numFmt w:val="lowerLetter"/>
      <w:start w:val="1"/>
    </w:lvl>
    <w:lvl w:ilvl="1">
      <w:lvlJc w:val="left"/>
      <w:lvlText w:val="(%2)"/>
      <w:numFmt w:val="decimal"/>
      <w:start w:val="10"/>
    </w:lvl>
  </w:abstractNum>
  <w:abstractNum w:abstractNumId="67">
    <w:nsid w:val="4962813B"/>
    <w:multiLevelType w:val="hybridMultilevel"/>
    <w:lvl w:ilvl="0">
      <w:lvlJc w:val="left"/>
      <w:lvlText w:val="(%1)"/>
      <w:numFmt w:val="lowerLetter"/>
      <w:start w:val="2"/>
    </w:lvl>
    <w:lvl w:ilvl="1">
      <w:lvlJc w:val="left"/>
      <w:lvlText w:val="(%2)"/>
      <w:numFmt w:val="decimal"/>
      <w:start w:val="1"/>
    </w:lvl>
  </w:abstractNum>
  <w:abstractNum w:abstractNumId="68">
    <w:nsid w:val="60B6DF70"/>
    <w:multiLevelType w:val="hybridMultilevel"/>
    <w:lvl w:ilvl="0">
      <w:lvlJc w:val="left"/>
      <w:lvlText w:val="%1"/>
      <w:numFmt w:val="decimal"/>
      <w:start w:val="1"/>
    </w:lvl>
    <w:lvl w:ilvl="1">
      <w:lvlJc w:val="left"/>
      <w:lvlText w:val="(%2)"/>
      <w:numFmt w:val="decimal"/>
      <w:start w:val="4"/>
    </w:lvl>
  </w:abstractNum>
  <w:abstractNum w:abstractNumId="69">
    <w:nsid w:val="6A5EE64"/>
    <w:multiLevelType w:val="hybridMultilevel"/>
    <w:lvl w:ilvl="0">
      <w:lvlJc w:val="left"/>
      <w:lvlText w:val="(%1)"/>
      <w:numFmt w:val="decimal"/>
      <w:start w:val="10"/>
    </w:lvl>
    <w:lvl w:ilvl="1">
      <w:lvlJc w:val="left"/>
      <w:lvlText w:val="(%2)"/>
      <w:numFmt w:val="decimal"/>
      <w:start w:val="5"/>
    </w:lvl>
  </w:abstractNum>
  <w:abstractNum w:abstractNumId="70">
    <w:nsid w:val="14330624"/>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71">
    <w:nsid w:val="7FFFCA11"/>
    <w:multiLevelType w:val="hybridMultilevel"/>
    <w:lvl w:ilvl="0">
      <w:lvlJc w:val="left"/>
      <w:lvlText w:val="%1"/>
      <w:numFmt w:val="lowerLetter"/>
      <w:start w:val="1"/>
    </w:lvl>
    <w:lvl w:ilvl="1">
      <w:lvlJc w:val="left"/>
      <w:lvlText w:val="(%2)"/>
      <w:numFmt w:val="decimal"/>
      <w:start w:val="3"/>
    </w:lvl>
  </w:abstractNum>
  <w:abstractNum w:abstractNumId="72">
    <w:nsid w:val="1A27709E"/>
    <w:multiLevelType w:val="hybridMultilevel"/>
    <w:lvl w:ilvl="0">
      <w:lvlJc w:val="left"/>
      <w:lvlText w:val="(%1)"/>
      <w:numFmt w:val="lowerLetter"/>
      <w:start w:val="2"/>
    </w:lvl>
    <w:lvl w:ilvl="1">
      <w:lvlJc w:val="left"/>
      <w:lvlText w:val="(%2)"/>
      <w:numFmt w:val="decimal"/>
      <w:start w:val="1"/>
    </w:lvl>
  </w:abstractNum>
  <w:abstractNum w:abstractNumId="73">
    <w:nsid w:val="71EA1109"/>
    <w:multiLevelType w:val="hybridMultilevel"/>
    <w:lvl w:ilvl="0">
      <w:lvlJc w:val="left"/>
      <w:lvlText w:val="%1"/>
      <w:numFmt w:val="decimal"/>
      <w:start w:val="1"/>
    </w:lvl>
    <w:lvl w:ilvl="1">
      <w:lvlJc w:val="left"/>
      <w:lvlText w:val="(%2)"/>
      <w:numFmt w:val="decimal"/>
      <w:start w:val="2"/>
    </w:lvl>
  </w:abstractNum>
  <w:abstractNum w:abstractNumId="74">
    <w:nsid w:val="100F59DC"/>
    <w:multiLevelType w:val="hybridMultilevel"/>
    <w:lvl w:ilvl="0">
      <w:lvlJc w:val="left"/>
      <w:lvlText w:val="%1."/>
      <w:numFmt w:val="decimal"/>
      <w:start w:val="8"/>
    </w:lvl>
    <w:lvl w:ilvl="1">
      <w:lvlJc w:val="left"/>
      <w:lvlText w:val="%2"/>
      <w:numFmt w:val="decimal"/>
      <w:start w:val="1"/>
    </w:lvl>
  </w:abstractNum>
  <w:abstractNum w:abstractNumId="75">
    <w:nsid w:val="7FB7E0AA"/>
    <w:multiLevelType w:val="hybridMultilevel"/>
    <w:lvl w:ilvl="0">
      <w:lvlJc w:val="left"/>
      <w:lvlText w:val="%1."/>
      <w:numFmt w:val="decimal"/>
      <w:start w:val="9"/>
    </w:lvl>
  </w:abstractNum>
  <w:abstractNum w:abstractNumId="76">
    <w:nsid w:val="6EB5BD4"/>
    <w:multiLevelType w:val="hybridMultilevel"/>
    <w:lvl w:ilvl="0">
      <w:lvlJc w:val="left"/>
      <w:lvlText w:val="%1."/>
      <w:numFmt w:val="decimal"/>
      <w:start w:val="10"/>
    </w:lvl>
  </w:abstractNum>
  <w:abstractNum w:abstractNumId="77">
    <w:nsid w:val="6F6DD9AC"/>
    <w:multiLevelType w:val="hybridMultilevel"/>
    <w:lvl w:ilvl="0">
      <w:lvlJc w:val="left"/>
      <w:lvlText w:val="%1."/>
      <w:numFmt w:val="decimal"/>
      <w:start w:val="11"/>
    </w:lvl>
    <w:lvl w:ilvl="1">
      <w:lvlJc w:val="left"/>
      <w:lvlText w:val="(%2)"/>
      <w:numFmt w:val="lowerLetter"/>
      <w:start w:val="1"/>
    </w:lvl>
  </w:abstractNum>
  <w:abstractNum w:abstractNumId="78">
    <w:nsid w:val="94211F2"/>
    <w:multiLevelType w:val="hybridMultilevel"/>
    <w:lvl w:ilvl="0">
      <w:lvlJc w:val="left"/>
      <w:lvlText w:val="%1."/>
      <w:numFmt w:val="decimal"/>
      <w:start w:val="13"/>
    </w:lvl>
    <w:lvl w:ilvl="1">
      <w:lvlJc w:val="left"/>
      <w:lvlText w:val="(%2)"/>
      <w:numFmt w:val="lowerLetter"/>
      <w:start w:val="1"/>
    </w:lvl>
  </w:abstractNum>
  <w:abstractNum w:abstractNumId="79">
    <w:nsid w:val="885E1B"/>
    <w:multiLevelType w:val="hybridMultilevel"/>
    <w:lvl w:ilvl="0">
      <w:lvlJc w:val="left"/>
      <w:lvlText w:val="(%1)"/>
      <w:numFmt w:val="lowerRoman"/>
      <w:start w:val="1"/>
    </w:lvl>
  </w:abstractNum>
  <w:abstractNum w:abstractNumId="80">
    <w:nsid w:val="76272110"/>
    <w:multiLevelType w:val="hybridMultilevel"/>
    <w:lvl w:ilvl="0">
      <w:lvlJc w:val="left"/>
      <w:lvlText w:val="(%1)"/>
      <w:numFmt w:val="lowerLetter"/>
      <w:start w:val="1"/>
    </w:lvl>
  </w:abstractNum>
  <w:abstractNum w:abstractNumId="81">
    <w:nsid w:val="4C04A8AF"/>
    <w:multiLevelType w:val="hybridMultilevel"/>
    <w:lvl w:ilvl="0">
      <w:lvlJc w:val="left"/>
      <w:lvlText w:val="(%1)"/>
      <w:numFmt w:val="lowerLetter"/>
      <w:start w:val="1"/>
    </w:lvl>
  </w:abstractNum>
  <w:abstractNum w:abstractNumId="82">
    <w:nsid w:val="1716703B"/>
    <w:multiLevelType w:val="hybridMultilevel"/>
    <w:lvl w:ilvl="0">
      <w:lvlJc w:val="left"/>
      <w:lvlText w:val="(%1)"/>
      <w:numFmt w:val="lowerLetter"/>
      <w:start w:val="1"/>
    </w:lvl>
  </w:abstractNum>
  <w:abstractNum w:abstractNumId="83">
    <w:nsid w:val="14E17E33"/>
    <w:multiLevelType w:val="hybridMultilevel"/>
    <w:lvl w:ilvl="0">
      <w:lvlJc w:val="left"/>
      <w:lvlText w:val="•"/>
      <w:numFmt w:val="bullet"/>
      <w:start w:val="1"/>
    </w:lvl>
  </w:abstractNum>
  <w:abstractNum w:abstractNumId="84">
    <w:nsid w:val="3222E7CD"/>
    <w:multiLevelType w:val="hybridMultilevel"/>
    <w:lvl w:ilvl="0">
      <w:lvlJc w:val="left"/>
      <w:lvlText w:val="•"/>
      <w:numFmt w:val="bullet"/>
      <w:start w:val="1"/>
    </w:lvl>
  </w:abstractNum>
  <w:abstractNum w:abstractNumId="85">
    <w:nsid w:val="74DE0EE3"/>
    <w:multiLevelType w:val="hybridMultilevel"/>
    <w:lvl w:ilvl="0">
      <w:lvlJc w:val="left"/>
      <w:lvlText w:val="•"/>
      <w:numFmt w:val="bullet"/>
      <w:start w:val="1"/>
    </w:lvl>
  </w:abstractNum>
  <w:abstractNum w:abstractNumId="86">
    <w:nsid w:val="68EBC550"/>
    <w:multiLevelType w:val="hybridMultilevel"/>
    <w:lvl w:ilvl="0">
      <w:lvlJc w:val="left"/>
      <w:lvlText w:val="%1."/>
      <w:numFmt w:val="decimal"/>
      <w:start w:val="1"/>
    </w:lvl>
  </w:abstractNum>
  <w:abstractNum w:abstractNumId="87">
    <w:nsid w:val="2DF6D648"/>
    <w:multiLevelType w:val="hybridMultilevel"/>
    <w:lvl w:ilvl="0">
      <w:lvlJc w:val="left"/>
      <w:lvlText w:val="%1."/>
      <w:numFmt w:val="decimal"/>
      <w:start w:val="3"/>
    </w:lvl>
  </w:abstractNum>
  <w:abstractNum w:abstractNumId="88">
    <w:nsid w:val="46B7D447"/>
    <w:multiLevelType w:val="hybridMultilevel"/>
    <w:lvl w:ilvl="0">
      <w:lvlJc w:val="left"/>
      <w:lvlText w:val="%1"/>
      <w:numFmt w:val="decimal"/>
      <w:start w:val="1"/>
    </w:lvl>
    <w:lvl w:ilvl="1">
      <w:lvlJc w:val="left"/>
      <w:lvlText w:val="(%2)"/>
      <w:numFmt w:val="decimal"/>
      <w:start w:val="1"/>
    </w:lvl>
  </w:abstractNum>
  <w:abstractNum w:abstractNumId="89">
    <w:nsid w:val="4A2AC315"/>
    <w:multiLevelType w:val="hybridMultilevel"/>
    <w:lvl w:ilvl="0">
      <w:lvlJc w:val="left"/>
      <w:lvlText w:val="(%1)"/>
      <w:numFmt w:val="decimal"/>
      <w:start w:val="2"/>
    </w:lvl>
    <w:lvl w:ilvl="1">
      <w:lvlJc w:val="left"/>
      <w:lvlText w:val="%2"/>
      <w:numFmt w:val="decimal"/>
      <w:start w:val="1"/>
    </w:lvl>
  </w:abstractNum>
  <w:abstractNum w:abstractNumId="90">
    <w:nsid w:val="39EE015C"/>
    <w:multiLevelType w:val="hybridMultilevel"/>
    <w:lvl w:ilvl="0">
      <w:lvlJc w:val="left"/>
      <w:lvlText w:val="%1."/>
      <w:numFmt w:val="decimal"/>
      <w:start w:val="1"/>
    </w:lvl>
    <w:lvl w:ilvl="1">
      <w:lvlJc w:val="left"/>
      <w:lvlText w:val="%2)"/>
      <w:numFmt w:val="lowerLetter"/>
      <w:start w:val="1"/>
    </w:lvl>
  </w:abstractNum>
  <w:abstractNum w:abstractNumId="91">
    <w:nsid w:val="57FC4FBB"/>
    <w:multiLevelType w:val="hybridMultilevel"/>
    <w:lvl w:ilvl="0">
      <w:lvlJc w:val="left"/>
      <w:lvlText w:val="%1."/>
      <w:numFmt w:val="decimal"/>
      <w:start w:val="1"/>
    </w:lvl>
    <w:lvl w:ilvl="1">
      <w:lvlJc w:val="left"/>
      <w:lvlText w:val="%2)"/>
      <w:numFmt w:val="lowerLetter"/>
      <w:start w:val="1"/>
    </w:lvl>
  </w:abstractNum>
  <w:abstractNum w:abstractNumId="92">
    <w:nsid w:val="CC1016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2019-12-29T08:45:28Z</dcterms:created>
  <dcterms:modified xsi:type="dcterms:W3CDTF">2019-12-29T08:45:28Z</dcterms:modified>
</cp:coreProperties>
</file>