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February 21, 2018</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20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tcPr>
          <w:p>
            <w:pPr>
              <w:ind w:left="4180"/>
              <w:spacing w:after="0"/>
              <w:rPr>
                <w:sz w:val="20"/>
                <w:szCs w:val="20"/>
                <w:color w:val="auto"/>
              </w:rPr>
            </w:pPr>
            <w:r>
              <w:rPr>
                <w:rFonts w:ascii="Arial" w:cs="Arial" w:eastAsia="Arial" w:hAnsi="Arial"/>
                <w:sz w:val="18"/>
                <w:szCs w:val="18"/>
                <w:b w:val="1"/>
                <w:bCs w:val="1"/>
                <w:color w:val="auto"/>
              </w:rPr>
              <w:t>Registration No. 333-</w:t>
            </w: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8220" w:type="dxa"/>
            <w:vAlign w:val="bottom"/>
            <w:tcBorders>
              <w:bottom w:val="single" w:sz="8" w:color="auto"/>
            </w:tcBorders>
          </w:tcPr>
          <w:p>
            <w:pPr>
              <w:spacing w:after="0" w:line="20" w:lineRule="exact"/>
              <w:rPr>
                <w:sz w:val="1"/>
                <w:szCs w:val="1"/>
                <w:color w:val="auto"/>
              </w:rPr>
            </w:pPr>
          </w:p>
        </w:tc>
      </w:tr>
      <w:tr>
        <w:trPr>
          <w:trHeight w:val="449"/>
        </w:trPr>
        <w:tc>
          <w:tcPr>
            <w:tcW w:w="3200" w:type="dxa"/>
            <w:vAlign w:val="bottom"/>
          </w:tcPr>
          <w:p>
            <w:pPr>
              <w:spacing w:after="0"/>
              <w:rPr>
                <w:sz w:val="24"/>
                <w:szCs w:val="24"/>
                <w:color w:val="auto"/>
              </w:rPr>
            </w:pPr>
          </w:p>
        </w:tc>
        <w:tc>
          <w:tcPr>
            <w:tcW w:w="8220" w:type="dxa"/>
            <w:vAlign w:val="bottom"/>
          </w:tcPr>
          <w:p>
            <w:pPr>
              <w:jc w:val="center"/>
              <w:ind w:right="3082"/>
              <w:spacing w:after="0"/>
              <w:rPr>
                <w:sz w:val="20"/>
                <w:szCs w:val="20"/>
                <w:color w:val="auto"/>
              </w:rPr>
            </w:pPr>
            <w:r>
              <w:rPr>
                <w:rFonts w:ascii="Arial" w:cs="Arial" w:eastAsia="Arial" w:hAnsi="Arial"/>
                <w:sz w:val="21"/>
                <w:szCs w:val="21"/>
                <w:b w:val="1"/>
                <w:bCs w:val="1"/>
                <w:color w:val="auto"/>
              </w:rPr>
              <w:t>UNITED STATES</w:t>
            </w:r>
          </w:p>
        </w:tc>
      </w:tr>
      <w:tr>
        <w:trPr>
          <w:trHeight w:val="241"/>
        </w:trPr>
        <w:tc>
          <w:tcPr>
            <w:tcW w:w="3200" w:type="dxa"/>
            <w:vAlign w:val="bottom"/>
          </w:tcPr>
          <w:p>
            <w:pPr>
              <w:spacing w:after="0"/>
              <w:rPr>
                <w:sz w:val="20"/>
                <w:szCs w:val="20"/>
                <w:color w:val="auto"/>
              </w:rPr>
            </w:pPr>
          </w:p>
        </w:tc>
        <w:tc>
          <w:tcPr>
            <w:tcW w:w="8220" w:type="dxa"/>
            <w:vAlign w:val="bottom"/>
          </w:tcPr>
          <w:p>
            <w:pPr>
              <w:jc w:val="center"/>
              <w:ind w:right="3102"/>
              <w:spacing w:after="0"/>
              <w:rPr>
                <w:sz w:val="20"/>
                <w:szCs w:val="20"/>
                <w:color w:val="auto"/>
              </w:rPr>
            </w:pPr>
            <w:r>
              <w:rPr>
                <w:rFonts w:ascii="Arial" w:cs="Arial" w:eastAsia="Arial" w:hAnsi="Arial"/>
                <w:sz w:val="21"/>
                <w:szCs w:val="21"/>
                <w:b w:val="1"/>
                <w:bCs w:val="1"/>
                <w:color w:val="auto"/>
              </w:rPr>
              <w:t>SECURITIES AND EXCHANGE COMMISSION</w:t>
            </w:r>
          </w:p>
        </w:tc>
      </w:tr>
      <w:tr>
        <w:trPr>
          <w:trHeight w:val="241"/>
        </w:trPr>
        <w:tc>
          <w:tcPr>
            <w:tcW w:w="3200" w:type="dxa"/>
            <w:vAlign w:val="bottom"/>
          </w:tcPr>
          <w:p>
            <w:pPr>
              <w:spacing w:after="0"/>
              <w:rPr>
                <w:sz w:val="20"/>
                <w:szCs w:val="20"/>
                <w:color w:val="auto"/>
              </w:rPr>
            </w:pPr>
          </w:p>
        </w:tc>
        <w:tc>
          <w:tcPr>
            <w:tcW w:w="8220" w:type="dxa"/>
            <w:vAlign w:val="bottom"/>
          </w:tcPr>
          <w:p>
            <w:pPr>
              <w:jc w:val="center"/>
              <w:ind w:right="3102"/>
              <w:spacing w:after="0"/>
              <w:rPr>
                <w:sz w:val="20"/>
                <w:szCs w:val="20"/>
                <w:color w:val="auto"/>
              </w:rPr>
            </w:pPr>
            <w:r>
              <w:rPr>
                <w:rFonts w:ascii="Arial" w:cs="Arial" w:eastAsia="Arial" w:hAnsi="Arial"/>
                <w:sz w:val="21"/>
                <w:szCs w:val="21"/>
                <w:b w:val="1"/>
                <w:bCs w:val="1"/>
                <w:color w:val="auto"/>
                <w:w w:val="93"/>
              </w:rPr>
              <w:t>Washington, D.C. 20549</w:t>
            </w:r>
          </w:p>
        </w:tc>
      </w:tr>
      <w:tr>
        <w:trPr>
          <w:trHeight w:val="279"/>
        </w:trPr>
        <w:tc>
          <w:tcPr>
            <w:tcW w:w="3200" w:type="dxa"/>
            <w:vAlign w:val="bottom"/>
          </w:tcPr>
          <w:p>
            <w:pPr>
              <w:spacing w:after="0"/>
              <w:rPr>
                <w:sz w:val="24"/>
                <w:szCs w:val="24"/>
                <w:color w:val="auto"/>
              </w:rPr>
            </w:pPr>
          </w:p>
        </w:tc>
        <w:tc>
          <w:tcPr>
            <w:tcW w:w="8220" w:type="dxa"/>
            <w:vAlign w:val="bottom"/>
          </w:tcPr>
          <w:p>
            <w:pPr>
              <w:jc w:val="center"/>
              <w:ind w:right="3082"/>
              <w:spacing w:after="0"/>
              <w:rPr>
                <w:sz w:val="20"/>
                <w:szCs w:val="20"/>
                <w:color w:val="auto"/>
              </w:rPr>
            </w:pPr>
            <w:r>
              <w:rPr>
                <w:rFonts w:ascii="Arial" w:cs="Arial" w:eastAsia="Arial" w:hAnsi="Arial"/>
                <w:sz w:val="21"/>
                <w:szCs w:val="21"/>
                <w:b w:val="1"/>
                <w:bCs w:val="1"/>
                <w:color w:val="auto"/>
                <w:w w:val="91"/>
              </w:rPr>
              <w:t>___________________________________</w:t>
            </w:r>
          </w:p>
        </w:tc>
      </w:tr>
      <w:tr>
        <w:trPr>
          <w:trHeight w:val="445"/>
        </w:trPr>
        <w:tc>
          <w:tcPr>
            <w:tcW w:w="3200" w:type="dxa"/>
            <w:vAlign w:val="bottom"/>
          </w:tcPr>
          <w:p>
            <w:pPr>
              <w:spacing w:after="0"/>
              <w:rPr>
                <w:sz w:val="24"/>
                <w:szCs w:val="24"/>
                <w:color w:val="auto"/>
              </w:rPr>
            </w:pPr>
          </w:p>
        </w:tc>
        <w:tc>
          <w:tcPr>
            <w:tcW w:w="8220" w:type="dxa"/>
            <w:vAlign w:val="bottom"/>
          </w:tcPr>
          <w:p>
            <w:pPr>
              <w:jc w:val="center"/>
              <w:ind w:right="3082"/>
              <w:spacing w:after="0"/>
              <w:rPr>
                <w:sz w:val="20"/>
                <w:szCs w:val="20"/>
                <w:color w:val="auto"/>
              </w:rPr>
            </w:pPr>
            <w:r>
              <w:rPr>
                <w:rFonts w:ascii="Arial" w:cs="Arial" w:eastAsia="Arial" w:hAnsi="Arial"/>
                <w:sz w:val="21"/>
                <w:szCs w:val="21"/>
                <w:b w:val="1"/>
                <w:bCs w:val="1"/>
                <w:color w:val="auto"/>
                <w:w w:val="99"/>
              </w:rPr>
              <w:t>FORM S-8</w:t>
            </w:r>
          </w:p>
        </w:tc>
      </w:tr>
      <w:tr>
        <w:trPr>
          <w:trHeight w:val="241"/>
        </w:trPr>
        <w:tc>
          <w:tcPr>
            <w:tcW w:w="3200" w:type="dxa"/>
            <w:vAlign w:val="bottom"/>
          </w:tcPr>
          <w:p>
            <w:pPr>
              <w:spacing w:after="0"/>
              <w:rPr>
                <w:sz w:val="20"/>
                <w:szCs w:val="20"/>
                <w:color w:val="auto"/>
              </w:rPr>
            </w:pPr>
          </w:p>
        </w:tc>
        <w:tc>
          <w:tcPr>
            <w:tcW w:w="8220" w:type="dxa"/>
            <w:vAlign w:val="bottom"/>
          </w:tcPr>
          <w:p>
            <w:pPr>
              <w:jc w:val="center"/>
              <w:ind w:right="3102"/>
              <w:spacing w:after="0"/>
              <w:rPr>
                <w:sz w:val="20"/>
                <w:szCs w:val="20"/>
                <w:color w:val="auto"/>
              </w:rPr>
            </w:pPr>
            <w:r>
              <w:rPr>
                <w:rFonts w:ascii="Arial" w:cs="Arial" w:eastAsia="Arial" w:hAnsi="Arial"/>
                <w:sz w:val="21"/>
                <w:szCs w:val="21"/>
                <w:b w:val="1"/>
                <w:bCs w:val="1"/>
                <w:color w:val="auto"/>
              </w:rPr>
              <w:t>REGISTRATION STATEMENT</w:t>
            </w:r>
          </w:p>
        </w:tc>
      </w:tr>
      <w:tr>
        <w:trPr>
          <w:trHeight w:val="241"/>
        </w:trPr>
        <w:tc>
          <w:tcPr>
            <w:tcW w:w="3200" w:type="dxa"/>
            <w:vAlign w:val="bottom"/>
          </w:tcPr>
          <w:p>
            <w:pPr>
              <w:spacing w:after="0"/>
              <w:rPr>
                <w:sz w:val="20"/>
                <w:szCs w:val="20"/>
                <w:color w:val="auto"/>
              </w:rPr>
            </w:pPr>
          </w:p>
        </w:tc>
        <w:tc>
          <w:tcPr>
            <w:tcW w:w="8220" w:type="dxa"/>
            <w:vAlign w:val="bottom"/>
          </w:tcPr>
          <w:p>
            <w:pPr>
              <w:jc w:val="center"/>
              <w:ind w:right="3082"/>
              <w:spacing w:after="0"/>
              <w:rPr>
                <w:sz w:val="20"/>
                <w:szCs w:val="20"/>
                <w:color w:val="auto"/>
              </w:rPr>
            </w:pPr>
            <w:r>
              <w:rPr>
                <w:rFonts w:ascii="Arial" w:cs="Arial" w:eastAsia="Arial" w:hAnsi="Arial"/>
                <w:sz w:val="21"/>
                <w:szCs w:val="21"/>
                <w:b w:val="1"/>
                <w:bCs w:val="1"/>
                <w:color w:val="auto"/>
              </w:rPr>
              <w:t>UNDER</w:t>
            </w:r>
          </w:p>
        </w:tc>
      </w:tr>
      <w:tr>
        <w:trPr>
          <w:trHeight w:val="241"/>
        </w:trPr>
        <w:tc>
          <w:tcPr>
            <w:tcW w:w="3200" w:type="dxa"/>
            <w:vAlign w:val="bottom"/>
          </w:tcPr>
          <w:p>
            <w:pPr>
              <w:spacing w:after="0"/>
              <w:rPr>
                <w:sz w:val="20"/>
                <w:szCs w:val="20"/>
                <w:color w:val="auto"/>
              </w:rPr>
            </w:pPr>
          </w:p>
        </w:tc>
        <w:tc>
          <w:tcPr>
            <w:tcW w:w="8220" w:type="dxa"/>
            <w:vAlign w:val="bottom"/>
          </w:tcPr>
          <w:p>
            <w:pPr>
              <w:jc w:val="center"/>
              <w:ind w:right="3102"/>
              <w:spacing w:after="0"/>
              <w:rPr>
                <w:sz w:val="20"/>
                <w:szCs w:val="20"/>
                <w:color w:val="auto"/>
              </w:rPr>
            </w:pPr>
            <w:r>
              <w:rPr>
                <w:rFonts w:ascii="Arial" w:cs="Arial" w:eastAsia="Arial" w:hAnsi="Arial"/>
                <w:sz w:val="21"/>
                <w:szCs w:val="21"/>
                <w:b w:val="1"/>
                <w:bCs w:val="1"/>
                <w:color w:val="auto"/>
              </w:rPr>
              <w:t>THE SECURITIES ACT OF 1933</w:t>
            </w:r>
          </w:p>
        </w:tc>
      </w:tr>
      <w:tr>
        <w:trPr>
          <w:trHeight w:val="279"/>
        </w:trPr>
        <w:tc>
          <w:tcPr>
            <w:tcW w:w="3200" w:type="dxa"/>
            <w:vAlign w:val="bottom"/>
          </w:tcPr>
          <w:p>
            <w:pPr>
              <w:spacing w:after="0"/>
              <w:rPr>
                <w:sz w:val="24"/>
                <w:szCs w:val="24"/>
                <w:color w:val="auto"/>
              </w:rPr>
            </w:pPr>
          </w:p>
        </w:tc>
        <w:tc>
          <w:tcPr>
            <w:tcW w:w="8220" w:type="dxa"/>
            <w:vAlign w:val="bottom"/>
          </w:tcPr>
          <w:p>
            <w:pPr>
              <w:jc w:val="center"/>
              <w:ind w:right="3102"/>
              <w:spacing w:after="0"/>
              <w:rPr>
                <w:sz w:val="20"/>
                <w:szCs w:val="20"/>
                <w:color w:val="auto"/>
              </w:rPr>
            </w:pPr>
            <w:r>
              <w:rPr>
                <w:rFonts w:ascii="Arial" w:cs="Arial" w:eastAsia="Arial" w:hAnsi="Arial"/>
                <w:sz w:val="21"/>
                <w:szCs w:val="21"/>
                <w:b w:val="1"/>
                <w:bCs w:val="1"/>
                <w:color w:val="auto"/>
                <w:w w:val="91"/>
              </w:rPr>
              <w:t>____________________________________</w:t>
            </w:r>
          </w:p>
        </w:tc>
      </w:tr>
      <w:tr>
        <w:trPr>
          <w:trHeight w:val="458"/>
        </w:trPr>
        <w:tc>
          <w:tcPr>
            <w:tcW w:w="3200" w:type="dxa"/>
            <w:vAlign w:val="bottom"/>
          </w:tcPr>
          <w:p>
            <w:pPr>
              <w:spacing w:after="0"/>
              <w:rPr>
                <w:sz w:val="24"/>
                <w:szCs w:val="24"/>
                <w:color w:val="auto"/>
              </w:rPr>
            </w:pPr>
          </w:p>
        </w:tc>
        <w:tc>
          <w:tcPr>
            <w:tcW w:w="8220" w:type="dxa"/>
            <w:vAlign w:val="bottom"/>
          </w:tcPr>
          <w:p>
            <w:pPr>
              <w:jc w:val="center"/>
              <w:ind w:right="3082"/>
              <w:spacing w:after="0"/>
              <w:rPr>
                <w:sz w:val="20"/>
                <w:szCs w:val="20"/>
                <w:color w:val="auto"/>
              </w:rPr>
            </w:pPr>
            <w:r>
              <w:rPr>
                <w:rFonts w:ascii="Arial" w:cs="Arial" w:eastAsia="Arial" w:hAnsi="Arial"/>
                <w:sz w:val="21"/>
                <w:szCs w:val="21"/>
                <w:b w:val="1"/>
                <w:bCs w:val="1"/>
                <w:color w:val="auto"/>
                <w:w w:val="93"/>
              </w:rPr>
              <w:t>Ultragenyx Pharmaceutical Inc.</w:t>
            </w:r>
          </w:p>
        </w:tc>
      </w:tr>
      <w:tr>
        <w:trPr>
          <w:trHeight w:val="202"/>
        </w:trPr>
        <w:tc>
          <w:tcPr>
            <w:tcW w:w="3200" w:type="dxa"/>
            <w:vAlign w:val="bottom"/>
          </w:tcPr>
          <w:p>
            <w:pPr>
              <w:spacing w:after="0"/>
              <w:rPr>
                <w:sz w:val="17"/>
                <w:szCs w:val="17"/>
                <w:color w:val="auto"/>
              </w:rPr>
            </w:pPr>
          </w:p>
        </w:tc>
        <w:tc>
          <w:tcPr>
            <w:tcW w:w="8220" w:type="dxa"/>
            <w:vAlign w:val="bottom"/>
          </w:tcPr>
          <w:p>
            <w:pPr>
              <w:jc w:val="center"/>
              <w:ind w:right="3102"/>
              <w:spacing w:after="0" w:line="201"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Exact name of registrant as specified in its charter</w:t>
            </w:r>
            <w:r>
              <w:rPr>
                <w:rFonts w:ascii="Arial" w:cs="Arial" w:eastAsia="Arial" w:hAnsi="Arial"/>
                <w:sz w:val="18"/>
                <w:szCs w:val="18"/>
                <w:color w:val="auto"/>
                <w:w w:val="91"/>
              </w:rPr>
              <w:t>)</w:t>
            </w:r>
          </w:p>
        </w:tc>
      </w:tr>
      <w:tr>
        <w:trPr>
          <w:trHeight w:val="279"/>
        </w:trPr>
        <w:tc>
          <w:tcPr>
            <w:tcW w:w="3200" w:type="dxa"/>
            <w:vAlign w:val="bottom"/>
          </w:tcPr>
          <w:p>
            <w:pPr>
              <w:spacing w:after="0"/>
              <w:rPr>
                <w:sz w:val="24"/>
                <w:szCs w:val="24"/>
                <w:color w:val="auto"/>
              </w:rPr>
            </w:pPr>
          </w:p>
        </w:tc>
        <w:tc>
          <w:tcPr>
            <w:tcW w:w="8220" w:type="dxa"/>
            <w:vAlign w:val="bottom"/>
          </w:tcPr>
          <w:p>
            <w:pPr>
              <w:jc w:val="center"/>
              <w:ind w:right="3102"/>
              <w:spacing w:after="0"/>
              <w:rPr>
                <w:sz w:val="20"/>
                <w:szCs w:val="20"/>
                <w:color w:val="auto"/>
              </w:rPr>
            </w:pPr>
            <w:r>
              <w:rPr>
                <w:rFonts w:ascii="Arial" w:cs="Arial" w:eastAsia="Arial" w:hAnsi="Arial"/>
                <w:sz w:val="21"/>
                <w:szCs w:val="21"/>
                <w:b w:val="1"/>
                <w:bCs w:val="1"/>
                <w:color w:val="auto"/>
                <w:w w:val="91"/>
              </w:rPr>
              <w:t>____________________________________</w:t>
            </w:r>
          </w:p>
        </w:tc>
      </w:tr>
      <w:tr>
        <w:trPr>
          <w:trHeight w:val="431"/>
        </w:trPr>
        <w:tc>
          <w:tcPr>
            <w:tcW w:w="3200" w:type="dxa"/>
            <w:vAlign w:val="bottom"/>
          </w:tcPr>
          <w:p>
            <w:pPr>
              <w:jc w:val="center"/>
              <w:ind w:left="551"/>
              <w:spacing w:after="0"/>
              <w:rPr>
                <w:sz w:val="20"/>
                <w:szCs w:val="20"/>
                <w:color w:val="auto"/>
              </w:rPr>
            </w:pPr>
            <w:r>
              <w:rPr>
                <w:rFonts w:ascii="Arial" w:cs="Arial" w:eastAsia="Arial" w:hAnsi="Arial"/>
                <w:sz w:val="18"/>
                <w:szCs w:val="18"/>
                <w:b w:val="1"/>
                <w:bCs w:val="1"/>
                <w:color w:val="auto"/>
                <w:w w:val="91"/>
              </w:rPr>
              <w:t>Delaware</w:t>
            </w:r>
          </w:p>
        </w:tc>
        <w:tc>
          <w:tcPr>
            <w:tcW w:w="8220" w:type="dxa"/>
            <w:vAlign w:val="bottom"/>
          </w:tcPr>
          <w:p>
            <w:pPr>
              <w:jc w:val="center"/>
              <w:ind w:left="4342"/>
              <w:spacing w:after="0"/>
              <w:rPr>
                <w:sz w:val="20"/>
                <w:szCs w:val="20"/>
                <w:color w:val="auto"/>
              </w:rPr>
            </w:pPr>
            <w:r>
              <w:rPr>
                <w:rFonts w:ascii="Arial" w:cs="Arial" w:eastAsia="Arial" w:hAnsi="Arial"/>
                <w:sz w:val="18"/>
                <w:szCs w:val="18"/>
                <w:b w:val="1"/>
                <w:bCs w:val="1"/>
                <w:color w:val="auto"/>
                <w:w w:val="89"/>
              </w:rPr>
              <w:t>27-2546083</w:t>
            </w:r>
          </w:p>
        </w:tc>
      </w:tr>
      <w:tr>
        <w:trPr>
          <w:trHeight w:val="215"/>
        </w:trPr>
        <w:tc>
          <w:tcPr>
            <w:tcW w:w="3200" w:type="dxa"/>
            <w:vAlign w:val="bottom"/>
          </w:tcPr>
          <w:p>
            <w:pPr>
              <w:jc w:val="center"/>
              <w:ind w:left="531"/>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State or other jurisdiction of</w:t>
            </w:r>
          </w:p>
        </w:tc>
        <w:tc>
          <w:tcPr>
            <w:tcW w:w="8220" w:type="dxa"/>
            <w:vAlign w:val="bottom"/>
          </w:tcPr>
          <w:p>
            <w:pPr>
              <w:jc w:val="center"/>
              <w:ind w:left="4322"/>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I.R.S. Employer</w:t>
            </w:r>
          </w:p>
        </w:tc>
      </w:tr>
      <w:tr>
        <w:trPr>
          <w:trHeight w:val="227"/>
        </w:trPr>
        <w:tc>
          <w:tcPr>
            <w:tcW w:w="3200" w:type="dxa"/>
            <w:vAlign w:val="bottom"/>
          </w:tcPr>
          <w:p>
            <w:pPr>
              <w:jc w:val="center"/>
              <w:ind w:left="531"/>
              <w:spacing w:after="0"/>
              <w:rPr>
                <w:sz w:val="20"/>
                <w:szCs w:val="20"/>
                <w:color w:val="auto"/>
              </w:rPr>
            </w:pPr>
            <w:r>
              <w:rPr>
                <w:rFonts w:ascii="Arial" w:cs="Arial" w:eastAsia="Arial" w:hAnsi="Arial"/>
                <w:sz w:val="18"/>
                <w:szCs w:val="18"/>
                <w:i w:val="1"/>
                <w:iCs w:val="1"/>
                <w:color w:val="auto"/>
                <w:w w:val="94"/>
              </w:rPr>
              <w:t>incorporation or organization</w:t>
            </w:r>
            <w:r>
              <w:rPr>
                <w:rFonts w:ascii="Arial" w:cs="Arial" w:eastAsia="Arial" w:hAnsi="Arial"/>
                <w:sz w:val="18"/>
                <w:szCs w:val="18"/>
                <w:color w:val="auto"/>
                <w:w w:val="94"/>
              </w:rPr>
              <w:t>)</w:t>
            </w:r>
          </w:p>
        </w:tc>
        <w:tc>
          <w:tcPr>
            <w:tcW w:w="8220" w:type="dxa"/>
            <w:vAlign w:val="bottom"/>
          </w:tcPr>
          <w:p>
            <w:pPr>
              <w:jc w:val="center"/>
              <w:ind w:left="4322"/>
              <w:spacing w:after="0"/>
              <w:rPr>
                <w:sz w:val="20"/>
                <w:szCs w:val="20"/>
                <w:color w:val="auto"/>
              </w:rPr>
            </w:pPr>
            <w:r>
              <w:rPr>
                <w:rFonts w:ascii="Arial" w:cs="Arial" w:eastAsia="Arial" w:hAnsi="Arial"/>
                <w:sz w:val="18"/>
                <w:szCs w:val="18"/>
                <w:i w:val="1"/>
                <w:iCs w:val="1"/>
                <w:color w:val="auto"/>
                <w:w w:val="94"/>
              </w:rPr>
              <w:t>Identification No.</w:t>
            </w:r>
            <w:r>
              <w:rPr>
                <w:rFonts w:ascii="Arial" w:cs="Arial" w:eastAsia="Arial" w:hAnsi="Arial"/>
                <w:sz w:val="18"/>
                <w:szCs w:val="18"/>
                <w:color w:val="auto"/>
                <w:w w:val="94"/>
              </w:rPr>
              <w:t>)</w:t>
            </w:r>
          </w:p>
        </w:tc>
      </w:tr>
      <w:tr>
        <w:trPr>
          <w:trHeight w:val="372"/>
        </w:trPr>
        <w:tc>
          <w:tcPr>
            <w:tcW w:w="3200" w:type="dxa"/>
            <w:vAlign w:val="bottom"/>
          </w:tcPr>
          <w:p>
            <w:pPr>
              <w:spacing w:after="0"/>
              <w:rPr>
                <w:sz w:val="24"/>
                <w:szCs w:val="24"/>
                <w:color w:val="auto"/>
              </w:rPr>
            </w:pPr>
          </w:p>
        </w:tc>
        <w:tc>
          <w:tcPr>
            <w:tcW w:w="8220" w:type="dxa"/>
            <w:vAlign w:val="bottom"/>
          </w:tcPr>
          <w:p>
            <w:pPr>
              <w:jc w:val="center"/>
              <w:ind w:right="3082"/>
              <w:spacing w:after="0"/>
              <w:rPr>
                <w:sz w:val="20"/>
                <w:szCs w:val="20"/>
                <w:color w:val="auto"/>
              </w:rPr>
            </w:pPr>
            <w:r>
              <w:rPr>
                <w:rFonts w:ascii="Arial" w:cs="Arial" w:eastAsia="Arial" w:hAnsi="Arial"/>
                <w:sz w:val="18"/>
                <w:szCs w:val="18"/>
                <w:b w:val="1"/>
                <w:bCs w:val="1"/>
                <w:color w:val="auto"/>
                <w:w w:val="91"/>
              </w:rPr>
              <w:t>60 Leveroni Court</w:t>
            </w:r>
          </w:p>
        </w:tc>
      </w:tr>
      <w:tr>
        <w:trPr>
          <w:trHeight w:val="219"/>
        </w:trPr>
        <w:tc>
          <w:tcPr>
            <w:tcW w:w="3200" w:type="dxa"/>
            <w:vAlign w:val="bottom"/>
          </w:tcPr>
          <w:p>
            <w:pPr>
              <w:spacing w:after="0"/>
              <w:rPr>
                <w:sz w:val="19"/>
                <w:szCs w:val="19"/>
                <w:color w:val="auto"/>
              </w:rPr>
            </w:pPr>
          </w:p>
        </w:tc>
        <w:tc>
          <w:tcPr>
            <w:tcW w:w="8220" w:type="dxa"/>
            <w:vAlign w:val="bottom"/>
          </w:tcPr>
          <w:p>
            <w:pPr>
              <w:jc w:val="center"/>
              <w:ind w:right="3102"/>
              <w:spacing w:after="0"/>
              <w:rPr>
                <w:sz w:val="20"/>
                <w:szCs w:val="20"/>
                <w:color w:val="auto"/>
              </w:rPr>
            </w:pPr>
            <w:r>
              <w:rPr>
                <w:rFonts w:ascii="Arial" w:cs="Arial" w:eastAsia="Arial" w:hAnsi="Arial"/>
                <w:sz w:val="18"/>
                <w:szCs w:val="18"/>
                <w:b w:val="1"/>
                <w:bCs w:val="1"/>
                <w:color w:val="auto"/>
                <w:w w:val="90"/>
              </w:rPr>
              <w:t>Novato, CA 94949</w:t>
            </w:r>
          </w:p>
        </w:tc>
      </w:tr>
      <w:tr>
        <w:trPr>
          <w:trHeight w:val="227"/>
        </w:trPr>
        <w:tc>
          <w:tcPr>
            <w:tcW w:w="3200" w:type="dxa"/>
            <w:vAlign w:val="bottom"/>
          </w:tcPr>
          <w:p>
            <w:pPr>
              <w:spacing w:after="0"/>
              <w:rPr>
                <w:sz w:val="19"/>
                <w:szCs w:val="19"/>
                <w:color w:val="auto"/>
              </w:rPr>
            </w:pPr>
          </w:p>
        </w:tc>
        <w:tc>
          <w:tcPr>
            <w:tcW w:w="8220" w:type="dxa"/>
            <w:vAlign w:val="bottom"/>
          </w:tcPr>
          <w:p>
            <w:pPr>
              <w:jc w:val="center"/>
              <w:ind w:right="3102"/>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Address of principal executive offices, including Zip Code</w:t>
            </w:r>
            <w:r>
              <w:rPr>
                <w:rFonts w:ascii="Arial" w:cs="Arial" w:eastAsia="Arial" w:hAnsi="Arial"/>
                <w:sz w:val="18"/>
                <w:szCs w:val="18"/>
                <w:color w:val="auto"/>
                <w:w w:val="91"/>
              </w:rPr>
              <w:t>)</w:t>
            </w:r>
          </w:p>
        </w:tc>
      </w:tr>
      <w:tr>
        <w:trPr>
          <w:trHeight w:val="412"/>
        </w:trPr>
        <w:tc>
          <w:tcPr>
            <w:tcW w:w="3200" w:type="dxa"/>
            <w:vAlign w:val="bottom"/>
          </w:tcPr>
          <w:p>
            <w:pPr>
              <w:spacing w:after="0"/>
              <w:rPr>
                <w:sz w:val="24"/>
                <w:szCs w:val="24"/>
                <w:color w:val="auto"/>
              </w:rPr>
            </w:pPr>
          </w:p>
        </w:tc>
        <w:tc>
          <w:tcPr>
            <w:tcW w:w="8220" w:type="dxa"/>
            <w:vAlign w:val="bottom"/>
          </w:tcPr>
          <w:p>
            <w:pPr>
              <w:jc w:val="center"/>
              <w:ind w:right="3102"/>
              <w:spacing w:after="0"/>
              <w:rPr>
                <w:sz w:val="20"/>
                <w:szCs w:val="20"/>
                <w:color w:val="auto"/>
              </w:rPr>
            </w:pPr>
            <w:r>
              <w:rPr>
                <w:rFonts w:ascii="Arial" w:cs="Arial" w:eastAsia="Arial" w:hAnsi="Arial"/>
                <w:sz w:val="18"/>
                <w:szCs w:val="18"/>
                <w:b w:val="1"/>
                <w:bCs w:val="1"/>
                <w:color w:val="auto"/>
                <w:w w:val="90"/>
              </w:rPr>
              <w:t>2014 Incentive Plan</w:t>
            </w:r>
          </w:p>
        </w:tc>
      </w:tr>
      <w:tr>
        <w:trPr>
          <w:trHeight w:val="219"/>
        </w:trPr>
        <w:tc>
          <w:tcPr>
            <w:tcW w:w="3200" w:type="dxa"/>
            <w:vAlign w:val="bottom"/>
          </w:tcPr>
          <w:p>
            <w:pPr>
              <w:spacing w:after="0"/>
              <w:rPr>
                <w:sz w:val="19"/>
                <w:szCs w:val="19"/>
                <w:color w:val="auto"/>
              </w:rPr>
            </w:pPr>
          </w:p>
        </w:tc>
        <w:tc>
          <w:tcPr>
            <w:tcW w:w="8220" w:type="dxa"/>
            <w:vAlign w:val="bottom"/>
          </w:tcPr>
          <w:p>
            <w:pPr>
              <w:jc w:val="center"/>
              <w:ind w:right="3142"/>
              <w:spacing w:after="0"/>
              <w:rPr>
                <w:sz w:val="20"/>
                <w:szCs w:val="20"/>
                <w:color w:val="auto"/>
              </w:rPr>
            </w:pPr>
            <w:r>
              <w:rPr>
                <w:rFonts w:ascii="Arial" w:cs="Arial" w:eastAsia="Arial" w:hAnsi="Arial"/>
                <w:sz w:val="18"/>
                <w:szCs w:val="18"/>
                <w:b w:val="1"/>
                <w:bCs w:val="1"/>
                <w:color w:val="auto"/>
                <w:w w:val="88"/>
              </w:rPr>
              <w:t>2014 Employee Stock Purchase Plan</w:t>
            </w:r>
          </w:p>
        </w:tc>
      </w:tr>
      <w:tr>
        <w:trPr>
          <w:trHeight w:val="227"/>
        </w:trPr>
        <w:tc>
          <w:tcPr>
            <w:tcW w:w="3200" w:type="dxa"/>
            <w:vAlign w:val="bottom"/>
          </w:tcPr>
          <w:p>
            <w:pPr>
              <w:spacing w:after="0"/>
              <w:rPr>
                <w:sz w:val="19"/>
                <w:szCs w:val="19"/>
                <w:color w:val="auto"/>
              </w:rPr>
            </w:pPr>
          </w:p>
        </w:tc>
        <w:tc>
          <w:tcPr>
            <w:tcW w:w="8220" w:type="dxa"/>
            <w:vAlign w:val="bottom"/>
          </w:tcPr>
          <w:p>
            <w:pPr>
              <w:jc w:val="center"/>
              <w:ind w:right="3142"/>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Full title of the plan</w:t>
            </w:r>
            <w:r>
              <w:rPr>
                <w:rFonts w:ascii="Arial" w:cs="Arial" w:eastAsia="Arial" w:hAnsi="Arial"/>
                <w:sz w:val="18"/>
                <w:szCs w:val="18"/>
                <w:color w:val="auto"/>
                <w:w w:val="94"/>
              </w:rPr>
              <w:t>)</w:t>
            </w: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Emil D. Kakkis, M.D., Ph.D.</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Ultragenyx Pharmaceutical Inc.</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 Leveroni Court</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Novato, CA 94949</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483-8800</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address and telephone number, including area code, of agent for service</w:t>
      </w:r>
      <w:r>
        <w:rPr>
          <w:rFonts w:ascii="Arial" w:cs="Arial" w:eastAsia="Arial" w:hAnsi="Arial"/>
          <w:sz w:val="18"/>
          <w:szCs w:val="18"/>
          <w:color w:val="auto"/>
        </w:rPr>
        <w:t>)</w:t>
      </w:r>
    </w:p>
    <w:p>
      <w:pPr>
        <w:spacing w:after="0" w:line="6" w:lineRule="exact"/>
        <w:rPr>
          <w:sz w:val="24"/>
          <w:szCs w:val="24"/>
          <w:color w:val="auto"/>
        </w:rPr>
      </w:pPr>
    </w:p>
    <w:p>
      <w:pPr>
        <w:ind w:left="3720"/>
        <w:spacing w:after="0"/>
        <w:rPr>
          <w:sz w:val="20"/>
          <w:szCs w:val="20"/>
          <w:color w:val="auto"/>
        </w:rPr>
      </w:pPr>
      <w:r>
        <w:rPr>
          <w:rFonts w:ascii="Arial" w:cs="Arial" w:eastAsia="Arial" w:hAnsi="Arial"/>
          <w:sz w:val="21"/>
          <w:szCs w:val="21"/>
          <w:b w:val="1"/>
          <w:bCs w:val="1"/>
          <w:color w:val="auto"/>
        </w:rPr>
        <w:t>_____________________________________</w:t>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with copies to</w:t>
      </w:r>
      <w:r>
        <w:rPr>
          <w:rFonts w:ascii="Arial" w:cs="Arial" w:eastAsia="Arial" w:hAnsi="Arial"/>
          <w:sz w:val="18"/>
          <w:szCs w:val="18"/>
          <w:color w:val="auto"/>
        </w:rPr>
        <w:t>:</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jc w:val="center"/>
              <w:ind w:left="991"/>
              <w:spacing w:after="0"/>
              <w:rPr>
                <w:sz w:val="20"/>
                <w:szCs w:val="20"/>
                <w:color w:val="auto"/>
              </w:rPr>
            </w:pPr>
            <w:r>
              <w:rPr>
                <w:rFonts w:ascii="Arial" w:cs="Arial" w:eastAsia="Arial" w:hAnsi="Arial"/>
                <w:sz w:val="18"/>
                <w:szCs w:val="18"/>
                <w:b w:val="1"/>
                <w:bCs w:val="1"/>
                <w:color w:val="auto"/>
                <w:w w:val="92"/>
              </w:rPr>
              <w:t>Karah Parschauer</w:t>
            </w:r>
          </w:p>
        </w:tc>
        <w:tc>
          <w:tcPr>
            <w:tcW w:w="5700" w:type="dxa"/>
            <w:vAlign w:val="bottom"/>
          </w:tcPr>
          <w:p>
            <w:pPr>
              <w:jc w:val="center"/>
              <w:ind w:right="2071"/>
              <w:spacing w:after="0"/>
              <w:rPr>
                <w:sz w:val="20"/>
                <w:szCs w:val="20"/>
                <w:color w:val="auto"/>
              </w:rPr>
            </w:pPr>
            <w:r>
              <w:rPr>
                <w:rFonts w:ascii="Arial" w:cs="Arial" w:eastAsia="Arial" w:hAnsi="Arial"/>
                <w:sz w:val="18"/>
                <w:szCs w:val="18"/>
                <w:b w:val="1"/>
                <w:bCs w:val="1"/>
                <w:color w:val="auto"/>
                <w:w w:val="93"/>
              </w:rPr>
              <w:t>Ryan A. Murr, Esq.</w:t>
            </w:r>
          </w:p>
        </w:tc>
      </w:tr>
      <w:tr>
        <w:trPr>
          <w:trHeight w:val="215"/>
        </w:trPr>
        <w:tc>
          <w:tcPr>
            <w:tcW w:w="5740" w:type="dxa"/>
            <w:vAlign w:val="bottom"/>
          </w:tcPr>
          <w:p>
            <w:pPr>
              <w:jc w:val="center"/>
              <w:ind w:left="991"/>
              <w:spacing w:after="0"/>
              <w:rPr>
                <w:sz w:val="20"/>
                <w:szCs w:val="20"/>
                <w:color w:val="auto"/>
              </w:rPr>
            </w:pPr>
            <w:r>
              <w:rPr>
                <w:rFonts w:ascii="Arial" w:cs="Arial" w:eastAsia="Arial" w:hAnsi="Arial"/>
                <w:sz w:val="18"/>
                <w:szCs w:val="18"/>
                <w:b w:val="1"/>
                <w:bCs w:val="1"/>
                <w:color w:val="auto"/>
                <w:w w:val="88"/>
              </w:rPr>
              <w:t>Executive Vice President and General Counsel</w:t>
            </w:r>
          </w:p>
        </w:tc>
        <w:tc>
          <w:tcPr>
            <w:tcW w:w="5700" w:type="dxa"/>
            <w:vAlign w:val="bottom"/>
          </w:tcPr>
          <w:p>
            <w:pPr>
              <w:jc w:val="center"/>
              <w:ind w:right="2071"/>
              <w:spacing w:after="0"/>
              <w:rPr>
                <w:sz w:val="20"/>
                <w:szCs w:val="20"/>
                <w:color w:val="auto"/>
              </w:rPr>
            </w:pPr>
            <w:r>
              <w:rPr>
                <w:rFonts w:ascii="Arial" w:cs="Arial" w:eastAsia="Arial" w:hAnsi="Arial"/>
                <w:sz w:val="18"/>
                <w:szCs w:val="18"/>
                <w:b w:val="1"/>
                <w:bCs w:val="1"/>
                <w:color w:val="auto"/>
                <w:w w:val="88"/>
              </w:rPr>
              <w:t>Sean Sullivan, Esq.</w:t>
            </w:r>
          </w:p>
        </w:tc>
      </w:tr>
      <w:tr>
        <w:trPr>
          <w:trHeight w:val="215"/>
        </w:trPr>
        <w:tc>
          <w:tcPr>
            <w:tcW w:w="5740" w:type="dxa"/>
            <w:vAlign w:val="bottom"/>
          </w:tcPr>
          <w:p>
            <w:pPr>
              <w:jc w:val="center"/>
              <w:ind w:left="1011"/>
              <w:spacing w:after="0"/>
              <w:rPr>
                <w:sz w:val="20"/>
                <w:szCs w:val="20"/>
                <w:color w:val="auto"/>
              </w:rPr>
            </w:pPr>
            <w:r>
              <w:rPr>
                <w:rFonts w:ascii="Arial" w:cs="Arial" w:eastAsia="Arial" w:hAnsi="Arial"/>
                <w:sz w:val="18"/>
                <w:szCs w:val="18"/>
                <w:b w:val="1"/>
                <w:bCs w:val="1"/>
                <w:color w:val="auto"/>
                <w:w w:val="91"/>
              </w:rPr>
              <w:t>Ultragenyx Pharmaceutical Inc.</w:t>
            </w:r>
          </w:p>
        </w:tc>
        <w:tc>
          <w:tcPr>
            <w:tcW w:w="5700" w:type="dxa"/>
            <w:vAlign w:val="bottom"/>
          </w:tcPr>
          <w:p>
            <w:pPr>
              <w:jc w:val="center"/>
              <w:ind w:right="2051"/>
              <w:spacing w:after="0"/>
              <w:rPr>
                <w:sz w:val="20"/>
                <w:szCs w:val="20"/>
                <w:color w:val="auto"/>
              </w:rPr>
            </w:pPr>
            <w:r>
              <w:rPr>
                <w:rFonts w:ascii="Arial" w:cs="Arial" w:eastAsia="Arial" w:hAnsi="Arial"/>
                <w:sz w:val="18"/>
                <w:szCs w:val="18"/>
                <w:b w:val="1"/>
                <w:bCs w:val="1"/>
                <w:color w:val="auto"/>
                <w:w w:val="94"/>
              </w:rPr>
              <w:t>Gibson, Dunn &amp; Crutcher LLP</w:t>
            </w:r>
          </w:p>
        </w:tc>
      </w:tr>
      <w:tr>
        <w:trPr>
          <w:trHeight w:val="215"/>
        </w:trPr>
        <w:tc>
          <w:tcPr>
            <w:tcW w:w="5740" w:type="dxa"/>
            <w:vAlign w:val="bottom"/>
          </w:tcPr>
          <w:p>
            <w:pPr>
              <w:jc w:val="center"/>
              <w:ind w:left="991"/>
              <w:spacing w:after="0"/>
              <w:rPr>
                <w:sz w:val="20"/>
                <w:szCs w:val="20"/>
                <w:color w:val="auto"/>
              </w:rPr>
            </w:pPr>
            <w:r>
              <w:rPr>
                <w:rFonts w:ascii="Arial" w:cs="Arial" w:eastAsia="Arial" w:hAnsi="Arial"/>
                <w:sz w:val="18"/>
                <w:szCs w:val="18"/>
                <w:b w:val="1"/>
                <w:bCs w:val="1"/>
                <w:color w:val="auto"/>
                <w:w w:val="92"/>
              </w:rPr>
              <w:t>60 Leveroni Court</w:t>
            </w:r>
          </w:p>
        </w:tc>
        <w:tc>
          <w:tcPr>
            <w:tcW w:w="5700" w:type="dxa"/>
            <w:vAlign w:val="bottom"/>
          </w:tcPr>
          <w:p>
            <w:pPr>
              <w:jc w:val="center"/>
              <w:ind w:right="2051"/>
              <w:spacing w:after="0"/>
              <w:rPr>
                <w:sz w:val="20"/>
                <w:szCs w:val="20"/>
                <w:color w:val="auto"/>
              </w:rPr>
            </w:pPr>
            <w:r>
              <w:rPr>
                <w:rFonts w:ascii="Arial" w:cs="Arial" w:eastAsia="Arial" w:hAnsi="Arial"/>
                <w:sz w:val="18"/>
                <w:szCs w:val="18"/>
                <w:b w:val="1"/>
                <w:bCs w:val="1"/>
                <w:color w:val="auto"/>
                <w:w w:val="88"/>
              </w:rPr>
              <w:t>555 Mission Street, Suite 3000</w:t>
            </w:r>
          </w:p>
        </w:tc>
      </w:tr>
      <w:tr>
        <w:trPr>
          <w:trHeight w:val="215"/>
        </w:trPr>
        <w:tc>
          <w:tcPr>
            <w:tcW w:w="5740" w:type="dxa"/>
            <w:vAlign w:val="bottom"/>
          </w:tcPr>
          <w:p>
            <w:pPr>
              <w:jc w:val="center"/>
              <w:ind w:left="991"/>
              <w:spacing w:after="0"/>
              <w:rPr>
                <w:sz w:val="20"/>
                <w:szCs w:val="20"/>
                <w:color w:val="auto"/>
              </w:rPr>
            </w:pPr>
            <w:r>
              <w:rPr>
                <w:rFonts w:ascii="Arial" w:cs="Arial" w:eastAsia="Arial" w:hAnsi="Arial"/>
                <w:sz w:val="18"/>
                <w:szCs w:val="18"/>
                <w:b w:val="1"/>
                <w:bCs w:val="1"/>
                <w:color w:val="auto"/>
                <w:w w:val="90"/>
              </w:rPr>
              <w:t>Novato, CA 94949</w:t>
            </w:r>
          </w:p>
        </w:tc>
        <w:tc>
          <w:tcPr>
            <w:tcW w:w="5700" w:type="dxa"/>
            <w:vAlign w:val="bottom"/>
          </w:tcPr>
          <w:p>
            <w:pPr>
              <w:jc w:val="center"/>
              <w:ind w:right="2071"/>
              <w:spacing w:after="0"/>
              <w:rPr>
                <w:sz w:val="20"/>
                <w:szCs w:val="20"/>
                <w:color w:val="auto"/>
              </w:rPr>
            </w:pPr>
            <w:r>
              <w:rPr>
                <w:rFonts w:ascii="Arial" w:cs="Arial" w:eastAsia="Arial" w:hAnsi="Arial"/>
                <w:sz w:val="18"/>
                <w:szCs w:val="18"/>
                <w:b w:val="1"/>
                <w:bCs w:val="1"/>
                <w:color w:val="auto"/>
                <w:w w:val="89"/>
              </w:rPr>
              <w:t>San Francisco, CA 94105-0921</w:t>
            </w:r>
          </w:p>
        </w:tc>
      </w:tr>
      <w:tr>
        <w:trPr>
          <w:trHeight w:val="215"/>
        </w:trPr>
        <w:tc>
          <w:tcPr>
            <w:tcW w:w="5740" w:type="dxa"/>
            <w:vAlign w:val="bottom"/>
          </w:tcPr>
          <w:p>
            <w:pPr>
              <w:jc w:val="center"/>
              <w:ind w:left="1011"/>
              <w:spacing w:after="0"/>
              <w:rPr>
                <w:sz w:val="20"/>
                <w:szCs w:val="20"/>
                <w:color w:val="auto"/>
              </w:rPr>
            </w:pPr>
            <w:r>
              <w:rPr>
                <w:rFonts w:ascii="Arial" w:cs="Arial" w:eastAsia="Arial" w:hAnsi="Arial"/>
                <w:sz w:val="18"/>
                <w:szCs w:val="18"/>
                <w:b w:val="1"/>
                <w:bCs w:val="1"/>
                <w:color w:val="auto"/>
                <w:w w:val="89"/>
              </w:rPr>
              <w:t>Telephone: (415) 483-8800</w:t>
            </w:r>
          </w:p>
        </w:tc>
        <w:tc>
          <w:tcPr>
            <w:tcW w:w="5700" w:type="dxa"/>
            <w:vAlign w:val="bottom"/>
          </w:tcPr>
          <w:p>
            <w:pPr>
              <w:jc w:val="center"/>
              <w:ind w:right="2051"/>
              <w:spacing w:after="0"/>
              <w:rPr>
                <w:sz w:val="20"/>
                <w:szCs w:val="20"/>
                <w:color w:val="auto"/>
              </w:rPr>
            </w:pPr>
            <w:r>
              <w:rPr>
                <w:rFonts w:ascii="Arial" w:cs="Arial" w:eastAsia="Arial" w:hAnsi="Arial"/>
                <w:sz w:val="18"/>
                <w:szCs w:val="18"/>
                <w:b w:val="1"/>
                <w:bCs w:val="1"/>
                <w:color w:val="auto"/>
                <w:w w:val="89"/>
              </w:rPr>
              <w:t>Telephone: (415) 393-8200</w:t>
            </w:r>
          </w:p>
        </w:tc>
      </w:tr>
      <w:tr>
        <w:trPr>
          <w:trHeight w:val="231"/>
        </w:trPr>
        <w:tc>
          <w:tcPr>
            <w:tcW w:w="5740" w:type="dxa"/>
            <w:vAlign w:val="bottom"/>
          </w:tcPr>
          <w:p>
            <w:pPr>
              <w:jc w:val="center"/>
              <w:ind w:left="991"/>
              <w:spacing w:after="0"/>
              <w:rPr>
                <w:sz w:val="20"/>
                <w:szCs w:val="20"/>
                <w:color w:val="auto"/>
              </w:rPr>
            </w:pPr>
            <w:r>
              <w:rPr>
                <w:rFonts w:ascii="Arial" w:cs="Arial" w:eastAsia="Arial" w:hAnsi="Arial"/>
                <w:sz w:val="18"/>
                <w:szCs w:val="18"/>
                <w:b w:val="1"/>
                <w:bCs w:val="1"/>
                <w:color w:val="auto"/>
                <w:w w:val="89"/>
              </w:rPr>
              <w:t>Facsimile: (415) 483-8810</w:t>
            </w:r>
          </w:p>
        </w:tc>
        <w:tc>
          <w:tcPr>
            <w:tcW w:w="5700" w:type="dxa"/>
            <w:vAlign w:val="bottom"/>
          </w:tcPr>
          <w:p>
            <w:pPr>
              <w:jc w:val="center"/>
              <w:ind w:right="2071"/>
              <w:spacing w:after="0"/>
              <w:rPr>
                <w:sz w:val="20"/>
                <w:szCs w:val="20"/>
                <w:color w:val="auto"/>
              </w:rPr>
            </w:pPr>
            <w:r>
              <w:rPr>
                <w:rFonts w:ascii="Arial" w:cs="Arial" w:eastAsia="Arial" w:hAnsi="Arial"/>
                <w:sz w:val="18"/>
                <w:szCs w:val="18"/>
                <w:b w:val="1"/>
                <w:bCs w:val="1"/>
                <w:color w:val="auto"/>
                <w:w w:val="89"/>
              </w:rPr>
              <w:t>Facsimile: (415) 393-8306</w:t>
            </w:r>
          </w:p>
        </w:tc>
      </w:tr>
      <w:tr>
        <w:trPr>
          <w:trHeight w:val="330"/>
        </w:trPr>
        <w:tc>
          <w:tcPr>
            <w:tcW w:w="57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3" w:right="219" w:bottom="1440" w:gutter="0" w:footer="0" w:header="0"/>
        </w:sectPr>
      </w:pPr>
    </w:p>
    <w:bookmarkStart w:id="1" w:name="page2"/>
    <w:bookmarkEnd w:id="1"/>
    <w:p>
      <w:pPr>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20"/>
          </w:cols>
          <w:pgMar w:left="240" w:top="125" w:right="339" w:bottom="1440" w:gutter="0" w:footer="0" w:header="0"/>
        </w:sectPr>
      </w:pPr>
    </w:p>
    <w:p>
      <w:pPr>
        <w:spacing w:after="0" w:line="17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1800" w:space="640"/>
            <w:col w:w="8880"/>
          </w:cols>
          <w:pgMar w:left="240" w:top="125" w:right="339" w:bottom="1440" w:gutter="0" w:footer="0" w:header="0"/>
          <w:type w:val="continuous"/>
        </w:sectPr>
      </w:pPr>
    </w:p>
    <w:p>
      <w:pPr>
        <w:spacing w:after="0" w:line="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3">
            <w:col w:w="1720" w:space="60"/>
            <w:col w:w="3320" w:space="640"/>
            <w:col w:w="5580"/>
          </w:cols>
          <w:pgMar w:left="240" w:top="125" w:right="339" w:bottom="1440" w:gutter="0" w:footer="0" w:header="0"/>
          <w:type w:val="continuous"/>
        </w:sectPr>
      </w:pPr>
    </w:p>
    <w:p>
      <w:pPr>
        <w:spacing w:after="0" w:line="1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320"/>
          </w:cols>
          <w:pgMar w:left="240" w:top="125" w:right="339" w:bottom="1440" w:gutter="0" w:footer="0" w:header="0"/>
          <w:type w:val="continuous"/>
        </w:sectPr>
      </w:pPr>
    </w:p>
    <w:p>
      <w:pPr>
        <w:spacing w:after="0" w:line="278"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6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6"/>
              </w:rPr>
              <w:t>Proposed</w:t>
            </w:r>
          </w:p>
        </w:tc>
        <w:tc>
          <w:tcPr>
            <w:tcW w:w="1760" w:type="dxa"/>
            <w:vAlign w:val="bottom"/>
            <w:tcBorders>
              <w:right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maximum offering</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Proposed maximum</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Borders>
              <w:right w:val="single" w:sz="8" w:color="auto"/>
            </w:tcBorders>
          </w:tcPr>
          <w:p>
            <w:pPr>
              <w:ind w:left="1680"/>
              <w:spacing w:after="0"/>
              <w:rPr>
                <w:sz w:val="20"/>
                <w:szCs w:val="20"/>
                <w:color w:val="auto"/>
              </w:rPr>
            </w:pPr>
            <w:r>
              <w:rPr>
                <w:rFonts w:ascii="Arial" w:cs="Arial" w:eastAsia="Arial" w:hAnsi="Arial"/>
                <w:sz w:val="18"/>
                <w:szCs w:val="18"/>
                <w:b w:val="1"/>
                <w:bCs w:val="1"/>
                <w:color w:val="auto"/>
              </w:rPr>
              <w:t>Title of</w:t>
            </w:r>
          </w:p>
        </w:tc>
        <w:tc>
          <w:tcPr>
            <w:tcW w:w="19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1"/>
              </w:rPr>
              <w:t>Amount to be registered</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aggregate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6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8"/>
                <w:szCs w:val="18"/>
                <w:b w:val="1"/>
                <w:bCs w:val="1"/>
                <w:color w:val="auto"/>
              </w:rPr>
              <w:t>securities to be registered</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 share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registration fee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0"/>
              </w:rPr>
              <w:t>Common stock, $0.001 par value per share (“Common</w:t>
            </w:r>
          </w:p>
        </w:tc>
        <w:tc>
          <w:tcPr>
            <w:tcW w:w="19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Stock”)</w:t>
            </w:r>
          </w:p>
        </w:tc>
        <w:tc>
          <w:tcPr>
            <w:tcW w:w="198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60" w:type="dxa"/>
            <w:vAlign w:val="bottom"/>
            <w:tcBorders>
              <w:top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-Reserved for future issuance under the 2014</w:t>
            </w:r>
          </w:p>
        </w:tc>
        <w:tc>
          <w:tcPr>
            <w:tcW w:w="1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2,041,863</w:t>
            </w:r>
          </w:p>
        </w:tc>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$47.54 (2)</w:t>
            </w:r>
          </w:p>
        </w:tc>
        <w:tc>
          <w:tcPr>
            <w:tcW w:w="1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$97,070,167</w:t>
            </w:r>
          </w:p>
        </w:tc>
        <w:tc>
          <w:tcPr>
            <w:tcW w:w="1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$12,085.24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6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auto"/>
                <w:w w:val="93"/>
              </w:rPr>
              <w:t>Incentive Plan (as amended, the “2014 Plan”)</w:t>
            </w:r>
          </w:p>
        </w:tc>
        <w:tc>
          <w:tcPr>
            <w:tcW w:w="198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96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60" w:type="dxa"/>
            <w:vAlign w:val="bottom"/>
            <w:tcBorders>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-Reserved for future issuance under the 2014</w:t>
            </w:r>
          </w:p>
        </w:tc>
        <w:tc>
          <w:tcPr>
            <w:tcW w:w="19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2"/>
              </w:rPr>
              <w:t>Employee Stock Purchase Plan (as amended,</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510,465</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$40.41 (3)</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$20,627,891</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$2,568.18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the “ESPP”)</w:t>
            </w:r>
          </w:p>
        </w:tc>
        <w:tc>
          <w:tcPr>
            <w:tcW w:w="198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auto"/>
            </w:tcBorders>
          </w:tcPr>
          <w:p>
            <w:pPr>
              <w:spacing w:after="0"/>
              <w:rPr>
                <w:sz w:val="19"/>
                <w:szCs w:val="19"/>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2,552,328</w:t>
            </w:r>
          </w:p>
        </w:tc>
        <w:tc>
          <w:tcPr>
            <w:tcW w:w="152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$14,653.42</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940" w:right="120" w:hanging="933"/>
        <w:spacing w:after="0" w:line="294" w:lineRule="auto"/>
        <w:tabs>
          <w:tab w:leader="none" w:pos="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shall also cover any additional shares of Common Stock that become issuable under the 2014 Plan and the ESPP by reason of any stock dividend, stock split, recapitalization or any other similar transaction effected without the receipt of consideration which would result in an increase in the number of outstanding shares of Common Stock. In addition, pursuant to Rule 416(c) under the Securities Act, this registration statement shall also cover an indeterminate amount of interests to be offered or sold pursuant to the employee benefit plans described herein.</w:t>
      </w:r>
    </w:p>
    <w:p>
      <w:pPr>
        <w:spacing w:after="0" w:line="160" w:lineRule="exact"/>
        <w:rPr>
          <w:rFonts w:ascii="Arial" w:cs="Arial" w:eastAsia="Arial" w:hAnsi="Arial"/>
          <w:sz w:val="16"/>
          <w:szCs w:val="16"/>
          <w:color w:val="auto"/>
        </w:rPr>
      </w:pPr>
    </w:p>
    <w:p>
      <w:pPr>
        <w:ind w:left="940" w:right="500" w:hanging="933"/>
        <w:spacing w:after="0" w:line="336" w:lineRule="auto"/>
        <w:tabs>
          <w:tab w:leader="none" w:pos="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(h) of the Securities Act, and based on the average of the high and low sale prices of the Common Stock, as quoted on The Nasdaq Global Select Market, on February 15, 2018.</w:t>
      </w:r>
    </w:p>
    <w:p>
      <w:pPr>
        <w:spacing w:after="0" w:line="128" w:lineRule="exact"/>
        <w:rPr>
          <w:rFonts w:ascii="Arial" w:cs="Arial" w:eastAsia="Arial" w:hAnsi="Arial"/>
          <w:sz w:val="16"/>
          <w:szCs w:val="16"/>
          <w:color w:val="auto"/>
        </w:rPr>
      </w:pPr>
    </w:p>
    <w:p>
      <w:pPr>
        <w:ind w:left="940" w:right="200" w:hanging="933"/>
        <w:spacing w:after="0" w:line="283" w:lineRule="auto"/>
        <w:tabs>
          <w:tab w:leader="none" w:pos="9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Rules 457(c) and (h) of the Securities Act, and based on 85% of the average of the high and low sale prices of the Common Stock, as quoted on The Nasdaq Global Select Market, on February 15, 2018. Pursuant to the ESPP, the purchase price of a share of Common Stock is 85% of the fair market value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851535</wp:posOffset>
            </wp:positionV>
            <wp:extent cx="728980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2" w:lineRule="exact"/>
        <w:rPr>
          <w:sz w:val="20"/>
          <w:szCs w:val="20"/>
          <w:color w:val="auto"/>
        </w:rPr>
      </w:pPr>
    </w:p>
    <w:p>
      <w:pPr>
        <w:ind w:firstLine="878"/>
        <w:spacing w:after="0" w:line="258" w:lineRule="auto"/>
        <w:rPr>
          <w:sz w:val="20"/>
          <w:szCs w:val="20"/>
          <w:color w:val="auto"/>
        </w:rPr>
      </w:pPr>
      <w:r>
        <w:rPr>
          <w:rFonts w:ascii="Arial" w:cs="Arial" w:eastAsia="Arial" w:hAnsi="Arial"/>
          <w:sz w:val="18"/>
          <w:szCs w:val="18"/>
          <w:b w:val="1"/>
          <w:bCs w:val="1"/>
          <w:color w:val="auto"/>
        </w:rPr>
        <w:t>This Registration Statement on Form S-8 registers additional shares of Common Stock to be issued pursuant to the 2014 Plan and the ESPP. The information contained in the Registrant’s registration statements on Form S-8 (SEC File Nos. 333-194773, 333-201843, 333-209729, and 333-216110), together with all exhibits filed therewith or incorporated therein by reference, are hereby incorporated by reference pursuant to General Instruction E to Form S-8.</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the Exhibit Index included in this registration statement, which is incorporated into this Item 8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341630</wp:posOffset>
            </wp:positionV>
            <wp:extent cx="728980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1" w:lineRule="exact"/>
        <w:rPr>
          <w:sz w:val="20"/>
          <w:szCs w:val="20"/>
          <w:color w:val="auto"/>
        </w:rPr>
      </w:pPr>
    </w:p>
    <w:p>
      <w:pPr>
        <w:jc w:val="both"/>
        <w:ind w:right="300" w:firstLine="878"/>
        <w:spacing w:after="0" w:line="260"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Novato, State of California, on February 21, 2018.</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ULTRAGENYX PHARMACEUTICAL INC.</w:t>
      </w:r>
    </w:p>
    <w:p>
      <w:pPr>
        <w:spacing w:after="0" w:line="222" w:lineRule="exact"/>
        <w:rPr>
          <w:sz w:val="20"/>
          <w:szCs w:val="20"/>
          <w:color w:val="auto"/>
        </w:rPr>
      </w:pPr>
    </w:p>
    <w:p>
      <w:pPr>
        <w:ind w:left="5500"/>
        <w:spacing w:after="0"/>
        <w:tabs>
          <w:tab w:leader="none" w:pos="5980" w:val="left"/>
        </w:tabs>
        <w:rPr>
          <w:sz w:val="20"/>
          <w:szCs w:val="20"/>
          <w:color w:val="auto"/>
        </w:rPr>
      </w:pPr>
      <w:r>
        <w:rPr>
          <w:rFonts w:ascii="Arial" w:cs="Arial" w:eastAsia="Arial" w:hAnsi="Arial"/>
          <w:sz w:val="18"/>
          <w:szCs w:val="18"/>
          <w:color w:val="auto"/>
        </w:rPr>
        <w:t>By:</w:t>
        <w:tab/>
        <w:t>/s/ Emil D. Kakkis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Emil D. Kakkis,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-130175</wp:posOffset>
            </wp:positionV>
            <wp:extent cx="2742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6"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each of Emil D. Kakkis, M.D., Ph.D. and Shalini Sharp, and each of them acting individually, as his or her true and lawful attorneys-in-fact and agents, each with full power of substitution and resubstitution in each of them singly, for him or her and in his or her name, place and stead, and in any and all capacities, to sign any and all amendments (including post-effective amendments) to this registration statement on Form S-8 of Ultragenyx Pharmaceutical Inc., and to file the same, with all exhibits thereto and other documents in connection therewith, with the Securities and Exchange Commission, granting to the attorneys-in-fact and agents, and each of them, full power and authority to do and perform each and every act and thing requisite or necessary to be done in or about the premises, as full to all intents and purposes as he or she might or could do in person, hereby ratifying and confirming all that the attorneys-in-fact and agents or any of each of them or their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728980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ind w:right="100" w:firstLine="878"/>
        <w:spacing w:after="0" w:line="272"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20" w:type="dxa"/>
            <w:vAlign w:val="bottom"/>
          </w:tcPr>
          <w:p>
            <w:pPr>
              <w:ind w:left="1240"/>
              <w:spacing w:after="0"/>
              <w:rPr>
                <w:sz w:val="20"/>
                <w:szCs w:val="20"/>
                <w:color w:val="auto"/>
              </w:rPr>
            </w:pPr>
            <w:r>
              <w:rPr>
                <w:rFonts w:ascii="Arial" w:cs="Arial" w:eastAsia="Arial" w:hAnsi="Arial"/>
                <w:sz w:val="18"/>
                <w:szCs w:val="18"/>
                <w:b w:val="1"/>
                <w:bCs w:val="1"/>
                <w:color w:val="auto"/>
              </w:rPr>
              <w:t>Signature</w:t>
            </w:r>
          </w:p>
        </w:tc>
        <w:tc>
          <w:tcPr>
            <w:tcW w:w="5440" w:type="dxa"/>
            <w:vAlign w:val="bottom"/>
          </w:tcPr>
          <w:p>
            <w:pPr>
              <w:jc w:val="center"/>
              <w:ind w:left="451"/>
              <w:spacing w:after="0"/>
              <w:rPr>
                <w:sz w:val="20"/>
                <w:szCs w:val="20"/>
                <w:color w:val="auto"/>
              </w:rPr>
            </w:pPr>
            <w:r>
              <w:rPr>
                <w:rFonts w:ascii="Arial" w:cs="Arial" w:eastAsia="Arial" w:hAnsi="Arial"/>
                <w:sz w:val="18"/>
                <w:szCs w:val="18"/>
                <w:b w:val="1"/>
                <w:bCs w:val="1"/>
                <w:color w:val="auto"/>
                <w:w w:val="91"/>
              </w:rPr>
              <w:t>Title</w:t>
            </w:r>
          </w:p>
        </w:tc>
        <w:tc>
          <w:tcPr>
            <w:tcW w:w="2780" w:type="dxa"/>
            <w:vAlign w:val="bottom"/>
          </w:tcPr>
          <w:p>
            <w:pPr>
              <w:ind w:left="1460"/>
              <w:spacing w:after="0"/>
              <w:rPr>
                <w:sz w:val="20"/>
                <w:szCs w:val="20"/>
                <w:color w:val="auto"/>
              </w:rPr>
            </w:pPr>
            <w:r>
              <w:rPr>
                <w:rFonts w:ascii="Arial" w:cs="Arial" w:eastAsia="Arial" w:hAnsi="Arial"/>
                <w:sz w:val="18"/>
                <w:szCs w:val="18"/>
                <w:b w:val="1"/>
                <w:bCs w:val="1"/>
                <w:color w:val="auto"/>
              </w:rPr>
              <w:t>Date</w:t>
            </w:r>
          </w:p>
        </w:tc>
      </w:tr>
      <w:tr>
        <w:trPr>
          <w:trHeight w:val="429"/>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 D. Kakkis</w:t>
            </w:r>
          </w:p>
        </w:tc>
        <w:tc>
          <w:tcPr>
            <w:tcW w:w="5440" w:type="dxa"/>
            <w:vAlign w:val="bottom"/>
          </w:tcPr>
          <w:p>
            <w:pPr>
              <w:jc w:val="center"/>
              <w:ind w:left="451"/>
              <w:spacing w:after="0"/>
              <w:rPr>
                <w:sz w:val="20"/>
                <w:szCs w:val="20"/>
                <w:color w:val="auto"/>
              </w:rPr>
            </w:pPr>
            <w:r>
              <w:rPr>
                <w:rFonts w:ascii="Arial" w:cs="Arial" w:eastAsia="Arial" w:hAnsi="Arial"/>
                <w:sz w:val="18"/>
                <w:szCs w:val="18"/>
                <w:color w:val="auto"/>
                <w:w w:val="91"/>
              </w:rPr>
              <w:t>Director, President and Chief Executive Officer</w:t>
            </w:r>
          </w:p>
        </w:tc>
        <w:tc>
          <w:tcPr>
            <w:tcW w:w="2780" w:type="dxa"/>
            <w:vAlign w:val="bottom"/>
          </w:tcPr>
          <w:p>
            <w:pPr>
              <w:ind w:left="540"/>
              <w:spacing w:after="0"/>
              <w:rPr>
                <w:sz w:val="20"/>
                <w:szCs w:val="20"/>
                <w:color w:val="auto"/>
              </w:rPr>
            </w:pPr>
            <w:r>
              <w:rPr>
                <w:rFonts w:ascii="Arial" w:cs="Arial" w:eastAsia="Arial" w:hAnsi="Arial"/>
                <w:sz w:val="18"/>
                <w:szCs w:val="18"/>
                <w:color w:val="auto"/>
              </w:rPr>
              <w:t>February 21, 2018</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Emil D. Kakkis, M.D., Ph.D.</w:t>
            </w:r>
          </w:p>
        </w:tc>
        <w:tc>
          <w:tcPr>
            <w:tcW w:w="5440" w:type="dxa"/>
            <w:vAlign w:val="bottom"/>
          </w:tcPr>
          <w:p>
            <w:pPr>
              <w:jc w:val="center"/>
              <w:ind w:left="451"/>
              <w:spacing w:after="0"/>
              <w:rPr>
                <w:sz w:val="20"/>
                <w:szCs w:val="20"/>
                <w:color w:val="auto"/>
              </w:rPr>
            </w:pPr>
            <w:r>
              <w:rPr>
                <w:rFonts w:ascii="Arial" w:cs="Arial" w:eastAsia="Arial" w:hAnsi="Arial"/>
                <w:sz w:val="18"/>
                <w:szCs w:val="18"/>
                <w:color w:val="auto"/>
                <w:w w:val="94"/>
              </w:rPr>
              <w:t>(Principal Executive Officer)</w:t>
            </w:r>
          </w:p>
        </w:tc>
        <w:tc>
          <w:tcPr>
            <w:tcW w:w="2780" w:type="dxa"/>
            <w:vAlign w:val="bottom"/>
          </w:tcPr>
          <w:p>
            <w:pPr>
              <w:spacing w:after="0"/>
              <w:rPr>
                <w:sz w:val="19"/>
                <w:szCs w:val="19"/>
                <w:color w:val="auto"/>
              </w:rPr>
            </w:pPr>
          </w:p>
        </w:tc>
      </w:tr>
      <w:tr>
        <w:trPr>
          <w:trHeight w:val="415"/>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Shalini Sharp</w:t>
            </w:r>
          </w:p>
        </w:tc>
        <w:tc>
          <w:tcPr>
            <w:tcW w:w="5440" w:type="dxa"/>
            <w:vAlign w:val="bottom"/>
          </w:tcPr>
          <w:p>
            <w:pPr>
              <w:jc w:val="center"/>
              <w:ind w:left="451"/>
              <w:spacing w:after="0"/>
              <w:rPr>
                <w:sz w:val="20"/>
                <w:szCs w:val="20"/>
                <w:color w:val="auto"/>
              </w:rPr>
            </w:pPr>
            <w:r>
              <w:rPr>
                <w:rFonts w:ascii="Arial" w:cs="Arial" w:eastAsia="Arial" w:hAnsi="Arial"/>
                <w:sz w:val="18"/>
                <w:szCs w:val="18"/>
                <w:color w:val="auto"/>
                <w:w w:val="91"/>
              </w:rPr>
              <w:t>Executive Vice President and Chief Financial Officer</w:t>
            </w:r>
          </w:p>
        </w:tc>
        <w:tc>
          <w:tcPr>
            <w:tcW w:w="2780" w:type="dxa"/>
            <w:vAlign w:val="bottom"/>
          </w:tcPr>
          <w:p>
            <w:pPr>
              <w:ind w:left="540"/>
              <w:spacing w:after="0"/>
              <w:rPr>
                <w:sz w:val="20"/>
                <w:szCs w:val="20"/>
                <w:color w:val="auto"/>
              </w:rPr>
            </w:pPr>
            <w:r>
              <w:rPr>
                <w:rFonts w:ascii="Arial" w:cs="Arial" w:eastAsia="Arial" w:hAnsi="Arial"/>
                <w:sz w:val="18"/>
                <w:szCs w:val="18"/>
                <w:color w:val="auto"/>
              </w:rPr>
              <w:t>February 21, 2018</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Shalini Sharp</w:t>
            </w:r>
          </w:p>
        </w:tc>
        <w:tc>
          <w:tcPr>
            <w:tcW w:w="5440" w:type="dxa"/>
            <w:vAlign w:val="bottom"/>
          </w:tcPr>
          <w:p>
            <w:pPr>
              <w:jc w:val="center"/>
              <w:ind w:left="451"/>
              <w:spacing w:after="0"/>
              <w:rPr>
                <w:sz w:val="20"/>
                <w:szCs w:val="20"/>
                <w:color w:val="auto"/>
              </w:rPr>
            </w:pPr>
            <w:r>
              <w:rPr>
                <w:rFonts w:ascii="Arial" w:cs="Arial" w:eastAsia="Arial" w:hAnsi="Arial"/>
                <w:sz w:val="18"/>
                <w:szCs w:val="18"/>
                <w:color w:val="auto"/>
                <w:w w:val="93"/>
              </w:rPr>
              <w:t>(Principal Financial Officer)</w:t>
            </w:r>
          </w:p>
        </w:tc>
        <w:tc>
          <w:tcPr>
            <w:tcW w:w="2780" w:type="dxa"/>
            <w:vAlign w:val="bottom"/>
          </w:tcPr>
          <w:p>
            <w:pPr>
              <w:spacing w:after="0"/>
              <w:rPr>
                <w:sz w:val="19"/>
                <w:szCs w:val="19"/>
                <w:color w:val="auto"/>
              </w:rPr>
            </w:pPr>
          </w:p>
        </w:tc>
      </w:tr>
      <w:tr>
        <w:trPr>
          <w:trHeight w:val="415"/>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A. Huizenga</w:t>
            </w:r>
          </w:p>
        </w:tc>
        <w:tc>
          <w:tcPr>
            <w:tcW w:w="5440" w:type="dxa"/>
            <w:vAlign w:val="bottom"/>
          </w:tcPr>
          <w:p>
            <w:pPr>
              <w:jc w:val="center"/>
              <w:ind w:left="451"/>
              <w:spacing w:after="0"/>
              <w:rPr>
                <w:sz w:val="20"/>
                <w:szCs w:val="20"/>
                <w:color w:val="auto"/>
              </w:rPr>
            </w:pPr>
            <w:r>
              <w:rPr>
                <w:rFonts w:ascii="Arial" w:cs="Arial" w:eastAsia="Arial" w:hAnsi="Arial"/>
                <w:sz w:val="18"/>
                <w:szCs w:val="18"/>
                <w:color w:val="auto"/>
                <w:w w:val="89"/>
              </w:rPr>
              <w:t>Vice President and Corporate Controller</w:t>
            </w:r>
          </w:p>
        </w:tc>
        <w:tc>
          <w:tcPr>
            <w:tcW w:w="2780" w:type="dxa"/>
            <w:vAlign w:val="bottom"/>
          </w:tcPr>
          <w:p>
            <w:pPr>
              <w:ind w:left="540"/>
              <w:spacing w:after="0"/>
              <w:rPr>
                <w:sz w:val="20"/>
                <w:szCs w:val="20"/>
                <w:color w:val="auto"/>
              </w:rPr>
            </w:pPr>
            <w:r>
              <w:rPr>
                <w:rFonts w:ascii="Arial" w:cs="Arial" w:eastAsia="Arial" w:hAnsi="Arial"/>
                <w:sz w:val="18"/>
                <w:szCs w:val="18"/>
                <w:color w:val="auto"/>
              </w:rPr>
              <w:t>February 21, 2018</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Theodore A. Huizenga</w:t>
            </w:r>
          </w:p>
        </w:tc>
        <w:tc>
          <w:tcPr>
            <w:tcW w:w="5440" w:type="dxa"/>
            <w:vAlign w:val="bottom"/>
          </w:tcPr>
          <w:p>
            <w:pPr>
              <w:jc w:val="center"/>
              <w:ind w:left="471"/>
              <w:spacing w:after="0"/>
              <w:rPr>
                <w:sz w:val="20"/>
                <w:szCs w:val="20"/>
                <w:color w:val="auto"/>
              </w:rPr>
            </w:pPr>
            <w:r>
              <w:rPr>
                <w:rFonts w:ascii="Arial" w:cs="Arial" w:eastAsia="Arial" w:hAnsi="Arial"/>
                <w:sz w:val="18"/>
                <w:szCs w:val="18"/>
                <w:color w:val="auto"/>
                <w:w w:val="94"/>
              </w:rPr>
              <w:t>(Principal Accounting Officer)</w:t>
            </w:r>
          </w:p>
        </w:tc>
        <w:tc>
          <w:tcPr>
            <w:tcW w:w="2780" w:type="dxa"/>
            <w:vAlign w:val="bottom"/>
          </w:tcPr>
          <w:p>
            <w:pPr>
              <w:spacing w:after="0"/>
              <w:rPr>
                <w:sz w:val="19"/>
                <w:szCs w:val="19"/>
                <w:color w:val="auto"/>
              </w:rPr>
            </w:pPr>
          </w:p>
        </w:tc>
      </w:tr>
      <w:tr>
        <w:trPr>
          <w:trHeight w:val="416"/>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 Welch</w:t>
            </w:r>
          </w:p>
        </w:tc>
        <w:tc>
          <w:tcPr>
            <w:tcW w:w="5440" w:type="dxa"/>
            <w:vAlign w:val="bottom"/>
          </w:tcPr>
          <w:p>
            <w:pPr>
              <w:jc w:val="center"/>
              <w:ind w:left="451"/>
              <w:spacing w:after="0"/>
              <w:rPr>
                <w:sz w:val="20"/>
                <w:szCs w:val="20"/>
                <w:color w:val="auto"/>
              </w:rPr>
            </w:pPr>
            <w:r>
              <w:rPr>
                <w:rFonts w:ascii="Arial" w:cs="Arial" w:eastAsia="Arial" w:hAnsi="Arial"/>
                <w:sz w:val="18"/>
                <w:szCs w:val="18"/>
                <w:color w:val="auto"/>
                <w:w w:val="91"/>
              </w:rPr>
              <w:t>Chairman of the Board</w:t>
            </w:r>
          </w:p>
        </w:tc>
        <w:tc>
          <w:tcPr>
            <w:tcW w:w="2780" w:type="dxa"/>
            <w:vAlign w:val="bottom"/>
          </w:tcPr>
          <w:p>
            <w:pPr>
              <w:ind w:left="540"/>
              <w:spacing w:after="0"/>
              <w:rPr>
                <w:sz w:val="20"/>
                <w:szCs w:val="20"/>
                <w:color w:val="auto"/>
              </w:rPr>
            </w:pPr>
            <w:r>
              <w:rPr>
                <w:rFonts w:ascii="Arial" w:cs="Arial" w:eastAsia="Arial" w:hAnsi="Arial"/>
                <w:sz w:val="18"/>
                <w:szCs w:val="18"/>
                <w:color w:val="auto"/>
              </w:rPr>
              <w:t>February 21, 2018</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Daniel G. Welch</w:t>
            </w:r>
          </w:p>
        </w:tc>
        <w:tc>
          <w:tcPr>
            <w:tcW w:w="54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6"/>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Aliski</w:t>
            </w:r>
          </w:p>
        </w:tc>
        <w:tc>
          <w:tcPr>
            <w:tcW w:w="5440" w:type="dxa"/>
            <w:vAlign w:val="bottom"/>
          </w:tcPr>
          <w:p>
            <w:pPr>
              <w:jc w:val="center"/>
              <w:ind w:left="451"/>
              <w:spacing w:after="0"/>
              <w:rPr>
                <w:sz w:val="20"/>
                <w:szCs w:val="20"/>
                <w:color w:val="auto"/>
              </w:rPr>
            </w:pPr>
            <w:r>
              <w:rPr>
                <w:rFonts w:ascii="Arial" w:cs="Arial" w:eastAsia="Arial" w:hAnsi="Arial"/>
                <w:sz w:val="18"/>
                <w:szCs w:val="18"/>
                <w:color w:val="auto"/>
                <w:w w:val="91"/>
              </w:rPr>
              <w:t>Director</w:t>
            </w:r>
          </w:p>
        </w:tc>
        <w:tc>
          <w:tcPr>
            <w:tcW w:w="2780" w:type="dxa"/>
            <w:vAlign w:val="bottom"/>
          </w:tcPr>
          <w:p>
            <w:pPr>
              <w:ind w:left="540"/>
              <w:spacing w:after="0"/>
              <w:rPr>
                <w:sz w:val="20"/>
                <w:szCs w:val="20"/>
                <w:color w:val="auto"/>
              </w:rPr>
            </w:pPr>
            <w:r>
              <w:rPr>
                <w:rFonts w:ascii="Arial" w:cs="Arial" w:eastAsia="Arial" w:hAnsi="Arial"/>
                <w:sz w:val="18"/>
                <w:szCs w:val="18"/>
                <w:color w:val="auto"/>
              </w:rPr>
              <w:t>February 21, 2018</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William Aliski</w:t>
            </w:r>
          </w:p>
        </w:tc>
        <w:tc>
          <w:tcPr>
            <w:tcW w:w="54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6"/>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Deborah Dunsire</w:t>
            </w:r>
          </w:p>
        </w:tc>
        <w:tc>
          <w:tcPr>
            <w:tcW w:w="5440" w:type="dxa"/>
            <w:vAlign w:val="bottom"/>
          </w:tcPr>
          <w:p>
            <w:pPr>
              <w:jc w:val="center"/>
              <w:ind w:left="451"/>
              <w:spacing w:after="0"/>
              <w:rPr>
                <w:sz w:val="20"/>
                <w:szCs w:val="20"/>
                <w:color w:val="auto"/>
              </w:rPr>
            </w:pPr>
            <w:r>
              <w:rPr>
                <w:rFonts w:ascii="Arial" w:cs="Arial" w:eastAsia="Arial" w:hAnsi="Arial"/>
                <w:sz w:val="18"/>
                <w:szCs w:val="18"/>
                <w:color w:val="auto"/>
                <w:w w:val="91"/>
              </w:rPr>
              <w:t>Director</w:t>
            </w:r>
          </w:p>
        </w:tc>
        <w:tc>
          <w:tcPr>
            <w:tcW w:w="2780" w:type="dxa"/>
            <w:vAlign w:val="bottom"/>
          </w:tcPr>
          <w:p>
            <w:pPr>
              <w:ind w:left="540"/>
              <w:spacing w:after="0"/>
              <w:rPr>
                <w:sz w:val="20"/>
                <w:szCs w:val="20"/>
                <w:color w:val="auto"/>
              </w:rPr>
            </w:pPr>
            <w:r>
              <w:rPr>
                <w:rFonts w:ascii="Arial" w:cs="Arial" w:eastAsia="Arial" w:hAnsi="Arial"/>
                <w:sz w:val="18"/>
                <w:szCs w:val="18"/>
                <w:color w:val="auto"/>
              </w:rPr>
              <w:t>February 21, 2018</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Deborah Dunsire, M.D.</w:t>
            </w:r>
          </w:p>
        </w:tc>
        <w:tc>
          <w:tcPr>
            <w:tcW w:w="54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6"/>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K. Fust</w:t>
            </w:r>
          </w:p>
        </w:tc>
        <w:tc>
          <w:tcPr>
            <w:tcW w:w="5440" w:type="dxa"/>
            <w:vAlign w:val="bottom"/>
          </w:tcPr>
          <w:p>
            <w:pPr>
              <w:jc w:val="center"/>
              <w:ind w:left="451"/>
              <w:spacing w:after="0"/>
              <w:rPr>
                <w:sz w:val="20"/>
                <w:szCs w:val="20"/>
                <w:color w:val="auto"/>
              </w:rPr>
            </w:pPr>
            <w:r>
              <w:rPr>
                <w:rFonts w:ascii="Arial" w:cs="Arial" w:eastAsia="Arial" w:hAnsi="Arial"/>
                <w:sz w:val="18"/>
                <w:szCs w:val="18"/>
                <w:color w:val="auto"/>
                <w:w w:val="91"/>
              </w:rPr>
              <w:t>Director</w:t>
            </w:r>
          </w:p>
        </w:tc>
        <w:tc>
          <w:tcPr>
            <w:tcW w:w="2780" w:type="dxa"/>
            <w:vAlign w:val="bottom"/>
          </w:tcPr>
          <w:p>
            <w:pPr>
              <w:ind w:left="540"/>
              <w:spacing w:after="0"/>
              <w:rPr>
                <w:sz w:val="20"/>
                <w:szCs w:val="20"/>
                <w:color w:val="auto"/>
              </w:rPr>
            </w:pPr>
            <w:r>
              <w:rPr>
                <w:rFonts w:ascii="Arial" w:cs="Arial" w:eastAsia="Arial" w:hAnsi="Arial"/>
                <w:sz w:val="18"/>
                <w:szCs w:val="18"/>
                <w:color w:val="auto"/>
              </w:rPr>
              <w:t>February 21, 2018</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Matthew K. Fust</w:t>
            </w:r>
          </w:p>
        </w:tc>
        <w:tc>
          <w:tcPr>
            <w:tcW w:w="54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6"/>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Ekman</w:t>
            </w:r>
          </w:p>
        </w:tc>
        <w:tc>
          <w:tcPr>
            <w:tcW w:w="5440" w:type="dxa"/>
            <w:vAlign w:val="bottom"/>
          </w:tcPr>
          <w:p>
            <w:pPr>
              <w:jc w:val="center"/>
              <w:ind w:left="451"/>
              <w:spacing w:after="0"/>
              <w:rPr>
                <w:sz w:val="20"/>
                <w:szCs w:val="20"/>
                <w:color w:val="auto"/>
              </w:rPr>
            </w:pPr>
            <w:r>
              <w:rPr>
                <w:rFonts w:ascii="Arial" w:cs="Arial" w:eastAsia="Arial" w:hAnsi="Arial"/>
                <w:sz w:val="18"/>
                <w:szCs w:val="18"/>
                <w:color w:val="auto"/>
                <w:w w:val="91"/>
              </w:rPr>
              <w:t>Director</w:t>
            </w:r>
          </w:p>
        </w:tc>
        <w:tc>
          <w:tcPr>
            <w:tcW w:w="2780" w:type="dxa"/>
            <w:vAlign w:val="bottom"/>
          </w:tcPr>
          <w:p>
            <w:pPr>
              <w:ind w:left="540"/>
              <w:spacing w:after="0"/>
              <w:rPr>
                <w:sz w:val="20"/>
                <w:szCs w:val="20"/>
                <w:color w:val="auto"/>
              </w:rPr>
            </w:pPr>
            <w:r>
              <w:rPr>
                <w:rFonts w:ascii="Arial" w:cs="Arial" w:eastAsia="Arial" w:hAnsi="Arial"/>
                <w:sz w:val="18"/>
                <w:szCs w:val="18"/>
                <w:color w:val="auto"/>
              </w:rPr>
              <w:t>February 21, 2018</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Lars Ekman, M.D., Ph.D.</w:t>
            </w:r>
          </w:p>
        </w:tc>
        <w:tc>
          <w:tcPr>
            <w:tcW w:w="54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6"/>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Narachi</w:t>
            </w:r>
          </w:p>
        </w:tc>
        <w:tc>
          <w:tcPr>
            <w:tcW w:w="5440" w:type="dxa"/>
            <w:vAlign w:val="bottom"/>
          </w:tcPr>
          <w:p>
            <w:pPr>
              <w:jc w:val="center"/>
              <w:ind w:left="451"/>
              <w:spacing w:after="0"/>
              <w:rPr>
                <w:sz w:val="20"/>
                <w:szCs w:val="20"/>
                <w:color w:val="auto"/>
              </w:rPr>
            </w:pPr>
            <w:r>
              <w:rPr>
                <w:rFonts w:ascii="Arial" w:cs="Arial" w:eastAsia="Arial" w:hAnsi="Arial"/>
                <w:sz w:val="18"/>
                <w:szCs w:val="18"/>
                <w:color w:val="auto"/>
                <w:w w:val="91"/>
              </w:rPr>
              <w:t>Director</w:t>
            </w:r>
          </w:p>
        </w:tc>
        <w:tc>
          <w:tcPr>
            <w:tcW w:w="2780" w:type="dxa"/>
            <w:vAlign w:val="bottom"/>
          </w:tcPr>
          <w:p>
            <w:pPr>
              <w:ind w:left="540"/>
              <w:spacing w:after="0"/>
              <w:rPr>
                <w:sz w:val="20"/>
                <w:szCs w:val="20"/>
                <w:color w:val="auto"/>
              </w:rPr>
            </w:pPr>
            <w:r>
              <w:rPr>
                <w:rFonts w:ascii="Arial" w:cs="Arial" w:eastAsia="Arial" w:hAnsi="Arial"/>
                <w:sz w:val="18"/>
                <w:szCs w:val="18"/>
                <w:color w:val="auto"/>
              </w:rPr>
              <w:t>February 21, 2018</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Michael Narachi</w:t>
            </w:r>
          </w:p>
        </w:tc>
        <w:tc>
          <w:tcPr>
            <w:tcW w:w="54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6"/>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Clay B. Siegall</w:t>
            </w:r>
          </w:p>
        </w:tc>
        <w:tc>
          <w:tcPr>
            <w:tcW w:w="5440" w:type="dxa"/>
            <w:vAlign w:val="bottom"/>
          </w:tcPr>
          <w:p>
            <w:pPr>
              <w:jc w:val="center"/>
              <w:ind w:left="451"/>
              <w:spacing w:after="0"/>
              <w:rPr>
                <w:sz w:val="20"/>
                <w:szCs w:val="20"/>
                <w:color w:val="auto"/>
              </w:rPr>
            </w:pPr>
            <w:r>
              <w:rPr>
                <w:rFonts w:ascii="Arial" w:cs="Arial" w:eastAsia="Arial" w:hAnsi="Arial"/>
                <w:sz w:val="18"/>
                <w:szCs w:val="18"/>
                <w:color w:val="auto"/>
                <w:w w:val="91"/>
              </w:rPr>
              <w:t>Director</w:t>
            </w:r>
          </w:p>
        </w:tc>
        <w:tc>
          <w:tcPr>
            <w:tcW w:w="2780" w:type="dxa"/>
            <w:vAlign w:val="bottom"/>
          </w:tcPr>
          <w:p>
            <w:pPr>
              <w:ind w:left="540"/>
              <w:spacing w:after="0"/>
              <w:rPr>
                <w:sz w:val="20"/>
                <w:szCs w:val="20"/>
                <w:color w:val="auto"/>
              </w:rPr>
            </w:pPr>
            <w:r>
              <w:rPr>
                <w:rFonts w:ascii="Arial" w:cs="Arial" w:eastAsia="Arial" w:hAnsi="Arial"/>
                <w:sz w:val="18"/>
                <w:szCs w:val="18"/>
                <w:color w:val="auto"/>
              </w:rPr>
              <w:t>February 21, 2018</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Clay B. Siegall, Ph.D.</w:t>
            </w:r>
          </w:p>
        </w:tc>
        <w:tc>
          <w:tcPr>
            <w:tcW w:w="54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960"/>
        </w:trPr>
        <w:tc>
          <w:tcPr>
            <w:tcW w:w="322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20" w:type="dxa"/>
            <w:vAlign w:val="bottom"/>
            <w:gridSpan w:val="6"/>
          </w:tcPr>
          <w:p>
            <w:pPr>
              <w:ind w:left="340"/>
              <w:spacing w:after="0"/>
              <w:rPr>
                <w:sz w:val="20"/>
                <w:szCs w:val="20"/>
                <w:color w:val="auto"/>
              </w:rPr>
            </w:pPr>
            <w:r>
              <w:rPr>
                <w:rFonts w:ascii="Arial" w:cs="Arial" w:eastAsia="Arial" w:hAnsi="Arial"/>
                <w:sz w:val="18"/>
                <w:szCs w:val="18"/>
                <w:b w:val="1"/>
                <w:bCs w:val="1"/>
                <w:color w:val="auto"/>
              </w:rPr>
              <w:t>Exhibit Index</w:t>
            </w: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260" w:type="dxa"/>
            <w:vAlign w:val="bottom"/>
            <w:vMerge w:val="restart"/>
          </w:tcPr>
          <w:p>
            <w:pPr>
              <w:jc w:val="center"/>
              <w:ind w:right="51"/>
              <w:spacing w:after="0"/>
              <w:rPr>
                <w:sz w:val="20"/>
                <w:szCs w:val="20"/>
                <w:color w:val="auto"/>
              </w:rPr>
            </w:pPr>
            <w:r>
              <w:rPr>
                <w:rFonts w:ascii="Arial" w:cs="Arial" w:eastAsia="Arial" w:hAnsi="Arial"/>
                <w:sz w:val="18"/>
                <w:szCs w:val="18"/>
                <w:b w:val="1"/>
                <w:bCs w:val="1"/>
                <w:color w:val="auto"/>
                <w:w w:val="93"/>
              </w:rPr>
              <w:t>Exhibit</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60" w:type="dxa"/>
            <w:vAlign w:val="bottom"/>
            <w:gridSpan w:val="4"/>
          </w:tcPr>
          <w:p>
            <w:pPr>
              <w:ind w:left="6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4"/>
              </w:rPr>
              <w:t>Number</w:t>
            </w:r>
          </w:p>
        </w:tc>
        <w:tc>
          <w:tcPr>
            <w:tcW w:w="7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10"/>
          </w:tcPr>
          <w:p>
            <w:pPr>
              <w:ind w:left="600"/>
              <w:spacing w:after="0"/>
              <w:rPr>
                <w:sz w:val="20"/>
                <w:szCs w:val="20"/>
                <w:color w:val="auto"/>
              </w:rPr>
            </w:pPr>
            <w:r>
              <w:rPr>
                <w:rFonts w:ascii="Arial" w:cs="Arial" w:eastAsia="Arial" w:hAnsi="Arial"/>
                <w:sz w:val="18"/>
                <w:szCs w:val="18"/>
                <w:b w:val="1"/>
                <w:bCs w:val="1"/>
                <w:color w:val="auto"/>
              </w:rPr>
              <w:t>Exhibit Description</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Date</w:t>
            </w:r>
          </w:p>
        </w:tc>
        <w:tc>
          <w:tcPr>
            <w:tcW w:w="23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w w:val="98"/>
              </w:rPr>
              <w:t>Number   Filed 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line="170" w:lineRule="exact"/>
              <w:rPr>
                <w:sz w:val="20"/>
                <w:szCs w:val="20"/>
                <w:color w:val="auto"/>
              </w:rPr>
            </w:pPr>
            <w:r>
              <w:rPr>
                <w:rFonts w:ascii="Arial" w:cs="Arial" w:eastAsia="Arial" w:hAnsi="Arial"/>
                <w:sz w:val="18"/>
                <w:szCs w:val="18"/>
                <w:color w:val="auto"/>
              </w:rPr>
              <w:t>4.1</w:t>
            </w:r>
          </w:p>
        </w:tc>
        <w:tc>
          <w:tcPr>
            <w:tcW w:w="5680" w:type="dxa"/>
            <w:vAlign w:val="bottom"/>
            <w:gridSpan w:val="12"/>
          </w:tcPr>
          <w:p>
            <w:pPr>
              <w:spacing w:after="0" w:line="170" w:lineRule="exact"/>
              <w:rPr>
                <w:rFonts w:ascii="Arial" w:cs="Arial" w:eastAsia="Arial" w:hAnsi="Arial"/>
                <w:sz w:val="18"/>
                <w:szCs w:val="18"/>
                <w:color w:val="0000EE"/>
              </w:rPr>
            </w:pPr>
            <w:hyperlink r:id="rId16">
              <w:r>
                <w:rPr>
                  <w:rFonts w:ascii="Arial" w:cs="Arial" w:eastAsia="Arial" w:hAnsi="Arial"/>
                  <w:sz w:val="18"/>
                  <w:szCs w:val="18"/>
                  <w:color w:val="0000EE"/>
                </w:rPr>
                <w:t>Amended and Restated Certificate of Incorporation of Ultragenyx</w:t>
              </w:r>
            </w:hyperlink>
          </w:p>
        </w:tc>
        <w:tc>
          <w:tcPr>
            <w:tcW w:w="880" w:type="dxa"/>
            <w:vAlign w:val="bottom"/>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line="170" w:lineRule="exact"/>
              <w:rPr>
                <w:sz w:val="20"/>
                <w:szCs w:val="20"/>
                <w:color w:val="auto"/>
              </w:rPr>
            </w:pPr>
            <w:r>
              <w:rPr>
                <w:rFonts w:ascii="Arial" w:cs="Arial" w:eastAsia="Arial" w:hAnsi="Arial"/>
                <w:sz w:val="18"/>
                <w:szCs w:val="18"/>
                <w:color w:val="auto"/>
                <w:w w:val="91"/>
              </w:rPr>
              <w:t>2/5/2014</w:t>
            </w:r>
          </w:p>
        </w:tc>
        <w:tc>
          <w:tcPr>
            <w:tcW w:w="1160" w:type="dxa"/>
            <w:vAlign w:val="bottom"/>
          </w:tcPr>
          <w:p>
            <w:pPr>
              <w:jc w:val="center"/>
              <w:spacing w:after="0" w:line="170" w:lineRule="exact"/>
              <w:rPr>
                <w:sz w:val="20"/>
                <w:szCs w:val="20"/>
                <w:color w:val="auto"/>
              </w:rPr>
            </w:pPr>
            <w:r>
              <w:rPr>
                <w:rFonts w:ascii="Arial" w:cs="Arial" w:eastAsia="Arial" w:hAnsi="Arial"/>
                <w:sz w:val="18"/>
                <w:szCs w:val="18"/>
                <w:color w:val="auto"/>
                <w:w w:val="87"/>
              </w:rPr>
              <w:t>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8"/>
              </w:rPr>
            </w:pPr>
            <w:hyperlink r:id="rId16">
              <w:r>
                <w:rPr>
                  <w:rFonts w:ascii="Arial" w:cs="Arial" w:eastAsia="Arial" w:hAnsi="Arial"/>
                  <w:sz w:val="18"/>
                  <w:szCs w:val="18"/>
                  <w:color w:val="0000EE"/>
                  <w:w w:val="88"/>
                </w:rPr>
                <w:t>Pharmaceutical Inc.</w:t>
              </w:r>
            </w:hyperlink>
          </w:p>
        </w:tc>
        <w:tc>
          <w:tcPr>
            <w:tcW w:w="3280" w:type="dxa"/>
            <w:vAlign w:val="bottom"/>
            <w:tcBorders>
              <w:top w:val="single" w:sz="8" w:color="0000EE"/>
            </w:tcBorders>
            <w:gridSpan w:val="6"/>
          </w:tcPr>
          <w:p>
            <w:pPr>
              <w:spacing w:after="0"/>
              <w:rPr>
                <w:sz w:val="16"/>
                <w:szCs w:val="16"/>
                <w:color w:val="auto"/>
              </w:rPr>
            </w:pPr>
          </w:p>
        </w:tc>
        <w:tc>
          <w:tcPr>
            <w:tcW w:w="980" w:type="dxa"/>
            <w:vAlign w:val="bottom"/>
            <w:gridSpan w:val="4"/>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280" w:type="dxa"/>
            <w:vAlign w:val="bottom"/>
            <w:gridSpan w:val="2"/>
          </w:tcPr>
          <w:p>
            <w:pPr>
              <w:spacing w:after="0"/>
              <w:rPr>
                <w:sz w:val="20"/>
                <w:szCs w:val="20"/>
                <w:color w:val="auto"/>
              </w:rPr>
            </w:pPr>
            <w:r>
              <w:rPr>
                <w:rFonts w:ascii="Arial" w:cs="Arial" w:eastAsia="Arial" w:hAnsi="Arial"/>
                <w:sz w:val="18"/>
                <w:szCs w:val="18"/>
                <w:color w:val="auto"/>
              </w:rPr>
              <w:t>4.2</w:t>
            </w:r>
          </w:p>
        </w:tc>
        <w:tc>
          <w:tcPr>
            <w:tcW w:w="5680" w:type="dxa"/>
            <w:vAlign w:val="bottom"/>
            <w:gridSpan w:val="12"/>
          </w:tcPr>
          <w:p>
            <w:pPr>
              <w:spacing w:after="0"/>
              <w:rPr>
                <w:rFonts w:ascii="Arial" w:cs="Arial" w:eastAsia="Arial" w:hAnsi="Arial"/>
                <w:sz w:val="18"/>
                <w:szCs w:val="18"/>
                <w:color w:val="0000EE"/>
              </w:rPr>
            </w:pPr>
            <w:hyperlink r:id="rId17">
              <w:r>
                <w:rPr>
                  <w:rFonts w:ascii="Arial" w:cs="Arial" w:eastAsia="Arial" w:hAnsi="Arial"/>
                  <w:sz w:val="18"/>
                  <w:szCs w:val="18"/>
                  <w:color w:val="0000EE"/>
                </w:rPr>
                <w:t>Amended and Restated Bylaws of Ultragenyx Pharmaceutical Inc.</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2/5/2014</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280" w:type="dxa"/>
            <w:vAlign w:val="bottom"/>
            <w:gridSpan w:val="2"/>
          </w:tcPr>
          <w:p>
            <w:pPr>
              <w:spacing w:after="0"/>
              <w:rPr>
                <w:sz w:val="20"/>
                <w:szCs w:val="20"/>
                <w:color w:val="auto"/>
              </w:rPr>
            </w:pPr>
            <w:r>
              <w:rPr>
                <w:rFonts w:ascii="Arial" w:cs="Arial" w:eastAsia="Arial" w:hAnsi="Arial"/>
                <w:sz w:val="18"/>
                <w:szCs w:val="18"/>
                <w:color w:val="auto"/>
              </w:rPr>
              <w:t>4.3</w:t>
            </w:r>
          </w:p>
        </w:tc>
        <w:tc>
          <w:tcPr>
            <w:tcW w:w="2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r:id="rId18">
              <w:r>
                <w:rPr>
                  <w:rFonts w:ascii="Arial" w:cs="Arial" w:eastAsia="Arial" w:hAnsi="Arial"/>
                  <w:sz w:val="18"/>
                  <w:szCs w:val="18"/>
                  <w:color w:val="0000EE"/>
                  <w:w w:val="91"/>
                </w:rPr>
                <w:t>Form of Common Stock Certificate</w:t>
              </w:r>
            </w:hyperlink>
          </w:p>
        </w:tc>
        <w:tc>
          <w:tcPr>
            <w:tcW w:w="2200" w:type="dxa"/>
            <w:vAlign w:val="bottom"/>
            <w:tcBorders>
              <w:top w:val="single" w:sz="8" w:color="0000EE"/>
            </w:tcBorders>
            <w:gridSpan w:val="5"/>
          </w:tcPr>
          <w:p>
            <w:pPr>
              <w:spacing w:after="0"/>
              <w:rPr>
                <w:sz w:val="21"/>
                <w:szCs w:val="21"/>
                <w:color w:val="auto"/>
              </w:rPr>
            </w:pPr>
          </w:p>
        </w:tc>
        <w:tc>
          <w:tcPr>
            <w:tcW w:w="940" w:type="dxa"/>
            <w:vAlign w:val="bottom"/>
            <w:gridSpan w:val="3"/>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280" w:type="dxa"/>
            <w:vAlign w:val="bottom"/>
            <w:gridSpan w:val="2"/>
          </w:tcPr>
          <w:p>
            <w:pPr>
              <w:spacing w:after="0"/>
              <w:rPr>
                <w:sz w:val="20"/>
                <w:szCs w:val="20"/>
                <w:color w:val="auto"/>
              </w:rPr>
            </w:pPr>
            <w:r>
              <w:rPr>
                <w:rFonts w:ascii="Arial" w:cs="Arial" w:eastAsia="Arial" w:hAnsi="Arial"/>
                <w:sz w:val="18"/>
                <w:szCs w:val="18"/>
                <w:color w:val="auto"/>
              </w:rPr>
              <w:t>4.4</w:t>
            </w:r>
          </w:p>
        </w:tc>
        <w:tc>
          <w:tcPr>
            <w:tcW w:w="2360" w:type="dxa"/>
            <w:vAlign w:val="bottom"/>
            <w:tcBorders>
              <w:bottom w:val="single" w:sz="8" w:color="0000EE"/>
            </w:tcBorders>
            <w:gridSpan w:val="3"/>
          </w:tcPr>
          <w:p>
            <w:pPr>
              <w:spacing w:after="0"/>
              <w:rPr>
                <w:rFonts w:ascii="Arial" w:cs="Arial" w:eastAsia="Arial" w:hAnsi="Arial"/>
                <w:sz w:val="18"/>
                <w:szCs w:val="18"/>
                <w:color w:val="0000EE"/>
                <w:w w:val="87"/>
              </w:rPr>
            </w:pPr>
            <w:hyperlink r:id="rId19">
              <w:r>
                <w:rPr>
                  <w:rFonts w:ascii="Arial" w:cs="Arial" w:eastAsia="Arial" w:hAnsi="Arial"/>
                  <w:sz w:val="18"/>
                  <w:szCs w:val="18"/>
                  <w:color w:val="0000EE"/>
                  <w:w w:val="87"/>
                </w:rPr>
                <w:t>2014 Incentive Plan, as amended</w:t>
              </w:r>
            </w:hyperlink>
          </w:p>
        </w:tc>
        <w:tc>
          <w:tcPr>
            <w:tcW w:w="3320" w:type="dxa"/>
            <w:vAlign w:val="bottom"/>
            <w:gridSpan w:val="9"/>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2/16/2017</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280" w:type="dxa"/>
            <w:vAlign w:val="bottom"/>
            <w:gridSpan w:val="2"/>
          </w:tcPr>
          <w:p>
            <w:pPr>
              <w:spacing w:after="0"/>
              <w:rPr>
                <w:sz w:val="20"/>
                <w:szCs w:val="20"/>
                <w:color w:val="auto"/>
              </w:rPr>
            </w:pPr>
            <w:r>
              <w:rPr>
                <w:rFonts w:ascii="Arial" w:cs="Arial" w:eastAsia="Arial" w:hAnsi="Arial"/>
                <w:sz w:val="18"/>
                <w:szCs w:val="18"/>
                <w:color w:val="auto"/>
              </w:rPr>
              <w:t>4.5</w:t>
            </w:r>
          </w:p>
        </w:tc>
        <w:tc>
          <w:tcPr>
            <w:tcW w:w="3560" w:type="dxa"/>
            <w:vAlign w:val="bottom"/>
            <w:tcBorders>
              <w:bottom w:val="single" w:sz="8" w:color="0000EE"/>
            </w:tcBorders>
            <w:gridSpan w:val="6"/>
          </w:tcPr>
          <w:p>
            <w:pPr>
              <w:spacing w:after="0"/>
              <w:rPr>
                <w:rFonts w:ascii="Arial" w:cs="Arial" w:eastAsia="Arial" w:hAnsi="Arial"/>
                <w:sz w:val="18"/>
                <w:szCs w:val="18"/>
                <w:color w:val="0000EE"/>
                <w:w w:val="87"/>
              </w:rPr>
            </w:pPr>
            <w:hyperlink r:id="rId20">
              <w:r>
                <w:rPr>
                  <w:rFonts w:ascii="Arial" w:cs="Arial" w:eastAsia="Arial" w:hAnsi="Arial"/>
                  <w:sz w:val="18"/>
                  <w:szCs w:val="18"/>
                  <w:color w:val="0000EE"/>
                  <w:w w:val="87"/>
                </w:rPr>
                <w:t>2014 Employee Stock Purchase Plan, as amended</w:t>
              </w:r>
            </w:hyperlink>
          </w:p>
        </w:tc>
        <w:tc>
          <w:tcPr>
            <w:tcW w:w="2120" w:type="dxa"/>
            <w:vAlign w:val="bottom"/>
            <w:gridSpan w:val="6"/>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2/16/2017</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10.28</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280" w:type="dxa"/>
            <w:vAlign w:val="bottom"/>
            <w:gridSpan w:val="2"/>
          </w:tcPr>
          <w:p>
            <w:pPr>
              <w:spacing w:after="0"/>
              <w:rPr>
                <w:sz w:val="20"/>
                <w:szCs w:val="20"/>
                <w:color w:val="auto"/>
              </w:rPr>
            </w:pPr>
            <w:r>
              <w:rPr>
                <w:rFonts w:ascii="Arial" w:cs="Arial" w:eastAsia="Arial" w:hAnsi="Arial"/>
                <w:sz w:val="18"/>
                <w:szCs w:val="18"/>
                <w:color w:val="auto"/>
              </w:rPr>
              <w:t>5.1</w:t>
            </w:r>
          </w:p>
        </w:tc>
        <w:tc>
          <w:tcPr>
            <w:tcW w:w="30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Opinion of Gibson, Dunn &amp; Crutcher LLP</w:t>
            </w:r>
          </w:p>
        </w:tc>
        <w:tc>
          <w:tcPr>
            <w:tcW w:w="2640" w:type="dxa"/>
            <w:vAlign w:val="bottom"/>
            <w:gridSpan w:val="7"/>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8"/>
        </w:trPr>
        <w:tc>
          <w:tcPr>
            <w:tcW w:w="1280" w:type="dxa"/>
            <w:vAlign w:val="bottom"/>
            <w:gridSpan w:val="2"/>
          </w:tcPr>
          <w:p>
            <w:pPr>
              <w:spacing w:after="0"/>
              <w:rPr>
                <w:sz w:val="20"/>
                <w:szCs w:val="20"/>
                <w:color w:val="auto"/>
              </w:rPr>
            </w:pPr>
            <w:r>
              <w:rPr>
                <w:rFonts w:ascii="Arial" w:cs="Arial" w:eastAsia="Arial" w:hAnsi="Arial"/>
                <w:sz w:val="18"/>
                <w:szCs w:val="18"/>
                <w:color w:val="auto"/>
              </w:rPr>
              <w:t>23.1</w:t>
            </w:r>
          </w:p>
        </w:tc>
        <w:tc>
          <w:tcPr>
            <w:tcW w:w="5680" w:type="dxa"/>
            <w:vAlign w:val="bottom"/>
            <w:gridSpan w:val="12"/>
          </w:tcPr>
          <w:p>
            <w:pPr>
              <w:spacing w:after="0"/>
              <w:rPr>
                <w:sz w:val="20"/>
                <w:szCs w:val="20"/>
                <w:color w:val="auto"/>
              </w:rPr>
            </w:pPr>
            <w:r>
              <w:rPr>
                <w:rFonts w:ascii="Arial" w:cs="Arial" w:eastAsia="Arial" w:hAnsi="Arial"/>
                <w:sz w:val="18"/>
                <w:szCs w:val="18"/>
                <w:color w:val="0000EE"/>
              </w:rPr>
              <w:t>Consent of Independent Registered Public Accounting Firm</w:t>
            </w: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540" w:type="dxa"/>
            <w:vAlign w:val="bottom"/>
            <w:gridSpan w:val="6"/>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280" w:type="dxa"/>
            <w:vAlign w:val="bottom"/>
            <w:gridSpan w:val="2"/>
          </w:tcPr>
          <w:p>
            <w:pPr>
              <w:spacing w:after="0"/>
              <w:rPr>
                <w:sz w:val="20"/>
                <w:szCs w:val="20"/>
                <w:color w:val="auto"/>
              </w:rPr>
            </w:pPr>
            <w:r>
              <w:rPr>
                <w:rFonts w:ascii="Arial" w:cs="Arial" w:eastAsia="Arial" w:hAnsi="Arial"/>
                <w:sz w:val="18"/>
                <w:szCs w:val="18"/>
                <w:color w:val="auto"/>
              </w:rPr>
              <w:t>23.2</w:t>
            </w:r>
          </w:p>
        </w:tc>
        <w:tc>
          <w:tcPr>
            <w:tcW w:w="5680" w:type="dxa"/>
            <w:vAlign w:val="bottom"/>
            <w:gridSpan w:val="12"/>
          </w:tcPr>
          <w:p>
            <w:pPr>
              <w:spacing w:after="0"/>
              <w:rPr>
                <w:sz w:val="20"/>
                <w:szCs w:val="20"/>
                <w:color w:val="auto"/>
              </w:rPr>
            </w:pPr>
            <w:r>
              <w:rPr>
                <w:rFonts w:ascii="Arial" w:cs="Arial" w:eastAsia="Arial" w:hAnsi="Arial"/>
                <w:sz w:val="18"/>
                <w:szCs w:val="18"/>
                <w:color w:val="0000EE"/>
              </w:rPr>
              <w:t>Consent of Gibson, Dunn &amp; Crutcher LLP (included in Exhibit 5.1)</w:t>
            </w: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10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280" w:type="dxa"/>
            <w:vAlign w:val="bottom"/>
            <w:gridSpan w:val="2"/>
          </w:tcPr>
          <w:p>
            <w:pPr>
              <w:spacing w:after="0"/>
              <w:rPr>
                <w:sz w:val="20"/>
                <w:szCs w:val="20"/>
                <w:color w:val="auto"/>
              </w:rPr>
            </w:pPr>
            <w:r>
              <w:rPr>
                <w:rFonts w:ascii="Arial" w:cs="Arial" w:eastAsia="Arial" w:hAnsi="Arial"/>
                <w:sz w:val="18"/>
                <w:szCs w:val="18"/>
                <w:color w:val="auto"/>
              </w:rPr>
              <w:t>24.1</w:t>
            </w:r>
          </w:p>
        </w:tc>
        <w:tc>
          <w:tcPr>
            <w:tcW w:w="568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Power of Attorney (included on the signature page to this registration</w:t>
              </w:r>
            </w:hyperlink>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960" w:type="dxa"/>
            <w:vAlign w:val="bottom"/>
            <w:tcBorders>
              <w:top w:val="single" w:sz="8" w:color="0000EE"/>
            </w:tcBorders>
            <w:gridSpan w:val="11"/>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statement)</w:t>
              </w:r>
            </w:hyperlink>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5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5306060" cy="536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5306060" cy="53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Ultragenyx Pharmaceutical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60 Leveroni Court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Novato, CA 94949</w:t>
      </w:r>
    </w:p>
    <w:p>
      <w:pPr>
        <w:sectPr>
          <w:pgSz w:w="11900" w:h="16838" w:orient="portrait"/>
          <w:cols w:equalWidth="0" w:num="1">
            <w:col w:w="11420"/>
          </w:cols>
          <w:pgMar w:left="240" w:top="118" w:right="239" w:bottom="1440" w:gutter="0" w:footer="0" w:header="0"/>
        </w:sectPr>
      </w:pPr>
    </w:p>
    <w:p>
      <w:pPr>
        <w:spacing w:after="0" w:line="20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Ultragenyx Pharmaceutical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S-8</w:t>
      </w:r>
    </w:p>
    <w:p>
      <w:pPr>
        <w:spacing w:after="0" w:line="200" w:lineRule="exact"/>
        <w:rPr>
          <w:sz w:val="20"/>
          <w:szCs w:val="20"/>
          <w:color w:val="auto"/>
        </w:rPr>
      </w:pPr>
    </w:p>
    <w:p>
      <w:pPr>
        <w:sectPr>
          <w:pgSz w:w="11900" w:h="16838" w:orient="portrait"/>
          <w:cols w:equalWidth="0" w:num="2">
            <w:col w:w="1120" w:space="640"/>
            <w:col w:w="9660"/>
          </w:cols>
          <w:pgMar w:left="240" w:top="118"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2" w:lineRule="exact"/>
        <w:rPr>
          <w:sz w:val="20"/>
          <w:szCs w:val="20"/>
          <w:color w:val="auto"/>
        </w:rPr>
      </w:pPr>
    </w:p>
    <w:p>
      <w:pPr>
        <w:ind w:right="60" w:firstLine="878"/>
        <w:spacing w:after="0" w:line="253" w:lineRule="auto"/>
        <w:rPr>
          <w:sz w:val="20"/>
          <w:szCs w:val="20"/>
          <w:color w:val="auto"/>
        </w:rPr>
      </w:pPr>
      <w:r>
        <w:rPr>
          <w:rFonts w:ascii="Arial" w:cs="Arial" w:eastAsia="Arial" w:hAnsi="Arial"/>
          <w:sz w:val="18"/>
          <w:szCs w:val="18"/>
          <w:color w:val="auto"/>
        </w:rPr>
        <w:t>We have examined the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of Ultragenyx Pharmaceutical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pursuant to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in connection with the offering by the Company of up to (a) 2,041,863 shares of the Company’s common stock, par value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issuable to eligible individuals under the Company’s 2014 Incentive Plan (as amended, the “</w:t>
      </w:r>
      <w:r>
        <w:rPr>
          <w:rFonts w:ascii="Arial" w:cs="Arial" w:eastAsia="Arial" w:hAnsi="Arial"/>
          <w:sz w:val="18"/>
          <w:szCs w:val="18"/>
          <w:u w:val="single" w:color="auto"/>
          <w:color w:val="auto"/>
        </w:rPr>
        <w:t>2014 Plan</w:t>
      </w:r>
      <w:r>
        <w:rPr>
          <w:rFonts w:ascii="Arial" w:cs="Arial" w:eastAsia="Arial" w:hAnsi="Arial"/>
          <w:sz w:val="18"/>
          <w:szCs w:val="18"/>
          <w:color w:val="auto"/>
        </w:rPr>
        <w:t>”) and (b) 510,465 shares of Common Stock issuable to eligible individuals under the Company’s 2014 Employee Stock Purchase Plan (as amended, the “</w:t>
      </w:r>
      <w:r>
        <w:rPr>
          <w:rFonts w:ascii="Arial" w:cs="Arial" w:eastAsia="Arial" w:hAnsi="Arial"/>
          <w:sz w:val="18"/>
          <w:szCs w:val="18"/>
          <w:u w:val="single" w:color="auto"/>
          <w:color w:val="auto"/>
        </w:rPr>
        <w:t>ESPP</w:t>
      </w:r>
      <w:r>
        <w:rPr>
          <w:rFonts w:ascii="Arial" w:cs="Arial" w:eastAsia="Arial" w:hAnsi="Arial"/>
          <w:sz w:val="18"/>
          <w:szCs w:val="18"/>
          <w:color w:val="auto"/>
        </w:rPr>
        <w:t>,” and together with the 2014 Plan, the “</w:t>
      </w:r>
      <w:r>
        <w:rPr>
          <w:rFonts w:ascii="Arial" w:cs="Arial" w:eastAsia="Arial" w:hAnsi="Arial"/>
          <w:sz w:val="18"/>
          <w:szCs w:val="18"/>
          <w:u w:val="single" w:color="auto"/>
          <w:color w:val="auto"/>
        </w:rPr>
        <w:t>Plans</w:t>
      </w:r>
      <w:r>
        <w:rPr>
          <w:rFonts w:ascii="Arial" w:cs="Arial" w:eastAsia="Arial" w:hAnsi="Arial"/>
          <w:sz w:val="18"/>
          <w:szCs w:val="18"/>
          <w:color w:val="auto"/>
        </w:rPr>
        <w:t>”).</w:t>
      </w:r>
    </w:p>
    <w:p>
      <w:pPr>
        <w:spacing w:after="0" w:line="193" w:lineRule="exact"/>
        <w:rPr>
          <w:sz w:val="20"/>
          <w:szCs w:val="20"/>
          <w:color w:val="auto"/>
        </w:rPr>
      </w:pPr>
    </w:p>
    <w:p>
      <w:pPr>
        <w:ind w:right="40" w:firstLine="878"/>
        <w:spacing w:after="0" w:line="287" w:lineRule="auto"/>
        <w:rPr>
          <w:sz w:val="20"/>
          <w:szCs w:val="20"/>
          <w:color w:val="auto"/>
        </w:rPr>
      </w:pPr>
      <w:r>
        <w:rPr>
          <w:rFonts w:ascii="Arial" w:cs="Arial" w:eastAsia="Arial" w:hAnsi="Arial"/>
          <w:sz w:val="16"/>
          <w:szCs w:val="16"/>
          <w:color w:val="auto"/>
        </w:rPr>
        <w:t>We have examined the Plans and the originals, or photostatic or certified copies, of such records of the Company and certificates of officers of the Company and of public officials and such other documents as we have deemed relevant and necessary as the basis for the opinions set forth below. We have also made such other investigations as we have deemed relevant and necessary or appropriate in connection with the opinion hereinafter set forth. In our examination, we have assumed the genuineness of all signatures, the legal capacity and competency of all natural persons, the authenticity of all documents submitted to us as originals and the conformity to original documents of all documents submitted to us as copies. We have also assumed that there are no agreements or understandings between or among the Company and any participants in the Plans that would expand, modify or otherwise affect the terms of the Plans or the respective rights or obligations of the participants thereunder. Finally, we have assumed the accuracy of all other information provided to us by the Company during the course of our investigations, on which we have relied in issuing the opinion expressed below.</w:t>
      </w:r>
    </w:p>
    <w:p>
      <w:pPr>
        <w:spacing w:after="0" w:line="171" w:lineRule="exact"/>
        <w:rPr>
          <w:sz w:val="20"/>
          <w:szCs w:val="20"/>
          <w:color w:val="auto"/>
        </w:rPr>
      </w:pPr>
    </w:p>
    <w:p>
      <w:pPr>
        <w:ind w:right="40" w:firstLine="878"/>
        <w:spacing w:after="0" w:line="256" w:lineRule="auto"/>
        <w:rPr>
          <w:sz w:val="20"/>
          <w:szCs w:val="20"/>
          <w:color w:val="auto"/>
        </w:rPr>
      </w:pPr>
      <w:r>
        <w:rPr>
          <w:rFonts w:ascii="Arial" w:cs="Arial" w:eastAsia="Arial" w:hAnsi="Arial"/>
          <w:sz w:val="18"/>
          <w:szCs w:val="18"/>
          <w:color w:val="auto"/>
        </w:rPr>
        <w:t>Based upon the foregoing examination and in reliance thereon, and subject to the assumptions stated and in reliance on statements of fact contained in the documents that we have examined, we are of the opinion that the shares of Common Stock issuable under the Plans, when issued and sold in accordance with the terms of the respective Plans and against payment therefor, and when the Registration Statement has become effective under the Securities Act, will be validly issued, fully paid and non-assessable.</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render no opinion herein as to matters involving the laws of any jurisdiction other than the Delaware General Corporation Law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DGCL</w:t>
      </w:r>
      <w:r>
        <w:rPr>
          <w:rFonts w:ascii="Arial" w:cs="Arial" w:eastAsia="Arial" w:hAnsi="Arial"/>
          <w:sz w:val="16"/>
          <w:szCs w:val="16"/>
          <w:color w:val="auto"/>
        </w:rPr>
        <w:t>”). We are not admitted to practice in the State of Delaware; however, we are generally familiar with the DGCL as currently in effect and have made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such inquiries as we consider necessary to render the opinions above. This opinion is limited to the effect of the current state of the law of the DGCL and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facts as they currently exist. We assume no obligation to revise or supplement this opinion in the event of future changes in such law or the interpretations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thereof or such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436245</wp:posOffset>
            </wp:positionV>
            <wp:extent cx="728980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289800" cy="42545"/>
                    </a:xfrm>
                    <a:prstGeom prst="rect">
                      <a:avLst/>
                    </a:prstGeom>
                    <a:noFill/>
                  </pic:spPr>
                </pic:pic>
              </a:graphicData>
            </a:graphic>
          </wp:anchor>
        </w:drawing>
        <w:drawing>
          <wp:anchor simplePos="0" relativeHeight="251657728" behindDoc="1" locked="0" layoutInCell="0" allowOverlap="1">
            <wp:simplePos x="0" y="0"/>
            <wp:positionH relativeFrom="column">
              <wp:posOffset>1750695</wp:posOffset>
            </wp:positionH>
            <wp:positionV relativeFrom="paragraph">
              <wp:posOffset>142240</wp:posOffset>
            </wp:positionV>
            <wp:extent cx="3764280" cy="238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764280" cy="23876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ind w:firstLine="878"/>
        <w:spacing w:after="0" w:line="336" w:lineRule="auto"/>
        <w:rPr>
          <w:sz w:val="20"/>
          <w:szCs w:val="20"/>
          <w:color w:val="auto"/>
        </w:rPr>
      </w:pPr>
      <w:r>
        <w:rPr>
          <w:rFonts w:ascii="Arial" w:cs="Arial" w:eastAsia="Arial" w:hAnsi="Arial"/>
          <w:sz w:val="16"/>
          <w:szCs w:val="16"/>
          <w:color w:val="auto"/>
        </w:rPr>
        <w:t>We consent to the filing of this opinion as an exhibit to the Registration Statement. In giving this consent, we do not thereby admit that we are within the category of persons whose consent is required under Section 7 of the Securities Act or the Rules and Regulations of the Commission.</w:t>
      </w:r>
    </w:p>
    <w:p>
      <w:pPr>
        <w:spacing w:after="0" w:line="12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Very truly yours,</w:t>
      </w:r>
    </w:p>
    <w:p>
      <w:pPr>
        <w:spacing w:after="0" w:line="22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 Gibson, Dunn &amp; Crutcher LLP</w:t>
      </w:r>
    </w:p>
    <w:p>
      <w:pPr>
        <w:spacing w:after="0" w:line="18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150495</wp:posOffset>
            </wp:positionV>
            <wp:extent cx="3764280" cy="238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764280" cy="238760"/>
                    </a:xfrm>
                    <a:prstGeom prst="rect">
                      <a:avLst/>
                    </a:prstGeom>
                    <a:noFill/>
                  </pic:spPr>
                </pic:pic>
              </a:graphicData>
            </a:graphic>
          </wp:anchor>
        </w:drawing>
      </w:r>
    </w:p>
    <w:p>
      <w:pPr>
        <w:sectPr>
          <w:pgSz w:w="11900" w:h="16838" w:orient="portrait"/>
          <w:cols w:equalWidth="0" w:num="1">
            <w:col w:w="11080"/>
          </w:cols>
          <w:pgMar w:left="240" w:top="340" w:right="57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23.1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2014 Incentive Plan and the 2014 Employee Stock Purchase Plan of Ultragenyx Pharmaceutical Inc. of our reports dated February 21, 2018, with respect to the consolidated financial statements of Ultragenyx Pharmaceutical Inc. and the effectiveness of internal control over financial reporting of Ultragenyx Pharmaceutical Inc. included in its Annual Report (Form 10-K) for the year ended December 31, 2017, filed with the Securities and Exchange Commission.</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1" Type="http://schemas.openxmlformats.org/officeDocument/2006/relationships/image" Target="media/image9.jpeg"/><Relationship Id="rId22" Type="http://schemas.openxmlformats.org/officeDocument/2006/relationships/image" Target="media/image10.png"/><Relationship Id="rId23" Type="http://schemas.openxmlformats.org/officeDocument/2006/relationships/image" Target="media/image11.jpeg"/><Relationship Id="rId24" Type="http://schemas.openxmlformats.org/officeDocument/2006/relationships/image" Target="media/image12.jpeg"/><Relationship Id="rId16" Type="http://schemas.openxmlformats.org/officeDocument/2006/relationships/hyperlink" Target="http://www.sec.gov/Archives/edgar/data/1515673/000119312514036944/d670959dex31.htm" TargetMode="External"/><Relationship Id="rId17" Type="http://schemas.openxmlformats.org/officeDocument/2006/relationships/hyperlink" Target="http://www.sec.gov/Archives/edgar/data/1515673/000119312514036944/d670959dex32.htm" TargetMode="External"/><Relationship Id="rId18" Type="http://schemas.openxmlformats.org/officeDocument/2006/relationships/hyperlink" Target="http://www.sec.gov/Archives/edgar/data/1515673/000119312513435507/d601113dex42.htm" TargetMode="External"/><Relationship Id="rId19" Type="http://schemas.openxmlformats.org/officeDocument/2006/relationships/hyperlink" Target="http://www.sec.gov/Archives/edgar/data/1515673/000156459017001714/rare-ex1020_605.htm" TargetMode="External"/><Relationship Id="rId20" Type="http://schemas.openxmlformats.org/officeDocument/2006/relationships/hyperlink" Target="http://www.sec.gov/Archives/edgar/data/1515673/000156459017001714/rare-ex1028_6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2019-12-07T22:27:21Z</dcterms:created>
  <dcterms:modified xsi:type="dcterms:W3CDTF">2019-12-07T22:27:21Z</dcterms:modified>
</cp:coreProperties>
</file>