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re-20260902.htm"/>
      <w:bookmarkStart w:id="1" w:name="ksrare20260902"/>
      <w:bookmarkEnd w:id="0"/>
      <w:bookmarkEnd w:id="1"/>
      <w:r>
        <w:rPr/>
        <w:t> </w:t>
      </w:r>
    </w:p>
    <w:p>
      <w:pPr>
        <w:pStyle w:val="TextBody"/>
        <w:bidi w:val="0"/>
        <w:spacing w:before="115" w:after="283"/>
        <w:jc w:val="center"/>
        <w:rPr>
          <w:rFonts w:ascii="sans-serif" w:hAnsi="sans-serif"/>
          <w:sz w:val="24"/>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sans-serif" w:hAnsi="sans-serif"/>
          <w:sz w:val="36"/>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876" w:type="dxa"/>
        <w:jc w:val="left"/>
        <w:tblInd w:w="0" w:type="dxa"/>
        <w:tblLayout w:type="fixed"/>
        <w:tblCellMar>
          <w:top w:w="28" w:type="dxa"/>
          <w:left w:w="28" w:type="dxa"/>
          <w:bottom w:w="28" w:type="dxa"/>
          <w:right w:w="28" w:type="dxa"/>
        </w:tblCellMar>
      </w:tblPr>
      <w:tblGrid>
        <w:gridCol w:w="7876"/>
      </w:tblGrid>
      <w:tr>
        <w:trPr/>
        <w:tc>
          <w:tcPr>
            <w:tcW w:w="7876" w:type="dxa"/>
            <w:tcBorders/>
            <w:vAlign w:val="center"/>
          </w:tcPr>
          <w:p>
            <w:pPr>
              <w:pStyle w:val="TableContents"/>
              <w:bidi w:val="0"/>
              <w:spacing w:before="0" w:after="283"/>
              <w:jc w:val="left"/>
              <w:rPr>
                <w:sz w:val="4"/>
                <w:szCs w:val="4"/>
              </w:rPr>
            </w:pPr>
            <w:r>
              <w:rPr>
                <w:sz w:val="4"/>
                <w:szCs w:val="4"/>
              </w:rPr>
            </w:r>
          </w:p>
        </w:tc>
      </w:tr>
      <w:tr>
        <w:trPr/>
        <w:tc>
          <w:tcPr>
            <w:tcW w:w="78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September 02,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Ultragenyx Pharmaceutical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1" w:type="dxa"/>
        <w:jc w:val="left"/>
        <w:tblInd w:w="0" w:type="dxa"/>
        <w:tblLayout w:type="fixed"/>
        <w:tblCellMar>
          <w:top w:w="28" w:type="dxa"/>
          <w:left w:w="28" w:type="dxa"/>
          <w:bottom w:w="28" w:type="dxa"/>
          <w:right w:w="28" w:type="dxa"/>
        </w:tblCellMar>
      </w:tblPr>
      <w:tblGrid>
        <w:gridCol w:w="1216"/>
        <w:gridCol w:w="1104"/>
        <w:gridCol w:w="1114"/>
        <w:gridCol w:w="2296"/>
        <w:gridCol w:w="1681"/>
      </w:tblGrid>
      <w:tr>
        <w:trPr/>
        <w:tc>
          <w:tcPr>
            <w:tcW w:w="12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001-36276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Novato,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7636"/>
      </w:tblGrid>
      <w:tr>
        <w:trPr/>
        <w:tc>
          <w:tcPr>
            <w:tcW w:w="7636" w:type="dxa"/>
            <w:tcBorders/>
            <w:vAlign w:val="center"/>
          </w:tcPr>
          <w:p>
            <w:pPr>
              <w:pStyle w:val="TableContents"/>
              <w:bidi w:val="0"/>
              <w:spacing w:before="0" w:after="283"/>
              <w:jc w:val="left"/>
              <w:rPr>
                <w:sz w:val="4"/>
                <w:szCs w:val="4"/>
              </w:rPr>
            </w:pPr>
            <w:r>
              <w:rPr>
                <w:sz w:val="4"/>
                <w:szCs w:val="4"/>
              </w:rPr>
            </w:r>
          </w:p>
        </w:tc>
      </w:tr>
      <w:tr>
        <w:trPr/>
        <w:tc>
          <w:tcPr>
            <w:tcW w:w="7636" w:type="dxa"/>
            <w:tcBorders/>
            <w:tcMar>
              <w:top w:w="0" w:type="dxa"/>
              <w:left w:w="0" w:type="dxa"/>
              <w:bottom w:w="0" w:type="dxa"/>
              <w:right w:w="0" w:type="dxa"/>
            </w:tcMar>
            <w:vAlign w:val="center"/>
          </w:tcPr>
          <w:p>
            <w:pPr>
              <w:pStyle w:val="TableContents"/>
              <w:bidi w:val="0"/>
              <w:spacing w:before="0" w:after="283"/>
              <w:jc w:val="center"/>
              <w:rPr>
                <w:rFonts w:ascii="sans-serif" w:hAnsi="sans-serif"/>
                <w:sz w:val="20"/>
              </w:rPr>
            </w:pPr>
            <w:r>
              <w:rPr>
                <w:rFonts w:ascii="sans-serif" w:hAnsi="sans-serif"/>
                <w:b/>
                <w:color w:val="000000"/>
                <w:sz w:val="20"/>
              </w:rPr>
              <w:t>Registrant’s Telephone Number, Including Area Code:</w:t>
            </w:r>
            <w:r>
              <w:rPr>
                <w:rFonts w:ascii="sans-serif" w:hAnsi="sans-serif"/>
                <w:color w:val="000000"/>
                <w:sz w:val="20"/>
              </w:rPr>
              <w:t xml:space="preserve"> </w:t>
            </w:r>
            <w:r>
              <w:rPr>
                <w:rFonts w:ascii="sans-serif" w:hAnsi="sans-serif"/>
                <w:b/>
                <w:color w:val="000000"/>
                <w:sz w:val="20"/>
              </w:rPr>
              <w:t>415</w:t>
            </w:r>
            <w:r>
              <w:rPr>
                <w:rFonts w:ascii="sans-serif" w:hAnsi="sans-serif"/>
                <w:color w:val="000000"/>
                <w:sz w:val="20"/>
              </w:rPr>
              <w:t xml:space="preserve"> </w:t>
            </w:r>
            <w:r>
              <w:rPr>
                <w:rFonts w:ascii="sans-serif" w:hAnsi="sans-serif"/>
                <w:b/>
                <w:color w:val="000000"/>
                <w:sz w:val="20"/>
              </w:rPr>
              <w:t>483-8800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sans-serif" w:hAnsi="sans-serif"/>
          <w:color w:val="000000"/>
          <w:sz w:val="20"/>
        </w:rPr>
      </w:pPr>
      <w:r>
        <w:rPr>
          <w:rFonts w:ascii="sans-serif" w:hAnsi="sans-serif"/>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3361"/>
        <w:gridCol w:w="146"/>
        <w:gridCol w:w="1201"/>
        <w:gridCol w:w="146"/>
        <w:gridCol w:w="507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Nasdaq Global Select Market</w:t>
            </w:r>
          </w:p>
        </w:tc>
      </w:tr>
    </w:tbl>
    <w:p>
      <w:pPr>
        <w:pStyle w:val="TextBody"/>
        <w:bidi w:val="0"/>
        <w:spacing w:before="240" w:after="283"/>
        <w:jc w:val="left"/>
        <w:rPr>
          <w:rFonts w:ascii="sans-serif" w:hAnsi="sans-serif"/>
          <w:color w:val="000000"/>
          <w:sz w:val="20"/>
        </w:rPr>
      </w:pPr>
      <w:r>
        <w:rPr>
          <w:rFonts w:ascii="sans-serif" w:hAnsi="sans-serif"/>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sans-serif" w:hAnsi="sans-serif"/>
          <w:color w:val="000000"/>
          <w:sz w:val="20"/>
        </w:rPr>
      </w:pPr>
      <w:r>
        <w:rPr>
          <w:rFonts w:ascii="sans-serif" w:hAnsi="sans-serif"/>
          <w:color w:val="000000"/>
          <w:sz w:val="20"/>
        </w:rPr>
        <w:t>Item 8.01 Other Events.</w:t>
      </w:r>
    </w:p>
    <w:p>
      <w:pPr>
        <w:pStyle w:val="TextBody"/>
        <w:bidi w:val="0"/>
        <w:spacing w:before="0" w:after="187"/>
        <w:jc w:val="left"/>
        <w:rPr>
          <w:rFonts w:ascii="sans-serif" w:hAnsi="sans-serif"/>
          <w:sz w:val="20"/>
        </w:rPr>
      </w:pPr>
      <w:r>
        <w:rPr>
          <w:rFonts w:ascii="sans-serif" w:hAnsi="sans-serif"/>
          <w:color w:val="000000"/>
          <w:sz w:val="20"/>
        </w:rPr>
        <w:t xml:space="preserve">On September 2, 2026, Ultragenyx Pharmaceutical Inc. (“Ultragenyx” or the “Company”) announced results from the Phase 3 </w:t>
      </w:r>
      <w:r>
        <w:rPr>
          <w:rFonts w:ascii="sans-serif" w:hAnsi="sans-serif"/>
          <w:i/>
          <w:color w:val="000000"/>
          <w:sz w:val="20"/>
        </w:rPr>
        <w:t>Aspire</w:t>
      </w:r>
      <w:r>
        <w:rPr>
          <w:rFonts w:ascii="sans-serif" w:hAnsi="sans-serif"/>
          <w:color w:val="000000"/>
          <w:sz w:val="20"/>
        </w:rPr>
        <w:t xml:space="preserve"> study for apazunersen (GTX-102) in Angelman syndrome. The study did not achieve the primary endpoint of change from Baseline in Bayley-4 cognitive raw score nor the key secondary endpoint of net response in Multidomain Responder Index (“MDRI”). The safety profile observed in </w:t>
      </w:r>
      <w:r>
        <w:rPr>
          <w:rFonts w:ascii="sans-serif" w:hAnsi="sans-serif"/>
          <w:i/>
          <w:color w:val="000000"/>
          <w:sz w:val="20"/>
        </w:rPr>
        <w:t>Aspire</w:t>
      </w:r>
      <w:r>
        <w:rPr>
          <w:rFonts w:ascii="sans-serif" w:hAnsi="sans-serif"/>
          <w:color w:val="000000"/>
          <w:sz w:val="20"/>
        </w:rPr>
        <w:t xml:space="preserve"> was consistent with Phase 1/2. </w:t>
      </w:r>
    </w:p>
    <w:p>
      <w:pPr>
        <w:pStyle w:val="TextBody"/>
        <w:bidi w:val="0"/>
        <w:spacing w:before="0" w:after="187"/>
        <w:jc w:val="left"/>
        <w:rPr>
          <w:rFonts w:ascii="sans-serif" w:hAnsi="sans-serif"/>
          <w:sz w:val="20"/>
        </w:rPr>
      </w:pPr>
      <w:r>
        <w:rPr>
          <w:rFonts w:ascii="sans-serif" w:hAnsi="sans-serif"/>
          <w:color w:val="000000"/>
          <w:sz w:val="20"/>
        </w:rPr>
        <w:t xml:space="preserve">In </w:t>
      </w:r>
      <w:r>
        <w:rPr>
          <w:rFonts w:ascii="sans-serif" w:hAnsi="sans-serif"/>
          <w:i/>
          <w:color w:val="000000"/>
          <w:sz w:val="20"/>
        </w:rPr>
        <w:t>Aspire</w:t>
      </w:r>
      <w:r>
        <w:rPr>
          <w:rFonts w:ascii="sans-serif" w:hAnsi="sans-serif"/>
          <w:color w:val="000000"/>
          <w:sz w:val="20"/>
        </w:rPr>
        <w:t xml:space="preserve">, the randomized groups were comparable at baseline and consistent with the patients studied in Phase 2. There were no differences between the treated and control groups that could support efficacy in the Bayley Cognition raw scores nor in the MDRI when looking at net response or mean changes of the individual five endpoints included in the MDRI. </w:t>
      </w:r>
    </w:p>
    <w:p>
      <w:pPr>
        <w:pStyle w:val="TextBody"/>
        <w:bidi w:val="0"/>
        <w:spacing w:before="0" w:after="187"/>
        <w:jc w:val="left"/>
        <w:rPr>
          <w:rFonts w:ascii="sans-serif" w:hAnsi="sans-serif"/>
          <w:color w:val="000000"/>
          <w:sz w:val="20"/>
        </w:rPr>
      </w:pPr>
      <w:r>
        <w:rPr>
          <w:rFonts w:ascii="sans-serif" w:hAnsi="sans-serif"/>
          <w:color w:val="000000"/>
          <w:sz w:val="20"/>
        </w:rPr>
        <w:t>The Company will evaluate the apazunersen program in light of this outcome and make a decision on its disposition. The Company will also assess its planned operations to define and implement significant expense reductions, while supporting its growing commercial business.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9874" w:type="dxa"/>
        <w:jc w:val="left"/>
        <w:tblInd w:w="0" w:type="dxa"/>
        <w:tblLayout w:type="fixed"/>
        <w:tblCellMar>
          <w:top w:w="28" w:type="dxa"/>
          <w:left w:w="28" w:type="dxa"/>
          <w:bottom w:w="28" w:type="dxa"/>
          <w:right w:w="28" w:type="dxa"/>
        </w:tblCellMar>
      </w:tblPr>
      <w:tblGrid>
        <w:gridCol w:w="646"/>
        <w:gridCol w:w="1951"/>
        <w:gridCol w:w="481"/>
        <w:gridCol w:w="6796"/>
      </w:tblGrid>
      <w:tr>
        <w:trPr/>
        <w:tc>
          <w:tcPr>
            <w:tcW w:w="6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86" w:after="86"/>
              <w:jc w:val="left"/>
              <w:rPr>
                <w:rFonts w:ascii="sans-serif" w:hAnsi="sans-serif"/>
                <w:color w:val="000000"/>
                <w:sz w:val="20"/>
              </w:rPr>
            </w:pPr>
            <w:r>
              <w:rPr>
                <w:rFonts w:ascii="sans-serif" w:hAnsi="sans-serif"/>
                <w:color w:val="000000"/>
                <w:sz w:val="20"/>
              </w:rPr>
              <w:t>Ultragenyx Pharmaceutical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195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September 2, 2026</w:t>
            </w:r>
          </w:p>
        </w:tc>
        <w:tc>
          <w:tcPr>
            <w:tcW w:w="48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 xml:space="preserve">By: </w:t>
            </w:r>
          </w:p>
        </w:tc>
        <w:tc>
          <w:tcPr>
            <w:tcW w:w="67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 Howard 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Howard Horn</w:t>
              <w:br/>
              <w:t>Executive Vice President, Chief Financial Officer, Corporate Strategy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516</Words>
  <Characters>2891</Characters>
  <CharactersWithSpaces>3403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