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99"/>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4"/>
          <w:szCs w:val="24"/>
          <w:color w:val="auto"/>
        </w:rPr>
      </w:pPr>
    </w:p>
    <w:p>
      <w:pPr>
        <w:jc w:val="center"/>
        <w:ind w:right="-299"/>
        <w:spacing w:after="0"/>
        <w:rPr>
          <w:sz w:val="20"/>
          <w:szCs w:val="20"/>
          <w:color w:val="auto"/>
        </w:rPr>
      </w:pPr>
      <w:r>
        <w:rPr>
          <w:rFonts w:ascii="Arial" w:cs="Arial" w:eastAsia="Arial" w:hAnsi="Arial"/>
          <w:sz w:val="17"/>
          <w:szCs w:val="17"/>
          <w:color w:val="auto"/>
        </w:rPr>
        <w:t>Washington, D.C. 20549</w:t>
      </w:r>
    </w:p>
    <w:p>
      <w:pPr>
        <w:spacing w:after="0" w:line="196" w:lineRule="exact"/>
        <w:rPr>
          <w:sz w:val="24"/>
          <w:szCs w:val="24"/>
          <w:color w:val="auto"/>
        </w:rPr>
      </w:pPr>
    </w:p>
    <w:p>
      <w:pPr>
        <w:jc w:val="center"/>
        <w:ind w:right="-299"/>
        <w:spacing w:after="0"/>
        <w:rPr>
          <w:sz w:val="20"/>
          <w:szCs w:val="20"/>
          <w:color w:val="auto"/>
        </w:rPr>
      </w:pPr>
      <w:r>
        <w:rPr>
          <w:rFonts w:ascii="Arial" w:cs="Arial" w:eastAsia="Arial" w:hAnsi="Arial"/>
          <w:sz w:val="17"/>
          <w:szCs w:val="17"/>
          <w:color w:val="auto"/>
        </w:rPr>
        <w:t>Schedule 13G</w:t>
      </w:r>
    </w:p>
    <w:p>
      <w:pPr>
        <w:spacing w:after="0" w:line="210" w:lineRule="exact"/>
        <w:rPr>
          <w:sz w:val="24"/>
          <w:szCs w:val="24"/>
          <w:color w:val="auto"/>
        </w:rPr>
      </w:pPr>
    </w:p>
    <w:p>
      <w:pPr>
        <w:jc w:val="center"/>
        <w:ind w:right="-299"/>
        <w:spacing w:after="0"/>
        <w:rPr>
          <w:sz w:val="20"/>
          <w:szCs w:val="20"/>
          <w:color w:val="auto"/>
        </w:rPr>
      </w:pPr>
      <w:r>
        <w:rPr>
          <w:rFonts w:ascii="Arial" w:cs="Arial" w:eastAsia="Arial" w:hAnsi="Arial"/>
          <w:sz w:val="17"/>
          <w:szCs w:val="17"/>
          <w:color w:val="auto"/>
        </w:rPr>
        <w:t>Under the Securities Exchange Act of 1934</w:t>
      </w:r>
    </w:p>
    <w:p>
      <w:pPr>
        <w:spacing w:after="0" w:line="21" w:lineRule="exact"/>
        <w:rPr>
          <w:sz w:val="24"/>
          <w:szCs w:val="24"/>
          <w:color w:val="auto"/>
        </w:rPr>
      </w:pPr>
    </w:p>
    <w:p>
      <w:pPr>
        <w:jc w:val="center"/>
        <w:ind w:right="-299"/>
        <w:spacing w:after="0"/>
        <w:rPr>
          <w:sz w:val="20"/>
          <w:szCs w:val="20"/>
          <w:color w:val="auto"/>
        </w:rPr>
      </w:pPr>
      <w:r>
        <w:rPr>
          <w:rFonts w:ascii="Arial" w:cs="Arial" w:eastAsia="Arial" w:hAnsi="Arial"/>
          <w:sz w:val="17"/>
          <w:szCs w:val="17"/>
          <w:color w:val="auto"/>
        </w:rPr>
        <w:t>(Amendment No.: 3 )*</w:t>
      </w: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spacing w:after="0"/>
        <w:rPr>
          <w:sz w:val="20"/>
          <w:szCs w:val="20"/>
          <w:color w:val="auto"/>
        </w:rPr>
      </w:pPr>
      <w:r>
        <w:rPr>
          <w:rFonts w:ascii="Arial" w:cs="Arial" w:eastAsia="Arial" w:hAnsi="Arial"/>
          <w:sz w:val="17"/>
          <w:szCs w:val="17"/>
          <w:color w:val="auto"/>
        </w:rPr>
        <w:t>Name of issuer: Ultragenyx Pharmaceutical Inc</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Arial" w:cs="Arial" w:eastAsia="Arial" w:hAnsi="Arial"/>
          <w:sz w:val="17"/>
          <w:szCs w:val="17"/>
          <w:color w:val="auto"/>
        </w:rPr>
        <w:t>Title of Class of Securities: Common Stock</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Arial" w:cs="Arial" w:eastAsia="Arial" w:hAnsi="Arial"/>
          <w:sz w:val="17"/>
          <w:szCs w:val="17"/>
          <w:color w:val="auto"/>
        </w:rPr>
        <w:t>CUSIP Number: 90400D108</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Arial" w:cs="Arial" w:eastAsia="Arial" w:hAnsi="Arial"/>
          <w:sz w:val="17"/>
          <w:szCs w:val="17"/>
          <w:color w:val="auto"/>
        </w:rPr>
        <w:t>Date of Event Which Requires Filing of this Statement: December 31, 2018</w:t>
      </w:r>
    </w:p>
    <w:p>
      <w:pPr>
        <w:spacing w:after="0" w:line="210"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 to designate the rule pursuant to which this Schedule is filed:</w:t>
      </w:r>
    </w:p>
    <w:p>
      <w:pPr>
        <w:spacing w:after="0" w:line="21" w:lineRule="exact"/>
        <w:rPr>
          <w:sz w:val="24"/>
          <w:szCs w:val="24"/>
          <w:color w:val="auto"/>
        </w:rPr>
      </w:pPr>
    </w:p>
    <w:p>
      <w:pPr>
        <w:jc w:val="both"/>
        <w:ind w:left="100" w:right="9940" w:hanging="7"/>
        <w:spacing w:after="0" w:line="302" w:lineRule="auto"/>
        <w:tabs>
          <w:tab w:leader="none" w:pos="380" w:val="left"/>
        </w:tabs>
        <w:numPr>
          <w:ilvl w:val="0"/>
          <w:numId w:val="1"/>
        </w:numPr>
        <w:rPr>
          <w:rFonts w:ascii="Arial" w:cs="Arial" w:eastAsia="Arial" w:hAnsi="Arial"/>
          <w:sz w:val="15"/>
          <w:szCs w:val="15"/>
          <w:color w:val="auto"/>
        </w:rPr>
      </w:pPr>
      <w:r>
        <w:rPr>
          <w:rFonts w:ascii="Arial" w:cs="Arial" w:eastAsia="Arial" w:hAnsi="Arial"/>
          <w:sz w:val="15"/>
          <w:szCs w:val="15"/>
          <w:color w:val="auto"/>
        </w:rPr>
        <w:t>Rule 13d-1(b) ( ) Rule 13d-1(c) ( ) Rule 13d-1(d)</w:t>
      </w:r>
    </w:p>
    <w:p>
      <w:pPr>
        <w:spacing w:after="0" w:line="145" w:lineRule="exact"/>
        <w:rPr>
          <w:sz w:val="24"/>
          <w:szCs w:val="24"/>
          <w:color w:val="auto"/>
        </w:rPr>
      </w:pPr>
    </w:p>
    <w:p>
      <w:pPr>
        <w:ind w:right="300" w:firstLine="85"/>
        <w:spacing w:after="0" w:line="274"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1" w:lineRule="exact"/>
        <w:rPr>
          <w:sz w:val="24"/>
          <w:szCs w:val="24"/>
          <w:color w:val="auto"/>
        </w:rPr>
      </w:pPr>
    </w:p>
    <w:p>
      <w:pPr>
        <w:ind w:firstLine="82"/>
        <w:spacing w:after="0" w:line="306"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41" w:lineRule="exact"/>
        <w:rPr>
          <w:sz w:val="24"/>
          <w:szCs w:val="24"/>
          <w:color w:val="auto"/>
        </w:rPr>
      </w:pPr>
    </w:p>
    <w:p>
      <w:pPr>
        <w:spacing w:after="0"/>
        <w:rPr>
          <w:sz w:val="20"/>
          <w:szCs w:val="20"/>
          <w:color w:val="auto"/>
        </w:rPr>
      </w:pPr>
      <w:r>
        <w:rPr>
          <w:rFonts w:ascii="Arial" w:cs="Arial" w:eastAsia="Arial" w:hAnsi="Arial"/>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210820</wp:posOffset>
            </wp:positionV>
            <wp:extent cx="735901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359015" cy="21590"/>
                    </a:xfrm>
                    <a:prstGeom prst="rect">
                      <a:avLst/>
                    </a:prstGeom>
                    <a:noFill/>
                  </pic:spPr>
                </pic:pic>
              </a:graphicData>
            </a:graphic>
          </wp:anchor>
        </w:drawing>
      </w:r>
    </w:p>
    <w:p>
      <w:pPr>
        <w:sectPr>
          <w:pgSz w:w="11900" w:h="16838" w:orient="portrait"/>
          <w:cols w:equalWidth="0" w:num="1">
            <w:col w:w="11280"/>
          </w:cols>
          <w:pgMar w:left="160" w:top="150" w:right="459" w:bottom="1440" w:gutter="0" w:footer="0" w:header="0"/>
        </w:sectPr>
      </w:pPr>
    </w:p>
    <w:bookmarkStart w:id="1" w:name="page2"/>
    <w:bookmarkEnd w:id="1"/>
    <w:p>
      <w:pPr>
        <w:ind w:left="5640"/>
        <w:spacing w:after="0"/>
        <w:rPr>
          <w:sz w:val="20"/>
          <w:szCs w:val="20"/>
          <w:color w:val="auto"/>
        </w:rPr>
      </w:pPr>
      <w:r>
        <w:rPr>
          <w:rFonts w:ascii="Arial" w:cs="Arial" w:eastAsia="Arial" w:hAnsi="Arial"/>
          <w:sz w:val="17"/>
          <w:szCs w:val="17"/>
          <w:color w:val="auto"/>
        </w:rPr>
        <w:t>13G</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CUSIP No.: 90400D108</w:t>
      </w:r>
    </w:p>
    <w:p>
      <w:pPr>
        <w:spacing w:after="0" w:line="398" w:lineRule="exact"/>
        <w:rPr>
          <w:sz w:val="20"/>
          <w:szCs w:val="20"/>
          <w:color w:val="auto"/>
        </w:rPr>
      </w:pPr>
    </w:p>
    <w:p>
      <w:pPr>
        <w:ind w:left="220" w:hanging="212"/>
        <w:spacing w:after="0"/>
        <w:tabs>
          <w:tab w:leader="none" w:pos="220" w:val="left"/>
        </w:tabs>
        <w:numPr>
          <w:ilvl w:val="0"/>
          <w:numId w:val="2"/>
        </w:numPr>
        <w:rPr>
          <w:rFonts w:ascii="Arial" w:cs="Arial" w:eastAsia="Arial" w:hAnsi="Arial"/>
          <w:sz w:val="17"/>
          <w:szCs w:val="17"/>
          <w:color w:val="auto"/>
        </w:rPr>
      </w:pPr>
      <w:r>
        <w:rPr>
          <w:rFonts w:ascii="Arial" w:cs="Arial" w:eastAsia="Arial" w:hAnsi="Arial"/>
          <w:sz w:val="17"/>
          <w:szCs w:val="17"/>
          <w:color w:val="auto"/>
        </w:rPr>
        <w:t>NAME OF REPORTING PERSON</w:t>
      </w:r>
    </w:p>
    <w:p>
      <w:pPr>
        <w:spacing w:after="0" w:line="20" w:lineRule="exact"/>
        <w:rPr>
          <w:rFonts w:ascii="Arial" w:cs="Arial" w:eastAsia="Arial" w:hAnsi="Arial"/>
          <w:sz w:val="17"/>
          <w:szCs w:val="17"/>
          <w:color w:val="auto"/>
        </w:rPr>
      </w:pPr>
    </w:p>
    <w:p>
      <w:pPr>
        <w:ind w:left="100"/>
        <w:spacing w:after="0"/>
        <w:rPr>
          <w:rFonts w:ascii="Arial" w:cs="Arial" w:eastAsia="Arial" w:hAnsi="Arial"/>
          <w:sz w:val="17"/>
          <w:szCs w:val="17"/>
          <w:color w:val="auto"/>
        </w:rPr>
      </w:pPr>
      <w:r>
        <w:rPr>
          <w:rFonts w:ascii="Arial" w:cs="Arial" w:eastAsia="Arial" w:hAnsi="Arial"/>
          <w:sz w:val="17"/>
          <w:szCs w:val="17"/>
          <w:color w:val="auto"/>
        </w:rPr>
        <w:t>S.S. OR I.R.S. IDENTIFICATION NO. OF ABOVE PERSON</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THE APPROPRIATE [LINE] IF A MEMBER OF A GROUP</w:t>
      </w:r>
    </w:p>
    <w:p>
      <w:pPr>
        <w:spacing w:after="0" w:line="209" w:lineRule="exact"/>
        <w:rPr>
          <w:rFonts w:ascii="Arial" w:cs="Arial" w:eastAsia="Arial" w:hAnsi="Arial"/>
          <w:sz w:val="17"/>
          <w:szCs w:val="17"/>
          <w:color w:val="auto"/>
        </w:rPr>
      </w:pPr>
    </w:p>
    <w:p>
      <w:pPr>
        <w:ind w:left="620" w:hanging="515"/>
        <w:spacing w:after="0"/>
        <w:tabs>
          <w:tab w:leader="none" w:pos="620" w:val="left"/>
        </w:tabs>
        <w:numPr>
          <w:ilvl w:val="1"/>
          <w:numId w:val="3"/>
        </w:numPr>
        <w:rPr>
          <w:rFonts w:ascii="Arial" w:cs="Arial" w:eastAsia="Arial" w:hAnsi="Arial"/>
          <w:sz w:val="17"/>
          <w:szCs w:val="17"/>
          <w:color w:val="auto"/>
        </w:rPr>
      </w:pPr>
      <w:r>
        <w:rPr>
          <w:rFonts w:ascii="Arial" w:cs="Arial" w:eastAsia="Arial" w:hAnsi="Arial"/>
          <w:sz w:val="17"/>
          <w:szCs w:val="17"/>
          <w:color w:val="auto"/>
        </w:rPr>
        <w:t>B.</w:t>
      </w:r>
    </w:p>
    <w:p>
      <w:pPr>
        <w:spacing w:after="0" w:line="20" w:lineRule="exact"/>
        <w:rPr>
          <w:rFonts w:ascii="Arial" w:cs="Arial" w:eastAsia="Arial" w:hAnsi="Arial"/>
          <w:sz w:val="17"/>
          <w:szCs w:val="17"/>
          <w:color w:val="auto"/>
        </w:rPr>
      </w:pPr>
    </w:p>
    <w:p>
      <w:pPr>
        <w:ind w:left="620"/>
        <w:spacing w:after="0"/>
        <w:rPr>
          <w:rFonts w:ascii="Arial" w:cs="Arial" w:eastAsia="Arial" w:hAnsi="Arial"/>
          <w:sz w:val="17"/>
          <w:szCs w:val="17"/>
          <w:color w:val="auto"/>
        </w:rPr>
      </w:pPr>
      <w:r>
        <w:rPr>
          <w:rFonts w:ascii="Arial" w:cs="Arial" w:eastAsia="Arial" w:hAnsi="Arial"/>
          <w:sz w:val="17"/>
          <w:szCs w:val="17"/>
          <w:u w:val="single" w:color="auto"/>
          <w:color w:val="auto"/>
        </w:rPr>
        <w:t>X</w:t>
      </w:r>
    </w:p>
    <w:p>
      <w:pPr>
        <w:spacing w:after="0" w:line="195" w:lineRule="exact"/>
        <w:rPr>
          <w:rFonts w:ascii="Arial" w:cs="Arial" w:eastAsia="Arial" w:hAnsi="Arial"/>
          <w:sz w:val="17"/>
          <w:szCs w:val="17"/>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SEC USE ONLY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14" w:lineRule="exact"/>
        <w:rPr>
          <w:rFonts w:ascii="Arial" w:cs="Arial" w:eastAsia="Arial" w:hAnsi="Arial"/>
          <w:sz w:val="17"/>
          <w:szCs w:val="17"/>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CITIZENSHIP OF PLACE OF ORGANIZATION</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21" w:lineRule="exact"/>
        <w:rPr>
          <w:sz w:val="20"/>
          <w:szCs w:val="20"/>
          <w:color w:val="auto"/>
        </w:rPr>
      </w:pPr>
    </w:p>
    <w:p>
      <w:pPr>
        <w:ind w:left="100" w:right="8319" w:hanging="92"/>
        <w:spacing w:after="0" w:line="497" w:lineRule="auto"/>
        <w:tabs>
          <w:tab w:leader="none" w:pos="228" w:val="left"/>
        </w:tabs>
        <w:numPr>
          <w:ilvl w:val="0"/>
          <w:numId w:val="4"/>
        </w:numPr>
        <w:rPr>
          <w:rFonts w:ascii="Arial" w:cs="Arial" w:eastAsia="Arial" w:hAnsi="Arial"/>
          <w:sz w:val="17"/>
          <w:szCs w:val="17"/>
          <w:color w:val="auto"/>
        </w:rPr>
      </w:pPr>
      <w:r>
        <w:rPr>
          <w:rFonts w:ascii="Arial" w:cs="Arial" w:eastAsia="Arial" w:hAnsi="Arial"/>
          <w:sz w:val="17"/>
          <w:szCs w:val="17"/>
          <w:color w:val="auto"/>
        </w:rPr>
        <w:t>SOLE VOTING POWER 98,900</w:t>
      </w:r>
    </w:p>
    <w:p>
      <w:pPr>
        <w:ind w:left="100" w:right="8059" w:hanging="92"/>
        <w:spacing w:after="0" w:line="497" w:lineRule="auto"/>
        <w:tabs>
          <w:tab w:leader="none" w:pos="228" w:val="left"/>
        </w:tabs>
        <w:numPr>
          <w:ilvl w:val="0"/>
          <w:numId w:val="4"/>
        </w:numPr>
        <w:rPr>
          <w:rFonts w:ascii="Arial" w:cs="Arial" w:eastAsia="Arial" w:hAnsi="Arial"/>
          <w:sz w:val="17"/>
          <w:szCs w:val="17"/>
          <w:color w:val="auto"/>
        </w:rPr>
      </w:pPr>
      <w:r>
        <w:rPr>
          <w:rFonts w:ascii="Arial" w:cs="Arial" w:eastAsia="Arial" w:hAnsi="Arial"/>
          <w:sz w:val="17"/>
          <w:szCs w:val="17"/>
          <w:color w:val="auto"/>
        </w:rPr>
        <w:t>SHARED VOTING POWER 6,710</w:t>
      </w:r>
    </w:p>
    <w:p>
      <w:pPr>
        <w:ind w:left="100" w:right="7939" w:hanging="92"/>
        <w:spacing w:after="0" w:line="497" w:lineRule="auto"/>
        <w:tabs>
          <w:tab w:leader="none" w:pos="228" w:val="left"/>
        </w:tabs>
        <w:numPr>
          <w:ilvl w:val="0"/>
          <w:numId w:val="4"/>
        </w:numPr>
        <w:rPr>
          <w:rFonts w:ascii="Arial" w:cs="Arial" w:eastAsia="Arial" w:hAnsi="Arial"/>
          <w:sz w:val="17"/>
          <w:szCs w:val="17"/>
          <w:color w:val="auto"/>
        </w:rPr>
      </w:pPr>
      <w:r>
        <w:rPr>
          <w:rFonts w:ascii="Arial" w:cs="Arial" w:eastAsia="Arial" w:hAnsi="Arial"/>
          <w:sz w:val="17"/>
          <w:szCs w:val="17"/>
          <w:color w:val="auto"/>
        </w:rPr>
        <w:t>SOLE DISPOSITIVE POWER 4,060,790</w:t>
      </w:r>
    </w:p>
    <w:p>
      <w:pPr>
        <w:ind w:left="140" w:right="7679" w:hanging="132"/>
        <w:spacing w:after="0" w:line="497" w:lineRule="auto"/>
        <w:tabs>
          <w:tab w:leader="none" w:pos="225" w:val="left"/>
        </w:tabs>
        <w:numPr>
          <w:ilvl w:val="0"/>
          <w:numId w:val="4"/>
        </w:numPr>
        <w:rPr>
          <w:rFonts w:ascii="Arial" w:cs="Arial" w:eastAsia="Arial" w:hAnsi="Arial"/>
          <w:sz w:val="17"/>
          <w:szCs w:val="17"/>
          <w:color w:val="auto"/>
        </w:rPr>
      </w:pPr>
      <w:r>
        <w:rPr>
          <w:rFonts w:ascii="Arial" w:cs="Arial" w:eastAsia="Arial" w:hAnsi="Arial"/>
          <w:sz w:val="17"/>
          <w:szCs w:val="17"/>
          <w:color w:val="auto"/>
        </w:rPr>
        <w:t>SHARED DISPOSITIVE POWER 100,990</w:t>
      </w:r>
    </w:p>
    <w:p>
      <w:pPr>
        <w:ind w:left="100" w:right="3879" w:hanging="92"/>
        <w:spacing w:after="0" w:line="497" w:lineRule="auto"/>
        <w:tabs>
          <w:tab w:leader="none" w:pos="219" w:val="left"/>
        </w:tabs>
        <w:numPr>
          <w:ilvl w:val="0"/>
          <w:numId w:val="4"/>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 4,161,780</w:t>
      </w:r>
    </w:p>
    <w:p>
      <w:pPr>
        <w:ind w:left="100" w:right="3279" w:hanging="92"/>
        <w:spacing w:after="0" w:line="497" w:lineRule="auto"/>
        <w:tabs>
          <w:tab w:leader="none" w:pos="314" w:val="left"/>
        </w:tabs>
        <w:numPr>
          <w:ilvl w:val="0"/>
          <w:numId w:val="4"/>
        </w:numPr>
        <w:rPr>
          <w:rFonts w:ascii="Arial" w:cs="Arial" w:eastAsia="Arial" w:hAnsi="Arial"/>
          <w:sz w:val="17"/>
          <w:szCs w:val="17"/>
          <w:color w:val="auto"/>
        </w:rPr>
      </w:pPr>
      <w:r>
        <w:rPr>
          <w:rFonts w:ascii="Arial" w:cs="Arial" w:eastAsia="Arial" w:hAnsi="Arial"/>
          <w:sz w:val="17"/>
          <w:szCs w:val="17"/>
          <w:color w:val="auto"/>
        </w:rPr>
        <w:t>CHECK BOX IF THE AGGREGATE AMOUNT IN ROW (9) EXCLUDES CERTAIN SHARES N/A</w:t>
      </w:r>
    </w:p>
    <w:p>
      <w:pPr>
        <w:ind w:left="300" w:hanging="292"/>
        <w:spacing w:after="0"/>
        <w:tabs>
          <w:tab w:leader="none" w:pos="300" w:val="left"/>
        </w:tabs>
        <w:numPr>
          <w:ilvl w:val="0"/>
          <w:numId w:val="4"/>
        </w:numPr>
        <w:rPr>
          <w:rFonts w:ascii="Arial" w:cs="Arial" w:eastAsia="Arial" w:hAnsi="Arial"/>
          <w:sz w:val="17"/>
          <w:szCs w:val="17"/>
          <w:color w:val="auto"/>
        </w:rPr>
      </w:pPr>
      <w:r>
        <w:rPr>
          <w:rFonts w:ascii="Arial" w:cs="Arial" w:eastAsia="Arial" w:hAnsi="Arial"/>
          <w:sz w:val="17"/>
          <w:szCs w:val="17"/>
          <w:color w:val="auto"/>
        </w:rPr>
        <w:t>PERCENT OF CLASS REPRESENTED BY AMOUNT IN ROW 9</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8.22%</w:t>
      </w:r>
    </w:p>
    <w:p>
      <w:pPr>
        <w:spacing w:after="0" w:line="210" w:lineRule="exact"/>
        <w:rPr>
          <w:sz w:val="20"/>
          <w:szCs w:val="20"/>
          <w:color w:val="auto"/>
        </w:rPr>
      </w:pPr>
    </w:p>
    <w:p>
      <w:pPr>
        <w:ind w:left="300" w:hanging="292"/>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TYPE OF REPORTING PERSON</w:t>
      </w:r>
    </w:p>
    <w:p>
      <w:pPr>
        <w:spacing w:after="0" w:line="209" w:lineRule="exact"/>
        <w:rPr>
          <w:rFonts w:ascii="Arial" w:cs="Arial" w:eastAsia="Arial" w:hAnsi="Arial"/>
          <w:sz w:val="17"/>
          <w:szCs w:val="17"/>
          <w:color w:val="auto"/>
        </w:rPr>
      </w:pPr>
    </w:p>
    <w:p>
      <w:pPr>
        <w:ind w:left="100"/>
        <w:spacing w:after="0"/>
        <w:rPr>
          <w:rFonts w:ascii="Arial" w:cs="Arial" w:eastAsia="Arial" w:hAnsi="Arial"/>
          <w:sz w:val="17"/>
          <w:szCs w:val="17"/>
          <w:color w:val="auto"/>
        </w:rPr>
      </w:pPr>
      <w:r>
        <w:rPr>
          <w:rFonts w:ascii="Arial" w:cs="Arial" w:eastAsia="Arial" w:hAnsi="Arial"/>
          <w:sz w:val="17"/>
          <w:szCs w:val="17"/>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82550</wp:posOffset>
            </wp:positionV>
            <wp:extent cx="735901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359015" cy="21590"/>
                    </a:xfrm>
                    <a:prstGeom prst="rect">
                      <a:avLst/>
                    </a:prstGeom>
                    <a:noFill/>
                  </pic:spPr>
                </pic:pic>
              </a:graphicData>
            </a:graphic>
          </wp:anchor>
        </w:drawing>
      </w:r>
    </w:p>
    <w:p>
      <w:pPr>
        <w:sectPr>
          <w:pgSz w:w="11900" w:h="16838" w:orient="portrait"/>
          <w:cols w:equalWidth="0" w:num="1">
            <w:col w:w="10299"/>
          </w:cols>
          <w:pgMar w:left="160" w:top="285" w:right="1440" w:bottom="1440" w:gutter="0" w:footer="0" w:header="0"/>
        </w:sectPr>
      </w:pPr>
    </w:p>
    <w:bookmarkStart w:id="2" w:name="page3"/>
    <w:bookmarkEnd w:id="2"/>
    <w:p>
      <w:pPr>
        <w:jc w:val="center"/>
        <w:ind w:right="-1260"/>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0"/>
          <w:szCs w:val="20"/>
          <w:color w:val="auto"/>
        </w:rPr>
      </w:pPr>
    </w:p>
    <w:p>
      <w:pPr>
        <w:jc w:val="center"/>
        <w:ind w:right="-1260"/>
        <w:spacing w:after="0"/>
        <w:rPr>
          <w:sz w:val="20"/>
          <w:szCs w:val="20"/>
          <w:color w:val="auto"/>
        </w:rPr>
      </w:pPr>
      <w:r>
        <w:rPr>
          <w:rFonts w:ascii="Arial" w:cs="Arial" w:eastAsia="Arial" w:hAnsi="Arial"/>
          <w:sz w:val="17"/>
          <w:szCs w:val="17"/>
          <w:color w:val="auto"/>
        </w:rPr>
        <w:t>Washington, D.C. 20549</w:t>
      </w:r>
    </w:p>
    <w:p>
      <w:pPr>
        <w:spacing w:after="0" w:line="196" w:lineRule="exact"/>
        <w:rPr>
          <w:sz w:val="20"/>
          <w:szCs w:val="20"/>
          <w:color w:val="auto"/>
        </w:rPr>
      </w:pPr>
    </w:p>
    <w:p>
      <w:pPr>
        <w:jc w:val="center"/>
        <w:ind w:right="-1260"/>
        <w:spacing w:after="0"/>
        <w:rPr>
          <w:sz w:val="20"/>
          <w:szCs w:val="20"/>
          <w:color w:val="auto"/>
        </w:rPr>
      </w:pPr>
      <w:r>
        <w:rPr>
          <w:rFonts w:ascii="Arial" w:cs="Arial" w:eastAsia="Arial" w:hAnsi="Arial"/>
          <w:sz w:val="17"/>
          <w:szCs w:val="17"/>
          <w:color w:val="auto"/>
        </w:rPr>
        <w:t>SCHEDULE 13G</w:t>
      </w:r>
    </w:p>
    <w:p>
      <w:pPr>
        <w:spacing w:after="0" w:line="21" w:lineRule="exact"/>
        <w:rPr>
          <w:sz w:val="20"/>
          <w:szCs w:val="20"/>
          <w:color w:val="auto"/>
        </w:rPr>
      </w:pPr>
    </w:p>
    <w:p>
      <w:pPr>
        <w:jc w:val="center"/>
        <w:ind w:right="-1260"/>
        <w:spacing w:after="0"/>
        <w:rPr>
          <w:sz w:val="20"/>
          <w:szCs w:val="20"/>
          <w:color w:val="auto"/>
        </w:rPr>
      </w:pPr>
      <w:r>
        <w:rPr>
          <w:rFonts w:ascii="Arial" w:cs="Arial" w:eastAsia="Arial" w:hAnsi="Arial"/>
          <w:sz w:val="17"/>
          <w:szCs w:val="17"/>
          <w:color w:val="auto"/>
        </w:rPr>
        <w:t>Under the Securities Act of 1934</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Check the following [line] if a fee is being paid with this statement  N/A</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1(a) - Name of Issuer:</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Ultragenyx Pharmaceutical Inc</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1(b) - Address of Issuer's Principal Executive Offices: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60 Leveroni Court</w:t>
      </w:r>
    </w:p>
    <w:p>
      <w:pPr>
        <w:spacing w:after="0" w:line="21"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Novato, California 94949</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2(a) - Name of Person Filing:</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The Vanguard Group - 23-1945930</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2(b) – Address of Principal Business Office or, if none, residence:</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100 Vanguard Blvd.</w:t>
      </w:r>
    </w:p>
    <w:p>
      <w:pPr>
        <w:spacing w:after="0" w:line="21" w:lineRule="exact"/>
        <w:rPr>
          <w:sz w:val="20"/>
          <w:szCs w:val="20"/>
          <w:color w:val="auto"/>
        </w:rPr>
      </w:pPr>
    </w:p>
    <w:p>
      <w:pPr>
        <w:ind w:left="100"/>
        <w:spacing w:after="0"/>
        <w:rPr>
          <w:sz w:val="20"/>
          <w:szCs w:val="20"/>
          <w:color w:val="auto"/>
        </w:rPr>
      </w:pPr>
      <w:r>
        <w:rPr>
          <w:rFonts w:ascii="Arial" w:cs="Arial" w:eastAsia="Arial" w:hAnsi="Arial"/>
          <w:sz w:val="17"/>
          <w:szCs w:val="17"/>
          <w:color w:val="auto"/>
        </w:rPr>
        <w:t>Malvern, PA 19355</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2(c) – Citizenship:</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Pennsylvania</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2(d) - Title of Class of Securities: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Common Stock</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2(e) - CUSIP Number</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90400D108</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 Type of Filing:</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5"/>
          <w:szCs w:val="15"/>
          <w:color w:val="auto"/>
        </w:rPr>
        <w:t>This statement is being filed pursuant to Rule 13d-1. An investment adviser in accordance with §240.13d-1(b)(1)(ii)(E).</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 Ownership:</w:t>
      </w:r>
    </w:p>
    <w:p>
      <w:pPr>
        <w:spacing w:after="0" w:line="210" w:lineRule="exact"/>
        <w:rPr>
          <w:sz w:val="20"/>
          <w:szCs w:val="20"/>
          <w:color w:val="auto"/>
        </w:rPr>
      </w:pPr>
    </w:p>
    <w:p>
      <w:pPr>
        <w:ind w:left="100" w:right="7959" w:hanging="7"/>
        <w:spacing w:after="0" w:line="497" w:lineRule="auto"/>
        <w:tabs>
          <w:tab w:leader="none" w:pos="332" w:val="left"/>
        </w:tabs>
        <w:numPr>
          <w:ilvl w:val="0"/>
          <w:numId w:val="6"/>
        </w:numPr>
        <w:rPr>
          <w:rFonts w:ascii="Arial" w:cs="Arial" w:eastAsia="Arial" w:hAnsi="Arial"/>
          <w:sz w:val="17"/>
          <w:szCs w:val="17"/>
          <w:color w:val="auto"/>
        </w:rPr>
      </w:pPr>
      <w:r>
        <w:rPr>
          <w:rFonts w:ascii="Arial" w:cs="Arial" w:eastAsia="Arial" w:hAnsi="Arial"/>
          <w:sz w:val="17"/>
          <w:szCs w:val="17"/>
          <w:color w:val="auto"/>
        </w:rPr>
        <w:t>Amount Beneficially Owned: 4,161,780</w:t>
      </w:r>
    </w:p>
    <w:p>
      <w:pPr>
        <w:ind w:left="340" w:hanging="247"/>
        <w:spacing w:after="0"/>
        <w:tabs>
          <w:tab w:leader="none" w:pos="340" w:val="left"/>
        </w:tabs>
        <w:numPr>
          <w:ilvl w:val="0"/>
          <w:numId w:val="6"/>
        </w:numPr>
        <w:rPr>
          <w:rFonts w:ascii="Arial" w:cs="Arial" w:eastAsia="Arial" w:hAnsi="Arial"/>
          <w:sz w:val="17"/>
          <w:szCs w:val="17"/>
          <w:color w:val="auto"/>
        </w:rPr>
      </w:pPr>
      <w:r>
        <w:rPr>
          <w:rFonts w:ascii="Arial" w:cs="Arial" w:eastAsia="Arial" w:hAnsi="Arial"/>
          <w:sz w:val="17"/>
          <w:szCs w:val="17"/>
          <w:color w:val="auto"/>
        </w:rPr>
        <w:t>Percent of Class: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8.22%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82550</wp:posOffset>
            </wp:positionV>
            <wp:extent cx="7359015"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359015" cy="20955"/>
                    </a:xfrm>
                    <a:prstGeom prst="rect">
                      <a:avLst/>
                    </a:prstGeom>
                    <a:noFill/>
                  </pic:spPr>
                </pic:pic>
              </a:graphicData>
            </a:graphic>
          </wp:anchor>
        </w:drawing>
      </w:r>
    </w:p>
    <w:p>
      <w:pPr>
        <w:sectPr>
          <w:pgSz w:w="11900" w:h="16838" w:orient="portrait"/>
          <w:cols w:equalWidth="0" w:num="1">
            <w:col w:w="10299"/>
          </w:cols>
          <w:pgMar w:left="160" w:top="285" w:right="1440" w:bottom="1440" w:gutter="0" w:footer="0" w:header="0"/>
        </w:sectPr>
      </w:pPr>
    </w:p>
    <w:bookmarkStart w:id="3" w:name="page4"/>
    <w:bookmarkEnd w:id="3"/>
    <w:p>
      <w:pPr>
        <w:ind w:left="360" w:hanging="267"/>
        <w:spacing w:after="0"/>
        <w:tabs>
          <w:tab w:leader="none" w:pos="360" w:val="left"/>
        </w:tabs>
        <w:numPr>
          <w:ilvl w:val="0"/>
          <w:numId w:val="7"/>
        </w:numPr>
        <w:rPr>
          <w:rFonts w:ascii="Arial" w:cs="Arial" w:eastAsia="Arial" w:hAnsi="Arial"/>
          <w:sz w:val="17"/>
          <w:szCs w:val="17"/>
          <w:color w:val="auto"/>
        </w:rPr>
      </w:pPr>
      <w:r>
        <w:rPr>
          <w:rFonts w:ascii="Arial" w:cs="Arial" w:eastAsia="Arial" w:hAnsi="Arial"/>
          <w:sz w:val="17"/>
          <w:szCs w:val="17"/>
          <w:color w:val="auto"/>
        </w:rPr>
        <w:t>Number of shares as to which such person has:</w:t>
      </w:r>
    </w:p>
    <w:p>
      <w:pPr>
        <w:spacing w:after="0" w:line="209" w:lineRule="exact"/>
        <w:rPr>
          <w:rFonts w:ascii="Arial" w:cs="Arial" w:eastAsia="Arial" w:hAnsi="Arial"/>
          <w:sz w:val="17"/>
          <w:szCs w:val="17"/>
          <w:color w:val="auto"/>
        </w:rPr>
      </w:pPr>
    </w:p>
    <w:p>
      <w:pPr>
        <w:ind w:left="340" w:hanging="247"/>
        <w:spacing w:after="0"/>
        <w:tabs>
          <w:tab w:leader="none" w:pos="340" w:val="left"/>
        </w:tabs>
        <w:numPr>
          <w:ilvl w:val="0"/>
          <w:numId w:val="8"/>
        </w:numPr>
        <w:rPr>
          <w:rFonts w:ascii="Arial" w:cs="Arial" w:eastAsia="Arial" w:hAnsi="Arial"/>
          <w:sz w:val="17"/>
          <w:szCs w:val="17"/>
          <w:color w:val="auto"/>
        </w:rPr>
      </w:pPr>
      <w:r>
        <w:rPr>
          <w:rFonts w:ascii="Arial" w:cs="Arial" w:eastAsia="Arial" w:hAnsi="Arial"/>
          <w:sz w:val="17"/>
          <w:szCs w:val="17"/>
          <w:color w:val="auto"/>
        </w:rPr>
        <w:t>sole power to vote or direct to vote: 98,900</w:t>
      </w:r>
    </w:p>
    <w:p>
      <w:pPr>
        <w:spacing w:after="0" w:line="209" w:lineRule="exact"/>
        <w:rPr>
          <w:rFonts w:ascii="Arial" w:cs="Arial" w:eastAsia="Arial" w:hAnsi="Arial"/>
          <w:sz w:val="17"/>
          <w:szCs w:val="17"/>
          <w:color w:val="auto"/>
        </w:rPr>
      </w:pPr>
    </w:p>
    <w:p>
      <w:pPr>
        <w:ind w:left="380" w:hanging="287"/>
        <w:spacing w:after="0"/>
        <w:tabs>
          <w:tab w:leader="none" w:pos="380" w:val="left"/>
        </w:tabs>
        <w:numPr>
          <w:ilvl w:val="0"/>
          <w:numId w:val="9"/>
        </w:numPr>
        <w:rPr>
          <w:rFonts w:ascii="Arial" w:cs="Arial" w:eastAsia="Arial" w:hAnsi="Arial"/>
          <w:sz w:val="17"/>
          <w:szCs w:val="17"/>
          <w:color w:val="auto"/>
        </w:rPr>
      </w:pPr>
      <w:r>
        <w:rPr>
          <w:rFonts w:ascii="Arial" w:cs="Arial" w:eastAsia="Arial" w:hAnsi="Arial"/>
          <w:sz w:val="17"/>
          <w:szCs w:val="17"/>
          <w:color w:val="auto"/>
        </w:rPr>
        <w:t>shared power to vote or direct to vote: 6,710</w:t>
      </w:r>
    </w:p>
    <w:p>
      <w:pPr>
        <w:spacing w:after="0" w:line="209" w:lineRule="exact"/>
        <w:rPr>
          <w:rFonts w:ascii="Arial" w:cs="Arial" w:eastAsia="Arial" w:hAnsi="Arial"/>
          <w:sz w:val="17"/>
          <w:szCs w:val="17"/>
          <w:color w:val="auto"/>
        </w:rPr>
      </w:pPr>
    </w:p>
    <w:p>
      <w:pPr>
        <w:ind w:left="100" w:right="6520" w:hanging="7"/>
        <w:spacing w:after="0" w:line="563" w:lineRule="auto"/>
        <w:tabs>
          <w:tab w:leader="none" w:pos="442" w:val="left"/>
        </w:tabs>
        <w:numPr>
          <w:ilvl w:val="0"/>
          <w:numId w:val="10"/>
        </w:numPr>
        <w:rPr>
          <w:rFonts w:ascii="Arial" w:cs="Arial" w:eastAsia="Arial" w:hAnsi="Arial"/>
          <w:sz w:val="15"/>
          <w:szCs w:val="15"/>
          <w:color w:val="auto"/>
        </w:rPr>
      </w:pPr>
      <w:r>
        <w:rPr>
          <w:rFonts w:ascii="Arial" w:cs="Arial" w:eastAsia="Arial" w:hAnsi="Arial"/>
          <w:sz w:val="15"/>
          <w:szCs w:val="15"/>
          <w:color w:val="auto"/>
        </w:rPr>
        <w:t>sole power to dispose of or to direct the disposition of: 4,060,790 (iv) shared power to dispose or to direct the disposition of: 100,990</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Comments:</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5 - Ownership of Five Percent or Less of a Class: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6 - Ownership of More Than Five Percent on Behalf of Another Person:</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7 - Identification and Classification of the Subsidiary Which Acquired The Security Being Reported on by the Parent Holding Company</w:t>
      </w:r>
      <w:r>
        <w:rPr>
          <w:rFonts w:ascii="Arial" w:cs="Arial" w:eastAsia="Arial" w:hAnsi="Arial"/>
          <w:sz w:val="17"/>
          <w:szCs w:val="17"/>
          <w:color w:val="auto"/>
        </w:rPr>
        <w:t>:</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See Attached Appendix A</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8 - Identification and Classification of Members of Group:</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9 - Notice of Dissolution of Group:</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10 - Certification:</w:t>
      </w:r>
    </w:p>
    <w:p>
      <w:pPr>
        <w:spacing w:after="0" w:line="210" w:lineRule="exact"/>
        <w:rPr>
          <w:sz w:val="20"/>
          <w:szCs w:val="20"/>
          <w:color w:val="auto"/>
        </w:rPr>
      </w:pPr>
    </w:p>
    <w:p>
      <w:pPr>
        <w:jc w:val="both"/>
        <w:ind w:firstLine="85"/>
        <w:spacing w:after="0" w:line="261"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w:t>
      </w:r>
    </w:p>
    <w:p>
      <w:pPr>
        <w:spacing w:after="0" w:line="210" w:lineRule="exact"/>
        <w:rPr>
          <w:sz w:val="20"/>
          <w:szCs w:val="20"/>
          <w:color w:val="auto"/>
        </w:rPr>
      </w:pPr>
    </w:p>
    <w:p>
      <w:pPr>
        <w:ind w:left="8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Date: 02/11/2019</w:t>
      </w:r>
    </w:p>
    <w:p>
      <w:pPr>
        <w:spacing w:after="0" w:line="21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Christine M. Buchanan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-10160</wp:posOffset>
            </wp:positionV>
            <wp:extent cx="12280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Christine M. Buchanan</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Principal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329565</wp:posOffset>
            </wp:positionV>
            <wp:extent cx="7359015"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359015" cy="20955"/>
                    </a:xfrm>
                    <a:prstGeom prst="rect">
                      <a:avLst/>
                    </a:prstGeom>
                    <a:noFill/>
                  </pic:spPr>
                </pic:pic>
              </a:graphicData>
            </a:graphic>
          </wp:anchor>
        </w:drawing>
      </w:r>
    </w:p>
    <w:p>
      <w:pPr>
        <w:sectPr>
          <w:pgSz w:w="11900" w:h="16838" w:orient="portrait"/>
          <w:cols w:equalWidth="0" w:num="1">
            <w:col w:w="11460"/>
          </w:cols>
          <w:pgMar w:left="160" w:top="285" w:right="279" w:bottom="1440" w:gutter="0" w:footer="0" w:header="0"/>
        </w:sectPr>
      </w:pPr>
    </w:p>
    <w:bookmarkStart w:id="4" w:name="page5"/>
    <w:bookmarkEnd w:id="4"/>
    <w:p>
      <w:pPr>
        <w:spacing w:after="0"/>
        <w:rPr>
          <w:sz w:val="20"/>
          <w:szCs w:val="20"/>
          <w:color w:val="auto"/>
        </w:rPr>
      </w:pPr>
      <w:r>
        <w:rPr>
          <w:rFonts w:ascii="Arial" w:cs="Arial" w:eastAsia="Arial" w:hAnsi="Arial"/>
          <w:sz w:val="17"/>
          <w:szCs w:val="17"/>
          <w:color w:val="auto"/>
        </w:rPr>
        <w:t>Appendix A</w:t>
      </w:r>
    </w:p>
    <w:p>
      <w:pPr>
        <w:spacing w:after="0" w:line="210" w:lineRule="exact"/>
        <w:rPr>
          <w:sz w:val="20"/>
          <w:szCs w:val="20"/>
          <w:color w:val="auto"/>
        </w:rPr>
      </w:pPr>
    </w:p>
    <w:p>
      <w:pPr>
        <w:ind w:firstLine="40"/>
        <w:spacing w:after="0" w:line="274" w:lineRule="auto"/>
        <w:rPr>
          <w:sz w:val="20"/>
          <w:szCs w:val="20"/>
          <w:color w:val="auto"/>
        </w:rPr>
      </w:pPr>
      <w:r>
        <w:rPr>
          <w:rFonts w:ascii="Arial" w:cs="Arial" w:eastAsia="Arial" w:hAnsi="Arial"/>
          <w:sz w:val="17"/>
          <w:szCs w:val="17"/>
          <w:color w:val="auto"/>
        </w:rPr>
        <w:t>Vanguard Fiduciary Trust Company ("VFTC"), a wholly-owned subsidiary of The Vanguard Group, Inc., is the beneficial owner of 94,280 shares or .18% of the Common Stock outstanding of the Company as a result of its serving as investment manager of collective trust accounts.</w:t>
      </w:r>
    </w:p>
    <w:p>
      <w:pPr>
        <w:spacing w:after="0" w:line="161" w:lineRule="exact"/>
        <w:rPr>
          <w:sz w:val="20"/>
          <w:szCs w:val="20"/>
          <w:color w:val="auto"/>
        </w:rPr>
      </w:pPr>
    </w:p>
    <w:p>
      <w:pPr>
        <w:ind w:right="80"/>
        <w:spacing w:after="0" w:line="274" w:lineRule="auto"/>
        <w:rPr>
          <w:sz w:val="20"/>
          <w:szCs w:val="20"/>
          <w:color w:val="auto"/>
        </w:rPr>
      </w:pPr>
      <w:r>
        <w:rPr>
          <w:rFonts w:ascii="Arial" w:cs="Arial" w:eastAsia="Arial" w:hAnsi="Arial"/>
          <w:sz w:val="17"/>
          <w:szCs w:val="17"/>
          <w:color w:val="auto"/>
        </w:rPr>
        <w:t>Vanguard Investments Australia, Ltd. ("VIA"), a wholly-owned subsidiary of The Vanguard Group, Inc., is the beneficial owner of 11,330 shares or .02% of the Common Stock outstanding of the Company as a result of its serving as investment manager of Australian investment offerings.</w:t>
      </w:r>
    </w:p>
    <w:sectPr>
      <w:pgSz w:w="11900" w:h="16838" w:orient="portrait"/>
      <w:cols w:equalWidth="0" w:num="1">
        <w:col w:w="11100"/>
      </w:cols>
      <w:pgMar w:left="160" w:top="285" w:right="6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1"/>
    </w:lvl>
    <w:lvl w:ilvl="1">
      <w:lvlJc w:val="left"/>
      <w:lvlText w:val="%2"/>
      <w:numFmt w:val="upperLetter"/>
      <w:start w:val="1"/>
    </w:lvl>
  </w:abstractNum>
  <w:abstractNum w:abstractNumId="2">
    <w:nsid w:val="2EB141F2"/>
    <w:multiLevelType w:val="hybridMultilevel"/>
    <w:lvl w:ilvl="0">
      <w:lvlJc w:val="left"/>
      <w:lvlText w:val="%1."/>
      <w:numFmt w:val="decimal"/>
      <w:start w:val="2"/>
    </w:lvl>
    <w:lvl w:ilvl="1">
      <w:lvlJc w:val="left"/>
      <w:lvlText w:val="%2."/>
      <w:numFmt w:val="upperLetter"/>
      <w:start w:val="1"/>
    </w:lvl>
  </w:abstractNum>
  <w:abstractNum w:abstractNumId="3">
    <w:nsid w:val="41B71EFB"/>
    <w:multiLevelType w:val="hybridMultilevel"/>
    <w:lvl w:ilvl="0">
      <w:lvlJc w:val="left"/>
      <w:lvlText w:val="%1."/>
      <w:numFmt w:val="decimal"/>
      <w:start w:val="5"/>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3"/>
    </w:lvl>
  </w:abstractNum>
  <w:abstractNum w:abstractNumId="7">
    <w:nsid w:val="5BD062C2"/>
    <w:multiLevelType w:val="hybridMultilevel"/>
    <w:lvl w:ilvl="0">
      <w:lvlJc w:val="left"/>
      <w:lvlText w:val="(%1)"/>
      <w:numFmt w:val="lowerLetter"/>
      <w:start w:val="9"/>
    </w:lvl>
  </w:abstractNum>
  <w:abstractNum w:abstractNumId="8">
    <w:nsid w:val="12200854"/>
    <w:multiLevelType w:val="hybridMultilevel"/>
    <w:lvl w:ilvl="0">
      <w:lvlJc w:val="left"/>
      <w:lvlText w:val="(%1)"/>
      <w:numFmt w:val="lowerLetter"/>
      <w:start w:val="35"/>
    </w:lvl>
  </w:abstractNum>
  <w:abstractNum w:abstractNumId="9">
    <w:nsid w:val="4DB127F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2019-12-15T17:28:59Z</dcterms:created>
  <dcterms:modified xsi:type="dcterms:W3CDTF">2019-12-15T17:28:59Z</dcterms:modified>
</cp:coreProperties>
</file>